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383F85">
      <w:pPr>
        <w:adjustRightInd w:val="0"/>
        <w:snapToGrid w:val="0"/>
        <w:spacing w:line="360" w:lineRule="auto"/>
        <w:rPr>
          <w:rFonts w:hint="eastAsia" w:ascii="宋体" w:hAnsi="宋体"/>
          <w:snapToGrid w:val="0"/>
          <w:color w:val="auto"/>
          <w:kern w:val="0"/>
          <w:sz w:val="24"/>
          <w:highlight w:val="none"/>
        </w:rPr>
      </w:pPr>
    </w:p>
    <w:p w14:paraId="795B78A5">
      <w:pPr>
        <w:adjustRightInd w:val="0"/>
        <w:snapToGrid w:val="0"/>
        <w:spacing w:line="360" w:lineRule="auto"/>
        <w:rPr>
          <w:rFonts w:hint="eastAsia" w:ascii="宋体" w:hAnsi="宋体"/>
          <w:snapToGrid w:val="0"/>
          <w:color w:val="auto"/>
          <w:kern w:val="0"/>
          <w:sz w:val="24"/>
          <w:highlight w:val="none"/>
        </w:rPr>
      </w:pPr>
    </w:p>
    <w:p w14:paraId="2DD27053">
      <w:pPr>
        <w:adjustRightInd w:val="0"/>
        <w:snapToGrid w:val="0"/>
        <w:spacing w:line="360" w:lineRule="auto"/>
        <w:rPr>
          <w:rFonts w:hint="eastAsia" w:ascii="宋体" w:hAnsi="宋体"/>
          <w:snapToGrid w:val="0"/>
          <w:color w:val="auto"/>
          <w:kern w:val="0"/>
          <w:sz w:val="24"/>
          <w:highlight w:val="none"/>
        </w:rPr>
      </w:pPr>
    </w:p>
    <w:p w14:paraId="0785B1AE">
      <w:pPr>
        <w:adjustRightInd w:val="0"/>
        <w:snapToGrid w:val="0"/>
        <w:spacing w:line="360" w:lineRule="auto"/>
        <w:jc w:val="center"/>
        <w:rPr>
          <w:rFonts w:hint="eastAsia" w:ascii="华文中宋" w:hAnsi="华文中宋" w:eastAsia="华文中宋"/>
          <w:b/>
          <w:snapToGrid w:val="0"/>
          <w:color w:val="auto"/>
          <w:spacing w:val="-20"/>
          <w:kern w:val="0"/>
          <w:sz w:val="44"/>
          <w:szCs w:val="44"/>
          <w:highlight w:val="none"/>
        </w:rPr>
      </w:pPr>
      <w:r>
        <w:rPr>
          <w:rFonts w:hint="eastAsia" w:ascii="华文中宋" w:hAnsi="华文中宋" w:eastAsia="华文中宋"/>
          <w:b/>
          <w:snapToGrid w:val="0"/>
          <w:color w:val="auto"/>
          <w:spacing w:val="-20"/>
          <w:kern w:val="0"/>
          <w:sz w:val="44"/>
          <w:szCs w:val="44"/>
          <w:highlight w:val="none"/>
          <w:u w:val="single"/>
        </w:rPr>
        <w:t>广州采制药业有限公司厂房改造工程施工总承包</w:t>
      </w:r>
    </w:p>
    <w:p w14:paraId="2AEAD15D">
      <w:pPr>
        <w:adjustRightInd w:val="0"/>
        <w:snapToGrid w:val="0"/>
        <w:spacing w:line="360" w:lineRule="auto"/>
        <w:jc w:val="center"/>
        <w:rPr>
          <w:rFonts w:hint="eastAsia" w:ascii="华文中宋" w:hAnsi="华文中宋" w:eastAsia="华文中宋"/>
          <w:b/>
          <w:snapToGrid w:val="0"/>
          <w:color w:val="auto"/>
          <w:spacing w:val="-20"/>
          <w:kern w:val="0"/>
          <w:sz w:val="44"/>
          <w:szCs w:val="44"/>
          <w:highlight w:val="none"/>
        </w:rPr>
      </w:pPr>
    </w:p>
    <w:p w14:paraId="06B6F85D">
      <w:pPr>
        <w:adjustRightInd w:val="0"/>
        <w:snapToGrid w:val="0"/>
        <w:spacing w:line="360" w:lineRule="auto"/>
        <w:jc w:val="center"/>
        <w:outlineLvl w:val="0"/>
        <w:rPr>
          <w:rFonts w:hint="eastAsia" w:ascii="华文中宋" w:hAnsi="华文中宋" w:eastAsia="华文中宋"/>
          <w:b/>
          <w:snapToGrid w:val="0"/>
          <w:color w:val="auto"/>
          <w:spacing w:val="-20"/>
          <w:kern w:val="0"/>
          <w:sz w:val="84"/>
          <w:szCs w:val="84"/>
          <w:highlight w:val="none"/>
        </w:rPr>
      </w:pPr>
      <w:r>
        <w:rPr>
          <w:rFonts w:hint="eastAsia" w:ascii="华文中宋" w:hAnsi="华文中宋" w:eastAsia="华文中宋"/>
          <w:b/>
          <w:snapToGrid w:val="0"/>
          <w:color w:val="auto"/>
          <w:spacing w:val="-20"/>
          <w:kern w:val="0"/>
          <w:sz w:val="84"/>
          <w:szCs w:val="84"/>
          <w:highlight w:val="none"/>
        </w:rPr>
        <w:t>施工总承包合同</w:t>
      </w:r>
      <w:bookmarkStart w:id="12" w:name="_GoBack"/>
      <w:bookmarkEnd w:id="12"/>
    </w:p>
    <w:p w14:paraId="678959A1">
      <w:pPr>
        <w:adjustRightInd w:val="0"/>
        <w:snapToGrid w:val="0"/>
        <w:spacing w:line="360" w:lineRule="auto"/>
        <w:jc w:val="center"/>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合同编号：</w:t>
      </w:r>
    </w:p>
    <w:p w14:paraId="78A1A374">
      <w:pPr>
        <w:adjustRightInd w:val="0"/>
        <w:snapToGrid w:val="0"/>
        <w:spacing w:line="360" w:lineRule="auto"/>
        <w:rPr>
          <w:rFonts w:hint="eastAsia" w:ascii="宋体" w:hAnsi="宋体"/>
          <w:snapToGrid w:val="0"/>
          <w:color w:val="auto"/>
          <w:kern w:val="0"/>
          <w:sz w:val="24"/>
          <w:highlight w:val="none"/>
        </w:rPr>
      </w:pPr>
    </w:p>
    <w:p w14:paraId="5F5C261C">
      <w:pPr>
        <w:adjustRightInd w:val="0"/>
        <w:snapToGrid w:val="0"/>
        <w:spacing w:line="360" w:lineRule="auto"/>
        <w:rPr>
          <w:rFonts w:hint="eastAsia" w:ascii="宋体" w:hAnsi="宋体"/>
          <w:snapToGrid w:val="0"/>
          <w:color w:val="auto"/>
          <w:kern w:val="0"/>
          <w:sz w:val="24"/>
          <w:highlight w:val="none"/>
        </w:rPr>
      </w:pPr>
    </w:p>
    <w:p w14:paraId="5E7A24ED">
      <w:pPr>
        <w:adjustRightInd w:val="0"/>
        <w:snapToGrid w:val="0"/>
        <w:spacing w:line="360" w:lineRule="auto"/>
        <w:rPr>
          <w:rFonts w:hint="eastAsia" w:ascii="宋体" w:hAnsi="宋体"/>
          <w:snapToGrid w:val="0"/>
          <w:color w:val="auto"/>
          <w:kern w:val="0"/>
          <w:sz w:val="24"/>
          <w:highlight w:val="none"/>
        </w:rPr>
      </w:pPr>
    </w:p>
    <w:p w14:paraId="4D5D8373">
      <w:pPr>
        <w:adjustRightInd w:val="0"/>
        <w:snapToGrid w:val="0"/>
        <w:spacing w:line="360" w:lineRule="auto"/>
        <w:rPr>
          <w:rFonts w:hint="eastAsia" w:ascii="宋体" w:hAnsi="宋体"/>
          <w:snapToGrid w:val="0"/>
          <w:color w:val="auto"/>
          <w:kern w:val="0"/>
          <w:sz w:val="24"/>
          <w:highlight w:val="none"/>
        </w:rPr>
      </w:pPr>
    </w:p>
    <w:p w14:paraId="502F06E0">
      <w:pPr>
        <w:adjustRightInd w:val="0"/>
        <w:snapToGrid w:val="0"/>
        <w:spacing w:line="360" w:lineRule="auto"/>
        <w:rPr>
          <w:rFonts w:hint="eastAsia" w:ascii="宋体" w:hAnsi="宋体"/>
          <w:snapToGrid w:val="0"/>
          <w:color w:val="auto"/>
          <w:kern w:val="0"/>
          <w:sz w:val="24"/>
          <w:highlight w:val="none"/>
        </w:rPr>
      </w:pPr>
    </w:p>
    <w:p w14:paraId="4070E211">
      <w:pPr>
        <w:adjustRightInd w:val="0"/>
        <w:snapToGrid w:val="0"/>
        <w:spacing w:line="360" w:lineRule="auto"/>
        <w:rPr>
          <w:rFonts w:hint="eastAsia" w:ascii="宋体" w:hAnsi="宋体"/>
          <w:snapToGrid w:val="0"/>
          <w:color w:val="auto"/>
          <w:kern w:val="0"/>
          <w:sz w:val="24"/>
          <w:highlight w:val="none"/>
        </w:rPr>
      </w:pPr>
    </w:p>
    <w:p w14:paraId="1CBC032F">
      <w:pPr>
        <w:adjustRightInd w:val="0"/>
        <w:snapToGrid w:val="0"/>
        <w:spacing w:line="360" w:lineRule="auto"/>
        <w:rPr>
          <w:rFonts w:hint="eastAsia" w:ascii="宋体" w:hAnsi="宋体"/>
          <w:snapToGrid w:val="0"/>
          <w:color w:val="auto"/>
          <w:kern w:val="0"/>
          <w:sz w:val="24"/>
          <w:highlight w:val="none"/>
        </w:rPr>
      </w:pPr>
    </w:p>
    <w:p w14:paraId="588F5306">
      <w:pPr>
        <w:adjustRightInd w:val="0"/>
        <w:snapToGrid w:val="0"/>
        <w:spacing w:line="360" w:lineRule="auto"/>
        <w:rPr>
          <w:rFonts w:hint="eastAsia" w:ascii="宋体" w:hAnsi="宋体"/>
          <w:snapToGrid w:val="0"/>
          <w:color w:val="auto"/>
          <w:kern w:val="0"/>
          <w:sz w:val="24"/>
          <w:highlight w:val="none"/>
        </w:rPr>
      </w:pPr>
    </w:p>
    <w:p w14:paraId="7AC2A782">
      <w:pPr>
        <w:adjustRightInd w:val="0"/>
        <w:snapToGrid w:val="0"/>
        <w:spacing w:line="360" w:lineRule="auto"/>
        <w:rPr>
          <w:rFonts w:hint="eastAsia" w:ascii="宋体" w:hAnsi="宋体"/>
          <w:snapToGrid w:val="0"/>
          <w:color w:val="auto"/>
          <w:kern w:val="0"/>
          <w:sz w:val="24"/>
          <w:highlight w:val="none"/>
        </w:rPr>
      </w:pPr>
    </w:p>
    <w:p w14:paraId="3D81986B">
      <w:pPr>
        <w:adjustRightInd w:val="0"/>
        <w:snapToGrid w:val="0"/>
        <w:spacing w:line="360" w:lineRule="auto"/>
        <w:rPr>
          <w:rFonts w:hint="eastAsia" w:ascii="宋体" w:hAnsi="宋体"/>
          <w:snapToGrid w:val="0"/>
          <w:color w:val="auto"/>
          <w:kern w:val="0"/>
          <w:sz w:val="24"/>
          <w:highlight w:val="none"/>
        </w:rPr>
      </w:pPr>
    </w:p>
    <w:p w14:paraId="3B3991B4">
      <w:pPr>
        <w:adjustRightInd w:val="0"/>
        <w:snapToGrid w:val="0"/>
        <w:spacing w:line="360" w:lineRule="auto"/>
        <w:ind w:firstLine="900" w:firstLineChars="280"/>
        <w:rPr>
          <w:rFonts w:hint="eastAsia" w:ascii="宋体" w:hAnsi="宋体" w:eastAsia="宋体"/>
          <w:b/>
          <w:bCs/>
          <w:snapToGrid w:val="0"/>
          <w:color w:val="auto"/>
          <w:kern w:val="0"/>
          <w:sz w:val="32"/>
          <w:szCs w:val="32"/>
          <w:highlight w:val="none"/>
          <w:lang w:eastAsia="zh-CN"/>
        </w:rPr>
      </w:pPr>
      <w:r>
        <w:rPr>
          <w:rFonts w:hint="eastAsia" w:ascii="宋体" w:hAnsi="宋体"/>
          <w:b/>
          <w:bCs/>
          <w:snapToGrid w:val="0"/>
          <w:color w:val="auto"/>
          <w:kern w:val="0"/>
          <w:sz w:val="32"/>
          <w:szCs w:val="32"/>
          <w:highlight w:val="none"/>
        </w:rPr>
        <w:t>发包人：</w:t>
      </w:r>
      <w:r>
        <w:rPr>
          <w:rFonts w:hint="eastAsia" w:ascii="宋体" w:hAnsi="宋体"/>
          <w:b/>
          <w:bCs/>
          <w:snapToGrid w:val="0"/>
          <w:color w:val="auto"/>
          <w:kern w:val="0"/>
          <w:sz w:val="32"/>
          <w:szCs w:val="32"/>
          <w:highlight w:val="none"/>
          <w:lang w:eastAsia="zh-CN"/>
        </w:rPr>
        <w:t>广州市荔湾发展集团有限责任公司</w:t>
      </w:r>
    </w:p>
    <w:p w14:paraId="4FD8B19E">
      <w:pPr>
        <w:adjustRightInd w:val="0"/>
        <w:snapToGrid w:val="0"/>
        <w:spacing w:line="360" w:lineRule="auto"/>
        <w:ind w:firstLine="900" w:firstLineChars="280"/>
        <w:rPr>
          <w:rFonts w:hint="eastAsia" w:ascii="宋体" w:hAnsi="宋体"/>
          <w:b/>
          <w:bCs/>
          <w:snapToGrid w:val="0"/>
          <w:color w:val="auto"/>
          <w:kern w:val="0"/>
          <w:sz w:val="32"/>
          <w:szCs w:val="32"/>
          <w:highlight w:val="none"/>
          <w:u w:val="single"/>
        </w:rPr>
      </w:pPr>
      <w:r>
        <w:rPr>
          <w:rFonts w:hint="eastAsia" w:ascii="宋体" w:hAnsi="宋体"/>
          <w:b/>
          <w:bCs/>
          <w:snapToGrid w:val="0"/>
          <w:color w:val="auto"/>
          <w:kern w:val="0"/>
          <w:sz w:val="32"/>
          <w:szCs w:val="32"/>
          <w:highlight w:val="none"/>
        </w:rPr>
        <w:t>承包人：</w:t>
      </w:r>
      <w:r>
        <w:rPr>
          <w:rFonts w:hint="eastAsia" w:ascii="宋体" w:hAnsi="宋体"/>
          <w:b/>
          <w:bCs/>
          <w:snapToGrid w:val="0"/>
          <w:color w:val="auto"/>
          <w:kern w:val="0"/>
          <w:sz w:val="32"/>
          <w:szCs w:val="32"/>
          <w:highlight w:val="none"/>
          <w:u w:val="single"/>
        </w:rPr>
        <w:t xml:space="preserve">                                </w:t>
      </w:r>
    </w:p>
    <w:p w14:paraId="01A502FD">
      <w:pPr>
        <w:adjustRightInd w:val="0"/>
        <w:snapToGrid w:val="0"/>
        <w:spacing w:line="360" w:lineRule="auto"/>
        <w:rPr>
          <w:rFonts w:hint="eastAsia" w:ascii="宋体" w:hAnsi="宋体"/>
          <w:snapToGrid w:val="0"/>
          <w:color w:val="auto"/>
          <w:kern w:val="0"/>
          <w:sz w:val="24"/>
          <w:highlight w:val="none"/>
        </w:rPr>
      </w:pPr>
    </w:p>
    <w:p w14:paraId="5C7B9202">
      <w:pPr>
        <w:adjustRightInd w:val="0"/>
        <w:snapToGrid w:val="0"/>
        <w:spacing w:line="360" w:lineRule="auto"/>
        <w:rPr>
          <w:rFonts w:hint="eastAsia" w:ascii="宋体" w:hAnsi="宋体"/>
          <w:b/>
          <w:snapToGrid w:val="0"/>
          <w:color w:val="auto"/>
          <w:kern w:val="0"/>
          <w:sz w:val="24"/>
          <w:highlight w:val="none"/>
        </w:rPr>
      </w:pPr>
      <w:r>
        <w:rPr>
          <w:rFonts w:ascii="宋体" w:hAnsi="宋体"/>
          <w:bCs/>
          <w:snapToGrid w:val="0"/>
          <w:color w:val="auto"/>
          <w:kern w:val="0"/>
          <w:sz w:val="24"/>
          <w:highlight w:val="none"/>
        </w:rPr>
        <w:br w:type="page"/>
      </w:r>
    </w:p>
    <w:p w14:paraId="773C55B6">
      <w:pPr>
        <w:adjustRightInd w:val="0"/>
        <w:snapToGrid w:val="0"/>
        <w:spacing w:line="360" w:lineRule="auto"/>
        <w:jc w:val="center"/>
        <w:outlineLvl w:val="0"/>
        <w:rPr>
          <w:rFonts w:hint="eastAsia" w:ascii="宋体" w:hAnsi="宋体"/>
          <w:b/>
          <w:bCs/>
          <w:snapToGrid w:val="0"/>
          <w:color w:val="auto"/>
          <w:kern w:val="0"/>
          <w:sz w:val="44"/>
          <w:szCs w:val="44"/>
          <w:highlight w:val="none"/>
        </w:rPr>
      </w:pPr>
      <w:r>
        <w:rPr>
          <w:rFonts w:hint="eastAsia" w:ascii="宋体" w:hAnsi="宋体"/>
          <w:b/>
          <w:bCs/>
          <w:snapToGrid w:val="0"/>
          <w:color w:val="auto"/>
          <w:kern w:val="0"/>
          <w:sz w:val="44"/>
          <w:szCs w:val="44"/>
          <w:highlight w:val="none"/>
        </w:rPr>
        <w:t>目  录</w:t>
      </w:r>
    </w:p>
    <w:p w14:paraId="56A66513">
      <w:pPr>
        <w:adjustRightInd w:val="0"/>
        <w:snapToGrid w:val="0"/>
        <w:spacing w:line="360" w:lineRule="auto"/>
        <w:jc w:val="distribute"/>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第一篇  合同协议书</w:t>
      </w:r>
      <w:r>
        <w:rPr>
          <w:rFonts w:hint="eastAsia" w:ascii="宋体" w:hAnsi="宋体"/>
          <w:bCs/>
          <w:snapToGrid w:val="0"/>
          <w:color w:val="auto"/>
          <w:kern w:val="0"/>
          <w:sz w:val="24"/>
          <w:highlight w:val="none"/>
        </w:rPr>
        <w:t>………………………………………………………………5</w:t>
      </w:r>
    </w:p>
    <w:p w14:paraId="518FD28F">
      <w:pPr>
        <w:adjustRightInd w:val="0"/>
        <w:snapToGrid w:val="0"/>
        <w:spacing w:line="360" w:lineRule="auto"/>
        <w:jc w:val="distribute"/>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第二篇  合同专用条款</w:t>
      </w:r>
      <w:r>
        <w:rPr>
          <w:rFonts w:hint="eastAsia" w:ascii="宋体" w:hAnsi="宋体"/>
          <w:bCs/>
          <w:snapToGrid w:val="0"/>
          <w:color w:val="auto"/>
          <w:kern w:val="0"/>
          <w:sz w:val="24"/>
          <w:highlight w:val="none"/>
        </w:rPr>
        <w:t>……………………………………………………………12</w:t>
      </w:r>
    </w:p>
    <w:p w14:paraId="5E02A3BB">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总则……………………………………………………………………………12</w:t>
      </w:r>
    </w:p>
    <w:p w14:paraId="0E5AAF04">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一、词语定义及合同文件………………………………………………………13</w:t>
      </w:r>
    </w:p>
    <w:p w14:paraId="68E53D2F">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二、双方一般权利和义务………………………………………………………18</w:t>
      </w:r>
    </w:p>
    <w:p w14:paraId="0AB4E3B3">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三、施工组织设计和工期………………………………………………………30</w:t>
      </w:r>
    </w:p>
    <w:p w14:paraId="45AF6941">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四、质量与检验…………………………………………………………………34</w:t>
      </w:r>
    </w:p>
    <w:p w14:paraId="7728B75D">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五、安全文明施工………………………………………………………………38</w:t>
      </w:r>
    </w:p>
    <w:p w14:paraId="449E28D8">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六、合同价款与支付……………………………………………………………41</w:t>
      </w:r>
    </w:p>
    <w:p w14:paraId="06753581">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七、材料设备供应………………………………………………………………56</w:t>
      </w:r>
    </w:p>
    <w:p w14:paraId="5CC52374">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八、工程变更……………………………………………………………………64</w:t>
      </w:r>
    </w:p>
    <w:p w14:paraId="1E8BE0EB">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九、竣工验收与结算……………………………………………………………83</w:t>
      </w:r>
    </w:p>
    <w:p w14:paraId="73CB2FF2">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十、违约、索赔和争议…………………………………………………………90</w:t>
      </w:r>
    </w:p>
    <w:p w14:paraId="52AFB426">
      <w:pPr>
        <w:adjustRightInd w:val="0"/>
        <w:snapToGrid w:val="0"/>
        <w:spacing w:line="360" w:lineRule="auto"/>
        <w:ind w:firstLine="480" w:firstLineChars="200"/>
        <w:jc w:val="distribute"/>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十一、其他……………………………………………………………………100</w:t>
      </w:r>
    </w:p>
    <w:p w14:paraId="503D4524">
      <w:pPr>
        <w:adjustRightInd w:val="0"/>
        <w:snapToGrid w:val="0"/>
        <w:spacing w:line="360" w:lineRule="auto"/>
        <w:jc w:val="distribute"/>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第三篇  合同通用条款</w:t>
      </w:r>
      <w:r>
        <w:rPr>
          <w:rFonts w:hint="eastAsia" w:ascii="宋体" w:hAnsi="宋体"/>
          <w:bCs/>
          <w:snapToGrid w:val="0"/>
          <w:color w:val="auto"/>
          <w:kern w:val="0"/>
          <w:sz w:val="24"/>
          <w:highlight w:val="none"/>
        </w:rPr>
        <w:t>……………………………………………………………107</w:t>
      </w:r>
    </w:p>
    <w:p w14:paraId="19A58053">
      <w:pPr>
        <w:adjustRightInd w:val="0"/>
        <w:snapToGrid w:val="0"/>
        <w:spacing w:line="360" w:lineRule="auto"/>
        <w:jc w:val="distribute"/>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第四篇  合同附件</w:t>
      </w:r>
      <w:r>
        <w:rPr>
          <w:rFonts w:hint="eastAsia" w:ascii="宋体" w:hAnsi="宋体"/>
          <w:bCs/>
          <w:snapToGrid w:val="0"/>
          <w:color w:val="auto"/>
          <w:kern w:val="0"/>
          <w:sz w:val="24"/>
          <w:highlight w:val="none"/>
        </w:rPr>
        <w:t>…………………………………………………………………131</w:t>
      </w:r>
    </w:p>
    <w:p w14:paraId="3B7C073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附件1：工程质量保修书</w:t>
      </w:r>
    </w:p>
    <w:p w14:paraId="4407F8B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附件2：廉洁协议书</w:t>
      </w:r>
    </w:p>
    <w:p w14:paraId="6AFCF24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附件3：安全生产合同</w:t>
      </w:r>
    </w:p>
    <w:p w14:paraId="43440E9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附件4：承包人履约银行保函（格式）及承诺书</w:t>
      </w:r>
    </w:p>
    <w:p w14:paraId="12F4936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附件5：建设工程管理制度汇编（另册）</w:t>
      </w:r>
    </w:p>
    <w:p w14:paraId="270F586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附件6：建设项目环境管理文明施工标准（另册）</w:t>
      </w:r>
    </w:p>
    <w:p w14:paraId="561F48CC">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附件7：</w:t>
      </w:r>
      <w:r>
        <w:rPr>
          <w:rFonts w:hint="eastAsia" w:ascii="宋体" w:hAnsi="宋体"/>
          <w:bCs/>
          <w:snapToGrid w:val="0"/>
          <w:color w:val="auto"/>
          <w:kern w:val="0"/>
          <w:sz w:val="24"/>
          <w:highlight w:val="none"/>
          <w:lang w:eastAsia="zh-CN"/>
        </w:rPr>
        <w:t>广州市荔湾发展集团有限责任公司</w:t>
      </w:r>
      <w:r>
        <w:rPr>
          <w:rFonts w:hint="eastAsia" w:ascii="宋体" w:hAnsi="宋体"/>
          <w:bCs/>
          <w:snapToGrid w:val="0"/>
          <w:color w:val="auto"/>
          <w:kern w:val="0"/>
          <w:sz w:val="24"/>
          <w:highlight w:val="none"/>
        </w:rPr>
        <w:t>施工单位安全生产管理目标责任书</w:t>
      </w:r>
    </w:p>
    <w:p w14:paraId="77B9252E">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bCs/>
          <w:snapToGrid w:val="0"/>
          <w:color w:val="auto"/>
          <w:kern w:val="0"/>
          <w:sz w:val="24"/>
          <w:szCs w:val="24"/>
          <w:highlight w:val="none"/>
        </w:rPr>
        <w:t>附件8：</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工程工人工资支付分账管理协议书（格式）</w:t>
      </w:r>
    </w:p>
    <w:p w14:paraId="44B4B2BE">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附件9：承包人法定代表人、项目经理（项目负责人）的身份证、职务、职称及通信联系方式</w:t>
      </w:r>
    </w:p>
    <w:p w14:paraId="0C7776C1">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附件10：中标通知书（复印件，附合同协议书后）</w:t>
      </w:r>
    </w:p>
    <w:p w14:paraId="680B6B3A">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附件11：招标答疑及澄清文件（复印件，附合同协议书后）</w:t>
      </w:r>
    </w:p>
    <w:p w14:paraId="3E944483">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附件12：工程质量终身责任承诺书（含法定代表人授权书）</w:t>
      </w:r>
    </w:p>
    <w:p w14:paraId="11D8414A">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附件13：</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工程施工总承包管理协议书（格式）</w:t>
      </w:r>
    </w:p>
    <w:p w14:paraId="40D82B2A">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附件14：</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工程施工组织架构图及投入主要人员汇总表（复印件）</w:t>
      </w:r>
    </w:p>
    <w:p w14:paraId="6325426A">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附件15：承包人营业执照副本（复印件）</w:t>
      </w:r>
    </w:p>
    <w:p w14:paraId="201DAC38">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附件16：《质保期银行履约保函（格式）》</w:t>
      </w:r>
    </w:p>
    <w:p w14:paraId="259D5898">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附件17：经评审的</w:t>
      </w:r>
      <w:bookmarkStart w:id="0" w:name="_Hlk205565477"/>
      <w:r>
        <w:rPr>
          <w:rFonts w:hint="eastAsia" w:ascii="宋体" w:hAnsi="宋体"/>
          <w:color w:val="auto"/>
          <w:sz w:val="24"/>
          <w:szCs w:val="24"/>
          <w:highlight w:val="none"/>
        </w:rPr>
        <w:t>主要设备材料品牌/生产厂商选用表</w:t>
      </w:r>
      <w:bookmarkEnd w:id="0"/>
    </w:p>
    <w:p w14:paraId="5D8B9F2A">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附件18：技术条件（工程建设标准）</w:t>
      </w:r>
    </w:p>
    <w:p w14:paraId="006CF55E">
      <w:pPr>
        <w:adjustRightInd w:val="0"/>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附件19：双方确认的回标分析报告</w:t>
      </w:r>
    </w:p>
    <w:p w14:paraId="110814F0">
      <w:pPr>
        <w:adjustRightInd w:val="0"/>
        <w:snapToGrid w:val="0"/>
        <w:spacing w:line="360" w:lineRule="auto"/>
        <w:ind w:firstLine="480" w:firstLineChars="200"/>
        <w:rPr>
          <w:rFonts w:hint="eastAsia" w:ascii="宋体" w:hAnsi="宋体"/>
          <w:color w:val="auto"/>
          <w:sz w:val="24"/>
          <w:szCs w:val="24"/>
          <w:highlight w:val="none"/>
        </w:rPr>
      </w:pPr>
    </w:p>
    <w:p w14:paraId="7A8D7C54">
      <w:pPr>
        <w:adjustRightInd w:val="0"/>
        <w:snapToGrid w:val="0"/>
        <w:spacing w:line="360" w:lineRule="auto"/>
        <w:ind w:firstLine="480" w:firstLineChars="200"/>
        <w:rPr>
          <w:rFonts w:hint="eastAsia" w:ascii="宋体" w:hAnsi="宋体"/>
          <w:color w:val="auto"/>
          <w:sz w:val="24"/>
          <w:szCs w:val="24"/>
          <w:highlight w:val="none"/>
        </w:rPr>
      </w:pPr>
    </w:p>
    <w:p w14:paraId="32A7BF3E">
      <w:pPr>
        <w:adjustRightInd w:val="0"/>
        <w:snapToGrid w:val="0"/>
        <w:spacing w:line="360" w:lineRule="auto"/>
        <w:ind w:firstLine="480" w:firstLineChars="200"/>
        <w:rPr>
          <w:rFonts w:hint="eastAsia" w:ascii="宋体" w:hAnsi="宋体"/>
          <w:color w:val="auto"/>
          <w:sz w:val="24"/>
          <w:szCs w:val="24"/>
          <w:highlight w:val="none"/>
        </w:rPr>
      </w:pPr>
    </w:p>
    <w:p w14:paraId="6B1BB9F1">
      <w:pPr>
        <w:adjustRightInd w:val="0"/>
        <w:snapToGrid w:val="0"/>
        <w:spacing w:line="360" w:lineRule="auto"/>
        <w:ind w:firstLine="480" w:firstLineChars="200"/>
        <w:rPr>
          <w:rFonts w:hint="eastAsia" w:ascii="宋体" w:hAnsi="宋体"/>
          <w:bCs/>
          <w:snapToGrid w:val="0"/>
          <w:color w:val="auto"/>
          <w:kern w:val="0"/>
          <w:sz w:val="24"/>
          <w:highlight w:val="none"/>
          <w:u w:val="single"/>
        </w:rPr>
      </w:pPr>
    </w:p>
    <w:p w14:paraId="7A8A9C01">
      <w:pPr>
        <w:adjustRightInd w:val="0"/>
        <w:snapToGrid w:val="0"/>
        <w:spacing w:line="360" w:lineRule="auto"/>
        <w:ind w:firstLine="480" w:firstLineChars="200"/>
        <w:rPr>
          <w:rFonts w:hint="eastAsia" w:ascii="宋体" w:hAnsi="宋体"/>
          <w:bCs/>
          <w:snapToGrid w:val="0"/>
          <w:color w:val="auto"/>
          <w:kern w:val="0"/>
          <w:sz w:val="24"/>
          <w:highlight w:val="none"/>
        </w:rPr>
      </w:pPr>
    </w:p>
    <w:p w14:paraId="07DE5E17">
      <w:pPr>
        <w:adjustRightInd w:val="0"/>
        <w:snapToGrid w:val="0"/>
        <w:spacing w:line="360" w:lineRule="auto"/>
        <w:jc w:val="center"/>
        <w:outlineLvl w:val="0"/>
        <w:rPr>
          <w:rFonts w:hint="eastAsia" w:ascii="宋体" w:hAnsi="宋体"/>
          <w:b/>
          <w:bCs/>
          <w:snapToGrid w:val="0"/>
          <w:color w:val="auto"/>
          <w:kern w:val="0"/>
          <w:sz w:val="44"/>
          <w:szCs w:val="44"/>
          <w:highlight w:val="none"/>
        </w:rPr>
        <w:sectPr>
          <w:headerReference r:id="rId3" w:type="default"/>
          <w:footerReference r:id="rId4" w:type="default"/>
          <w:pgSz w:w="11906" w:h="16838"/>
          <w:pgMar w:top="1417" w:right="1417" w:bottom="1417" w:left="1417" w:header="851" w:footer="992" w:gutter="0"/>
          <w:pgNumType w:start="1"/>
          <w:cols w:space="0" w:num="1"/>
          <w:docGrid w:type="lines" w:linePitch="312" w:charSpace="0"/>
        </w:sectPr>
      </w:pPr>
    </w:p>
    <w:p w14:paraId="063C47B5">
      <w:pPr>
        <w:adjustRightInd w:val="0"/>
        <w:snapToGrid w:val="0"/>
        <w:spacing w:line="360" w:lineRule="auto"/>
        <w:jc w:val="center"/>
        <w:outlineLvl w:val="0"/>
        <w:rPr>
          <w:rFonts w:hint="eastAsia" w:ascii="宋体" w:hAnsi="宋体"/>
          <w:b/>
          <w:bCs/>
          <w:snapToGrid w:val="0"/>
          <w:color w:val="auto"/>
          <w:kern w:val="0"/>
          <w:sz w:val="44"/>
          <w:szCs w:val="44"/>
          <w:highlight w:val="none"/>
        </w:rPr>
      </w:pPr>
      <w:r>
        <w:rPr>
          <w:rFonts w:hint="eastAsia" w:ascii="宋体" w:hAnsi="宋体"/>
          <w:b/>
          <w:bCs/>
          <w:snapToGrid w:val="0"/>
          <w:color w:val="auto"/>
          <w:kern w:val="0"/>
          <w:sz w:val="44"/>
          <w:szCs w:val="44"/>
          <w:highlight w:val="none"/>
        </w:rPr>
        <w:t>第一篇  合同协议书</w:t>
      </w:r>
    </w:p>
    <w:p w14:paraId="55416A1D">
      <w:pPr>
        <w:adjustRightInd w:val="0"/>
        <w:snapToGrid w:val="0"/>
        <w:spacing w:line="360" w:lineRule="auto"/>
        <w:ind w:right="11"/>
        <w:rPr>
          <w:rFonts w:hint="eastAsia" w:ascii="宋体" w:hAnsi="宋体"/>
          <w:snapToGrid w:val="0"/>
          <w:color w:val="auto"/>
          <w:kern w:val="0"/>
          <w:sz w:val="24"/>
          <w:highlight w:val="none"/>
        </w:rPr>
      </w:pPr>
    </w:p>
    <w:p w14:paraId="56C807E5">
      <w:pPr>
        <w:spacing w:line="360" w:lineRule="auto"/>
        <w:ind w:firstLine="482" w:firstLineChars="200"/>
        <w:rPr>
          <w:color w:val="auto"/>
          <w:sz w:val="24"/>
          <w:highlight w:val="none"/>
        </w:rPr>
      </w:pPr>
      <w:r>
        <w:rPr>
          <w:rFonts w:hint="eastAsia"/>
          <w:b/>
          <w:color w:val="auto"/>
          <w:sz w:val="24"/>
          <w:highlight w:val="none"/>
          <w:lang w:eastAsia="zh-CN"/>
        </w:rPr>
        <w:t>广州市荔湾发展集团有限责任公司</w:t>
      </w:r>
      <w:r>
        <w:rPr>
          <w:rFonts w:hint="eastAsia"/>
          <w:color w:val="auto"/>
          <w:sz w:val="24"/>
          <w:highlight w:val="none"/>
        </w:rPr>
        <w:t>（以下称发包人）与</w:t>
      </w:r>
      <w:r>
        <w:rPr>
          <w:rFonts w:hint="eastAsia"/>
          <w:color w:val="auto"/>
          <w:sz w:val="24"/>
          <w:highlight w:val="none"/>
          <w:u w:val="single"/>
        </w:rPr>
        <w:t xml:space="preserve">              </w:t>
      </w:r>
      <w:r>
        <w:rPr>
          <w:rFonts w:hint="eastAsia"/>
          <w:color w:val="auto"/>
          <w:sz w:val="24"/>
          <w:highlight w:val="none"/>
        </w:rPr>
        <w:t>（以下称承包人）依照《中华人民共和国民法典》、《中华人民共和国建筑法》、《中华人民共和国招标投标法》及其他有关法律、行政法规、部门规章、地方性法规和规章，遵循平等、自愿、公平和诚实信用的原则，就</w:t>
      </w:r>
      <w:r>
        <w:rPr>
          <w:rFonts w:hint="eastAsia"/>
          <w:color w:val="auto"/>
          <w:sz w:val="24"/>
          <w:highlight w:val="none"/>
          <w:u w:val="single"/>
          <w:lang w:eastAsia="zh-CN"/>
        </w:rPr>
        <w:t>广州采制药业有限公司厂房改造工程施工总承包</w:t>
      </w:r>
      <w:r>
        <w:rPr>
          <w:rFonts w:hint="eastAsia"/>
          <w:color w:val="auto"/>
          <w:sz w:val="24"/>
          <w:highlight w:val="none"/>
        </w:rPr>
        <w:t>（以下称本工程）事宜协商一致，订立本合同。</w:t>
      </w:r>
    </w:p>
    <w:p w14:paraId="5822001E">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1、工程概况</w:t>
      </w:r>
    </w:p>
    <w:p w14:paraId="4229CDD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（1）工程名称：</w:t>
      </w:r>
      <w:r>
        <w:rPr>
          <w:rFonts w:hint="eastAsia" w:ascii="宋体" w:hAnsi="宋体"/>
          <w:bCs/>
          <w:snapToGrid w:val="0"/>
          <w:color w:val="auto"/>
          <w:kern w:val="0"/>
          <w:sz w:val="24"/>
          <w:highlight w:val="none"/>
          <w:lang w:eastAsia="zh-CN"/>
        </w:rPr>
        <w:t>广州采制药业有限公司厂房改造工程施工总承包</w:t>
      </w:r>
      <w:r>
        <w:rPr>
          <w:rFonts w:hint="eastAsia" w:ascii="宋体" w:hAnsi="宋体"/>
          <w:bCs/>
          <w:snapToGrid w:val="0"/>
          <w:color w:val="auto"/>
          <w:kern w:val="0"/>
          <w:sz w:val="24"/>
          <w:highlight w:val="none"/>
        </w:rPr>
        <w:t>。</w:t>
      </w:r>
    </w:p>
    <w:p w14:paraId="1E52F646">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（2）工程地点：</w:t>
      </w:r>
      <w:r>
        <w:rPr>
          <w:rFonts w:hint="eastAsia" w:ascii="宋体" w:hAnsi="宋体"/>
          <w:bCs/>
          <w:snapToGrid w:val="0"/>
          <w:color w:val="auto"/>
          <w:kern w:val="0"/>
          <w:sz w:val="24"/>
          <w:highlight w:val="none"/>
          <w:u w:val="single"/>
          <w:lang w:val="en-US" w:eastAsia="zh-CN"/>
        </w:rPr>
        <w:t xml:space="preserve"> </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w:t>
      </w:r>
    </w:p>
    <w:p w14:paraId="39B9B22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（3）工程立项批准文号：</w:t>
      </w:r>
      <w:r>
        <w:rPr>
          <w:rFonts w:hint="eastAsia" w:ascii="宋体" w:hAnsi="宋体"/>
          <w:bCs/>
          <w:snapToGrid w:val="0"/>
          <w:color w:val="auto"/>
          <w:kern w:val="0"/>
          <w:sz w:val="24"/>
          <w:highlight w:val="none"/>
          <w:lang w:val="en-US" w:eastAsia="zh-CN"/>
        </w:rPr>
        <w:t>广东省企业投资项目备案证：2505-440103-04-01-992757</w:t>
      </w:r>
      <w:r>
        <w:rPr>
          <w:rFonts w:hint="eastAsia" w:ascii="宋体" w:hAnsi="宋体"/>
          <w:bCs/>
          <w:snapToGrid w:val="0"/>
          <w:color w:val="auto"/>
          <w:kern w:val="0"/>
          <w:sz w:val="24"/>
          <w:highlight w:val="none"/>
        </w:rPr>
        <w:t>。</w:t>
      </w:r>
    </w:p>
    <w:p w14:paraId="0063133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（4）资金来源：</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u w:val="single"/>
          <w:lang w:eastAsia="zh-CN"/>
        </w:rPr>
        <w:t>自筹资金</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w:t>
      </w:r>
    </w:p>
    <w:p w14:paraId="652B6E4A">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2、工程内容、承包范围和承包方式</w:t>
      </w:r>
    </w:p>
    <w:p w14:paraId="41C67A19">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2.1工程内容及承包范围：</w:t>
      </w:r>
    </w:p>
    <w:p w14:paraId="33501A75">
      <w:pPr>
        <w:pStyle w:val="20"/>
        <w:kinsoku w:val="0"/>
        <w:overflowPunct w:val="0"/>
        <w:ind w:firstLine="496"/>
        <w:jc w:val="both"/>
        <w:rPr>
          <w:rFonts w:hint="eastAsia" w:ascii="宋体" w:hAnsi="宋体" w:eastAsia="宋体" w:cs="宋体"/>
          <w:color w:val="auto"/>
          <w:highlight w:val="none"/>
          <w:u w:val="single"/>
        </w:rPr>
      </w:pPr>
      <w:r>
        <w:rPr>
          <w:rFonts w:hint="eastAsia" w:ascii="宋体" w:hAnsi="宋体" w:eastAsia="宋体" w:cs="宋体"/>
          <w:color w:val="auto"/>
          <w:highlight w:val="none"/>
          <w:u w:val="single"/>
          <w:lang w:val="en-US" w:eastAsia="zh-CN"/>
        </w:rPr>
        <w:t>本项目建筑面积约10418平方米，其中：1层建筑面积50平方米，3~5层建筑面积10368平方米；室外污水处理站、冷水机组、冷却塔、酒精罐等占地面积约550平方米。主要功能包括：煎煮中心、提取浓缩车间、固体制剂车间（颗粒剂、胶囊剂、片剂、散剂、丸剂）、液体制剂车间（口服液、合剂、糖浆剂）、外用制剂车间（软膏剂、洗剂、外用散剂、酒剂）、配套药检中心、办公、仓库的综合制剂中心。</w:t>
      </w:r>
    </w:p>
    <w:p w14:paraId="018E574F">
      <w:pPr>
        <w:pStyle w:val="20"/>
        <w:kinsoku w:val="0"/>
        <w:overflowPunct w:val="0"/>
        <w:spacing w:line="240" w:lineRule="auto"/>
        <w:ind w:firstLine="0" w:firstLineChars="0"/>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lang w:val="en-US" w:eastAsia="zh-CN"/>
        </w:rPr>
        <w:t>建设内容包括：装修工程、通风工程、电气工程、给排水工程、工艺管道、</w:t>
      </w:r>
    </w:p>
    <w:p w14:paraId="1ED01154">
      <w:pPr>
        <w:pStyle w:val="20"/>
        <w:kinsoku w:val="0"/>
        <w:overflowPunct w:val="0"/>
        <w:spacing w:line="240" w:lineRule="auto"/>
        <w:ind w:firstLine="0" w:firstLineChars="0"/>
        <w:jc w:val="left"/>
        <w:rPr>
          <w:rFonts w:hint="eastAsia" w:ascii="宋体" w:hAnsi="宋体" w:eastAsia="宋体" w:cs="宋体"/>
          <w:color w:val="auto"/>
          <w:highlight w:val="none"/>
          <w:u w:val="single"/>
        </w:rPr>
      </w:pPr>
      <w:r>
        <w:rPr>
          <w:rFonts w:hint="eastAsia" w:ascii="宋体" w:hAnsi="宋体" w:eastAsia="宋体" w:cs="宋体"/>
          <w:color w:val="auto"/>
          <w:highlight w:val="none"/>
          <w:u w:val="single"/>
          <w:lang w:val="en-US" w:eastAsia="zh-CN"/>
        </w:rPr>
        <w:t>消防工程、生产家具工程、其他专业工程。</w:t>
      </w:r>
    </w:p>
    <w:p w14:paraId="3F07BD40">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2.2承包方式：</w:t>
      </w:r>
    </w:p>
    <w:p w14:paraId="71D08240">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由承包人按照合同约定范围和图纸内容实行工程施工总承包，包括但不限于包工、包料（</w:t>
      </w:r>
      <w:r>
        <w:rPr>
          <w:rFonts w:hint="eastAsia" w:ascii="宋体" w:hAnsi="宋体" w:cs="宋体"/>
          <w:b/>
          <w:color w:val="auto"/>
          <w:kern w:val="0"/>
          <w:szCs w:val="21"/>
          <w:highlight w:val="none"/>
          <w:lang w:bidi="ar"/>
        </w:rPr>
        <w:fldChar w:fldCharType="begin"/>
      </w:r>
      <w:r>
        <w:rPr>
          <w:rFonts w:hint="eastAsia" w:ascii="宋体" w:hAnsi="宋体" w:cs="宋体"/>
          <w:b/>
          <w:color w:val="auto"/>
          <w:kern w:val="0"/>
          <w:szCs w:val="21"/>
          <w:highlight w:val="none"/>
          <w:lang w:bidi="ar"/>
        </w:rPr>
        <w:instrText xml:space="preserve"> EQ \o\ac(</w:instrText>
      </w:r>
      <w:r>
        <w:rPr>
          <w:rFonts w:hint="eastAsia" w:ascii="宋体" w:hAnsi="宋体" w:cs="宋体"/>
          <w:b/>
          <w:color w:val="auto"/>
          <w:kern w:val="0"/>
          <w:position w:val="-4"/>
          <w:sz w:val="31"/>
          <w:szCs w:val="21"/>
          <w:highlight w:val="none"/>
          <w:lang w:bidi="ar"/>
        </w:rPr>
        <w:instrText xml:space="preserve">□</w:instrText>
      </w:r>
      <w:r>
        <w:rPr>
          <w:rFonts w:hint="eastAsia" w:ascii="宋体" w:hAnsi="宋体" w:cs="宋体"/>
          <w:b/>
          <w:color w:val="auto"/>
          <w:kern w:val="0"/>
          <w:szCs w:val="21"/>
          <w:highlight w:val="none"/>
          <w:lang w:bidi="ar"/>
        </w:rPr>
        <w:instrText xml:space="preserve">,×)</w:instrText>
      </w:r>
      <w:r>
        <w:rPr>
          <w:rFonts w:hint="eastAsia" w:ascii="宋体" w:hAnsi="宋体" w:cs="宋体"/>
          <w:b/>
          <w:color w:val="auto"/>
          <w:kern w:val="0"/>
          <w:szCs w:val="21"/>
          <w:highlight w:val="none"/>
          <w:lang w:bidi="ar"/>
        </w:rPr>
        <w:fldChar w:fldCharType="end"/>
      </w:r>
      <w:r>
        <w:rPr>
          <w:rFonts w:hint="eastAsia" w:ascii="宋体" w:hAnsi="宋体"/>
          <w:bCs/>
          <w:snapToGrid w:val="0"/>
          <w:color w:val="auto"/>
          <w:kern w:val="0"/>
          <w:sz w:val="24"/>
          <w:highlight w:val="none"/>
        </w:rPr>
        <w:t>甲供材料设备除外）、包工期、包质量、包安全生产、包文明施工、</w:t>
      </w:r>
      <w:r>
        <w:rPr>
          <w:rFonts w:hint="eastAsia" w:ascii="宋体" w:hAnsi="宋体" w:cs="宋体"/>
          <w:color w:val="auto"/>
          <w:kern w:val="0"/>
          <w:sz w:val="24"/>
          <w:szCs w:val="24"/>
          <w:highlight w:val="none"/>
          <w:lang w:bidi="ar"/>
        </w:rPr>
        <w:t>包各系统调试及联合调试、</w:t>
      </w:r>
      <w:r>
        <w:rPr>
          <w:rFonts w:hint="eastAsia" w:ascii="宋体" w:hAnsi="宋体"/>
          <w:bCs/>
          <w:snapToGrid w:val="0"/>
          <w:color w:val="auto"/>
          <w:kern w:val="0"/>
          <w:sz w:val="24"/>
          <w:highlight w:val="none"/>
        </w:rPr>
        <w:t>包承包范围内工程竣工验收通过、包移交、包结算、</w:t>
      </w:r>
      <w:r>
        <w:rPr>
          <w:rFonts w:hint="eastAsia" w:ascii="宋体" w:hAnsi="宋体" w:cs="宋体"/>
          <w:color w:val="auto"/>
          <w:kern w:val="0"/>
          <w:sz w:val="24"/>
          <w:szCs w:val="24"/>
          <w:highlight w:val="none"/>
          <w:lang w:bidi="ar"/>
        </w:rPr>
        <w:t>包运行维护管理及相关部门报建/报批手续、</w:t>
      </w:r>
      <w:r>
        <w:rPr>
          <w:rFonts w:hint="eastAsia" w:ascii="宋体" w:hAnsi="宋体"/>
          <w:bCs/>
          <w:snapToGrid w:val="0"/>
          <w:color w:val="auto"/>
          <w:kern w:val="0"/>
          <w:sz w:val="24"/>
          <w:highlight w:val="none"/>
        </w:rPr>
        <w:t>包创优工程的组织实施工作和资料整理、</w:t>
      </w:r>
      <w:r>
        <w:rPr>
          <w:rFonts w:ascii="宋体" w:hAnsi="宋体" w:cs="宋体"/>
          <w:color w:val="auto"/>
          <w:kern w:val="0"/>
          <w:sz w:val="24"/>
          <w:szCs w:val="24"/>
          <w:highlight w:val="none"/>
        </w:rPr>
        <w:t>包城市建设档案组卷移交</w:t>
      </w:r>
      <w:r>
        <w:rPr>
          <w:rFonts w:hint="eastAsia" w:ascii="宋体" w:hAnsi="宋体" w:cs="宋体"/>
          <w:color w:val="auto"/>
          <w:kern w:val="0"/>
          <w:sz w:val="24"/>
          <w:szCs w:val="24"/>
          <w:highlight w:val="none"/>
          <w:lang w:bidi="ar"/>
        </w:rPr>
        <w:t>、</w:t>
      </w:r>
      <w:r>
        <w:rPr>
          <w:rFonts w:hint="eastAsia" w:ascii="宋体" w:hAnsi="宋体"/>
          <w:bCs/>
          <w:snapToGrid w:val="0"/>
          <w:color w:val="auto"/>
          <w:kern w:val="0"/>
          <w:sz w:val="24"/>
          <w:highlight w:val="none"/>
        </w:rPr>
        <w:t>（</w:t>
      </w:r>
      <w:r>
        <w:rPr>
          <w:rFonts w:hint="eastAsia" w:ascii="宋体" w:hAnsi="宋体" w:cs="宋体"/>
          <w:color w:val="auto"/>
          <w:kern w:val="0"/>
          <w:sz w:val="28"/>
          <w:szCs w:val="28"/>
          <w:highlight w:val="none"/>
          <w:lang w:bidi="ar"/>
        </w:rPr>
        <w:sym w:font="Wingdings 2" w:char="0052"/>
      </w:r>
      <w:r>
        <w:rPr>
          <w:rFonts w:hint="eastAsia" w:ascii="宋体" w:hAnsi="宋体"/>
          <w:bCs/>
          <w:snapToGrid w:val="0"/>
          <w:color w:val="auto"/>
          <w:kern w:val="0"/>
          <w:sz w:val="24"/>
          <w:highlight w:val="none"/>
        </w:rPr>
        <w:t>包施工总承包管理和现场整体组织、包专业协调及配合、</w:t>
      </w:r>
      <w:r>
        <w:rPr>
          <w:rFonts w:hint="eastAsia" w:ascii="宋体" w:hAnsi="宋体"/>
          <w:b/>
          <w:snapToGrid w:val="0"/>
          <w:color w:val="auto"/>
          <w:kern w:val="0"/>
          <w:sz w:val="24"/>
          <w:highlight w:val="none"/>
        </w:rPr>
        <w:t>包工程保险（含建筑（安装）工程一切险、安全生产责任险及其他本项目所需工程保险）、</w:t>
      </w:r>
      <w:r>
        <w:rPr>
          <w:rFonts w:hint="eastAsia" w:ascii="宋体" w:hAnsi="宋体"/>
          <w:bCs/>
          <w:snapToGrid w:val="0"/>
          <w:color w:val="auto"/>
          <w:kern w:val="0"/>
          <w:sz w:val="24"/>
          <w:highlight w:val="none"/>
        </w:rPr>
        <w:t>包竣工图编制（须满足规划等各专项验收要求）等。合同价款按如下约定执行：</w:t>
      </w:r>
    </w:p>
    <w:p w14:paraId="2A75ED53">
      <w:pPr>
        <w:adjustRightInd w:val="0"/>
        <w:snapToGrid w:val="0"/>
        <w:spacing w:line="360" w:lineRule="auto"/>
        <w:ind w:right="11" w:firstLine="422" w:firstLineChars="200"/>
        <w:rPr>
          <w:rFonts w:hint="eastAsia" w:ascii="宋体" w:hAnsi="宋体"/>
          <w:bCs/>
          <w:snapToGrid w:val="0"/>
          <w:color w:val="auto"/>
          <w:kern w:val="0"/>
          <w:sz w:val="24"/>
          <w:highlight w:val="none"/>
        </w:rPr>
      </w:pPr>
      <w:r>
        <w:rPr>
          <w:rFonts w:hint="eastAsia" w:ascii="宋体" w:hAnsi="宋体" w:cs="宋体"/>
          <w:b/>
          <w:color w:val="auto"/>
          <w:kern w:val="0"/>
          <w:szCs w:val="21"/>
          <w:highlight w:val="none"/>
          <w:lang w:bidi="ar"/>
        </w:rPr>
        <w:fldChar w:fldCharType="begin"/>
      </w:r>
      <w:r>
        <w:rPr>
          <w:rFonts w:hint="eastAsia" w:ascii="宋体" w:hAnsi="宋体" w:cs="宋体"/>
          <w:b/>
          <w:color w:val="auto"/>
          <w:kern w:val="0"/>
          <w:szCs w:val="21"/>
          <w:highlight w:val="none"/>
          <w:lang w:bidi="ar"/>
        </w:rPr>
        <w:instrText xml:space="preserve"> EQ \o\ac(</w:instrText>
      </w:r>
      <w:r>
        <w:rPr>
          <w:rFonts w:hint="eastAsia" w:ascii="宋体" w:hAnsi="宋体" w:cs="宋体"/>
          <w:b/>
          <w:color w:val="auto"/>
          <w:kern w:val="0"/>
          <w:position w:val="-4"/>
          <w:sz w:val="31"/>
          <w:szCs w:val="21"/>
          <w:highlight w:val="none"/>
          <w:lang w:bidi="ar"/>
        </w:rPr>
        <w:instrText xml:space="preserve">□</w:instrText>
      </w:r>
      <w:r>
        <w:rPr>
          <w:rFonts w:hint="eastAsia" w:ascii="宋体" w:hAnsi="宋体" w:cs="宋体"/>
          <w:b/>
          <w:color w:val="auto"/>
          <w:kern w:val="0"/>
          <w:szCs w:val="21"/>
          <w:highlight w:val="none"/>
          <w:lang w:bidi="ar"/>
        </w:rPr>
        <w:instrText xml:space="preserve">,×)</w:instrText>
      </w:r>
      <w:r>
        <w:rPr>
          <w:rFonts w:hint="eastAsia" w:ascii="宋体" w:hAnsi="宋体" w:cs="宋体"/>
          <w:b/>
          <w:color w:val="auto"/>
          <w:kern w:val="0"/>
          <w:szCs w:val="21"/>
          <w:highlight w:val="none"/>
          <w:lang w:bidi="ar"/>
        </w:rPr>
        <w:fldChar w:fldCharType="end"/>
      </w:r>
      <w:r>
        <w:rPr>
          <w:rFonts w:hint="eastAsia" w:ascii="宋体" w:hAnsi="宋体"/>
          <w:bCs/>
          <w:snapToGrid w:val="0"/>
          <w:color w:val="auto"/>
          <w:kern w:val="0"/>
          <w:sz w:val="24"/>
          <w:highlight w:val="none"/>
        </w:rPr>
        <w:t>（1）合同价款固定不变，结算价即为合同价（暂列金额除外）。</w:t>
      </w:r>
    </w:p>
    <w:p w14:paraId="2E480743">
      <w:pPr>
        <w:adjustRightInd w:val="0"/>
        <w:snapToGrid w:val="0"/>
        <w:spacing w:line="360" w:lineRule="auto"/>
        <w:ind w:right="11" w:firstLine="422" w:firstLineChars="200"/>
        <w:rPr>
          <w:rFonts w:hint="eastAsia" w:ascii="宋体" w:hAnsi="宋体"/>
          <w:bCs/>
          <w:snapToGrid w:val="0"/>
          <w:color w:val="auto"/>
          <w:kern w:val="0"/>
          <w:sz w:val="24"/>
          <w:highlight w:val="none"/>
        </w:rPr>
      </w:pPr>
      <w:r>
        <w:rPr>
          <w:rFonts w:hint="eastAsia" w:ascii="宋体" w:hAnsi="宋体" w:cs="宋体"/>
          <w:b/>
          <w:color w:val="auto"/>
          <w:kern w:val="0"/>
          <w:szCs w:val="21"/>
          <w:highlight w:val="none"/>
          <w:lang w:bidi="ar"/>
        </w:rPr>
        <w:fldChar w:fldCharType="begin"/>
      </w:r>
      <w:r>
        <w:rPr>
          <w:rFonts w:hint="eastAsia" w:ascii="宋体" w:hAnsi="宋体" w:cs="宋体"/>
          <w:b/>
          <w:color w:val="auto"/>
          <w:kern w:val="0"/>
          <w:szCs w:val="21"/>
          <w:highlight w:val="none"/>
          <w:lang w:bidi="ar"/>
        </w:rPr>
        <w:instrText xml:space="preserve"> EQ \o\ac(</w:instrText>
      </w:r>
      <w:r>
        <w:rPr>
          <w:rFonts w:hint="eastAsia" w:ascii="宋体" w:hAnsi="宋体" w:cs="宋体"/>
          <w:b/>
          <w:color w:val="auto"/>
          <w:kern w:val="0"/>
          <w:position w:val="-4"/>
          <w:sz w:val="31"/>
          <w:szCs w:val="21"/>
          <w:highlight w:val="none"/>
          <w:lang w:bidi="ar"/>
        </w:rPr>
        <w:instrText xml:space="preserve">□</w:instrText>
      </w:r>
      <w:r>
        <w:rPr>
          <w:rFonts w:hint="eastAsia" w:ascii="宋体" w:hAnsi="宋体" w:cs="宋体"/>
          <w:b/>
          <w:color w:val="auto"/>
          <w:kern w:val="0"/>
          <w:szCs w:val="21"/>
          <w:highlight w:val="none"/>
          <w:lang w:bidi="ar"/>
        </w:rPr>
        <w:instrText xml:space="preserve">,×)</w:instrText>
      </w:r>
      <w:r>
        <w:rPr>
          <w:rFonts w:hint="eastAsia" w:ascii="宋体" w:hAnsi="宋体" w:cs="宋体"/>
          <w:b/>
          <w:color w:val="auto"/>
          <w:kern w:val="0"/>
          <w:szCs w:val="21"/>
          <w:highlight w:val="none"/>
          <w:lang w:bidi="ar"/>
        </w:rPr>
        <w:fldChar w:fldCharType="end"/>
      </w:r>
      <w:r>
        <w:rPr>
          <w:rFonts w:hint="eastAsia" w:ascii="宋体" w:hAnsi="宋体"/>
          <w:bCs/>
          <w:snapToGrid w:val="0"/>
          <w:color w:val="auto"/>
          <w:kern w:val="0"/>
          <w:sz w:val="24"/>
          <w:highlight w:val="none"/>
        </w:rPr>
        <w:t>（2）合同价款总价包干，若招标范围和承包内容不发生变化，则本工程结算价即为合同价（招标文件及本合同另有约定可以调整的项目除外）。</w:t>
      </w:r>
    </w:p>
    <w:p w14:paraId="213C15D6">
      <w:pPr>
        <w:adjustRightInd w:val="0"/>
        <w:snapToGrid w:val="0"/>
        <w:spacing w:line="360" w:lineRule="auto"/>
        <w:ind w:right="11" w:firstLine="482" w:firstLineChars="200"/>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sym w:font="Wingdings 2" w:char="0052"/>
      </w:r>
      <w:r>
        <w:rPr>
          <w:rFonts w:hint="eastAsia" w:ascii="宋体" w:hAnsi="宋体"/>
          <w:bCs/>
          <w:snapToGrid w:val="0"/>
          <w:color w:val="auto"/>
          <w:kern w:val="0"/>
          <w:sz w:val="24"/>
          <w:highlight w:val="none"/>
        </w:rPr>
        <w:t>（3）</w:t>
      </w:r>
      <w:bookmarkStart w:id="1" w:name="OLE_LINK87"/>
      <w:bookmarkStart w:id="2" w:name="OLE_LINK86"/>
      <w:r>
        <w:rPr>
          <w:rFonts w:hint="eastAsia" w:ascii="宋体" w:hAnsi="宋体"/>
          <w:bCs/>
          <w:snapToGrid w:val="0"/>
          <w:color w:val="auto"/>
          <w:kern w:val="0"/>
          <w:sz w:val="24"/>
          <w:highlight w:val="none"/>
        </w:rPr>
        <w:t>分部分项项目、混凝土及钢筋混凝土模板及支架费采用综合单价包干</w:t>
      </w:r>
      <w:bookmarkStart w:id="3" w:name="OLE_LINK95"/>
      <w:r>
        <w:rPr>
          <w:rFonts w:hint="eastAsia" w:ascii="宋体" w:hAnsi="宋体"/>
          <w:bCs/>
          <w:snapToGrid w:val="0"/>
          <w:color w:val="auto"/>
          <w:kern w:val="0"/>
          <w:sz w:val="24"/>
          <w:highlight w:val="none"/>
        </w:rPr>
        <w:t>、综合合价项目</w:t>
      </w:r>
      <w:bookmarkEnd w:id="3"/>
      <w:r>
        <w:rPr>
          <w:rFonts w:hint="eastAsia" w:ascii="宋体" w:hAnsi="宋体"/>
          <w:bCs/>
          <w:snapToGrid w:val="0"/>
          <w:color w:val="auto"/>
          <w:kern w:val="0"/>
          <w:sz w:val="24"/>
          <w:highlight w:val="none"/>
        </w:rPr>
        <w:t>采用总价包干</w:t>
      </w:r>
      <w:bookmarkEnd w:id="1"/>
      <w:bookmarkEnd w:id="2"/>
      <w:r>
        <w:rPr>
          <w:rFonts w:hint="eastAsia" w:ascii="宋体" w:hAnsi="宋体"/>
          <w:bCs/>
          <w:snapToGrid w:val="0"/>
          <w:color w:val="auto"/>
          <w:kern w:val="0"/>
          <w:sz w:val="24"/>
          <w:highlight w:val="none"/>
        </w:rPr>
        <w:t>（综合合价项目指单价措施项目（除混凝土及钢筋混凝土模板及支架费外）、总价措施项目及预算包干费，此类项目除专用条款约定的情况外，总价不予调整）且不因施工期间人工、材料及机械价格变化、施工条件、工程规模的变化和政府造价管理部门调整各项收费等而调整，招标文件及本合同另有约定的除外。工程结算价最终以有权结算终审部门审定为准。</w:t>
      </w:r>
    </w:p>
    <w:p w14:paraId="2B75A2C5">
      <w:pPr>
        <w:adjustRightInd w:val="0"/>
        <w:snapToGrid w:val="0"/>
        <w:spacing w:line="360" w:lineRule="auto"/>
        <w:ind w:right="11" w:firstLine="422" w:firstLineChars="200"/>
        <w:rPr>
          <w:rFonts w:hint="eastAsia" w:ascii="宋体" w:hAnsi="宋体"/>
          <w:bCs/>
          <w:snapToGrid w:val="0"/>
          <w:color w:val="auto"/>
          <w:kern w:val="0"/>
          <w:sz w:val="24"/>
          <w:highlight w:val="none"/>
        </w:rPr>
      </w:pPr>
      <w:r>
        <w:rPr>
          <w:rFonts w:hint="eastAsia" w:ascii="宋体" w:hAnsi="宋体" w:cs="宋体"/>
          <w:b/>
          <w:color w:val="auto"/>
          <w:kern w:val="0"/>
          <w:szCs w:val="21"/>
          <w:highlight w:val="none"/>
          <w:lang w:bidi="ar"/>
        </w:rPr>
        <w:fldChar w:fldCharType="begin"/>
      </w:r>
      <w:r>
        <w:rPr>
          <w:rFonts w:hint="eastAsia" w:ascii="宋体" w:hAnsi="宋体" w:cs="宋体"/>
          <w:b/>
          <w:color w:val="auto"/>
          <w:kern w:val="0"/>
          <w:szCs w:val="21"/>
          <w:highlight w:val="none"/>
          <w:lang w:bidi="ar"/>
        </w:rPr>
        <w:instrText xml:space="preserve"> EQ \o\ac(</w:instrText>
      </w:r>
      <w:r>
        <w:rPr>
          <w:rFonts w:hint="eastAsia" w:ascii="宋体" w:hAnsi="宋体" w:cs="宋体"/>
          <w:b/>
          <w:color w:val="auto"/>
          <w:kern w:val="0"/>
          <w:position w:val="-4"/>
          <w:sz w:val="31"/>
          <w:szCs w:val="21"/>
          <w:highlight w:val="none"/>
          <w:lang w:bidi="ar"/>
        </w:rPr>
        <w:instrText xml:space="preserve">□</w:instrText>
      </w:r>
      <w:r>
        <w:rPr>
          <w:rFonts w:hint="eastAsia" w:ascii="宋体" w:hAnsi="宋体" w:cs="宋体"/>
          <w:b/>
          <w:color w:val="auto"/>
          <w:kern w:val="0"/>
          <w:szCs w:val="21"/>
          <w:highlight w:val="none"/>
          <w:lang w:bidi="ar"/>
        </w:rPr>
        <w:instrText xml:space="preserve">,×)</w:instrText>
      </w:r>
      <w:r>
        <w:rPr>
          <w:rFonts w:hint="eastAsia" w:ascii="宋体" w:hAnsi="宋体" w:cs="宋体"/>
          <w:b/>
          <w:color w:val="auto"/>
          <w:kern w:val="0"/>
          <w:szCs w:val="21"/>
          <w:highlight w:val="none"/>
          <w:lang w:bidi="ar"/>
        </w:rPr>
        <w:fldChar w:fldCharType="end"/>
      </w:r>
      <w:r>
        <w:rPr>
          <w:rFonts w:hint="eastAsia" w:ascii="宋体" w:hAnsi="宋体"/>
          <w:bCs/>
          <w:snapToGrid w:val="0"/>
          <w:color w:val="auto"/>
          <w:kern w:val="0"/>
          <w:sz w:val="24"/>
          <w:highlight w:val="none"/>
        </w:rPr>
        <w:t>（4）其他</w:t>
      </w:r>
      <w:r>
        <w:rPr>
          <w:rFonts w:hint="eastAsia" w:ascii="宋体" w:hAnsi="宋体" w:cs="宋体"/>
          <w:snapToGrid w:val="0"/>
          <w:color w:val="auto"/>
          <w:kern w:val="0"/>
          <w:sz w:val="24"/>
          <w:highlight w:val="none"/>
          <w:lang w:val="zh-CN"/>
        </w:rPr>
        <w:t>：</w:t>
      </w:r>
      <w:r>
        <w:rPr>
          <w:rFonts w:hint="eastAsia" w:ascii="宋体" w:hAnsi="宋体" w:cs="宋体"/>
          <w:snapToGrid w:val="0"/>
          <w:color w:val="auto"/>
          <w:kern w:val="0"/>
          <w:sz w:val="24"/>
          <w:highlight w:val="none"/>
          <w:u w:val="single"/>
          <w:lang w:val="zh-CN"/>
        </w:rPr>
        <w:t xml:space="preserve">                                             </w:t>
      </w:r>
      <w:r>
        <w:rPr>
          <w:rFonts w:hint="eastAsia" w:ascii="宋体" w:hAnsi="宋体" w:cs="宋体"/>
          <w:snapToGrid w:val="0"/>
          <w:color w:val="auto"/>
          <w:kern w:val="0"/>
          <w:sz w:val="24"/>
          <w:highlight w:val="none"/>
          <w:lang w:val="zh-CN"/>
        </w:rPr>
        <w:t>。</w:t>
      </w:r>
    </w:p>
    <w:p w14:paraId="6A508D3D">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2.3发包人根据工程实施情况，有权对承包人的承包范围及内容进行适当调整，并按合同专用条款第50.4（2）款的约定处理，承包人必须无条件服从。</w:t>
      </w:r>
    </w:p>
    <w:p w14:paraId="5761E688">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3、合同工期</w:t>
      </w:r>
    </w:p>
    <w:p w14:paraId="1D0EC244">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3.1</w:t>
      </w:r>
      <w:bookmarkStart w:id="4" w:name="OLE_LINK90"/>
      <w:r>
        <w:rPr>
          <w:rFonts w:hint="eastAsia" w:ascii="宋体" w:hAnsi="宋体"/>
          <w:bCs/>
          <w:snapToGrid w:val="0"/>
          <w:color w:val="auto"/>
          <w:kern w:val="0"/>
          <w:sz w:val="24"/>
          <w:highlight w:val="none"/>
        </w:rPr>
        <w:t>本工程总工期为</w:t>
      </w:r>
      <w:r>
        <w:rPr>
          <w:rFonts w:hint="eastAsia" w:ascii="宋体" w:hAnsi="宋体"/>
          <w:bCs/>
          <w:snapToGrid w:val="0"/>
          <w:color w:val="auto"/>
          <w:kern w:val="0"/>
          <w:sz w:val="24"/>
          <w:highlight w:val="none"/>
          <w:u w:val="single"/>
          <w:lang w:val="en-US" w:eastAsia="zh-CN"/>
        </w:rPr>
        <w:t>60</w:t>
      </w:r>
      <w:r>
        <w:rPr>
          <w:rFonts w:hint="eastAsia" w:ascii="宋体" w:hAnsi="宋体"/>
          <w:bCs/>
          <w:snapToGrid w:val="0"/>
          <w:color w:val="auto"/>
          <w:kern w:val="0"/>
          <w:sz w:val="24"/>
          <w:highlight w:val="none"/>
        </w:rPr>
        <w:t>日历天（</w:t>
      </w:r>
      <w:r>
        <w:rPr>
          <w:rFonts w:hint="eastAsia" w:ascii="宋体" w:hAnsi="宋体"/>
          <w:bCs/>
          <w:snapToGrid w:val="0"/>
          <w:color w:val="auto"/>
          <w:kern w:val="0"/>
          <w:sz w:val="24"/>
          <w:highlight w:val="none"/>
          <w:u w:val="single"/>
          <w:lang w:val="en-US" w:eastAsia="zh-CN"/>
        </w:rPr>
        <w:t>2</w:t>
      </w:r>
      <w:r>
        <w:rPr>
          <w:rFonts w:hint="eastAsia" w:ascii="宋体" w:hAnsi="宋体"/>
          <w:bCs/>
          <w:snapToGrid w:val="0"/>
          <w:color w:val="auto"/>
          <w:kern w:val="0"/>
          <w:sz w:val="24"/>
          <w:highlight w:val="none"/>
        </w:rPr>
        <w:t>个月），计划202</w:t>
      </w:r>
      <w:r>
        <w:rPr>
          <w:rFonts w:hint="eastAsia" w:ascii="宋体" w:hAnsi="宋体"/>
          <w:bCs/>
          <w:snapToGrid w:val="0"/>
          <w:color w:val="auto"/>
          <w:kern w:val="0"/>
          <w:sz w:val="24"/>
          <w:highlight w:val="none"/>
          <w:u w:val="single"/>
        </w:rPr>
        <w:t>5</w:t>
      </w:r>
      <w:r>
        <w:rPr>
          <w:rFonts w:hint="eastAsia" w:ascii="宋体" w:hAnsi="宋体"/>
          <w:bCs/>
          <w:snapToGrid w:val="0"/>
          <w:color w:val="auto"/>
          <w:kern w:val="0"/>
          <w:sz w:val="24"/>
          <w:highlight w:val="none"/>
        </w:rPr>
        <w:t>年</w:t>
      </w:r>
      <w:r>
        <w:rPr>
          <w:rFonts w:hint="eastAsia" w:ascii="宋体" w:hAnsi="宋体"/>
          <w:bCs/>
          <w:snapToGrid w:val="0"/>
          <w:color w:val="auto"/>
          <w:kern w:val="0"/>
          <w:sz w:val="24"/>
          <w:highlight w:val="none"/>
          <w:u w:val="single"/>
          <w:lang w:val="en-US" w:eastAsia="zh-CN"/>
        </w:rPr>
        <w:t xml:space="preserve"> </w:t>
      </w:r>
      <w:r>
        <w:rPr>
          <w:rFonts w:hint="eastAsia" w:ascii="宋体" w:hAnsi="宋体"/>
          <w:bCs/>
          <w:snapToGrid w:val="0"/>
          <w:color w:val="auto"/>
          <w:kern w:val="0"/>
          <w:sz w:val="24"/>
          <w:highlight w:val="none"/>
        </w:rPr>
        <w:t>月</w:t>
      </w:r>
      <w:r>
        <w:rPr>
          <w:rFonts w:hint="eastAsia" w:ascii="宋体" w:hAnsi="宋体"/>
          <w:bCs/>
          <w:snapToGrid w:val="0"/>
          <w:color w:val="auto"/>
          <w:kern w:val="0"/>
          <w:sz w:val="24"/>
          <w:highlight w:val="none"/>
          <w:lang w:val="en-US" w:eastAsia="zh-CN"/>
        </w:rPr>
        <w:t xml:space="preserve"> </w:t>
      </w:r>
      <w:r>
        <w:rPr>
          <w:rFonts w:hint="eastAsia" w:ascii="宋体" w:hAnsi="宋体"/>
          <w:bCs/>
          <w:snapToGrid w:val="0"/>
          <w:color w:val="auto"/>
          <w:kern w:val="0"/>
          <w:sz w:val="24"/>
          <w:highlight w:val="none"/>
        </w:rPr>
        <w:t>日开工，2027年</w:t>
      </w:r>
      <w:r>
        <w:rPr>
          <w:rFonts w:hint="eastAsia" w:ascii="宋体" w:hAnsi="宋体"/>
          <w:bCs/>
          <w:snapToGrid w:val="0"/>
          <w:color w:val="auto"/>
          <w:kern w:val="0"/>
          <w:sz w:val="24"/>
          <w:highlight w:val="none"/>
          <w:u w:val="single"/>
          <w:lang w:val="en-US" w:eastAsia="zh-CN"/>
        </w:rPr>
        <w:t xml:space="preserve"> </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月</w:t>
      </w:r>
      <w:r>
        <w:rPr>
          <w:rFonts w:hint="eastAsia" w:ascii="宋体" w:hAnsi="宋体"/>
          <w:bCs/>
          <w:snapToGrid w:val="0"/>
          <w:color w:val="auto"/>
          <w:kern w:val="0"/>
          <w:sz w:val="24"/>
          <w:highlight w:val="none"/>
          <w:lang w:val="en-US" w:eastAsia="zh-CN"/>
        </w:rPr>
        <w:t xml:space="preserve"> </w:t>
      </w:r>
      <w:r>
        <w:rPr>
          <w:rFonts w:hint="eastAsia" w:ascii="宋体" w:hAnsi="宋体"/>
          <w:bCs/>
          <w:snapToGrid w:val="0"/>
          <w:color w:val="auto"/>
          <w:kern w:val="0"/>
          <w:sz w:val="24"/>
          <w:highlight w:val="none"/>
        </w:rPr>
        <w:t>日竣工验收，具体开工日期以总监理工程师发出的开工令为准</w:t>
      </w:r>
      <w:bookmarkEnd w:id="4"/>
      <w:r>
        <w:rPr>
          <w:rFonts w:hint="eastAsia" w:ascii="宋体" w:hAnsi="宋体"/>
          <w:bCs/>
          <w:snapToGrid w:val="0"/>
          <w:color w:val="auto"/>
          <w:kern w:val="0"/>
          <w:sz w:val="24"/>
          <w:highlight w:val="none"/>
        </w:rPr>
        <w:t>。</w:t>
      </w:r>
    </w:p>
    <w:p w14:paraId="65D5F9E1">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3.2关键节点工期要求：</w:t>
      </w:r>
    </w:p>
    <w:p w14:paraId="367DE486">
      <w:pPr>
        <w:widowControl/>
        <w:topLinePunct/>
        <w:adjustRightInd w:val="0"/>
        <w:snapToGrid w:val="0"/>
        <w:spacing w:line="360" w:lineRule="auto"/>
        <w:ind w:firstLine="480" w:firstLineChars="200"/>
        <w:rPr>
          <w:rFonts w:hint="eastAsia" w:ascii="宋体" w:hAnsi="宋体" w:cs="宋体"/>
          <w:snapToGrid w:val="0"/>
          <w:color w:val="auto"/>
          <w:spacing w:val="4"/>
          <w:sz w:val="24"/>
          <w:highlight w:val="none"/>
        </w:rPr>
      </w:pPr>
      <w:r>
        <w:rPr>
          <w:rFonts w:hint="eastAsia" w:ascii="宋体" w:hAnsi="宋体"/>
          <w:bCs/>
          <w:snapToGrid w:val="0"/>
          <w:color w:val="auto"/>
          <w:kern w:val="0"/>
          <w:sz w:val="24"/>
          <w:highlight w:val="none"/>
          <w:u w:val="single"/>
          <w:lang w:val="en-US" w:eastAsia="zh-CN"/>
        </w:rPr>
        <w:t xml:space="preserve">        /       </w:t>
      </w:r>
      <w:r>
        <w:rPr>
          <w:rFonts w:hint="eastAsia" w:ascii="宋体" w:hAnsi="宋体"/>
          <w:bCs/>
          <w:snapToGrid w:val="0"/>
          <w:color w:val="auto"/>
          <w:kern w:val="0"/>
          <w:sz w:val="24"/>
          <w:highlight w:val="none"/>
          <w:lang w:val="en-US" w:eastAsia="zh-CN"/>
        </w:rPr>
        <w:t xml:space="preserve"> </w:t>
      </w:r>
      <w:r>
        <w:rPr>
          <w:rFonts w:hint="eastAsia" w:ascii="宋体" w:hAnsi="宋体" w:cs="宋体"/>
          <w:snapToGrid w:val="0"/>
          <w:color w:val="auto"/>
          <w:spacing w:val="4"/>
          <w:sz w:val="24"/>
          <w:highlight w:val="none"/>
        </w:rPr>
        <w:t>。</w:t>
      </w:r>
    </w:p>
    <w:p w14:paraId="0F0EE07F">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3.3发包人根据工程实施情况，有权对本合同工程工期（包括关键节点工期和竣工日期）进行适当调整，并按合同专用条款第50.4（1）款的约定处理，承包人必须采取一切有效措施保证竣工日期，不得延误，并不得要求另行增加费用；如不能按经发包人批准或下达的计划完成任务，由承包人按合同专用条款第38.8（5）款的约定承担违约责任。</w:t>
      </w:r>
    </w:p>
    <w:p w14:paraId="6672FD57">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4、质量标准和目标</w:t>
      </w:r>
      <w:r>
        <w:rPr>
          <w:rFonts w:hint="eastAsia" w:ascii="宋体" w:hAnsi="宋体" w:cs="宋体"/>
          <w:b/>
          <w:color w:val="auto"/>
          <w:kern w:val="0"/>
          <w:sz w:val="24"/>
          <w:szCs w:val="24"/>
          <w:highlight w:val="none"/>
          <w:lang w:bidi="ar"/>
        </w:rPr>
        <w:t>（如有更新则按更新后的执行，下同）</w:t>
      </w:r>
    </w:p>
    <w:p w14:paraId="37B03AE8">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（1）质量标准：</w:t>
      </w:r>
    </w:p>
    <w:p w14:paraId="1A69388C">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sym w:font="Wingdings 2" w:char="0052"/>
      </w:r>
      <w:r>
        <w:rPr>
          <w:rFonts w:hint="eastAsia" w:ascii="宋体" w:hAnsi="宋体"/>
          <w:b/>
          <w:snapToGrid w:val="0"/>
          <w:color w:val="auto"/>
          <w:kern w:val="0"/>
          <w:sz w:val="24"/>
          <w:highlight w:val="none"/>
        </w:rPr>
        <w:t xml:space="preserve"> </w:t>
      </w:r>
      <w:r>
        <w:rPr>
          <w:rFonts w:hint="eastAsia" w:ascii="宋体" w:hAnsi="宋体"/>
          <w:snapToGrid w:val="0"/>
          <w:color w:val="auto"/>
          <w:kern w:val="0"/>
          <w:sz w:val="24"/>
          <w:highlight w:val="none"/>
        </w:rPr>
        <w:t>1）</w:t>
      </w:r>
      <w:r>
        <w:rPr>
          <w:rFonts w:hint="eastAsia" w:ascii="宋体" w:hAnsi="宋体"/>
          <w:bCs/>
          <w:snapToGrid w:val="0"/>
          <w:color w:val="auto"/>
          <w:kern w:val="0"/>
          <w:sz w:val="24"/>
          <w:highlight w:val="none"/>
        </w:rPr>
        <w:t>《建筑工程施工质量验收统一标准》（GB50300-2013）及相应配套的各专业验收规范等。</w:t>
      </w:r>
    </w:p>
    <w:p w14:paraId="7EF4FE1D">
      <w:pPr>
        <w:adjustRightInd w:val="0"/>
        <w:snapToGrid w:val="0"/>
        <w:spacing w:line="360" w:lineRule="auto"/>
        <w:ind w:right="11" w:firstLine="482" w:firstLineChars="200"/>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sym w:font="Wingdings 2" w:char="0052"/>
      </w:r>
      <w:r>
        <w:rPr>
          <w:rFonts w:hint="eastAsia" w:ascii="宋体" w:hAnsi="宋体"/>
          <w:b/>
          <w:bCs/>
          <w:snapToGrid w:val="0"/>
          <w:color w:val="auto"/>
          <w:kern w:val="0"/>
          <w:sz w:val="24"/>
          <w:highlight w:val="none"/>
        </w:rPr>
        <w:t xml:space="preserve"> </w:t>
      </w:r>
      <w:r>
        <w:rPr>
          <w:rFonts w:hint="eastAsia" w:ascii="宋体" w:hAnsi="宋体"/>
          <w:bCs/>
          <w:snapToGrid w:val="0"/>
          <w:color w:val="auto"/>
          <w:kern w:val="0"/>
          <w:sz w:val="24"/>
          <w:highlight w:val="none"/>
        </w:rPr>
        <w:t>2）《城镇道路工程施工与质量验收规范》（CJJ1-2008）、《城市桥梁工程施工与质量验收规范》（CJJ2-2008）、《给水排水管道工程施工及验收规范》（GB 50268-2008）及相应配套的各专业验收规范等。</w:t>
      </w:r>
    </w:p>
    <w:p w14:paraId="0D0ED580">
      <w:pPr>
        <w:adjustRightInd w:val="0"/>
        <w:snapToGrid w:val="0"/>
        <w:spacing w:line="360" w:lineRule="auto"/>
        <w:ind w:right="11" w:firstLine="482" w:firstLineChars="200"/>
        <w:rPr>
          <w:rFonts w:hint="eastAsia" w:ascii="宋体" w:hAnsi="宋体"/>
          <w:snapToGrid w:val="0"/>
          <w:color w:val="auto"/>
          <w:kern w:val="0"/>
          <w:sz w:val="24"/>
          <w:highlight w:val="none"/>
        </w:rPr>
      </w:pPr>
      <w:r>
        <w:rPr>
          <w:rFonts w:hint="eastAsia" w:ascii="宋体" w:hAnsi="宋体"/>
          <w:b/>
          <w:snapToGrid w:val="0"/>
          <w:color w:val="auto"/>
          <w:kern w:val="0"/>
          <w:sz w:val="24"/>
          <w:highlight w:val="none"/>
        </w:rPr>
        <w:sym w:font="Wingdings 2" w:char="0052"/>
      </w:r>
      <w:r>
        <w:rPr>
          <w:rFonts w:hint="eastAsia" w:ascii="宋体" w:hAnsi="宋体"/>
          <w:snapToGrid w:val="0"/>
          <w:color w:val="auto"/>
          <w:kern w:val="0"/>
          <w:sz w:val="24"/>
          <w:highlight w:val="none"/>
        </w:rPr>
        <w:t xml:space="preserve"> 3）《园林绿化工程施工及验收规范》（CJJ82-2012）、《城市绿化工程施工及验收规范》（DB440100/T114-2007）及相应配套的各专业验收规范等。</w:t>
      </w:r>
    </w:p>
    <w:p w14:paraId="71EEB499">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（2）质量目标：</w:t>
      </w:r>
    </w:p>
    <w:p w14:paraId="696A0864">
      <w:pPr>
        <w:adjustRightInd w:val="0"/>
        <w:snapToGrid w:val="0"/>
        <w:spacing w:line="360" w:lineRule="auto"/>
        <w:ind w:right="11" w:firstLine="480" w:firstLineChars="200"/>
        <w:rPr>
          <w:rFonts w:ascii="Tahoma" w:hAnsi="Tahoma" w:cs="Tahoma"/>
          <w:b/>
          <w:snapToGrid w:val="0"/>
          <w:color w:val="auto"/>
          <w:kern w:val="0"/>
          <w:sz w:val="30"/>
          <w:szCs w:val="30"/>
          <w:highlight w:val="none"/>
        </w:rPr>
      </w:pPr>
      <w:bookmarkStart w:id="5" w:name="OLE_LINK88"/>
      <w:r>
        <w:rPr>
          <w:rFonts w:hint="eastAsia" w:ascii="宋体" w:hAnsi="宋体"/>
          <w:bCs/>
          <w:snapToGrid w:val="0"/>
          <w:color w:val="auto"/>
          <w:kern w:val="0"/>
          <w:sz w:val="24"/>
          <w:highlight w:val="none"/>
        </w:rPr>
        <w:t>一次性竣工验收合格</w:t>
      </w:r>
      <w:bookmarkEnd w:id="5"/>
      <w:r>
        <w:rPr>
          <w:rFonts w:hint="eastAsia" w:ascii="宋体" w:hAnsi="宋体"/>
          <w:bCs/>
          <w:snapToGrid w:val="0"/>
          <w:color w:val="auto"/>
          <w:kern w:val="0"/>
          <w:sz w:val="24"/>
          <w:highlight w:val="none"/>
        </w:rPr>
        <w:t>，且</w:t>
      </w:r>
    </w:p>
    <w:p w14:paraId="56AA4FE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
          <w:bCs/>
          <w:snapToGrid w:val="0"/>
          <w:color w:val="auto"/>
          <w:kern w:val="0"/>
          <w:sz w:val="24"/>
          <w:highlight w:val="none"/>
        </w:rPr>
        <w:t xml:space="preserve"> </w:t>
      </w:r>
      <w:r>
        <w:rPr>
          <w:rFonts w:hint="eastAsia" w:ascii="宋体" w:hAnsi="宋体"/>
          <w:bCs/>
          <w:snapToGrid w:val="0"/>
          <w:color w:val="auto"/>
          <w:kern w:val="0"/>
          <w:sz w:val="24"/>
          <w:highlight w:val="none"/>
        </w:rPr>
        <w:t>必须取得广州市建设工程优质奖。</w:t>
      </w:r>
    </w:p>
    <w:p w14:paraId="79E77771">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
          <w:bCs/>
          <w:snapToGrid w:val="0"/>
          <w:color w:val="auto"/>
          <w:kern w:val="0"/>
          <w:sz w:val="24"/>
          <w:highlight w:val="none"/>
        </w:rPr>
        <w:t xml:space="preserve"> </w:t>
      </w:r>
      <w:r>
        <w:rPr>
          <w:rFonts w:hint="eastAsia" w:ascii="宋体" w:hAnsi="宋体"/>
          <w:bCs/>
          <w:snapToGrid w:val="0"/>
          <w:color w:val="auto"/>
          <w:kern w:val="0"/>
          <w:sz w:val="24"/>
          <w:highlight w:val="none"/>
        </w:rPr>
        <w:t>必须取得广州市建设工程优质奖，争创广东省建设工程优质奖。</w:t>
      </w:r>
    </w:p>
    <w:p w14:paraId="16BCA079">
      <w:pPr>
        <w:adjustRightInd w:val="0"/>
        <w:snapToGrid w:val="0"/>
        <w:spacing w:line="360" w:lineRule="auto"/>
        <w:ind w:right="11" w:firstLine="480" w:firstLineChars="200"/>
        <w:rPr>
          <w:rFonts w:hint="eastAsia" w:ascii="宋体" w:hAnsi="宋体"/>
          <w:bCs/>
          <w:snapToGrid w:val="0"/>
          <w:color w:val="auto"/>
          <w:kern w:val="0"/>
          <w:sz w:val="24"/>
          <w:highlight w:val="none"/>
        </w:rPr>
      </w:pPr>
      <w:bookmarkStart w:id="6" w:name="OLE_LINK89"/>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
          <w:bCs/>
          <w:snapToGrid w:val="0"/>
          <w:color w:val="auto"/>
          <w:kern w:val="0"/>
          <w:sz w:val="24"/>
          <w:highlight w:val="none"/>
        </w:rPr>
        <w:t xml:space="preserve"> </w:t>
      </w:r>
      <w:r>
        <w:rPr>
          <w:rFonts w:hint="eastAsia" w:ascii="宋体" w:hAnsi="宋体"/>
          <w:bCs/>
          <w:snapToGrid w:val="0"/>
          <w:color w:val="auto"/>
          <w:kern w:val="0"/>
          <w:sz w:val="24"/>
          <w:highlight w:val="none"/>
        </w:rPr>
        <w:t>必须取得广东省建设工程优质奖，争创国家优质工程奖。</w:t>
      </w:r>
      <w:bookmarkEnd w:id="6"/>
    </w:p>
    <w:p w14:paraId="64FE0E1E">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5、职业健康安全管理目标和环境管理目标</w:t>
      </w:r>
    </w:p>
    <w:p w14:paraId="333FFE4A">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（1）职业健康安全管理目标：事故隐患排查治理覆盖率100%，一般事故隐患整改率100%，重大事故隐患挂牌督办率100%、整改率100%；安全生产非法违法行为举报投诉查办率达到100%。</w:t>
      </w:r>
    </w:p>
    <w:p w14:paraId="48C2B56F">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1）杜绝发生一般事故等级及以上的伤亡事故且工伤责任事故死亡人数为零。</w:t>
      </w:r>
    </w:p>
    <w:p w14:paraId="60922748">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2）确保</w:t>
      </w:r>
    </w:p>
    <w:p w14:paraId="3C6FDF5D">
      <w:pPr>
        <w:pStyle w:val="20"/>
        <w:ind w:firstLine="480"/>
        <w:rPr>
          <w:rFonts w:hint="eastAsia"/>
          <w:color w:val="auto"/>
          <w:spacing w:val="0"/>
          <w:highlight w:val="none"/>
        </w:rPr>
      </w:pPr>
      <w:r>
        <w:rPr>
          <w:rFonts w:hint="eastAsia" w:ascii="宋体" w:hAnsi="宋体" w:eastAsia="宋体" w:cs="宋体"/>
          <w:color w:val="auto"/>
          <w:highlight w:val="none"/>
          <w:lang w:bidi="ar"/>
        </w:rPr>
        <w:fldChar w:fldCharType="begin"/>
      </w:r>
      <w:r>
        <w:rPr>
          <w:rFonts w:hint="eastAsia" w:ascii="宋体" w:hAnsi="宋体" w:eastAsia="宋体" w:cs="宋体"/>
          <w:color w:val="auto"/>
          <w:highlight w:val="none"/>
          <w:lang w:bidi="ar"/>
        </w:rPr>
        <w:instrText xml:space="preserve"> EQ \o\ac(□,×)</w:instrText>
      </w:r>
      <w:r>
        <w:rPr>
          <w:rFonts w:hint="eastAsia" w:ascii="宋体" w:hAnsi="宋体" w:eastAsia="宋体" w:cs="宋体"/>
          <w:color w:val="auto"/>
          <w:highlight w:val="none"/>
          <w:lang w:bidi="ar"/>
        </w:rPr>
        <w:fldChar w:fldCharType="end"/>
      </w:r>
      <w:r>
        <w:rPr>
          <w:rFonts w:hint="eastAsia" w:ascii="宋体" w:hAnsi="宋体" w:eastAsia="宋体"/>
          <w:snapToGrid w:val="0"/>
          <w:color w:val="auto"/>
          <w:spacing w:val="0"/>
          <w:szCs w:val="22"/>
          <w:highlight w:val="none"/>
        </w:rPr>
        <w:t>达到广州市安全文明样板工地标准。</w:t>
      </w:r>
    </w:p>
    <w:p w14:paraId="5F06B066">
      <w:pPr>
        <w:adjustRightInd w:val="0"/>
        <w:snapToGrid w:val="0"/>
        <w:spacing w:line="360" w:lineRule="auto"/>
        <w:ind w:right="11" w:firstLine="482" w:firstLineChars="200"/>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sym w:font="Wingdings 2" w:char="0052"/>
      </w:r>
      <w:r>
        <w:rPr>
          <w:rFonts w:hint="eastAsia" w:ascii="宋体" w:hAnsi="宋体"/>
          <w:bCs/>
          <w:snapToGrid w:val="0"/>
          <w:color w:val="auto"/>
          <w:kern w:val="0"/>
          <w:sz w:val="24"/>
          <w:highlight w:val="none"/>
        </w:rPr>
        <w:t xml:space="preserve"> 获评广州市安全文明样板工地。</w:t>
      </w:r>
    </w:p>
    <w:p w14:paraId="5E937CED">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Cs/>
          <w:snapToGrid w:val="0"/>
          <w:color w:val="auto"/>
          <w:kern w:val="0"/>
          <w:sz w:val="24"/>
          <w:highlight w:val="none"/>
        </w:rPr>
        <w:t>广东省安全文明样板工地。</w:t>
      </w:r>
    </w:p>
    <w:p w14:paraId="64BB15F3">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（2）环境管理目标：</w:t>
      </w:r>
    </w:p>
    <w:p w14:paraId="6D07932A">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严格执行</w:t>
      </w:r>
      <w:r>
        <w:rPr>
          <w:rFonts w:hint="eastAsia" w:ascii="宋体" w:hAnsi="宋体"/>
          <w:bCs/>
          <w:snapToGrid w:val="0"/>
          <w:color w:val="auto"/>
          <w:kern w:val="0"/>
          <w:sz w:val="24"/>
          <w:highlight w:val="none"/>
        </w:rPr>
        <w:t>《广州市建设工程现场文明施工管理办法》（穗建质〔2008〕937号）、《广州市城乡建设委员会关于印发广州市加强建筑工地环保管理工作方案的通知》(穗建质〔2014〕754号) 、《广州市提升建设工程安全文明施工管理水平的工作指引》（穗建质〔2017〕815号）、</w:t>
      </w:r>
      <w:r>
        <w:rPr>
          <w:rFonts w:hint="eastAsia" w:ascii="宋体" w:hAnsi="宋体" w:cs="宋体"/>
          <w:color w:val="auto"/>
          <w:kern w:val="0"/>
          <w:sz w:val="24"/>
          <w:szCs w:val="24"/>
          <w:highlight w:val="none"/>
          <w:lang w:bidi="ar"/>
        </w:rPr>
        <w:t>《广州市建设工程安全文明施工规程（试行版）》（穗建质〔2021)316号）、</w:t>
      </w:r>
      <w:r>
        <w:rPr>
          <w:rFonts w:hint="eastAsia" w:ascii="宋体" w:hAnsi="宋体"/>
          <w:bCs/>
          <w:snapToGrid w:val="0"/>
          <w:color w:val="auto"/>
          <w:kern w:val="0"/>
          <w:sz w:val="24"/>
          <w:highlight w:val="none"/>
        </w:rPr>
        <w:t>《危险性较大的分部分项工程安全管理规定》(中华人民共和国住房和城乡建设部令第37号)、《关于加强建设工程安全生产管理 落实建设各方主体责任的暂行规定》</w:t>
      </w:r>
      <w:r>
        <w:rPr>
          <w:rFonts w:hint="eastAsia" w:ascii="宋体" w:hAnsi="宋体" w:cs="宋体"/>
          <w:color w:val="auto"/>
          <w:kern w:val="0"/>
          <w:sz w:val="24"/>
          <w:szCs w:val="24"/>
          <w:highlight w:val="none"/>
          <w:lang w:bidi="ar"/>
        </w:rPr>
        <w:t>（穗建规字〔</w:t>
      </w:r>
      <w:r>
        <w:rPr>
          <w:rFonts w:hint="eastAsia" w:ascii="宋体" w:hAnsi="宋体" w:cs="宋体"/>
          <w:color w:val="auto"/>
          <w:spacing w:val="4"/>
          <w:kern w:val="0"/>
          <w:sz w:val="24"/>
          <w:szCs w:val="24"/>
          <w:highlight w:val="none"/>
          <w:lang w:bidi="ar"/>
        </w:rPr>
        <w:t>2020〕34号）</w:t>
      </w:r>
      <w:r>
        <w:rPr>
          <w:rFonts w:hint="eastAsia" w:ascii="宋体" w:hAnsi="宋体"/>
          <w:bCs/>
          <w:snapToGrid w:val="0"/>
          <w:color w:val="auto"/>
          <w:kern w:val="0"/>
          <w:sz w:val="24"/>
          <w:highlight w:val="none"/>
        </w:rPr>
        <w:t>、</w:t>
      </w:r>
      <w:r>
        <w:rPr>
          <w:rFonts w:hint="eastAsia" w:ascii="宋体" w:hAnsi="宋体" w:cs="宋体"/>
          <w:color w:val="auto"/>
          <w:kern w:val="0"/>
          <w:sz w:val="24"/>
          <w:szCs w:val="24"/>
          <w:highlight w:val="none"/>
          <w:lang w:bidi="ar"/>
        </w:rPr>
        <w:t>《广州市住房和城乡建设局等8部门关于印发建设工程扬尘防治“6个100%”管理标准图集（V2.0版）的通知》、</w:t>
      </w:r>
      <w:r>
        <w:rPr>
          <w:rFonts w:hint="eastAsia" w:ascii="宋体" w:hAnsi="宋体"/>
          <w:bCs/>
          <w:snapToGrid w:val="0"/>
          <w:color w:val="auto"/>
          <w:kern w:val="0"/>
          <w:sz w:val="24"/>
          <w:highlight w:val="none"/>
        </w:rPr>
        <w:t>《广州市住房和城乡建设委员会关于印发建设工程扬尘防治“6个100%”管理标准细化措施的通知》（穗建质〔2018〕1394号）</w:t>
      </w:r>
      <w:r>
        <w:rPr>
          <w:rFonts w:hint="eastAsia" w:ascii="宋体" w:hAnsi="宋体"/>
          <w:bCs/>
          <w:snapToGrid w:val="0"/>
          <w:color w:val="auto"/>
          <w:kern w:val="0"/>
          <w:sz w:val="24"/>
          <w:szCs w:val="24"/>
          <w:highlight w:val="none"/>
        </w:rPr>
        <w:t>、</w:t>
      </w:r>
      <w:r>
        <w:rPr>
          <w:rFonts w:hint="eastAsia"/>
          <w:color w:val="auto"/>
          <w:sz w:val="24"/>
          <w:szCs w:val="24"/>
          <w:highlight w:val="none"/>
        </w:rPr>
        <w:t>广州市住房和城乡建设局关于印发广州市房屋建筑工程安全防护指导图集（防高坠篇）的通知</w:t>
      </w:r>
      <w:r>
        <w:rPr>
          <w:rFonts w:hint="eastAsia" w:ascii="宋体" w:hAnsi="宋体"/>
          <w:bCs/>
          <w:snapToGrid w:val="0"/>
          <w:color w:val="auto"/>
          <w:kern w:val="0"/>
          <w:sz w:val="24"/>
          <w:highlight w:val="none"/>
        </w:rPr>
        <w:t>、</w:t>
      </w:r>
      <w:r>
        <w:rPr>
          <w:rFonts w:hint="eastAsia" w:ascii="宋体" w:hAnsi="宋体"/>
          <w:color w:val="auto"/>
          <w:sz w:val="24"/>
          <w:szCs w:val="24"/>
          <w:highlight w:val="none"/>
        </w:rPr>
        <w:t>《广州市建设工程绿色施工围蔽指导图集（V2.0版）》（穗建质</w:t>
      </w:r>
      <w:r>
        <w:rPr>
          <w:rFonts w:hint="eastAsia" w:ascii="宋体" w:hAnsi="宋体"/>
          <w:bCs/>
          <w:snapToGrid w:val="0"/>
          <w:color w:val="auto"/>
          <w:kern w:val="0"/>
          <w:sz w:val="24"/>
          <w:szCs w:val="24"/>
          <w:highlight w:val="none"/>
        </w:rPr>
        <w:t>〔2020〕1号</w:t>
      </w:r>
      <w:r>
        <w:rPr>
          <w:rFonts w:hint="eastAsia" w:ascii="宋体" w:hAnsi="宋体"/>
          <w:color w:val="auto"/>
          <w:sz w:val="24"/>
          <w:szCs w:val="24"/>
          <w:highlight w:val="none"/>
        </w:rPr>
        <w:t>）</w:t>
      </w:r>
      <w:r>
        <w:rPr>
          <w:rFonts w:hint="eastAsia" w:ascii="宋体" w:hAnsi="宋体" w:cs="宋体"/>
          <w:color w:val="auto"/>
          <w:sz w:val="24"/>
          <w:szCs w:val="24"/>
          <w:highlight w:val="none"/>
          <w:lang w:bidi="ar"/>
        </w:rPr>
        <w:t>和《广东省建筑垃圾管理条例》（广东省第十三届人民代表大会常务委员会公告第126号）、《广州市住房和城乡建设局关于房屋建设工程推广使用封闭式外脚手架冲孔金属板安全网等的通知》（穗建质〔2025〕131 号）</w:t>
      </w:r>
      <w:r>
        <w:rPr>
          <w:rFonts w:hint="eastAsia" w:ascii="宋体" w:hAnsi="宋体"/>
          <w:bCs/>
          <w:snapToGrid w:val="0"/>
          <w:color w:val="auto"/>
          <w:kern w:val="0"/>
          <w:sz w:val="24"/>
          <w:highlight w:val="none"/>
        </w:rPr>
        <w:t>等国家、省、市现行标准、规定和文件要求</w:t>
      </w:r>
      <w:r>
        <w:rPr>
          <w:rFonts w:hint="eastAsia" w:ascii="宋体" w:hAnsi="宋体" w:cs="宋体"/>
          <w:color w:val="auto"/>
          <w:sz w:val="24"/>
          <w:szCs w:val="24"/>
          <w:highlight w:val="none"/>
          <w:lang w:bidi="ar"/>
        </w:rPr>
        <w:t>，确保噪声污染、扬尘污染等环境污染问题零投诉</w:t>
      </w:r>
      <w:r>
        <w:rPr>
          <w:rFonts w:hint="eastAsia" w:ascii="宋体" w:hAnsi="宋体"/>
          <w:bCs/>
          <w:snapToGrid w:val="0"/>
          <w:color w:val="auto"/>
          <w:kern w:val="0"/>
          <w:sz w:val="24"/>
          <w:highlight w:val="none"/>
        </w:rPr>
        <w:t>。</w:t>
      </w:r>
    </w:p>
    <w:p w14:paraId="3CF47023">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6、合同价款</w:t>
      </w:r>
    </w:p>
    <w:p w14:paraId="3D89A36C">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6.1本合同以人民币为报价和结算货币，除非发包人、承包人双方另有约定。</w:t>
      </w:r>
    </w:p>
    <w:p w14:paraId="63C7310A">
      <w:pPr>
        <w:adjustRightInd w:val="0"/>
        <w:snapToGrid w:val="0"/>
        <w:spacing w:line="360" w:lineRule="auto"/>
        <w:ind w:right="11" w:firstLine="480" w:firstLineChars="200"/>
        <w:outlineLvl w:val="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6.2本合同价款为</w:t>
      </w:r>
      <w:r>
        <w:rPr>
          <w:rFonts w:hint="eastAsia" w:ascii="宋体" w:hAnsi="宋体"/>
          <w:b/>
          <w:bCs/>
          <w:snapToGrid w:val="0"/>
          <w:color w:val="auto"/>
          <w:kern w:val="0"/>
          <w:sz w:val="24"/>
          <w:highlight w:val="none"/>
          <w:u w:val="single"/>
        </w:rPr>
        <w:t xml:space="preserve">              </w:t>
      </w:r>
      <w:r>
        <w:rPr>
          <w:rFonts w:hint="eastAsia" w:ascii="宋体" w:hAnsi="宋体"/>
          <w:b/>
          <w:bCs/>
          <w:snapToGrid w:val="0"/>
          <w:color w:val="auto"/>
          <w:kern w:val="0"/>
          <w:sz w:val="24"/>
          <w:highlight w:val="none"/>
        </w:rPr>
        <w:t>元</w:t>
      </w:r>
      <w:r>
        <w:rPr>
          <w:rFonts w:hint="eastAsia" w:ascii="宋体" w:hAnsi="宋体"/>
          <w:bCs/>
          <w:snapToGrid w:val="0"/>
          <w:color w:val="auto"/>
          <w:kern w:val="0"/>
          <w:sz w:val="24"/>
          <w:highlight w:val="none"/>
        </w:rPr>
        <w:t>（大写：</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w:t>
      </w:r>
      <w:r>
        <w:rPr>
          <w:rFonts w:hint="eastAsia" w:ascii="宋体" w:hAnsi="宋体" w:cs="宋体"/>
          <w:color w:val="auto"/>
          <w:kern w:val="0"/>
          <w:sz w:val="24"/>
          <w:szCs w:val="24"/>
          <w:highlight w:val="none"/>
          <w:lang w:bidi="ar"/>
        </w:rPr>
        <w:t>（其中，人工费金额为</w:t>
      </w:r>
      <w:r>
        <w:rPr>
          <w:rFonts w:hint="eastAsia" w:ascii="宋体" w:hAnsi="宋体" w:cs="宋体"/>
          <w:color w:val="auto"/>
          <w:kern w:val="0"/>
          <w:sz w:val="24"/>
          <w:szCs w:val="24"/>
          <w:highlight w:val="none"/>
          <w:u w:val="single"/>
          <w:lang w:bidi="ar"/>
        </w:rPr>
        <w:t xml:space="preserve">      </w:t>
      </w:r>
      <w:r>
        <w:rPr>
          <w:rFonts w:hint="eastAsia" w:ascii="宋体" w:hAnsi="宋体" w:cs="宋体"/>
          <w:color w:val="auto"/>
          <w:kern w:val="0"/>
          <w:sz w:val="24"/>
          <w:szCs w:val="24"/>
          <w:highlight w:val="none"/>
          <w:lang w:bidi="ar"/>
        </w:rPr>
        <w:t>元）</w:t>
      </w:r>
      <w:r>
        <w:rPr>
          <w:rFonts w:hint="eastAsia" w:ascii="宋体" w:hAnsi="宋体"/>
          <w:bCs/>
          <w:snapToGrid w:val="0"/>
          <w:color w:val="auto"/>
          <w:kern w:val="0"/>
          <w:sz w:val="24"/>
          <w:highlight w:val="none"/>
        </w:rPr>
        <w:t>，</w:t>
      </w:r>
      <w:r>
        <w:rPr>
          <w:rFonts w:hint="eastAsia" w:ascii="宋体" w:hAnsi="宋体" w:cs="宋体"/>
          <w:color w:val="auto"/>
          <w:kern w:val="0"/>
          <w:sz w:val="24"/>
          <w:szCs w:val="24"/>
          <w:highlight w:val="none"/>
          <w:lang w:bidi="ar"/>
        </w:rPr>
        <w:t>具体</w:t>
      </w:r>
      <w:r>
        <w:rPr>
          <w:rFonts w:hint="eastAsia" w:ascii="宋体" w:hAnsi="宋体"/>
          <w:bCs/>
          <w:snapToGrid w:val="0"/>
          <w:color w:val="auto"/>
          <w:kern w:val="0"/>
          <w:sz w:val="24"/>
          <w:highlight w:val="none"/>
        </w:rPr>
        <w:t>由以下四部分费用组成：</w:t>
      </w:r>
    </w:p>
    <w:p w14:paraId="1DE7ADE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（1）分部分项工程量清单计价汇总合计</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元；</w:t>
      </w:r>
    </w:p>
    <w:p w14:paraId="45E5C0CF">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（2）措施项目清单计价汇总合计</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元，其中，绿色施工安全防护措施费</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元；</w:t>
      </w:r>
    </w:p>
    <w:p w14:paraId="580D71B8">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（3）其他项目清单计价汇总合计</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元</w:t>
      </w:r>
      <w:r>
        <w:rPr>
          <w:rFonts w:hint="eastAsia" w:ascii="宋体" w:hAnsi="宋体"/>
          <w:bCs/>
          <w:snapToGrid w:val="0"/>
          <w:color w:val="auto"/>
          <w:kern w:val="0"/>
          <w:sz w:val="24"/>
          <w:szCs w:val="24"/>
          <w:highlight w:val="none"/>
        </w:rPr>
        <w:t>，其中，暂列金额</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szCs w:val="24"/>
          <w:highlight w:val="none"/>
        </w:rPr>
        <w:t>元</w:t>
      </w:r>
      <w:r>
        <w:rPr>
          <w:rFonts w:hint="eastAsia" w:ascii="宋体" w:hAnsi="宋体"/>
          <w:bCs/>
          <w:snapToGrid w:val="0"/>
          <w:color w:val="auto"/>
          <w:kern w:val="0"/>
          <w:sz w:val="24"/>
          <w:highlight w:val="none"/>
        </w:rPr>
        <w:t>；</w:t>
      </w:r>
    </w:p>
    <w:p w14:paraId="5E8BF9AE">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（4）税金项目计价汇总合计</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元。</w:t>
      </w:r>
    </w:p>
    <w:p w14:paraId="018E2966">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6.3</w:t>
      </w:r>
      <w:r>
        <w:rPr>
          <w:rFonts w:hint="eastAsia" w:ascii="宋体" w:hAnsi="宋体"/>
          <w:color w:val="auto"/>
          <w:sz w:val="24"/>
          <w:szCs w:val="24"/>
          <w:highlight w:val="none"/>
        </w:rPr>
        <w:t>本工程执行</w:t>
      </w:r>
      <w:r>
        <w:rPr>
          <w:rFonts w:hint="eastAsia" w:ascii="宋体" w:hAnsi="宋体"/>
          <w:bCs/>
          <w:snapToGrid w:val="0"/>
          <w:color w:val="auto"/>
          <w:kern w:val="0"/>
          <w:sz w:val="24"/>
          <w:highlight w:val="none"/>
        </w:rPr>
        <w:t>《广东省建设工程造价管理规定》（广东省人民政府令第205号）</w:t>
      </w:r>
      <w:r>
        <w:rPr>
          <w:rFonts w:hint="eastAsia" w:ascii="宋体" w:hAnsi="宋体" w:cs="宋体"/>
          <w:color w:val="auto"/>
          <w:kern w:val="0"/>
          <w:sz w:val="24"/>
          <w:szCs w:val="24"/>
          <w:highlight w:val="none"/>
          <w:lang w:bidi="ar"/>
        </w:rPr>
        <w:t>《建设工程工程量清单计价规范（GB50500-</w:t>
      </w:r>
      <w:r>
        <w:rPr>
          <w:rFonts w:hint="eastAsia" w:ascii="宋体" w:hAnsi="宋体" w:cs="宋体"/>
          <w:color w:val="auto"/>
          <w:kern w:val="0"/>
          <w:sz w:val="24"/>
          <w:szCs w:val="24"/>
          <w:highlight w:val="none"/>
          <w:lang w:val="en-US" w:eastAsia="zh-CN" w:bidi="ar"/>
        </w:rPr>
        <w:t>2024</w:t>
      </w:r>
      <w:r>
        <w:rPr>
          <w:rFonts w:hint="eastAsia" w:ascii="宋体" w:hAnsi="宋体" w:cs="宋体"/>
          <w:color w:val="auto"/>
          <w:kern w:val="0"/>
          <w:sz w:val="24"/>
          <w:szCs w:val="24"/>
          <w:highlight w:val="none"/>
          <w:lang w:bidi="ar"/>
        </w:rPr>
        <w:t>）》、</w:t>
      </w:r>
      <w:r>
        <w:rPr>
          <w:rFonts w:hint="eastAsia" w:ascii="宋体" w:hAnsi="宋体"/>
          <w:color w:val="auto"/>
          <w:sz w:val="24"/>
          <w:szCs w:val="24"/>
          <w:highlight w:val="none"/>
        </w:rPr>
        <w:t>《广东省建设工程计价依据的通知</w:t>
      </w:r>
      <w:r>
        <w:rPr>
          <w:rFonts w:hint="eastAsia" w:ascii="宋体" w:hAnsi="宋体" w:cs="宋体"/>
          <w:color w:val="auto"/>
          <w:kern w:val="0"/>
          <w:sz w:val="24"/>
          <w:szCs w:val="24"/>
          <w:highlight w:val="none"/>
          <w:lang w:bidi="ar"/>
        </w:rPr>
        <w:t>（2018）</w:t>
      </w:r>
      <w:r>
        <w:rPr>
          <w:rFonts w:hint="eastAsia" w:ascii="宋体" w:hAnsi="宋体"/>
          <w:color w:val="auto"/>
          <w:sz w:val="24"/>
          <w:szCs w:val="24"/>
          <w:highlight w:val="none"/>
        </w:rPr>
        <w:t>》（粤建市﹝2019﹞6号）、</w:t>
      </w:r>
      <w:r>
        <w:rPr>
          <w:rFonts w:hint="eastAsia" w:ascii="宋体" w:hAnsi="宋体" w:cs="宋体"/>
          <w:color w:val="auto"/>
          <w:kern w:val="0"/>
          <w:sz w:val="24"/>
          <w:szCs w:val="24"/>
          <w:highlight w:val="none"/>
          <w:lang w:bidi="ar"/>
        </w:rPr>
        <w:t>《广东省建设工程计价依据（2018）》动态调整内容、《广东省房屋建筑与装饰工程综合定额（2018）》动态调整内容、《广东省通用安装工程综合定额（2018）》动态调整内容、《广东省市政工程综合定额（2018）》动态调整内容、《广东省园林绿化工程综合定额（2018）》动态调整内容等文件。国家及广东省、广州市有最新规定的，从其规定</w:t>
      </w:r>
      <w:r>
        <w:rPr>
          <w:rFonts w:hint="eastAsia" w:ascii="宋体" w:hAnsi="宋体"/>
          <w:color w:val="auto"/>
          <w:sz w:val="24"/>
          <w:szCs w:val="24"/>
          <w:highlight w:val="none"/>
        </w:rPr>
        <w:t>。</w:t>
      </w:r>
    </w:p>
    <w:p w14:paraId="4618407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6.4承包人应在本工程开工前按《关于印发广东省工伤保险基金省级统筹实施方案的通知》（粤人社规﹝2019﹞20号）和《关于进一步做好我省建筑业工伤保险工作的实施意见》（粤人社规﹝2015﹞5号）的规定缴纳工伤保险费；</w:t>
      </w:r>
      <w:r>
        <w:rPr>
          <w:rFonts w:hint="eastAsia" w:ascii="宋体" w:hAnsi="宋体" w:cs="宋体"/>
          <w:color w:val="auto"/>
          <w:kern w:val="0"/>
          <w:sz w:val="24"/>
          <w:szCs w:val="24"/>
          <w:highlight w:val="none"/>
          <w:lang w:bidi="ar"/>
        </w:rPr>
        <w:t>按照《广州市住房和城乡建设局关于全面推进房屋建筑工程安全生产责任保险工作的通知》（穗建质[2023]689号）足额投保安全生产责任险</w:t>
      </w:r>
      <w:r>
        <w:rPr>
          <w:rFonts w:hint="eastAsia" w:ascii="宋体" w:hAnsi="宋体"/>
          <w:bCs/>
          <w:snapToGrid w:val="0"/>
          <w:color w:val="auto"/>
          <w:kern w:val="0"/>
          <w:sz w:val="24"/>
          <w:highlight w:val="none"/>
        </w:rPr>
        <w:t>。如因承包人未按规定缴纳以上保险费</w:t>
      </w:r>
      <w:r>
        <w:rPr>
          <w:rFonts w:hint="eastAsia" w:ascii="宋体" w:hAnsi="宋体" w:cs="宋体"/>
          <w:color w:val="auto"/>
          <w:kern w:val="0"/>
          <w:sz w:val="24"/>
          <w:szCs w:val="24"/>
          <w:highlight w:val="none"/>
          <w:lang w:bidi="ar"/>
        </w:rPr>
        <w:t>或投保</w:t>
      </w:r>
      <w:r>
        <w:rPr>
          <w:rFonts w:hint="eastAsia" w:ascii="宋体" w:hAnsi="宋体"/>
          <w:bCs/>
          <w:snapToGrid w:val="0"/>
          <w:color w:val="auto"/>
          <w:kern w:val="0"/>
          <w:sz w:val="24"/>
          <w:highlight w:val="none"/>
        </w:rPr>
        <w:t>导致本工程施工许可证未能如期取得的，由此引起的相关责任全部由承包人承担。</w:t>
      </w:r>
    </w:p>
    <w:p w14:paraId="2BC1705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6.5承包人应在本工程开工前按</w:t>
      </w:r>
      <w:r>
        <w:rPr>
          <w:rFonts w:hint="eastAsia" w:ascii="宋体" w:hAnsi="宋体"/>
          <w:b/>
          <w:bCs/>
          <w:color w:val="auto"/>
          <w:kern w:val="0"/>
          <w:sz w:val="24"/>
          <w:szCs w:val="24"/>
          <w:highlight w:val="none"/>
          <w:u w:val="single"/>
        </w:rPr>
        <w:t>《广州市建设领域工人工资支付分账管理实施细则》（穗建规字〔2020〕37号）</w:t>
      </w:r>
      <w:r>
        <w:rPr>
          <w:rFonts w:hint="eastAsia" w:ascii="宋体" w:hAnsi="宋体"/>
          <w:bCs/>
          <w:snapToGrid w:val="0"/>
          <w:color w:val="auto"/>
          <w:kern w:val="0"/>
          <w:sz w:val="24"/>
          <w:highlight w:val="none"/>
        </w:rPr>
        <w:t>的规定开立工人工资支付专用账户，</w:t>
      </w:r>
      <w:r>
        <w:rPr>
          <w:rFonts w:hint="eastAsia" w:ascii="宋体" w:hAnsi="宋体" w:cs="宋体"/>
          <w:color w:val="auto"/>
          <w:kern w:val="0"/>
          <w:sz w:val="24"/>
          <w:szCs w:val="24"/>
          <w:highlight w:val="none"/>
          <w:lang w:bidi="ar"/>
        </w:rPr>
        <w:t>并按《广州市住房和城乡建设局 广州市人力资源和社会保障局关于加强房屋建筑工程实名制管理保障农民工工资的通知》（穗建筑〔2024〕263号）的要求保障工人工资发放</w:t>
      </w:r>
      <w:r>
        <w:rPr>
          <w:rFonts w:hint="eastAsia" w:ascii="宋体" w:hAnsi="宋体"/>
          <w:bCs/>
          <w:snapToGrid w:val="0"/>
          <w:color w:val="auto"/>
          <w:kern w:val="0"/>
          <w:sz w:val="24"/>
          <w:highlight w:val="none"/>
        </w:rPr>
        <w:t>。如因承包人未按规定开立、使用、变更、撤销工人工资支付专用账户导致本工程施工许可证未能如期办理、拖欠或克扣工人工资造成群体性事件或其他不良行为的，由此引起的相关责任全部由承包人承担。</w:t>
      </w:r>
    </w:p>
    <w:p w14:paraId="302AF997">
      <w:pPr>
        <w:adjustRightInd w:val="0"/>
        <w:snapToGrid w:val="0"/>
        <w:spacing w:line="360" w:lineRule="auto"/>
        <w:ind w:right="11" w:firstLine="480" w:firstLineChars="200"/>
        <w:rPr>
          <w:rFonts w:hint="eastAsia" w:ascii="微软雅黑" w:hAnsi="微软雅黑"/>
          <w:color w:val="auto"/>
          <w:sz w:val="24"/>
          <w:szCs w:val="24"/>
          <w:highlight w:val="none"/>
        </w:rPr>
      </w:pPr>
      <w:r>
        <w:rPr>
          <w:rFonts w:hint="eastAsia" w:ascii="宋体" w:hAnsi="宋体"/>
          <w:bCs/>
          <w:snapToGrid w:val="0"/>
          <w:color w:val="auto"/>
          <w:kern w:val="0"/>
          <w:sz w:val="24"/>
          <w:szCs w:val="24"/>
          <w:highlight w:val="none"/>
        </w:rPr>
        <w:t>6.6承包人应当按照</w:t>
      </w:r>
      <w:r>
        <w:rPr>
          <w:rFonts w:hint="eastAsia" w:ascii="宋体" w:hAnsi="宋体"/>
          <w:color w:val="auto"/>
          <w:sz w:val="24"/>
          <w:highlight w:val="none"/>
        </w:rPr>
        <w:t>《广州市住房和城乡建设局关于印发&lt;广州市建筑施工实名制管理办法&gt;的通知》（穗建规字〔2020〕18号）</w:t>
      </w:r>
      <w:r>
        <w:rPr>
          <w:rFonts w:hint="eastAsia" w:ascii="宋体" w:hAnsi="宋体" w:cs="宋体"/>
          <w:color w:val="auto"/>
          <w:sz w:val="24"/>
          <w:szCs w:val="24"/>
          <w:highlight w:val="none"/>
          <w:lang w:bidi="ar"/>
        </w:rPr>
        <w:t>和《广州市住房和城乡建设局 广州市人力资源和社会保障局关于加强房屋建筑工程实名制管理保障农民工工资的通知》（穗建筑〔2024〕263号）等文件</w:t>
      </w:r>
      <w:r>
        <w:rPr>
          <w:rFonts w:hint="eastAsia" w:ascii="宋体" w:hAnsi="宋体"/>
          <w:bCs/>
          <w:snapToGrid w:val="0"/>
          <w:color w:val="auto"/>
          <w:kern w:val="0"/>
          <w:sz w:val="24"/>
          <w:szCs w:val="24"/>
          <w:highlight w:val="none"/>
        </w:rPr>
        <w:t>的有关要求，利用信息技术手段，为施工现场人员（即实名管理对象，指建筑项目负责人、现场管理人员和作业工人）建立实名制管理机构，建立健全实名制信息采集、登记、报送、审核和档案管理的有关制度，落实实名管理制度。如</w:t>
      </w:r>
      <w:r>
        <w:rPr>
          <w:rFonts w:ascii="微软雅黑" w:hAnsi="微软雅黑"/>
          <w:color w:val="auto"/>
          <w:sz w:val="24"/>
          <w:szCs w:val="24"/>
          <w:highlight w:val="none"/>
        </w:rPr>
        <w:t>未按规定建立建筑施工实名制信息登记档案或档案不符合规定标准的，</w:t>
      </w:r>
      <w:r>
        <w:rPr>
          <w:rFonts w:hint="eastAsia" w:ascii="微软雅黑" w:hAnsi="微软雅黑"/>
          <w:color w:val="auto"/>
          <w:sz w:val="24"/>
          <w:szCs w:val="24"/>
          <w:highlight w:val="none"/>
        </w:rPr>
        <w:t>由此引起的一切责任和后果（包括不限于被纳入企业“黑名单”、按招标及合同文件规定被发包人拒绝参与其后续工程招标项目投标等）均由承包人自行承担</w:t>
      </w:r>
      <w:r>
        <w:rPr>
          <w:rFonts w:ascii="微软雅黑" w:hAnsi="微软雅黑"/>
          <w:color w:val="auto"/>
          <w:sz w:val="24"/>
          <w:szCs w:val="24"/>
          <w:highlight w:val="none"/>
        </w:rPr>
        <w:t>。</w:t>
      </w:r>
    </w:p>
    <w:p w14:paraId="11412A5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szCs w:val="24"/>
          <w:highlight w:val="none"/>
        </w:rPr>
        <w:t>承包人对实名管理负总责，应当对</w:t>
      </w:r>
      <w:r>
        <w:rPr>
          <w:rFonts w:hint="eastAsia" w:ascii="宋体" w:hAnsi="宋体"/>
          <w:bCs/>
          <w:iCs/>
          <w:snapToGrid w:val="0"/>
          <w:color w:val="auto"/>
          <w:kern w:val="0"/>
          <w:sz w:val="24"/>
          <w:highlight w:val="none"/>
        </w:rPr>
        <w:t>其</w:t>
      </w:r>
      <w:r>
        <w:rPr>
          <w:rFonts w:hint="eastAsia" w:ascii="宋体" w:hAnsi="宋体"/>
          <w:bCs/>
          <w:snapToGrid w:val="0"/>
          <w:color w:val="auto"/>
          <w:kern w:val="0"/>
          <w:sz w:val="24"/>
          <w:szCs w:val="24"/>
          <w:highlight w:val="none"/>
        </w:rPr>
        <w:t>专业分包单位</w:t>
      </w:r>
      <w:r>
        <w:rPr>
          <w:rFonts w:hint="eastAsia" w:ascii="宋体" w:hAnsi="宋体"/>
          <w:bCs/>
          <w:iCs/>
          <w:snapToGrid w:val="0"/>
          <w:color w:val="auto"/>
          <w:kern w:val="0"/>
          <w:sz w:val="24"/>
          <w:highlight w:val="none"/>
        </w:rPr>
        <w:t>和</w:t>
      </w:r>
      <w:r>
        <w:rPr>
          <w:rFonts w:hint="eastAsia" w:ascii="宋体" w:hAnsi="宋体"/>
          <w:bCs/>
          <w:snapToGrid w:val="0"/>
          <w:color w:val="auto"/>
          <w:kern w:val="0"/>
          <w:sz w:val="24"/>
          <w:szCs w:val="24"/>
          <w:highlight w:val="none"/>
        </w:rPr>
        <w:t>劳务分包单位实施统一管理，监督其用工单位按时足额支付作业工人工资，督促其落实实名管理制度。发包人直接发包的专业承包单位应按照其与承包人签订的附件《施工总承包管理协议书》的约定和承包人的要求开展实名管理的相关工作。</w:t>
      </w:r>
    </w:p>
    <w:p w14:paraId="10F42AED">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6.7</w:t>
      </w:r>
      <w:r>
        <w:rPr>
          <w:rFonts w:hint="eastAsia" w:ascii="宋体" w:hAnsi="宋体"/>
          <w:color w:val="auto"/>
          <w:sz w:val="24"/>
          <w:highlight w:val="none"/>
        </w:rPr>
        <w:t>发包人、承包人双方一致同意，</w:t>
      </w:r>
      <w:r>
        <w:rPr>
          <w:rFonts w:hint="eastAsia" w:ascii="宋体" w:hAnsi="宋体"/>
          <w:bCs/>
          <w:snapToGrid w:val="0"/>
          <w:color w:val="auto"/>
          <w:kern w:val="0"/>
          <w:sz w:val="24"/>
          <w:highlight w:val="none"/>
        </w:rPr>
        <w:t>如本合同工程纳入审计项目计划，且审计机关对于结算评审提出修正意见的，双方应当本着实事求是的原则予以纠正。</w:t>
      </w:r>
    </w:p>
    <w:p w14:paraId="06FD88B8">
      <w:pPr>
        <w:adjustRightInd w:val="0"/>
        <w:snapToGrid w:val="0"/>
        <w:spacing w:line="360" w:lineRule="auto"/>
        <w:ind w:right="11"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6.8本项目已委托监理单位（项目管理单位）实施本项目建设管理，项目建设资金由项目业主单位负责落实，本合同款项支付方式如下：</w:t>
      </w:r>
    </w:p>
    <w:p w14:paraId="6F498B71">
      <w:pPr>
        <w:adjustRightInd w:val="0"/>
        <w:snapToGrid w:val="0"/>
        <w:spacing w:line="360" w:lineRule="auto"/>
        <w:ind w:firstLine="480" w:firstLineChars="200"/>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承包人在达到本合同付款条件并按照合同约定申请支付本合同款项时，应向发包人提交相应合法有效的支付申请材料和收款票据（票据类型包括但不限于发票）。</w:t>
      </w:r>
    </w:p>
    <w:p w14:paraId="74183E65">
      <w:pPr>
        <w:adjustRightInd w:val="0"/>
        <w:snapToGrid w:val="0"/>
        <w:spacing w:line="360" w:lineRule="auto"/>
        <w:ind w:firstLine="480" w:firstLineChars="200"/>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承包人按相关规定及财务制度（含发包人的财务管理制度）提交完备且无误的支付申请材料后，发包人对承包人提交的支付申请材料进行审核，发包人在审核确定且项目资金到位后把相关资料连同承包人提交的发票向项目业主单位申请拨付有关款项至承包人，具体支付时间以相关资金主管部门实际支付时间为准。承包人承诺不因财政或上级主管部门等原因导致的支付延迟而向发包人索赔费用或主张相关违约责任，并且此情况不能成为承包人中止或拒绝履行合同约定义务的理由。</w:t>
      </w:r>
    </w:p>
    <w:p w14:paraId="152480CA">
      <w:pPr>
        <w:adjustRightInd w:val="0"/>
        <w:snapToGrid w:val="0"/>
        <w:spacing w:line="360" w:lineRule="auto"/>
        <w:ind w:right="11"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6.9本工程竣工验收且移交给发包人使用管理后，由发包人牵头组织完成项目合同约定范围内的工程质量保修期服务。</w:t>
      </w:r>
    </w:p>
    <w:p w14:paraId="4D8C546E">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7、组成合同的文件</w:t>
      </w:r>
    </w:p>
    <w:p w14:paraId="20693C18">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下列文件应被认为是组成本合同的一部分，并互为补充和解释，如各文件存在冲突之处，以如下排列次序在前者优先适用：</w:t>
      </w:r>
    </w:p>
    <w:p w14:paraId="7F37D8D4">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（1）相关政府主管部门关于本工程的有关文件；</w:t>
      </w:r>
    </w:p>
    <w:p w14:paraId="607A3602">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（2）本合同履行期间发包人与承包人双方签订的补充合同（协议）或修正文件；</w:t>
      </w:r>
    </w:p>
    <w:p w14:paraId="30C88127">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（3）合同协议书；</w:t>
      </w:r>
    </w:p>
    <w:p w14:paraId="7F923F3D">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（4）中标通知书；</w:t>
      </w:r>
    </w:p>
    <w:p w14:paraId="68246788">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（5）合同专用条款；</w:t>
      </w:r>
    </w:p>
    <w:p w14:paraId="2A1451B8">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（6）发包人针对工程管理的各项制度、规定</w:t>
      </w:r>
      <w:r>
        <w:rPr>
          <w:rFonts w:hint="eastAsia" w:ascii="宋体" w:hAnsi="宋体"/>
          <w:b/>
          <w:bCs/>
          <w:snapToGrid w:val="0"/>
          <w:color w:val="auto"/>
          <w:kern w:val="0"/>
          <w:sz w:val="24"/>
          <w:highlight w:val="none"/>
        </w:rPr>
        <w:t>（</w:t>
      </w:r>
      <w:r>
        <w:rPr>
          <w:rFonts w:hint="eastAsia" w:ascii="宋体" w:hAnsi="宋体" w:cs="宋体"/>
          <w:b/>
          <w:color w:val="auto"/>
          <w:kern w:val="0"/>
          <w:sz w:val="24"/>
          <w:szCs w:val="24"/>
          <w:highlight w:val="none"/>
          <w:lang w:bidi="ar"/>
        </w:rPr>
        <w:t>包括继续沿用发包人更名前相关制度、规定，</w:t>
      </w:r>
      <w:r>
        <w:rPr>
          <w:rFonts w:hint="eastAsia" w:ascii="宋体" w:hAnsi="宋体"/>
          <w:snapToGrid w:val="0"/>
          <w:color w:val="auto"/>
          <w:kern w:val="0"/>
          <w:sz w:val="24"/>
          <w:highlight w:val="none"/>
        </w:rPr>
        <w:t>如有更新则按更新后的执行</w:t>
      </w:r>
      <w:r>
        <w:rPr>
          <w:rFonts w:hint="eastAsia" w:ascii="宋体" w:hAnsi="宋体" w:cs="宋体"/>
          <w:color w:val="auto"/>
          <w:kern w:val="0"/>
          <w:sz w:val="24"/>
          <w:szCs w:val="24"/>
          <w:highlight w:val="none"/>
          <w:lang w:bidi="ar"/>
        </w:rPr>
        <w:t>，</w:t>
      </w:r>
      <w:r>
        <w:rPr>
          <w:rFonts w:hint="eastAsia" w:ascii="宋体" w:hAnsi="宋体" w:cs="宋体"/>
          <w:bCs/>
          <w:color w:val="auto"/>
          <w:kern w:val="0"/>
          <w:sz w:val="24"/>
          <w:szCs w:val="24"/>
          <w:highlight w:val="none"/>
          <w:lang w:bidi="ar"/>
        </w:rPr>
        <w:t>下同</w:t>
      </w:r>
      <w:r>
        <w:rPr>
          <w:rFonts w:hint="eastAsia" w:ascii="宋体" w:hAnsi="宋体"/>
          <w:b/>
          <w:bCs/>
          <w:snapToGrid w:val="0"/>
          <w:color w:val="auto"/>
          <w:kern w:val="0"/>
          <w:sz w:val="24"/>
          <w:highlight w:val="none"/>
        </w:rPr>
        <w:t>）</w:t>
      </w:r>
      <w:r>
        <w:rPr>
          <w:rFonts w:hint="eastAsia" w:ascii="宋体" w:hAnsi="宋体"/>
          <w:bCs/>
          <w:snapToGrid w:val="0"/>
          <w:color w:val="auto"/>
          <w:kern w:val="0"/>
          <w:sz w:val="24"/>
          <w:highlight w:val="none"/>
        </w:rPr>
        <w:t>；</w:t>
      </w:r>
    </w:p>
    <w:p w14:paraId="1CA46229">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（7）合同附件[属本条第（1）项和第（6）项内容的除外]；</w:t>
      </w:r>
    </w:p>
    <w:p w14:paraId="472BE9E2">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（8）合同通用条款；</w:t>
      </w:r>
    </w:p>
    <w:p w14:paraId="4ED6A370">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（9）招标文件[含招标文件补充文件、澄清文件、答疑文件、招标图等，属本条第（7）项内容的除外]；</w:t>
      </w:r>
    </w:p>
    <w:p w14:paraId="00AD4B6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（10）承包人投标文件及其附件[含投标文件澄清等，属本条第（7）项内容的除外]；</w:t>
      </w:r>
    </w:p>
    <w:p w14:paraId="7AC7D8F1">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（11）国家及广东省、广州市的标准、规范及有关技术文件；</w:t>
      </w:r>
    </w:p>
    <w:p w14:paraId="01DDC62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（12）组成合同的其他文件。</w:t>
      </w:r>
    </w:p>
    <w:p w14:paraId="4A47E50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通过上述顺序解释仍无法明确的事项，由发包人与承包人协商解决；如协商不成，由发包人按照公平合理和有利于本工程建设的原则作出决定，如承包人对此决定不服的，应在接到发包人决定之日起三日内提出书面异议。如期满不提出书面异议的，视为同意发包人的决定。发包人收到承包人的书面异议后应作出进一步的决定。如</w:t>
      </w:r>
      <w:r>
        <w:rPr>
          <w:rFonts w:hint="eastAsia" w:ascii="宋体" w:hAnsi="宋体"/>
          <w:bCs/>
          <w:snapToGrid w:val="0"/>
          <w:color w:val="auto"/>
          <w:kern w:val="0"/>
          <w:sz w:val="24"/>
          <w:highlight w:val="none"/>
        </w:rPr>
        <w:t>承包人</w:t>
      </w:r>
      <w:r>
        <w:rPr>
          <w:rFonts w:hint="eastAsia" w:ascii="宋体" w:hAnsi="宋体"/>
          <w:snapToGrid w:val="0"/>
          <w:color w:val="auto"/>
          <w:kern w:val="0"/>
          <w:sz w:val="24"/>
          <w:highlight w:val="none"/>
        </w:rPr>
        <w:t>还不服的，可按</w:t>
      </w:r>
      <w:r>
        <w:rPr>
          <w:rFonts w:hint="eastAsia" w:ascii="宋体" w:hAnsi="宋体"/>
          <w:bCs/>
          <w:snapToGrid w:val="0"/>
          <w:color w:val="auto"/>
          <w:kern w:val="0"/>
          <w:sz w:val="24"/>
          <w:highlight w:val="none"/>
        </w:rPr>
        <w:t>合同专用条款第40条的约定处理，但在有关部门没有作出正式裁决之前，承包人必须无条件先行执行发包人的决定。</w:t>
      </w:r>
    </w:p>
    <w:p w14:paraId="32601C9E">
      <w:pPr>
        <w:adjustRightInd w:val="0"/>
        <w:snapToGrid w:val="0"/>
        <w:spacing w:line="360" w:lineRule="auto"/>
        <w:ind w:right="11" w:firstLine="482" w:firstLineChars="200"/>
        <w:outlineLvl w:val="1"/>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8、</w:t>
      </w:r>
      <w:r>
        <w:rPr>
          <w:rFonts w:hint="eastAsia" w:ascii="宋体" w:hAnsi="宋体"/>
          <w:bCs/>
          <w:snapToGrid w:val="0"/>
          <w:color w:val="auto"/>
          <w:kern w:val="0"/>
          <w:sz w:val="24"/>
          <w:highlight w:val="none"/>
        </w:rPr>
        <w:t>承包人应在收到中标通知书之日起5日内以书面形式向发包人提交其法定代表人、项目经理（项目负责人）的姓名、身份证复印件、职务、职称、联系方式（包括办公电话、手机、传真号码）、通信地址等信息作为合同附件。</w:t>
      </w:r>
    </w:p>
    <w:p w14:paraId="7C4CDE2B">
      <w:pPr>
        <w:adjustRightInd w:val="0"/>
        <w:snapToGrid w:val="0"/>
        <w:spacing w:line="360" w:lineRule="auto"/>
        <w:ind w:right="11" w:firstLine="482" w:firstLineChars="200"/>
        <w:outlineLvl w:val="1"/>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9、</w:t>
      </w:r>
      <w:r>
        <w:rPr>
          <w:rFonts w:hint="eastAsia" w:ascii="宋体" w:hAnsi="宋体"/>
          <w:bCs/>
          <w:snapToGrid w:val="0"/>
          <w:color w:val="auto"/>
          <w:kern w:val="0"/>
          <w:sz w:val="24"/>
          <w:highlight w:val="none"/>
        </w:rPr>
        <w:t>在本合同有效期内，承包人的单位名称变更的，应及时以书面形式通知发包人并附上变更登记资料；法定代表人变更的，应在变更后15日内向发包人提交新法定代表人的姓名、身份证复印件、职务、职称、联系电话、通信地址等信息。</w:t>
      </w:r>
    </w:p>
    <w:p w14:paraId="5817580A">
      <w:pPr>
        <w:adjustRightInd w:val="0"/>
        <w:snapToGrid w:val="0"/>
        <w:spacing w:line="360" w:lineRule="auto"/>
        <w:ind w:right="11" w:firstLine="482" w:firstLineChars="200"/>
        <w:outlineLvl w:val="1"/>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10、</w:t>
      </w:r>
      <w:r>
        <w:rPr>
          <w:rFonts w:hint="eastAsia" w:ascii="宋体" w:hAnsi="宋体"/>
          <w:bCs/>
          <w:snapToGrid w:val="0"/>
          <w:color w:val="auto"/>
          <w:kern w:val="0"/>
          <w:sz w:val="24"/>
          <w:szCs w:val="24"/>
          <w:highlight w:val="none"/>
        </w:rPr>
        <w:t>在本合同有效期内，现场管理机构各部主要组织管理人员[包括但不限于项目经理（项目负责人）、技术负责人]应与投标文件保持一致，且需常驻工地。发包人不要求更换时不得更换。因特殊情况需要更换的，承包人应以书面形式向监理单位提出意向（附前任和后任人员的详细履历资料），经总监理工程师签署意见后向发包人提出申请，征得发包人及项目业主同意后方可更换。出现前述情形，承包人除按合同专用条款的有关约定承担违约责任外，还应在更换后7日内将新项目经理（项目负责人）的姓名、职务、职称、联系电话、通信地址等信息提交给发包人。</w:t>
      </w:r>
    </w:p>
    <w:p w14:paraId="00591D90">
      <w:pPr>
        <w:adjustRightInd w:val="0"/>
        <w:snapToGrid w:val="0"/>
        <w:spacing w:line="360" w:lineRule="auto"/>
        <w:ind w:right="11" w:firstLine="482" w:firstLineChars="200"/>
        <w:outlineLvl w:val="1"/>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11、</w:t>
      </w:r>
      <w:r>
        <w:rPr>
          <w:rFonts w:hint="eastAsia" w:ascii="宋体" w:hAnsi="宋体"/>
          <w:bCs/>
          <w:snapToGrid w:val="0"/>
          <w:color w:val="auto"/>
          <w:kern w:val="0"/>
          <w:sz w:val="24"/>
          <w:highlight w:val="none"/>
        </w:rPr>
        <w:t>合同协议书中有关词语含义与合同通用条款、合同专用条款中分别赋予它们的定义相同。</w:t>
      </w:r>
    </w:p>
    <w:p w14:paraId="2A7B5597">
      <w:pPr>
        <w:topLinePunct/>
        <w:adjustRightInd w:val="0"/>
        <w:snapToGrid w:val="0"/>
        <w:spacing w:line="360" w:lineRule="auto"/>
        <w:ind w:firstLine="482" w:firstLineChars="200"/>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12、</w:t>
      </w:r>
      <w:r>
        <w:rPr>
          <w:rFonts w:hint="eastAsia" w:ascii="宋体" w:hAnsi="宋体"/>
          <w:bCs/>
          <w:snapToGrid w:val="0"/>
          <w:color w:val="auto"/>
          <w:kern w:val="0"/>
          <w:sz w:val="24"/>
          <w:highlight w:val="none"/>
        </w:rPr>
        <w:t>承包人向发包人承诺按照合同约定进行采购、施工、竣工验收、移交、结算、管理及配合服务，并在缺陷责任期及质量保修期内承担相应的工程维修责任。</w:t>
      </w:r>
    </w:p>
    <w:p w14:paraId="761C538D">
      <w:pPr>
        <w:adjustRightInd w:val="0"/>
        <w:snapToGrid w:val="0"/>
        <w:spacing w:line="360" w:lineRule="auto"/>
        <w:ind w:right="11" w:firstLine="482" w:firstLineChars="200"/>
        <w:outlineLvl w:val="1"/>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13、</w:t>
      </w:r>
      <w:r>
        <w:rPr>
          <w:rFonts w:hint="eastAsia" w:ascii="宋体" w:hAnsi="宋体"/>
          <w:bCs/>
          <w:snapToGrid w:val="0"/>
          <w:color w:val="auto"/>
          <w:kern w:val="0"/>
          <w:sz w:val="24"/>
          <w:highlight w:val="none"/>
        </w:rPr>
        <w:t>发包人向承包人承诺按照合同约定的期限和方式支付合同价款及按合同约定应支付的其他款项。</w:t>
      </w:r>
    </w:p>
    <w:p w14:paraId="5636B6FF">
      <w:pPr>
        <w:adjustRightInd w:val="0"/>
        <w:snapToGrid w:val="0"/>
        <w:spacing w:line="360" w:lineRule="auto"/>
        <w:ind w:right="11" w:firstLine="482" w:firstLineChars="200"/>
        <w:outlineLvl w:val="1"/>
        <w:rPr>
          <w:rFonts w:hint="eastAsia" w:ascii="宋体" w:hAnsi="宋体"/>
          <w:b/>
          <w:snapToGrid w:val="0"/>
          <w:color w:val="auto"/>
          <w:kern w:val="0"/>
          <w:sz w:val="24"/>
          <w:highlight w:val="none"/>
        </w:rPr>
      </w:pPr>
      <w:r>
        <w:rPr>
          <w:rFonts w:hint="eastAsia" w:ascii="宋体" w:hAnsi="宋体"/>
          <w:b/>
          <w:bCs/>
          <w:snapToGrid w:val="0"/>
          <w:color w:val="auto"/>
          <w:kern w:val="0"/>
          <w:sz w:val="24"/>
          <w:highlight w:val="none"/>
        </w:rPr>
        <w:t>14、</w:t>
      </w:r>
      <w:r>
        <w:rPr>
          <w:rFonts w:hint="eastAsia" w:ascii="宋体" w:hAnsi="宋体"/>
          <w:b/>
          <w:snapToGrid w:val="0"/>
          <w:color w:val="auto"/>
          <w:kern w:val="0"/>
          <w:sz w:val="24"/>
          <w:highlight w:val="none"/>
        </w:rPr>
        <w:t>在出现以下情况时，发包人有权拒绝承包人参与发包人后续招标项目的投标：</w:t>
      </w:r>
    </w:p>
    <w:p w14:paraId="7764CB00">
      <w:pPr>
        <w:adjustRightInd w:val="0"/>
        <w:snapToGrid w:val="0"/>
        <w:spacing w:line="360" w:lineRule="auto"/>
        <w:ind w:right="11" w:firstLine="480" w:firstLineChars="200"/>
        <w:outlineLvl w:val="1"/>
        <w:rPr>
          <w:rFonts w:hint="eastAsia" w:ascii="宋体" w:hAnsi="宋体"/>
          <w:bCs/>
          <w:snapToGrid w:val="0"/>
          <w:color w:val="auto"/>
          <w:kern w:val="0"/>
          <w:sz w:val="24"/>
          <w:highlight w:val="none"/>
          <w:u w:val="single"/>
        </w:rPr>
      </w:pPr>
      <w:r>
        <w:rPr>
          <w:rFonts w:hint="eastAsia" w:ascii="宋体" w:hAnsi="宋体"/>
          <w:bCs/>
          <w:snapToGrid w:val="0"/>
          <w:color w:val="auto"/>
          <w:kern w:val="0"/>
          <w:sz w:val="24"/>
          <w:highlight w:val="none"/>
          <w:u w:val="single"/>
        </w:rPr>
        <w:t>（1）承包人因过错行为被生效法律文书认定承担违约或侵权责任的；</w:t>
      </w:r>
    </w:p>
    <w:p w14:paraId="2AFE44AA">
      <w:pPr>
        <w:adjustRightInd w:val="0"/>
        <w:snapToGrid w:val="0"/>
        <w:spacing w:line="360" w:lineRule="auto"/>
        <w:ind w:right="11" w:firstLine="480" w:firstLineChars="200"/>
        <w:outlineLvl w:val="1"/>
        <w:rPr>
          <w:rFonts w:hint="eastAsia" w:ascii="宋体" w:hAnsi="宋体"/>
          <w:bCs/>
          <w:snapToGrid w:val="0"/>
          <w:color w:val="auto"/>
          <w:kern w:val="0"/>
          <w:sz w:val="24"/>
          <w:highlight w:val="none"/>
          <w:u w:val="single"/>
        </w:rPr>
      </w:pPr>
      <w:r>
        <w:rPr>
          <w:rFonts w:hint="eastAsia" w:ascii="宋体" w:hAnsi="宋体"/>
          <w:bCs/>
          <w:snapToGrid w:val="0"/>
          <w:color w:val="auto"/>
          <w:kern w:val="0"/>
          <w:sz w:val="24"/>
          <w:highlight w:val="none"/>
          <w:u w:val="single"/>
        </w:rPr>
        <w:t>（2）承包人就其与发包人之间的争议问题向人民法院提起诉讼或向仲裁机构提请仲裁，且该诉讼（或仲裁）案件尚未审理终结的；</w:t>
      </w:r>
    </w:p>
    <w:p w14:paraId="13ACEF98">
      <w:pPr>
        <w:adjustRightInd w:val="0"/>
        <w:snapToGrid w:val="0"/>
        <w:spacing w:line="360" w:lineRule="auto"/>
        <w:ind w:right="11" w:firstLine="480" w:firstLineChars="200"/>
        <w:outlineLvl w:val="1"/>
        <w:rPr>
          <w:rFonts w:hint="eastAsia" w:ascii="宋体" w:hAnsi="宋体"/>
          <w:bCs/>
          <w:snapToGrid w:val="0"/>
          <w:color w:val="auto"/>
          <w:kern w:val="0"/>
          <w:sz w:val="24"/>
          <w:highlight w:val="none"/>
          <w:u w:val="single"/>
        </w:rPr>
      </w:pPr>
      <w:r>
        <w:rPr>
          <w:rFonts w:hint="eastAsia" w:ascii="宋体" w:hAnsi="宋体"/>
          <w:bCs/>
          <w:snapToGrid w:val="0"/>
          <w:color w:val="auto"/>
          <w:kern w:val="0"/>
          <w:sz w:val="24"/>
          <w:highlight w:val="none"/>
          <w:u w:val="single"/>
        </w:rPr>
        <w:t>（3）承包人不按合同及有关规定按时、足额支付分包单位合同价款及工人工资被投诉，经发包人查证属实的，或因此致使工人集体上访、集聚围阻而造成社会不良影响的；</w:t>
      </w:r>
    </w:p>
    <w:p w14:paraId="42DE258D">
      <w:pPr>
        <w:adjustRightInd w:val="0"/>
        <w:snapToGrid w:val="0"/>
        <w:spacing w:line="360" w:lineRule="auto"/>
        <w:ind w:right="11" w:firstLine="480" w:firstLineChars="200"/>
        <w:outlineLvl w:val="1"/>
        <w:rPr>
          <w:rFonts w:hint="eastAsia" w:ascii="宋体" w:hAnsi="宋体"/>
          <w:bCs/>
          <w:snapToGrid w:val="0"/>
          <w:color w:val="auto"/>
          <w:kern w:val="0"/>
          <w:sz w:val="24"/>
          <w:highlight w:val="none"/>
          <w:u w:val="single"/>
        </w:rPr>
      </w:pPr>
      <w:r>
        <w:rPr>
          <w:rFonts w:hint="eastAsia" w:ascii="宋体" w:hAnsi="宋体"/>
          <w:bCs/>
          <w:snapToGrid w:val="0"/>
          <w:color w:val="auto"/>
          <w:kern w:val="0"/>
          <w:sz w:val="24"/>
          <w:highlight w:val="none"/>
          <w:u w:val="single"/>
        </w:rPr>
        <w:t>（4）因承包人原因导致发包人被其他单位或个人以诉讼或仲裁方式追索工程款或其他费用，但承包人未按照合同约定承担发包人由此产生的一切经济损失（包括但不限于发包人由此支出的所有诉讼或仲裁费用、律师代理费及其他费用），在收到发包人赔付通知后拒绝赔付的；</w:t>
      </w:r>
    </w:p>
    <w:p w14:paraId="6E8885A7">
      <w:pPr>
        <w:adjustRightInd w:val="0"/>
        <w:snapToGrid w:val="0"/>
        <w:spacing w:line="360" w:lineRule="auto"/>
        <w:ind w:right="11" w:firstLine="480" w:firstLineChars="200"/>
        <w:outlineLvl w:val="1"/>
        <w:rPr>
          <w:rFonts w:hint="eastAsia" w:ascii="宋体" w:hAnsi="宋体"/>
          <w:bCs/>
          <w:snapToGrid w:val="0"/>
          <w:color w:val="auto"/>
          <w:kern w:val="0"/>
          <w:sz w:val="24"/>
          <w:highlight w:val="none"/>
          <w:u w:val="single"/>
        </w:rPr>
      </w:pPr>
      <w:r>
        <w:rPr>
          <w:rFonts w:hint="eastAsia" w:ascii="宋体" w:hAnsi="宋体"/>
          <w:bCs/>
          <w:snapToGrid w:val="0"/>
          <w:color w:val="auto"/>
          <w:kern w:val="0"/>
          <w:sz w:val="24"/>
          <w:highlight w:val="none"/>
          <w:u w:val="single"/>
        </w:rPr>
        <w:t>（5）承包人违反合同约定应承担两次以上严重违约责任的；</w:t>
      </w:r>
    </w:p>
    <w:p w14:paraId="0B91DBD5">
      <w:pPr>
        <w:adjustRightInd w:val="0"/>
        <w:snapToGrid w:val="0"/>
        <w:spacing w:line="360" w:lineRule="auto"/>
        <w:ind w:right="11" w:firstLine="480" w:firstLineChars="200"/>
        <w:outlineLvl w:val="1"/>
        <w:rPr>
          <w:rFonts w:hint="eastAsia" w:ascii="宋体" w:hAnsi="宋体"/>
          <w:bCs/>
          <w:snapToGrid w:val="0"/>
          <w:color w:val="auto"/>
          <w:kern w:val="0"/>
          <w:sz w:val="24"/>
          <w:szCs w:val="24"/>
          <w:highlight w:val="none"/>
          <w:u w:val="single"/>
        </w:rPr>
      </w:pPr>
      <w:r>
        <w:rPr>
          <w:rFonts w:hint="eastAsia" w:ascii="宋体" w:hAnsi="宋体"/>
          <w:bCs/>
          <w:snapToGrid w:val="0"/>
          <w:color w:val="auto"/>
          <w:kern w:val="0"/>
          <w:sz w:val="24"/>
          <w:szCs w:val="24"/>
          <w:highlight w:val="none"/>
          <w:u w:val="single"/>
        </w:rPr>
        <w:t>（6）承包人自行调换或未按照发包人要求及时更换项目经理的。经发包人同意撤换的项目经理，该项目经理自撤换之日起半年内不允许其参加发包人后续工程项目的投标；</w:t>
      </w:r>
    </w:p>
    <w:p w14:paraId="39023E38">
      <w:pPr>
        <w:adjustRightInd w:val="0"/>
        <w:snapToGrid w:val="0"/>
        <w:spacing w:line="360" w:lineRule="auto"/>
        <w:ind w:right="11" w:firstLine="480" w:firstLineChars="200"/>
        <w:outlineLvl w:val="1"/>
        <w:rPr>
          <w:rFonts w:hint="eastAsia" w:ascii="宋体" w:hAnsi="宋体"/>
          <w:bCs/>
          <w:snapToGrid w:val="0"/>
          <w:color w:val="auto"/>
          <w:sz w:val="24"/>
          <w:szCs w:val="24"/>
          <w:highlight w:val="none"/>
          <w:u w:val="single"/>
        </w:rPr>
      </w:pPr>
      <w:r>
        <w:rPr>
          <w:rFonts w:hint="eastAsia" w:ascii="宋体" w:hAnsi="宋体"/>
          <w:bCs/>
          <w:snapToGrid w:val="0"/>
          <w:color w:val="auto"/>
          <w:sz w:val="24"/>
          <w:szCs w:val="24"/>
          <w:highlight w:val="none"/>
          <w:u w:val="single"/>
        </w:rPr>
        <w:t>（7）承包人委派的项目经理长期不到位（即连续三个月或以上达不到合同约定的出勤率）。</w:t>
      </w:r>
    </w:p>
    <w:p w14:paraId="1D8B5415">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15、合同生效</w:t>
      </w:r>
    </w:p>
    <w:p w14:paraId="11AB10BD">
      <w:pPr>
        <w:adjustRightInd w:val="0"/>
        <w:snapToGrid w:val="0"/>
        <w:spacing w:line="360" w:lineRule="auto"/>
        <w:ind w:right="11" w:firstLine="480" w:firstLineChars="200"/>
        <w:outlineLvl w:val="1"/>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本合同自发包人、承包人双方签字盖章（公章或合同专用章）之日起生效，委托代理人签字的需经另一方书面同意。本合同有效期至本工程质量保修期满且竣工结算满60日及双方的责任、义务履行完毕时终止。</w:t>
      </w:r>
    </w:p>
    <w:p w14:paraId="371F3982">
      <w:pPr>
        <w:adjustRightInd w:val="0"/>
        <w:snapToGrid w:val="0"/>
        <w:spacing w:line="360" w:lineRule="auto"/>
        <w:ind w:right="11" w:firstLine="482" w:firstLineChars="200"/>
        <w:outlineLvl w:val="1"/>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16、合同份数</w:t>
      </w:r>
    </w:p>
    <w:p w14:paraId="5EB69F1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本合同正本一式捌份，发包人、承包人各执肆份。</w:t>
      </w:r>
    </w:p>
    <w:p w14:paraId="31072068">
      <w:pPr>
        <w:adjustRightInd w:val="0"/>
        <w:snapToGrid w:val="0"/>
        <w:spacing w:line="360" w:lineRule="auto"/>
        <w:ind w:right="11" w:firstLine="482" w:firstLineChars="200"/>
        <w:rPr>
          <w:rFonts w:hint="eastAsia" w:ascii="宋体" w:hAnsi="宋体"/>
          <w:bCs/>
          <w:snapToGrid w:val="0"/>
          <w:color w:val="auto"/>
          <w:kern w:val="0"/>
          <w:sz w:val="24"/>
          <w:highlight w:val="none"/>
        </w:rPr>
      </w:pPr>
      <w:r>
        <w:rPr>
          <w:rFonts w:hint="eastAsia" w:ascii="宋体" w:hAnsi="宋体"/>
          <w:b/>
          <w:bCs/>
          <w:snapToGrid w:val="0"/>
          <w:color w:val="auto"/>
          <w:kern w:val="0"/>
          <w:sz w:val="24"/>
          <w:highlight w:val="none"/>
        </w:rPr>
        <w:t>17、</w:t>
      </w:r>
      <w:r>
        <w:rPr>
          <w:rFonts w:hint="eastAsia" w:ascii="宋体" w:hAnsi="宋体"/>
          <w:bCs/>
          <w:snapToGrid w:val="0"/>
          <w:color w:val="auto"/>
          <w:kern w:val="0"/>
          <w:sz w:val="24"/>
          <w:highlight w:val="none"/>
        </w:rPr>
        <w:t>中标通知书和招标答疑及澄清文件附在合同协议书后。</w:t>
      </w:r>
    </w:p>
    <w:p w14:paraId="6478CB36">
      <w:pPr>
        <w:adjustRightInd w:val="0"/>
        <w:snapToGrid w:val="0"/>
        <w:spacing w:line="360" w:lineRule="auto"/>
        <w:ind w:right="11" w:firstLine="480" w:firstLineChars="200"/>
        <w:rPr>
          <w:rFonts w:hint="eastAsia" w:ascii="宋体" w:hAnsi="宋体"/>
          <w:bCs/>
          <w:snapToGrid w:val="0"/>
          <w:color w:val="auto"/>
          <w:kern w:val="0"/>
          <w:sz w:val="24"/>
          <w:highlight w:val="none"/>
        </w:rPr>
      </w:pPr>
    </w:p>
    <w:p w14:paraId="686BC847">
      <w:pPr>
        <w:spacing w:after="120"/>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（本页以下无正文）</w:t>
      </w:r>
    </w:p>
    <w:p w14:paraId="4415C70A">
      <w:pPr>
        <w:adjustRightInd w:val="0"/>
        <w:snapToGrid w:val="0"/>
        <w:spacing w:line="360" w:lineRule="auto"/>
        <w:ind w:right="11"/>
        <w:rPr>
          <w:rFonts w:hint="eastAsia" w:ascii="宋体" w:hAnsi="宋体"/>
          <w:snapToGrid w:val="0"/>
          <w:color w:val="auto"/>
          <w:spacing w:val="-20"/>
          <w:kern w:val="0"/>
          <w:sz w:val="24"/>
          <w:highlight w:val="none"/>
        </w:rPr>
      </w:pPr>
      <w:r>
        <w:rPr>
          <w:rFonts w:ascii="宋体" w:hAnsi="宋体"/>
          <w:snapToGrid w:val="0"/>
          <w:color w:val="auto"/>
          <w:spacing w:val="-20"/>
          <w:kern w:val="0"/>
          <w:sz w:val="24"/>
          <w:highlight w:val="none"/>
        </w:rPr>
        <w:br w:type="page"/>
      </w:r>
      <w:r>
        <w:rPr>
          <w:rFonts w:hint="eastAsia" w:ascii="宋体" w:hAnsi="宋体"/>
          <w:snapToGrid w:val="0"/>
          <w:color w:val="auto"/>
          <w:spacing w:val="-20"/>
          <w:kern w:val="0"/>
          <w:sz w:val="24"/>
          <w:highlight w:val="none"/>
        </w:rPr>
        <w:t>发包人：</w:t>
      </w:r>
      <w:r>
        <w:rPr>
          <w:rFonts w:hint="eastAsia" w:ascii="宋体" w:hAnsi="宋体"/>
          <w:b/>
          <w:bCs/>
          <w:snapToGrid w:val="0"/>
          <w:color w:val="auto"/>
          <w:spacing w:val="-20"/>
          <w:kern w:val="0"/>
          <w:sz w:val="24"/>
          <w:highlight w:val="none"/>
          <w:lang w:eastAsia="zh-CN"/>
        </w:rPr>
        <w:t>广州市荔湾发展集团有限责任公司</w:t>
      </w:r>
      <w:r>
        <w:rPr>
          <w:rFonts w:hint="eastAsia" w:ascii="宋体" w:hAnsi="宋体"/>
          <w:snapToGrid w:val="0"/>
          <w:color w:val="auto"/>
          <w:spacing w:val="-20"/>
          <w:kern w:val="0"/>
          <w:sz w:val="24"/>
          <w:highlight w:val="none"/>
        </w:rPr>
        <w:t xml:space="preserve">                 承包人：</w:t>
      </w:r>
      <w:r>
        <w:rPr>
          <w:rFonts w:hint="eastAsia" w:ascii="宋体" w:hAnsi="宋体"/>
          <w:snapToGrid w:val="0"/>
          <w:color w:val="auto"/>
          <w:spacing w:val="-20"/>
          <w:kern w:val="0"/>
          <w:sz w:val="24"/>
          <w:highlight w:val="none"/>
          <w:u w:val="single"/>
        </w:rPr>
        <w:t xml:space="preserve">                                   </w:t>
      </w:r>
    </w:p>
    <w:p w14:paraId="12DFB4D8">
      <w:pPr>
        <w:adjustRightInd w:val="0"/>
        <w:snapToGrid w:val="0"/>
        <w:spacing w:line="360" w:lineRule="auto"/>
        <w:ind w:right="11" w:firstLine="2760" w:firstLineChars="1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（盖章）                             （盖章）</w:t>
      </w:r>
    </w:p>
    <w:p w14:paraId="4F2156DF">
      <w:pPr>
        <w:adjustRightInd w:val="0"/>
        <w:snapToGrid w:val="0"/>
        <w:spacing w:line="360" w:lineRule="auto"/>
        <w:ind w:right="11"/>
        <w:rPr>
          <w:rFonts w:hint="eastAsia" w:ascii="宋体" w:hAnsi="宋体"/>
          <w:snapToGrid w:val="0"/>
          <w:color w:val="auto"/>
          <w:kern w:val="0"/>
          <w:sz w:val="24"/>
          <w:highlight w:val="none"/>
        </w:rPr>
      </w:pPr>
    </w:p>
    <w:p w14:paraId="1E7CF9F7">
      <w:pPr>
        <w:adjustRightInd w:val="0"/>
        <w:snapToGrid w:val="0"/>
        <w:spacing w:line="360" w:lineRule="auto"/>
        <w:ind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法定代表人</w:t>
      </w:r>
      <w:r>
        <w:rPr>
          <w:rFonts w:hint="eastAsia" w:ascii="宋体" w:hAnsi="宋体" w:cs="宋体"/>
          <w:color w:val="auto"/>
          <w:kern w:val="0"/>
          <w:sz w:val="24"/>
          <w:szCs w:val="24"/>
          <w:highlight w:val="none"/>
          <w:lang w:bidi="ar"/>
        </w:rPr>
        <w:t>/授权委托人</w:t>
      </w:r>
      <w:r>
        <w:rPr>
          <w:rFonts w:hint="eastAsia" w:ascii="宋体" w:hAnsi="宋体"/>
          <w:snapToGrid w:val="0"/>
          <w:color w:val="auto"/>
          <w:kern w:val="0"/>
          <w:sz w:val="24"/>
          <w:highlight w:val="none"/>
        </w:rPr>
        <w:t>：                法定代表人：</w:t>
      </w:r>
    </w:p>
    <w:p w14:paraId="2C81F8B9">
      <w:pPr>
        <w:adjustRightInd w:val="0"/>
        <w:snapToGrid w:val="0"/>
        <w:spacing w:line="360" w:lineRule="auto"/>
        <w:ind w:right="11"/>
        <w:rPr>
          <w:rFonts w:hint="eastAsia" w:ascii="宋体" w:hAnsi="宋体"/>
          <w:snapToGrid w:val="0"/>
          <w:color w:val="auto"/>
          <w:kern w:val="0"/>
          <w:sz w:val="24"/>
          <w:highlight w:val="none"/>
        </w:rPr>
      </w:pPr>
    </w:p>
    <w:p w14:paraId="6AF100EA">
      <w:pPr>
        <w:adjustRightInd w:val="0"/>
        <w:snapToGrid w:val="0"/>
        <w:spacing w:line="360" w:lineRule="auto"/>
        <w:ind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地址：</w:t>
      </w:r>
      <w:r>
        <w:rPr>
          <w:rFonts w:hint="eastAsia" w:ascii="宋体" w:hAnsi="宋体"/>
          <w:snapToGrid w:val="0"/>
          <w:color w:val="auto"/>
          <w:kern w:val="0"/>
          <w:sz w:val="24"/>
          <w:highlight w:val="none"/>
          <w:lang w:val="en-US" w:eastAsia="zh-CN"/>
        </w:rPr>
        <w:t xml:space="preserve"> </w:t>
      </w:r>
      <w:r>
        <w:rPr>
          <w:rFonts w:hint="eastAsia" w:ascii="宋体" w:hAnsi="宋体"/>
          <w:snapToGrid w:val="0"/>
          <w:color w:val="auto"/>
          <w:kern w:val="0"/>
          <w:sz w:val="24"/>
          <w:highlight w:val="none"/>
        </w:rPr>
        <w:t xml:space="preserve">           </w:t>
      </w:r>
      <w:r>
        <w:rPr>
          <w:rFonts w:hint="eastAsia" w:ascii="宋体" w:hAnsi="宋体"/>
          <w:snapToGrid w:val="0"/>
          <w:color w:val="auto"/>
          <w:kern w:val="0"/>
          <w:sz w:val="24"/>
          <w:highlight w:val="none"/>
          <w:lang w:val="en-US" w:eastAsia="zh-CN"/>
        </w:rPr>
        <w:t xml:space="preserve">                     </w:t>
      </w:r>
      <w:r>
        <w:rPr>
          <w:rFonts w:hint="eastAsia" w:ascii="宋体" w:hAnsi="宋体"/>
          <w:snapToGrid w:val="0"/>
          <w:color w:val="auto"/>
          <w:kern w:val="0"/>
          <w:sz w:val="24"/>
          <w:highlight w:val="none"/>
        </w:rPr>
        <w:t xml:space="preserve"> 地址：</w:t>
      </w:r>
    </w:p>
    <w:p w14:paraId="31670B81">
      <w:pPr>
        <w:adjustRightInd w:val="0"/>
        <w:snapToGrid w:val="0"/>
        <w:spacing w:line="360" w:lineRule="auto"/>
        <w:ind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邮政编码：</w:t>
      </w:r>
      <w:r>
        <w:rPr>
          <w:rFonts w:hint="eastAsia" w:ascii="宋体" w:hAnsi="宋体"/>
          <w:snapToGrid w:val="0"/>
          <w:color w:val="auto"/>
          <w:kern w:val="0"/>
          <w:sz w:val="24"/>
          <w:highlight w:val="none"/>
          <w:lang w:val="en-US" w:eastAsia="zh-CN"/>
        </w:rPr>
        <w:t xml:space="preserve"> </w:t>
      </w:r>
      <w:r>
        <w:rPr>
          <w:rFonts w:hint="eastAsia" w:ascii="宋体" w:hAnsi="宋体"/>
          <w:snapToGrid w:val="0"/>
          <w:color w:val="auto"/>
          <w:kern w:val="0"/>
          <w:sz w:val="24"/>
          <w:highlight w:val="none"/>
        </w:rPr>
        <w:t xml:space="preserve">                       </w:t>
      </w:r>
      <w:r>
        <w:rPr>
          <w:rFonts w:hint="eastAsia" w:ascii="宋体" w:hAnsi="宋体"/>
          <w:snapToGrid w:val="0"/>
          <w:color w:val="auto"/>
          <w:kern w:val="0"/>
          <w:sz w:val="24"/>
          <w:highlight w:val="none"/>
          <w:lang w:val="en-US" w:eastAsia="zh-CN"/>
        </w:rPr>
        <w:t xml:space="preserve">      </w:t>
      </w:r>
      <w:r>
        <w:rPr>
          <w:rFonts w:hint="eastAsia" w:ascii="宋体" w:hAnsi="宋体"/>
          <w:snapToGrid w:val="0"/>
          <w:color w:val="auto"/>
          <w:kern w:val="0"/>
          <w:sz w:val="24"/>
          <w:highlight w:val="none"/>
        </w:rPr>
        <w:t>邮政编码：</w:t>
      </w:r>
    </w:p>
    <w:p w14:paraId="05E6BEF0">
      <w:pPr>
        <w:adjustRightInd w:val="0"/>
        <w:snapToGrid w:val="0"/>
        <w:spacing w:line="360" w:lineRule="auto"/>
        <w:ind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电话：                                 电话：</w:t>
      </w:r>
    </w:p>
    <w:p w14:paraId="399895B7">
      <w:pPr>
        <w:tabs>
          <w:tab w:val="left" w:pos="5460"/>
        </w:tabs>
        <w:adjustRightInd w:val="0"/>
        <w:snapToGrid w:val="0"/>
        <w:spacing w:line="360" w:lineRule="auto"/>
        <w:ind w:left="-2" w:leftChars="-1" w:right="11" w:firstLine="4680" w:firstLineChars="19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开户银行：</w:t>
      </w:r>
    </w:p>
    <w:p w14:paraId="09219380">
      <w:pPr>
        <w:tabs>
          <w:tab w:val="left" w:pos="5460"/>
        </w:tabs>
        <w:adjustRightInd w:val="0"/>
        <w:snapToGrid w:val="0"/>
        <w:spacing w:line="360" w:lineRule="auto"/>
        <w:ind w:left="-2" w:leftChars="-1" w:right="11" w:firstLine="4680" w:firstLineChars="19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银行账号：</w:t>
      </w:r>
    </w:p>
    <w:p w14:paraId="17208D54">
      <w:pPr>
        <w:tabs>
          <w:tab w:val="left" w:pos="5460"/>
        </w:tabs>
        <w:adjustRightInd w:val="0"/>
        <w:snapToGrid w:val="0"/>
        <w:spacing w:line="360" w:lineRule="auto"/>
        <w:ind w:left="-2" w:leftChars="-1" w:right="11" w:firstLine="4680" w:firstLineChars="19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纳税人识别号：</w:t>
      </w:r>
    </w:p>
    <w:p w14:paraId="6B497570">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签订时间：    年  月  日               签订时间：    年  月  日</w:t>
      </w:r>
    </w:p>
    <w:p w14:paraId="6D635693">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p>
    <w:p w14:paraId="19BA0CE5">
      <w:pPr>
        <w:tabs>
          <w:tab w:val="left" w:pos="5460"/>
        </w:tabs>
        <w:adjustRightInd w:val="0"/>
        <w:snapToGrid w:val="0"/>
        <w:spacing w:line="360" w:lineRule="auto"/>
        <w:ind w:left="-2" w:leftChars="-1" w:right="11"/>
        <w:jc w:val="center"/>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合同订立地点：广东省广州市</w:t>
      </w:r>
      <w:r>
        <w:rPr>
          <w:rFonts w:hint="eastAsia" w:ascii="宋体" w:hAnsi="宋体"/>
          <w:snapToGrid w:val="0"/>
          <w:color w:val="auto"/>
          <w:kern w:val="0"/>
          <w:sz w:val="24"/>
          <w:highlight w:val="none"/>
          <w:lang w:val="en-US" w:eastAsia="zh-CN"/>
        </w:rPr>
        <w:t xml:space="preserve"> </w:t>
      </w:r>
      <w:r>
        <w:rPr>
          <w:rFonts w:hint="eastAsia" w:ascii="宋体" w:hAnsi="宋体"/>
          <w:snapToGrid w:val="0"/>
          <w:color w:val="auto"/>
          <w:kern w:val="0"/>
          <w:sz w:val="24"/>
          <w:highlight w:val="none"/>
        </w:rPr>
        <w:t>。</w:t>
      </w:r>
    </w:p>
    <w:p w14:paraId="1D63FCDD">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p>
    <w:p w14:paraId="0D47215A">
      <w:pPr>
        <w:tabs>
          <w:tab w:val="left" w:pos="5460"/>
        </w:tabs>
        <w:adjustRightInd w:val="0"/>
        <w:snapToGrid w:val="0"/>
        <w:spacing w:line="360" w:lineRule="auto"/>
        <w:ind w:left="-2" w:leftChars="-1" w:right="11"/>
        <w:jc w:val="center"/>
        <w:rPr>
          <w:rFonts w:hint="eastAsia" w:ascii="宋体" w:hAnsi="宋体"/>
          <w:b/>
          <w:snapToGrid w:val="0"/>
          <w:color w:val="auto"/>
          <w:kern w:val="0"/>
          <w:sz w:val="32"/>
          <w:szCs w:val="32"/>
          <w:highlight w:val="none"/>
        </w:rPr>
      </w:pPr>
      <w:r>
        <w:rPr>
          <w:rFonts w:ascii="宋体" w:hAnsi="宋体"/>
          <w:snapToGrid w:val="0"/>
          <w:color w:val="auto"/>
          <w:kern w:val="0"/>
          <w:sz w:val="24"/>
          <w:highlight w:val="none"/>
        </w:rPr>
        <w:br w:type="page"/>
      </w:r>
      <w:r>
        <w:rPr>
          <w:rFonts w:hint="eastAsia" w:ascii="宋体" w:hAnsi="宋体"/>
          <w:b/>
          <w:snapToGrid w:val="0"/>
          <w:color w:val="auto"/>
          <w:kern w:val="0"/>
          <w:sz w:val="32"/>
          <w:szCs w:val="32"/>
          <w:highlight w:val="none"/>
        </w:rPr>
        <w:t>中标通知书（复印件）</w:t>
      </w:r>
    </w:p>
    <w:p w14:paraId="7ED769C7">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p>
    <w:p w14:paraId="1A96E048">
      <w:pPr>
        <w:tabs>
          <w:tab w:val="left" w:pos="5460"/>
        </w:tabs>
        <w:adjustRightInd w:val="0"/>
        <w:snapToGrid w:val="0"/>
        <w:spacing w:line="360" w:lineRule="auto"/>
        <w:ind w:left="-2" w:leftChars="-1" w:right="11"/>
        <w:jc w:val="center"/>
        <w:rPr>
          <w:rFonts w:hint="eastAsia" w:ascii="宋体" w:hAnsi="宋体"/>
          <w:snapToGrid w:val="0"/>
          <w:color w:val="auto"/>
          <w:kern w:val="0"/>
          <w:sz w:val="24"/>
          <w:highlight w:val="none"/>
        </w:rPr>
      </w:pPr>
      <w:r>
        <w:rPr>
          <w:rFonts w:ascii="宋体" w:hAnsi="宋体"/>
          <w:snapToGrid w:val="0"/>
          <w:color w:val="auto"/>
          <w:kern w:val="0"/>
          <w:sz w:val="24"/>
          <w:highlight w:val="none"/>
        </w:rPr>
        <w:br w:type="page"/>
      </w:r>
      <w:r>
        <w:rPr>
          <w:rFonts w:hint="eastAsia" w:ascii="宋体" w:hAnsi="宋体"/>
          <w:b/>
          <w:snapToGrid w:val="0"/>
          <w:color w:val="auto"/>
          <w:kern w:val="0"/>
          <w:sz w:val="32"/>
          <w:szCs w:val="32"/>
          <w:highlight w:val="none"/>
        </w:rPr>
        <w:t>招标答疑及澄清文件（复印件）</w:t>
      </w:r>
    </w:p>
    <w:p w14:paraId="4373A4F1">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p>
    <w:p w14:paraId="3EB69DB3">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p>
    <w:p w14:paraId="193ACBF2">
      <w:pPr>
        <w:tabs>
          <w:tab w:val="left" w:pos="5460"/>
        </w:tabs>
        <w:adjustRightInd w:val="0"/>
        <w:snapToGrid w:val="0"/>
        <w:spacing w:line="360" w:lineRule="auto"/>
        <w:ind w:left="-2" w:leftChars="-1" w:right="11"/>
        <w:rPr>
          <w:rFonts w:hint="eastAsia" w:ascii="宋体" w:hAnsi="宋体"/>
          <w:bCs/>
          <w:snapToGrid w:val="0"/>
          <w:color w:val="auto"/>
          <w:kern w:val="0"/>
          <w:sz w:val="24"/>
          <w:highlight w:val="none"/>
        </w:rPr>
      </w:pPr>
      <w:r>
        <w:rPr>
          <w:rFonts w:ascii="宋体" w:hAnsi="宋体"/>
          <w:bCs/>
          <w:snapToGrid w:val="0"/>
          <w:color w:val="auto"/>
          <w:kern w:val="0"/>
          <w:sz w:val="24"/>
          <w:highlight w:val="none"/>
        </w:rPr>
        <w:br w:type="page"/>
      </w:r>
    </w:p>
    <w:p w14:paraId="40B9BDE2">
      <w:pPr>
        <w:adjustRightInd w:val="0"/>
        <w:snapToGrid w:val="0"/>
        <w:spacing w:line="360" w:lineRule="auto"/>
        <w:ind w:right="11"/>
        <w:jc w:val="center"/>
        <w:outlineLvl w:val="0"/>
        <w:rPr>
          <w:rFonts w:hint="eastAsia" w:ascii="宋体" w:hAnsi="宋体"/>
          <w:b/>
          <w:bCs/>
          <w:snapToGrid w:val="0"/>
          <w:color w:val="auto"/>
          <w:kern w:val="0"/>
          <w:sz w:val="44"/>
          <w:szCs w:val="44"/>
          <w:highlight w:val="none"/>
        </w:rPr>
      </w:pPr>
      <w:r>
        <w:rPr>
          <w:rFonts w:hint="eastAsia" w:ascii="宋体" w:hAnsi="宋体"/>
          <w:b/>
          <w:bCs/>
          <w:snapToGrid w:val="0"/>
          <w:color w:val="auto"/>
          <w:kern w:val="0"/>
          <w:sz w:val="44"/>
          <w:szCs w:val="44"/>
          <w:highlight w:val="none"/>
        </w:rPr>
        <w:t>第二篇  合同专用条款</w:t>
      </w:r>
    </w:p>
    <w:p w14:paraId="61AEEF8D">
      <w:pPr>
        <w:adjustRightInd w:val="0"/>
        <w:snapToGrid w:val="0"/>
        <w:spacing w:line="360" w:lineRule="auto"/>
        <w:jc w:val="center"/>
        <w:rPr>
          <w:rFonts w:hint="eastAsia" w:ascii="宋体" w:hAnsi="宋体"/>
          <w:b/>
          <w:snapToGrid w:val="0"/>
          <w:color w:val="auto"/>
          <w:kern w:val="0"/>
          <w:sz w:val="28"/>
          <w:szCs w:val="28"/>
          <w:highlight w:val="none"/>
        </w:rPr>
      </w:pPr>
    </w:p>
    <w:p w14:paraId="53BAFAEA">
      <w:pPr>
        <w:adjustRightInd w:val="0"/>
        <w:snapToGrid w:val="0"/>
        <w:spacing w:line="360" w:lineRule="auto"/>
        <w:jc w:val="center"/>
        <w:outlineLvl w:val="1"/>
        <w:rPr>
          <w:rFonts w:hint="eastAsia" w:ascii="宋体" w:hAnsi="宋体"/>
          <w:b/>
          <w:snapToGrid w:val="0"/>
          <w:color w:val="auto"/>
          <w:kern w:val="0"/>
          <w:sz w:val="28"/>
          <w:szCs w:val="28"/>
          <w:highlight w:val="none"/>
        </w:rPr>
      </w:pPr>
      <w:r>
        <w:rPr>
          <w:rFonts w:hint="eastAsia" w:ascii="宋体" w:hAnsi="宋体"/>
          <w:b/>
          <w:snapToGrid w:val="0"/>
          <w:color w:val="auto"/>
          <w:kern w:val="0"/>
          <w:sz w:val="28"/>
          <w:szCs w:val="28"/>
          <w:highlight w:val="none"/>
        </w:rPr>
        <w:t>总  则</w:t>
      </w:r>
    </w:p>
    <w:p w14:paraId="345ED687">
      <w:pPr>
        <w:adjustRightInd w:val="0"/>
        <w:snapToGrid w:val="0"/>
        <w:spacing w:line="360" w:lineRule="auto"/>
        <w:ind w:firstLine="480" w:firstLineChars="200"/>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根据建设项目管理规范和本工程管理实际，本合同工程将实行社会化、专业化的管理模式。发包人将授权监理单位（项目管理单位）依据有关法律法规、规范和合同，充分行使其严格控制工程进度与投资以及进行合同、信息管理和协调处理现场等有关工程问题的权力，确保工程质量与安全。</w:t>
      </w:r>
    </w:p>
    <w:p w14:paraId="31536EF1">
      <w:pPr>
        <w:adjustRightInd w:val="0"/>
        <w:snapToGrid w:val="0"/>
        <w:spacing w:line="360" w:lineRule="auto"/>
        <w:ind w:firstLine="480" w:firstLineChars="200"/>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发包人通过监理单位（项目管理单位）下达指令，监督承包人履约行为，承包人所有请求事项由监理单位（项目管理单位）协调并一般均通过监理单位（项目管理单位）接受或提出处理意见（发包人有特别要求和规定的除外）。</w:t>
      </w:r>
    </w:p>
    <w:p w14:paraId="3A7B7AF8">
      <w:pPr>
        <w:adjustRightInd w:val="0"/>
        <w:snapToGrid w:val="0"/>
        <w:spacing w:line="360" w:lineRule="auto"/>
        <w:ind w:firstLine="480" w:firstLineChars="200"/>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3、考虑到本工程的重要性，发包人将采取较为严密的组织管理形式，承包人需投入有别于其他项目的人力、物力，以满足本工程施工需要。</w:t>
      </w:r>
    </w:p>
    <w:p w14:paraId="70031636">
      <w:pPr>
        <w:adjustRightInd w:val="0"/>
        <w:snapToGrid w:val="0"/>
        <w:spacing w:line="360" w:lineRule="auto"/>
        <w:ind w:firstLine="480" w:firstLineChars="200"/>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4、发包人根据工程推进实际情况，有权要求承包人的法定代表人或总经理必须常驻施工现场，协调各种事项。</w:t>
      </w:r>
    </w:p>
    <w:p w14:paraId="4DF87C91">
      <w:pPr>
        <w:adjustRightInd w:val="0"/>
        <w:snapToGrid w:val="0"/>
        <w:spacing w:line="360" w:lineRule="auto"/>
        <w:ind w:firstLine="480" w:firstLineChars="200"/>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为保证本工程建设有序、规范和顺利进行，承包人必须主动支持发包人工作，对发包人的指令和书面通知，若无正当理由又未提前向发包人报告并得到书面认可，而公开或变相拒不执行的，应按合同专用条款第38.7（1）款的约定承担违约责任并赔偿由此造成发包人的一切经济损失。</w:t>
      </w:r>
    </w:p>
    <w:p w14:paraId="2ADC91BD">
      <w:pPr>
        <w:adjustRightInd w:val="0"/>
        <w:snapToGrid w:val="0"/>
        <w:spacing w:line="360" w:lineRule="auto"/>
        <w:ind w:firstLine="480" w:firstLineChars="200"/>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6、承包人承诺遵守发包人所制定的针对本工程管理的各项制度、规定，否则接受发包人的相关处罚。这些管理制度、规定必须符合下列原则：</w:t>
      </w:r>
    </w:p>
    <w:p w14:paraId="238FE6D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（1）符合国家、广东省、广州市的有关法律法规、规范和标准；</w:t>
      </w:r>
    </w:p>
    <w:p w14:paraId="59AF3EC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（2）符合对本工程进行有效管理的基本精神和要求；</w:t>
      </w:r>
    </w:p>
    <w:p w14:paraId="249FBC0F">
      <w:pPr>
        <w:adjustRightInd w:val="0"/>
        <w:snapToGrid w:val="0"/>
        <w:spacing w:line="360" w:lineRule="auto"/>
        <w:ind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（3）为确保工程质量、进度、安全文明施工管理所必须；</w:t>
      </w:r>
    </w:p>
    <w:p w14:paraId="72B110A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（4）不是针对某一特定的承包人。</w:t>
      </w:r>
    </w:p>
    <w:p w14:paraId="27F5C076">
      <w:pPr>
        <w:adjustRightInd w:val="0"/>
        <w:snapToGrid w:val="0"/>
        <w:spacing w:line="360" w:lineRule="auto"/>
        <w:rPr>
          <w:rFonts w:hint="eastAsia" w:ascii="宋体" w:hAnsi="宋体"/>
          <w:snapToGrid w:val="0"/>
          <w:color w:val="auto"/>
          <w:kern w:val="0"/>
          <w:sz w:val="24"/>
          <w:highlight w:val="none"/>
        </w:rPr>
      </w:pPr>
    </w:p>
    <w:p w14:paraId="3500C0D4">
      <w:pPr>
        <w:adjustRightInd w:val="0"/>
        <w:snapToGrid w:val="0"/>
        <w:spacing w:line="360" w:lineRule="auto"/>
        <w:jc w:val="center"/>
        <w:outlineLvl w:val="1"/>
        <w:rPr>
          <w:b/>
          <w:color w:val="auto"/>
          <w:sz w:val="28"/>
          <w:szCs w:val="28"/>
          <w:highlight w:val="none"/>
        </w:rPr>
      </w:pPr>
      <w:r>
        <w:rPr>
          <w:rFonts w:hint="eastAsia"/>
          <w:b/>
          <w:color w:val="auto"/>
          <w:sz w:val="28"/>
          <w:szCs w:val="28"/>
          <w:highlight w:val="none"/>
        </w:rPr>
        <w:t>一、词语定义及合同文件</w:t>
      </w:r>
    </w:p>
    <w:p w14:paraId="6D74DB4F">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1、词语定义</w:t>
      </w:r>
    </w:p>
    <w:p w14:paraId="6404C2D8">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1.3发包人</w:t>
      </w:r>
    </w:p>
    <w:p w14:paraId="5D24541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（1）发包人</w:t>
      </w:r>
      <w:r>
        <w:rPr>
          <w:rFonts w:hint="eastAsia" w:ascii="宋体" w:hAnsi="宋体"/>
          <w:snapToGrid w:val="0"/>
          <w:color w:val="auto"/>
          <w:kern w:val="0"/>
          <w:sz w:val="24"/>
          <w:highlight w:val="none"/>
        </w:rPr>
        <w:t>：在本合同中特指</w:t>
      </w:r>
      <w:r>
        <w:rPr>
          <w:rFonts w:hint="eastAsia" w:ascii="宋体" w:hAnsi="宋体"/>
          <w:snapToGrid w:val="0"/>
          <w:color w:val="auto"/>
          <w:kern w:val="0"/>
          <w:sz w:val="24"/>
          <w:highlight w:val="none"/>
          <w:lang w:eastAsia="zh-CN"/>
        </w:rPr>
        <w:t>广州市荔湾发展集团有限责任公司</w:t>
      </w:r>
      <w:r>
        <w:rPr>
          <w:rFonts w:hint="eastAsia" w:ascii="宋体" w:hAnsi="宋体"/>
          <w:snapToGrid w:val="0"/>
          <w:color w:val="auto"/>
          <w:kern w:val="0"/>
          <w:sz w:val="24"/>
          <w:highlight w:val="none"/>
        </w:rPr>
        <w:t>。</w:t>
      </w:r>
    </w:p>
    <w:p w14:paraId="57EB66AD">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1.6设计单位</w:t>
      </w:r>
    </w:p>
    <w:p w14:paraId="2315764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本工程的设计单位是：</w:t>
      </w:r>
      <w:r>
        <w:rPr>
          <w:rFonts w:hint="eastAsia" w:ascii="宋体" w:hAnsi="宋体" w:cs="宋体"/>
          <w:color w:val="auto"/>
          <w:sz w:val="24"/>
          <w:szCs w:val="24"/>
          <w:highlight w:val="none"/>
          <w:lang w:eastAsia="zh-CN"/>
        </w:rPr>
        <w:t>广东宏图建筑设计有限公司</w:t>
      </w:r>
      <w:r>
        <w:rPr>
          <w:rFonts w:hint="eastAsia" w:ascii="宋体" w:hAnsi="宋体"/>
          <w:snapToGrid w:val="0"/>
          <w:color w:val="auto"/>
          <w:kern w:val="0"/>
          <w:sz w:val="24"/>
          <w:highlight w:val="none"/>
          <w:u w:val="single"/>
        </w:rPr>
        <w:t xml:space="preserve"> </w:t>
      </w:r>
      <w:r>
        <w:rPr>
          <w:rFonts w:hint="eastAsia" w:ascii="宋体" w:hAnsi="宋体"/>
          <w:snapToGrid w:val="0"/>
          <w:color w:val="auto"/>
          <w:kern w:val="0"/>
          <w:sz w:val="24"/>
          <w:highlight w:val="none"/>
        </w:rPr>
        <w:t>。</w:t>
      </w:r>
    </w:p>
    <w:p w14:paraId="633C5ADE">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1.7监理单位（项目管理单位）</w:t>
      </w:r>
    </w:p>
    <w:p w14:paraId="3889E8D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本工程的</w:t>
      </w:r>
      <w:r>
        <w:rPr>
          <w:rFonts w:hint="eastAsia" w:ascii="宋体" w:hAnsi="宋体"/>
          <w:bCs/>
          <w:snapToGrid w:val="0"/>
          <w:color w:val="auto"/>
          <w:kern w:val="0"/>
          <w:sz w:val="24"/>
          <w:highlight w:val="none"/>
        </w:rPr>
        <w:t>监理单位（项目管理单位）</w:t>
      </w:r>
      <w:r>
        <w:rPr>
          <w:rFonts w:hint="eastAsia" w:ascii="宋体" w:hAnsi="宋体"/>
          <w:snapToGrid w:val="0"/>
          <w:color w:val="auto"/>
          <w:kern w:val="0"/>
          <w:sz w:val="24"/>
          <w:highlight w:val="none"/>
        </w:rPr>
        <w:t>是：</w:t>
      </w:r>
      <w:r>
        <w:rPr>
          <w:rFonts w:hint="eastAsia" w:ascii="宋体" w:hAnsi="宋体"/>
          <w:snapToGrid w:val="0"/>
          <w:color w:val="auto"/>
          <w:kern w:val="0"/>
          <w:sz w:val="24"/>
          <w:highlight w:val="none"/>
          <w:u w:val="single"/>
        </w:rPr>
        <w:t xml:space="preserve"> </w:t>
      </w:r>
      <w:r>
        <w:rPr>
          <w:rFonts w:hint="eastAsia" w:ascii="宋体" w:hAnsi="宋体" w:cs="宋体"/>
          <w:color w:val="auto"/>
          <w:sz w:val="24"/>
          <w:szCs w:val="24"/>
          <w:highlight w:val="none"/>
          <w:lang w:val="en-US" w:eastAsia="zh-CN"/>
        </w:rPr>
        <w:t>广东重工建设监理有限公司</w:t>
      </w:r>
      <w:r>
        <w:rPr>
          <w:rFonts w:hint="eastAsia" w:ascii="宋体" w:hAnsi="宋体"/>
          <w:snapToGrid w:val="0"/>
          <w:color w:val="auto"/>
          <w:kern w:val="0"/>
          <w:sz w:val="24"/>
          <w:highlight w:val="none"/>
          <w:u w:val="single"/>
        </w:rPr>
        <w:t xml:space="preserve"> </w:t>
      </w:r>
      <w:r>
        <w:rPr>
          <w:rFonts w:hint="eastAsia" w:ascii="宋体" w:hAnsi="宋体"/>
          <w:snapToGrid w:val="0"/>
          <w:color w:val="auto"/>
          <w:kern w:val="0"/>
          <w:sz w:val="24"/>
          <w:highlight w:val="none"/>
        </w:rPr>
        <w:t>。</w:t>
      </w:r>
    </w:p>
    <w:p w14:paraId="07779D6D">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1.8工程师</w:t>
      </w:r>
    </w:p>
    <w:p w14:paraId="60D82769">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合同通用条款中的工程师，如无特别注明，均是指监理单位（项目管理单位）委派或发包人派驻本工程施工场地的现场工作机构的负责人。</w:t>
      </w:r>
    </w:p>
    <w:p w14:paraId="25628A4F">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1.14工期</w:t>
      </w:r>
    </w:p>
    <w:p w14:paraId="4815BB32">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节点工期：指在经发包人和总监理工程师批准的施工组织设计或者工程工期网络计划中载明的承包人按总日历天数（包括法定节假日）计算完成某一阶段或某一工序的承包天数。按工期网络计划的一般线路和关键线路分为一般节点工期和关键节点工期。</w:t>
      </w:r>
    </w:p>
    <w:p w14:paraId="4138240E">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1.20违约责任：指合同任何一方不履行或不完全履行合同约定的义务或者履行义务不符合合同约定所应承担的责任。</w:t>
      </w:r>
    </w:p>
    <w:p w14:paraId="35B0F084">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（1）一般违约责任：指虽然违反本合同的约定，但其违约行为不对本合同的履行造成严重影响而应承担的责任。</w:t>
      </w:r>
    </w:p>
    <w:p w14:paraId="040A5186">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（2）严重违约责任。指违反本合同的约定且其违约行为足以对本合同的履行造成严重或实质性的影响而应承担的责任。</w:t>
      </w:r>
    </w:p>
    <w:p w14:paraId="00C5A272">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1.24通知：指合同中所提及的各方之间传达意思表示的方式，包括但不限于申请、报告、同意、答复、批准、指令、证书、决定等。除合同专用条款有特别约定外，只有采用书面形式的通知才有效。</w:t>
      </w:r>
    </w:p>
    <w:p w14:paraId="39E2026D">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1.25安全事故等级[《安全生产事故报告和调查处理条例》]：</w:t>
      </w:r>
    </w:p>
    <w:p w14:paraId="08B6E127">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（1）特别重大事故，是指造成30人以上死亡，或者100人以上重伤（包括急性工业中毒，下同），或者1亿元以上直接经济损失的事故；</w:t>
      </w:r>
    </w:p>
    <w:p w14:paraId="4FB42943">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（2）重大事故，是指造成10人以上30人以下死亡，或者50人以上100人以下重伤，或者5000万元以上1亿元以下直接经济损失的事故；</w:t>
      </w:r>
    </w:p>
    <w:p w14:paraId="1DB246C3">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（3）较大事故，是指造成3人以上10人以下死亡，或者10人以上50人以下重伤，或者1000万元以上5000万元以下直接经济损失的事故；</w:t>
      </w:r>
    </w:p>
    <w:p w14:paraId="41C43E83">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（4）一般事故，是指造成3人以下死亡，或者10人以下重伤，或者1000万元以下直接经济损失的事故。</w:t>
      </w:r>
    </w:p>
    <w:p w14:paraId="2A6CE155">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上述所称的“以上”包括本数，所称的“以下”不包括本数。</w:t>
      </w:r>
    </w:p>
    <w:p w14:paraId="1F01BF3D">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1.26质量事故等级[《关于做好房屋建筑和市政基础设施工程质量事故报告和调查处理工作的通知》（建质[2010]111号）]：</w:t>
      </w:r>
    </w:p>
    <w:p w14:paraId="3DEF16D0">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根据工程质量事故造成的人员伤亡或者直接经济损失，工程质量事故分为4个等级：</w:t>
      </w:r>
    </w:p>
    <w:p w14:paraId="0030FFEF">
      <w:pPr>
        <w:adjustRightInd w:val="0"/>
        <w:snapToGrid w:val="0"/>
        <w:spacing w:line="360" w:lineRule="auto"/>
        <w:ind w:firstLine="360" w:firstLineChars="15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（1）特别重大事故，是指造成30人以上死亡，或者100人以上重伤，或者1亿元以上直接经济损失的事故；</w:t>
      </w:r>
    </w:p>
    <w:p w14:paraId="1F0B8AAF">
      <w:pPr>
        <w:adjustRightInd w:val="0"/>
        <w:snapToGrid w:val="0"/>
        <w:spacing w:line="360" w:lineRule="auto"/>
        <w:ind w:firstLine="360" w:firstLineChars="15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（2）重大事故，是指造成10人以上30人以下死亡，或者50人以上100人以下重伤，或者5000万元以上1亿元以下直接经济损失的事故；</w:t>
      </w:r>
    </w:p>
    <w:p w14:paraId="2DE8FC19">
      <w:pPr>
        <w:adjustRightInd w:val="0"/>
        <w:snapToGrid w:val="0"/>
        <w:spacing w:line="360" w:lineRule="auto"/>
        <w:ind w:firstLine="360" w:firstLineChars="15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（3）较大事故，是指造成3人以上10人以下死亡，或者10人以上50人以下重伤，或者1000万元以上5000万元以下直接经济损失的事故；</w:t>
      </w:r>
    </w:p>
    <w:p w14:paraId="6274F0F5">
      <w:pPr>
        <w:adjustRightInd w:val="0"/>
        <w:snapToGrid w:val="0"/>
        <w:spacing w:line="360" w:lineRule="auto"/>
        <w:ind w:firstLine="360" w:firstLineChars="15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（4）一般事故，是指造成3人以下死亡，或者10人以下重伤，或者100万元以上1000万元以下直接经济损失的事故。</w:t>
      </w:r>
    </w:p>
    <w:p w14:paraId="19DA2365">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本等级划分所称的“以上”包括本数，所称的“以下”不包括本数。</w:t>
      </w:r>
    </w:p>
    <w:p w14:paraId="385EC358">
      <w:pPr>
        <w:adjustRightInd w:val="0"/>
        <w:snapToGrid w:val="0"/>
        <w:spacing w:line="360" w:lineRule="auto"/>
        <w:ind w:firstLine="480" w:firstLineChars="200"/>
        <w:outlineLvl w:val="3"/>
        <w:rPr>
          <w:rFonts w:hint="eastAsia" w:ascii="宋体" w:hAnsi="宋体" w:cs="宋体"/>
          <w:snapToGrid w:val="0"/>
          <w:color w:val="auto"/>
          <w:kern w:val="0"/>
          <w:sz w:val="24"/>
          <w:highlight w:val="none"/>
        </w:rPr>
      </w:pPr>
      <w:r>
        <w:rPr>
          <w:rFonts w:hint="eastAsia" w:ascii="宋体" w:hAnsi="宋体"/>
          <w:bCs/>
          <w:snapToGrid w:val="0"/>
          <w:color w:val="auto"/>
          <w:kern w:val="0"/>
          <w:sz w:val="24"/>
          <w:highlight w:val="none"/>
        </w:rPr>
        <w:t>1.27“综合单价（合价）包干项目”、“分部分项工程量清单计价”、“措施项目清单计价”、“其他项目清单计价”、“安全防护、文明施工措施费”、“暂列金额”等费用项目以招标文件的定义为准。</w:t>
      </w:r>
    </w:p>
    <w:p w14:paraId="5E536B47">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1.28元：指人民币元。</w:t>
      </w:r>
    </w:p>
    <w:p w14:paraId="677BC398">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1.29变更工程和新增工程：包括合同专用条款及通用条款第31条所定义的工程设计变更和第32条所定义的其他变更，由于设计需要或项目建设实际需要，这些变更会引致工程量清单内数量发生变化、或工程量清单内项目的局部内容发生变化、或新增了工程量清单内没有的项目。</w:t>
      </w:r>
    </w:p>
    <w:p w14:paraId="362E4043">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1.30单项工程：指具备独立施工条件并能形成独立使用功能的建筑物及构筑物。</w:t>
      </w:r>
    </w:p>
    <w:p w14:paraId="35463801">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1.31单位工程：指一个独立建筑物或构筑物中的每个专业工程，如：建筑工程、土建工程、安装工程等。</w:t>
      </w:r>
    </w:p>
    <w:p w14:paraId="553E3A61">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1.32</w:t>
      </w:r>
      <w:r>
        <w:rPr>
          <w:rFonts w:ascii="宋体" w:hAnsi="宋体"/>
          <w:bCs/>
          <w:snapToGrid w:val="0"/>
          <w:color w:val="auto"/>
          <w:kern w:val="0"/>
          <w:sz w:val="24"/>
          <w:highlight w:val="none"/>
        </w:rPr>
        <w:t>专业</w:t>
      </w:r>
      <w:r>
        <w:rPr>
          <w:rFonts w:hint="eastAsia" w:ascii="宋体" w:hAnsi="宋体"/>
          <w:bCs/>
          <w:snapToGrid w:val="0"/>
          <w:color w:val="auto"/>
          <w:kern w:val="0"/>
          <w:sz w:val="24"/>
          <w:highlight w:val="none"/>
        </w:rPr>
        <w:t>承包</w:t>
      </w:r>
      <w:r>
        <w:rPr>
          <w:rFonts w:ascii="宋体" w:hAnsi="宋体"/>
          <w:bCs/>
          <w:snapToGrid w:val="0"/>
          <w:color w:val="auto"/>
          <w:kern w:val="0"/>
          <w:sz w:val="24"/>
          <w:highlight w:val="none"/>
        </w:rPr>
        <w:t>单位：指与</w:t>
      </w:r>
      <w:r>
        <w:rPr>
          <w:rFonts w:hint="eastAsia" w:ascii="宋体" w:hAnsi="宋体"/>
          <w:bCs/>
          <w:snapToGrid w:val="0"/>
          <w:color w:val="auto"/>
          <w:kern w:val="0"/>
          <w:sz w:val="24"/>
          <w:highlight w:val="none"/>
        </w:rPr>
        <w:t>发包</w:t>
      </w:r>
      <w:r>
        <w:rPr>
          <w:rFonts w:ascii="宋体" w:hAnsi="宋体"/>
          <w:bCs/>
          <w:snapToGrid w:val="0"/>
          <w:color w:val="auto"/>
          <w:kern w:val="0"/>
          <w:sz w:val="24"/>
          <w:highlight w:val="none"/>
        </w:rPr>
        <w:t>人直接签订专业工程施工承包合同</w:t>
      </w:r>
      <w:r>
        <w:rPr>
          <w:rFonts w:hint="eastAsia" w:ascii="宋体" w:hAnsi="宋体"/>
          <w:bCs/>
          <w:snapToGrid w:val="0"/>
          <w:color w:val="auto"/>
          <w:kern w:val="0"/>
          <w:sz w:val="24"/>
          <w:highlight w:val="none"/>
        </w:rPr>
        <w:t>具有</w:t>
      </w:r>
      <w:r>
        <w:rPr>
          <w:rFonts w:ascii="宋体" w:hAnsi="宋体"/>
          <w:bCs/>
          <w:snapToGrid w:val="0"/>
          <w:color w:val="auto"/>
          <w:kern w:val="0"/>
          <w:sz w:val="24"/>
          <w:highlight w:val="none"/>
        </w:rPr>
        <w:t>相应施工承包资格和资质的</w:t>
      </w:r>
      <w:r>
        <w:rPr>
          <w:rFonts w:hint="eastAsia" w:ascii="宋体" w:hAnsi="宋体"/>
          <w:bCs/>
          <w:snapToGrid w:val="0"/>
          <w:color w:val="auto"/>
          <w:kern w:val="0"/>
          <w:sz w:val="24"/>
          <w:highlight w:val="none"/>
        </w:rPr>
        <w:t>承包</w:t>
      </w:r>
      <w:r>
        <w:rPr>
          <w:rFonts w:ascii="宋体" w:hAnsi="宋体"/>
          <w:bCs/>
          <w:snapToGrid w:val="0"/>
          <w:color w:val="auto"/>
          <w:kern w:val="0"/>
          <w:sz w:val="24"/>
          <w:highlight w:val="none"/>
        </w:rPr>
        <w:t>单位。</w:t>
      </w:r>
    </w:p>
    <w:p w14:paraId="7077E410">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rPr>
        <w:t>33施工图审查单位</w:t>
      </w:r>
    </w:p>
    <w:p w14:paraId="34AE237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 xml:space="preserve">本工程的施工图审查单位是： </w:t>
      </w:r>
      <w:r>
        <w:rPr>
          <w:rFonts w:hint="eastAsia" w:ascii="宋体" w:hAnsi="宋体"/>
          <w:snapToGrid w:val="0"/>
          <w:color w:val="auto"/>
          <w:kern w:val="0"/>
          <w:sz w:val="24"/>
          <w:highlight w:val="none"/>
          <w:lang w:val="en-US" w:eastAsia="zh-CN"/>
        </w:rPr>
        <w:t xml:space="preserve">               </w:t>
      </w:r>
      <w:r>
        <w:rPr>
          <w:rFonts w:hint="eastAsia" w:ascii="宋体" w:hAnsi="宋体"/>
          <w:snapToGrid w:val="0"/>
          <w:color w:val="auto"/>
          <w:kern w:val="0"/>
          <w:sz w:val="24"/>
          <w:highlight w:val="none"/>
        </w:rPr>
        <w:t>。</w:t>
      </w:r>
    </w:p>
    <w:p w14:paraId="2C89E69B">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rPr>
        <w:t>34设计咨询单位</w:t>
      </w:r>
    </w:p>
    <w:p w14:paraId="73C7893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 xml:space="preserve">本工程的设计咨询单位是： </w:t>
      </w:r>
      <w:r>
        <w:rPr>
          <w:rFonts w:hint="eastAsia" w:ascii="宋体" w:hAnsi="宋体"/>
          <w:snapToGrid w:val="0"/>
          <w:color w:val="auto"/>
          <w:kern w:val="0"/>
          <w:sz w:val="24"/>
          <w:highlight w:val="none"/>
          <w:u w:val="single"/>
        </w:rPr>
        <w:t>/</w:t>
      </w:r>
      <w:r>
        <w:rPr>
          <w:rFonts w:hint="eastAsia" w:ascii="宋体" w:hAnsi="宋体"/>
          <w:snapToGrid w:val="0"/>
          <w:color w:val="auto"/>
          <w:kern w:val="0"/>
          <w:sz w:val="24"/>
          <w:highlight w:val="none"/>
        </w:rPr>
        <w:t>。</w:t>
      </w:r>
    </w:p>
    <w:p w14:paraId="258EFF3C">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rPr>
        <w:t>35技术督导单位</w:t>
      </w:r>
    </w:p>
    <w:p w14:paraId="4042495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本工程的技术督导单位是：</w:t>
      </w:r>
      <w:r>
        <w:rPr>
          <w:rFonts w:hint="eastAsia" w:ascii="宋体" w:hAnsi="宋体"/>
          <w:snapToGrid w:val="0"/>
          <w:color w:val="auto"/>
          <w:kern w:val="0"/>
          <w:sz w:val="24"/>
          <w:highlight w:val="none"/>
          <w:u w:val="single"/>
        </w:rPr>
        <w:t xml:space="preserve"> </w:t>
      </w:r>
      <w:r>
        <w:rPr>
          <w:rFonts w:hint="eastAsia" w:ascii="宋体" w:hAnsi="宋体"/>
          <w:snapToGrid w:val="0"/>
          <w:color w:val="auto"/>
          <w:kern w:val="0"/>
          <w:sz w:val="24"/>
          <w:highlight w:val="none"/>
        </w:rPr>
        <w:t xml:space="preserve"> </w:t>
      </w:r>
      <w:r>
        <w:rPr>
          <w:rFonts w:hint="eastAsia" w:ascii="宋体" w:hAnsi="宋体"/>
          <w:snapToGrid w:val="0"/>
          <w:color w:val="auto"/>
          <w:kern w:val="0"/>
          <w:sz w:val="24"/>
          <w:highlight w:val="none"/>
          <w:u w:val="single"/>
        </w:rPr>
        <w:t xml:space="preserve">/    </w:t>
      </w:r>
      <w:r>
        <w:rPr>
          <w:rFonts w:hint="eastAsia" w:ascii="宋体" w:hAnsi="宋体"/>
          <w:snapToGrid w:val="0"/>
          <w:color w:val="auto"/>
          <w:kern w:val="0"/>
          <w:sz w:val="24"/>
          <w:highlight w:val="none"/>
        </w:rPr>
        <w:t>。</w:t>
      </w:r>
    </w:p>
    <w:p w14:paraId="501C947F">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rPr>
        <w:t>36施工总承包管理单位：在本合同中特指（特指本项目中标单位）。</w:t>
      </w:r>
    </w:p>
    <w:p w14:paraId="358DD92E">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rPr>
        <w:t>37施工总承包管理和配合服务</w:t>
      </w:r>
    </w:p>
    <w:p w14:paraId="67C6856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指施工总承包单位根据发包人的要求和合同约定对</w:t>
      </w:r>
      <w:r>
        <w:rPr>
          <w:rFonts w:hint="eastAsia" w:ascii="宋体" w:hAnsi="宋体" w:cs="宋体"/>
          <w:snapToGrid w:val="0"/>
          <w:color w:val="auto"/>
          <w:kern w:val="0"/>
          <w:sz w:val="24"/>
          <w:highlight w:val="none"/>
        </w:rPr>
        <w:t>发包人另行发包的</w:t>
      </w:r>
      <w:r>
        <w:rPr>
          <w:rFonts w:hint="eastAsia" w:ascii="宋体" w:hAnsi="宋体"/>
          <w:snapToGrid w:val="0"/>
          <w:color w:val="auto"/>
          <w:kern w:val="0"/>
          <w:sz w:val="24"/>
          <w:highlight w:val="none"/>
        </w:rPr>
        <w:t>专业承包单位进行统一管理和配合服务，包括施工总承包管理和专业工程配合服务。</w:t>
      </w:r>
    </w:p>
    <w:p w14:paraId="5FDD214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施工总承包管理包括但不限于以下工作内容：项目总进度计划管理和协调；信息管理；公共临时设施管理；公共文明施工和安全生产设施管理；现场综合管理；总体协调配合；提供标高基准点、平面控制轴线、墨线；提供工作面；成品保护；组织项目竣工验收、竣工结算、竣工资料和竣工备案及其他管理工作。</w:t>
      </w:r>
    </w:p>
    <w:p w14:paraId="7137234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专业工程配合服务包括但不限于以下工作内容：为发包人另行发包的专业承包单位提供生产、生活用设施搭建场地；提供现有运输道路和通道；提供施工用水、用电的接驳点；提供现有公共临时设施；提供现有水平、垂直运输设施；提供现有脚手架以及其他配合服务。</w:t>
      </w:r>
    </w:p>
    <w:p w14:paraId="5599C4E4">
      <w:pPr>
        <w:adjustRightInd w:val="0"/>
        <w:snapToGrid w:val="0"/>
        <w:spacing w:line="360" w:lineRule="auto"/>
        <w:ind w:firstLine="480" w:firstLineChars="200"/>
        <w:rPr>
          <w:rFonts w:hint="eastAsia"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rPr>
        <w:t>38施工总承包管理和配合服务费</w:t>
      </w:r>
    </w:p>
    <w:p w14:paraId="212A88D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指施工总承包单位根据发包人的要求和合同约定对</w:t>
      </w:r>
      <w:r>
        <w:rPr>
          <w:rFonts w:hint="eastAsia" w:ascii="宋体" w:hAnsi="宋体" w:cs="宋体"/>
          <w:snapToGrid w:val="0"/>
          <w:color w:val="auto"/>
          <w:kern w:val="0"/>
          <w:sz w:val="24"/>
          <w:highlight w:val="none"/>
        </w:rPr>
        <w:t>发包人另行发包的</w:t>
      </w:r>
      <w:r>
        <w:rPr>
          <w:rFonts w:hint="eastAsia" w:ascii="宋体" w:hAnsi="宋体"/>
          <w:snapToGrid w:val="0"/>
          <w:color w:val="auto"/>
          <w:kern w:val="0"/>
          <w:sz w:val="24"/>
          <w:highlight w:val="none"/>
        </w:rPr>
        <w:t>专业承包单位进行统一管理和配合服务所发生的费用，包括施工总承包管理费和专业工程配合服务费。</w:t>
      </w:r>
    </w:p>
    <w:p w14:paraId="2A4B030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施工总承包管理费包括但不限于：项目总进度计划管理和协调费；信息管理费；公共临时设施管理费；公共文明施工和安全生产设施管理费；现场综合管理费；总体协调配合费；提供标高基准点、平面控制轴线、墨线的费用；提供工作面的费用；成品保护费；组织项目竣工验收、竣工结算、竣工资料和竣工备案的费用以及其他管理费。</w:t>
      </w:r>
    </w:p>
    <w:p w14:paraId="0A11EC1E">
      <w:pPr>
        <w:adjustRightInd w:val="0"/>
        <w:snapToGrid w:val="0"/>
        <w:spacing w:line="360" w:lineRule="auto"/>
        <w:ind w:firstLine="480" w:firstLineChars="200"/>
        <w:rPr>
          <w:rFonts w:hint="eastAsia" w:ascii="宋体" w:hAnsi="宋体" w:cs="宋体"/>
          <w:snapToGrid w:val="0"/>
          <w:color w:val="auto"/>
          <w:kern w:val="0"/>
          <w:sz w:val="24"/>
          <w:highlight w:val="none"/>
        </w:rPr>
      </w:pPr>
      <w:r>
        <w:rPr>
          <w:rFonts w:hint="eastAsia" w:ascii="宋体" w:hAnsi="宋体"/>
          <w:snapToGrid w:val="0"/>
          <w:color w:val="auto"/>
          <w:kern w:val="0"/>
          <w:sz w:val="24"/>
          <w:highlight w:val="none"/>
        </w:rPr>
        <w:t>专业工程配合服务费包括但不限于：为发包人另行发包的专业承包单位提供生产、生活用设施搭建场地费；</w:t>
      </w:r>
      <w:r>
        <w:rPr>
          <w:rFonts w:hint="eastAsia" w:ascii="宋体" w:hAnsi="宋体" w:cs="宋体"/>
          <w:snapToGrid w:val="0"/>
          <w:color w:val="auto"/>
          <w:kern w:val="0"/>
          <w:sz w:val="24"/>
          <w:highlight w:val="none"/>
        </w:rPr>
        <w:t>现有运输道路和通道使用</w:t>
      </w:r>
      <w:r>
        <w:rPr>
          <w:rFonts w:hint="eastAsia" w:ascii="宋体" w:hAnsi="宋体"/>
          <w:snapToGrid w:val="0"/>
          <w:color w:val="auto"/>
          <w:kern w:val="0"/>
          <w:sz w:val="24"/>
          <w:highlight w:val="none"/>
        </w:rPr>
        <w:t>费</w:t>
      </w:r>
      <w:r>
        <w:rPr>
          <w:rFonts w:hint="eastAsia" w:ascii="宋体" w:hAnsi="宋体" w:cs="宋体"/>
          <w:snapToGrid w:val="0"/>
          <w:color w:val="auto"/>
          <w:kern w:val="0"/>
          <w:sz w:val="24"/>
          <w:highlight w:val="none"/>
        </w:rPr>
        <w:t>；提供施工用水、用电的接驳点</w:t>
      </w:r>
      <w:r>
        <w:rPr>
          <w:rFonts w:hint="eastAsia" w:ascii="宋体" w:hAnsi="宋体"/>
          <w:snapToGrid w:val="0"/>
          <w:color w:val="auto"/>
          <w:kern w:val="0"/>
          <w:sz w:val="24"/>
          <w:highlight w:val="none"/>
        </w:rPr>
        <w:t>的费用</w:t>
      </w:r>
      <w:r>
        <w:rPr>
          <w:rFonts w:hint="eastAsia" w:ascii="宋体" w:hAnsi="宋体" w:cs="宋体"/>
          <w:snapToGrid w:val="0"/>
          <w:color w:val="auto"/>
          <w:kern w:val="0"/>
          <w:sz w:val="24"/>
          <w:highlight w:val="none"/>
        </w:rPr>
        <w:t>；现有公共临时设施使用</w:t>
      </w:r>
      <w:r>
        <w:rPr>
          <w:rFonts w:hint="eastAsia" w:ascii="宋体" w:hAnsi="宋体"/>
          <w:snapToGrid w:val="0"/>
          <w:color w:val="auto"/>
          <w:kern w:val="0"/>
          <w:sz w:val="24"/>
          <w:highlight w:val="none"/>
        </w:rPr>
        <w:t>费</w:t>
      </w:r>
      <w:r>
        <w:rPr>
          <w:rFonts w:hint="eastAsia" w:ascii="宋体" w:hAnsi="宋体" w:cs="宋体"/>
          <w:snapToGrid w:val="0"/>
          <w:color w:val="auto"/>
          <w:kern w:val="0"/>
          <w:sz w:val="24"/>
          <w:highlight w:val="none"/>
        </w:rPr>
        <w:t>；现有水平、垂直运输设施使用</w:t>
      </w:r>
      <w:r>
        <w:rPr>
          <w:rFonts w:hint="eastAsia" w:ascii="宋体" w:hAnsi="宋体"/>
          <w:snapToGrid w:val="0"/>
          <w:color w:val="auto"/>
          <w:kern w:val="0"/>
          <w:sz w:val="24"/>
          <w:highlight w:val="none"/>
        </w:rPr>
        <w:t>费</w:t>
      </w:r>
      <w:r>
        <w:rPr>
          <w:rFonts w:hint="eastAsia" w:ascii="宋体" w:hAnsi="宋体" w:cs="宋体"/>
          <w:snapToGrid w:val="0"/>
          <w:color w:val="auto"/>
          <w:kern w:val="0"/>
          <w:sz w:val="24"/>
          <w:highlight w:val="none"/>
        </w:rPr>
        <w:t>；现有脚手架使用</w:t>
      </w:r>
      <w:r>
        <w:rPr>
          <w:rFonts w:hint="eastAsia" w:ascii="宋体" w:hAnsi="宋体"/>
          <w:snapToGrid w:val="0"/>
          <w:color w:val="auto"/>
          <w:kern w:val="0"/>
          <w:sz w:val="24"/>
          <w:highlight w:val="none"/>
        </w:rPr>
        <w:t>费</w:t>
      </w:r>
      <w:r>
        <w:rPr>
          <w:rFonts w:hint="eastAsia" w:ascii="宋体" w:hAnsi="宋体" w:cs="宋体"/>
          <w:snapToGrid w:val="0"/>
          <w:color w:val="auto"/>
          <w:kern w:val="0"/>
          <w:sz w:val="24"/>
          <w:highlight w:val="none"/>
        </w:rPr>
        <w:t>以及其他配合服务费。</w:t>
      </w:r>
    </w:p>
    <w:p w14:paraId="064BAFD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施工总承包管理费和专业工程配合服务费已含在合同总价中，发包人不再另行支付。</w:t>
      </w:r>
    </w:p>
    <w:p w14:paraId="26F19F43">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 xml:space="preserve"> </w:t>
      </w:r>
      <w:r>
        <w:rPr>
          <w:rFonts w:ascii="宋体" w:hAnsi="宋体"/>
          <w:snapToGrid w:val="0"/>
          <w:color w:val="auto"/>
          <w:kern w:val="0"/>
          <w:sz w:val="24"/>
          <w:highlight w:val="none"/>
        </w:rPr>
        <w:t>1.</w:t>
      </w:r>
      <w:r>
        <w:rPr>
          <w:rFonts w:hint="eastAsia" w:ascii="宋体" w:hAnsi="宋体"/>
          <w:snapToGrid w:val="0"/>
          <w:color w:val="auto"/>
          <w:kern w:val="0"/>
          <w:sz w:val="24"/>
          <w:highlight w:val="none"/>
        </w:rPr>
        <w:t>39甲供材料设备管理费</w:t>
      </w:r>
    </w:p>
    <w:p w14:paraId="4A762F7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指承包人为配合发包人进行甲供材料设备采购、供货、验收和保管所需的费用。投标时按发包人提供的的暂定价为计算基础乘以承包人投标自报费率计算（自报费率须在发包人给定费率范围内），结算时按甲供材料设备合同价扣除其中单套（台）主材单价大于5000元的设备价款后的余额乘以合同约定的费率计算。</w:t>
      </w:r>
    </w:p>
    <w:p w14:paraId="24C57DED">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 xml:space="preserve"> </w:t>
      </w:r>
      <w:r>
        <w:rPr>
          <w:rFonts w:ascii="宋体" w:hAnsi="宋体"/>
          <w:snapToGrid w:val="0"/>
          <w:color w:val="auto"/>
          <w:kern w:val="0"/>
          <w:sz w:val="24"/>
          <w:highlight w:val="none"/>
        </w:rPr>
        <w:t>1.</w:t>
      </w:r>
      <w:r>
        <w:rPr>
          <w:rFonts w:hint="eastAsia" w:ascii="宋体" w:hAnsi="宋体"/>
          <w:snapToGrid w:val="0"/>
          <w:color w:val="auto"/>
          <w:kern w:val="0"/>
          <w:sz w:val="24"/>
          <w:highlight w:val="none"/>
        </w:rPr>
        <w:t>40甲招乙供材料设备管理费</w:t>
      </w:r>
    </w:p>
    <w:p w14:paraId="78A2082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指承包人为配合发包人进行甲招乙供材料设备采购、供货、验收和保管所需的费用。投标时按发包人提供的的暂定价为计算基础乘以承包人投标自报费率计算（自报费率须在发包人给定费率范围内），结算时按甲招乙供材料设备合同价扣除其中单套（台）主材单价大于5000元的设备价款后的余额乘以合同约定的费率计算。</w:t>
      </w:r>
    </w:p>
    <w:p w14:paraId="05D1ED28">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1.41暂列金额：指发包人在工程量清单中暂定并包括在合同价款中的一笔款项，用于施工合同签订时尚未确定或者不可预见的所需材料、设备、服务的采购，施工中可能发生的工程变更、合同约定调整因素出现时的工程价款调整以及发生的索赔、现场签证确认等的费用。暂列金额在投标报价时，以发包人正式公布的固定金额进行填报，计量支付时，以合同计列的暂列金额为限额，按合同约定和承包人实际完成的工作量依据合同变更计价原则计量支付，未使用部分仍归发包人所有</w:t>
      </w:r>
      <w:r>
        <w:rPr>
          <w:rFonts w:hint="eastAsia" w:ascii="宋体" w:hAnsi="宋体"/>
          <w:snapToGrid w:val="0"/>
          <w:color w:val="auto"/>
          <w:kern w:val="0"/>
          <w:sz w:val="24"/>
          <w:highlight w:val="none"/>
        </w:rPr>
        <w:t>。</w:t>
      </w:r>
    </w:p>
    <w:p w14:paraId="623793BA">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1.42招标当季度：《广州地区建设工程常用材料税前综合价格》指2025年</w:t>
      </w:r>
      <w:r>
        <w:rPr>
          <w:rFonts w:hint="eastAsia" w:ascii="宋体" w:hAnsi="宋体"/>
          <w:bCs/>
          <w:snapToGrid w:val="0"/>
          <w:color w:val="auto"/>
          <w:kern w:val="0"/>
          <w:sz w:val="24"/>
          <w:highlight w:val="none"/>
          <w:lang w:val="en-US" w:eastAsia="zh-CN"/>
        </w:rPr>
        <w:t>8</w:t>
      </w:r>
      <w:r>
        <w:rPr>
          <w:rFonts w:hint="eastAsia" w:ascii="宋体" w:hAnsi="宋体"/>
          <w:bCs/>
          <w:snapToGrid w:val="0"/>
          <w:color w:val="auto"/>
          <w:kern w:val="0"/>
          <w:sz w:val="24"/>
          <w:highlight w:val="none"/>
        </w:rPr>
        <w:t>月份，《广州地区建设工程材料（设备）厂商价格信息》指2025</w:t>
      </w:r>
      <w:r>
        <w:rPr>
          <w:rFonts w:hint="eastAsia" w:ascii="宋体" w:hAnsi="宋体"/>
          <w:bCs/>
          <w:snapToGrid w:val="0"/>
          <w:color w:val="auto"/>
          <w:kern w:val="0"/>
          <w:sz w:val="24"/>
          <w:highlight w:val="none"/>
          <w:u w:val="single"/>
        </w:rPr>
        <w:t xml:space="preserve"> </w:t>
      </w:r>
      <w:r>
        <w:rPr>
          <w:rFonts w:hint="eastAsia" w:ascii="宋体" w:hAnsi="宋体"/>
          <w:bCs/>
          <w:snapToGrid w:val="0"/>
          <w:color w:val="auto"/>
          <w:kern w:val="0"/>
          <w:sz w:val="24"/>
          <w:highlight w:val="none"/>
        </w:rPr>
        <w:t>年第</w:t>
      </w:r>
      <w:r>
        <w:rPr>
          <w:rFonts w:hint="eastAsia" w:ascii="宋体" w:hAnsi="宋体"/>
          <w:bCs/>
          <w:snapToGrid w:val="0"/>
          <w:color w:val="auto"/>
          <w:kern w:val="0"/>
          <w:sz w:val="24"/>
          <w:highlight w:val="none"/>
          <w:u w:val="single"/>
        </w:rPr>
        <w:t xml:space="preserve">二 </w:t>
      </w:r>
      <w:r>
        <w:rPr>
          <w:rFonts w:hint="eastAsia" w:ascii="宋体" w:hAnsi="宋体"/>
          <w:bCs/>
          <w:snapToGrid w:val="0"/>
          <w:color w:val="auto"/>
          <w:kern w:val="0"/>
          <w:sz w:val="24"/>
          <w:highlight w:val="none"/>
        </w:rPr>
        <w:t>季度。</w:t>
      </w:r>
    </w:p>
    <w:p w14:paraId="0D40BD8E">
      <w:pPr>
        <w:adjustRightInd w:val="0"/>
        <w:snapToGrid w:val="0"/>
        <w:spacing w:line="360" w:lineRule="auto"/>
        <w:ind w:right="11" w:firstLine="460" w:firstLineChars="192"/>
        <w:jc w:val="left"/>
        <w:rPr>
          <w:rFonts w:hint="eastAsia" w:ascii="宋体" w:hAnsi="宋体" w:eastAsia="宋体"/>
          <w:color w:val="auto"/>
          <w:sz w:val="24"/>
          <w:highlight w:val="none"/>
          <w:lang w:eastAsia="zh-CN"/>
        </w:rPr>
      </w:pPr>
      <w:r>
        <w:rPr>
          <w:rFonts w:hint="eastAsia" w:ascii="宋体" w:hAnsi="宋体"/>
          <w:color w:val="auto"/>
          <w:sz w:val="24"/>
          <w:highlight w:val="none"/>
        </w:rPr>
        <w:t>1.43缺陷责任期：是指承包人按照合同约定承担缺陷修复义务，且发包人预留质量保证金的期限。本工程缺陷责任期为24个月，自工程竣工验收合格之日起计算。</w:t>
      </w:r>
    </w:p>
    <w:p w14:paraId="43A789DD">
      <w:pPr>
        <w:adjustRightInd w:val="0"/>
        <w:snapToGrid w:val="0"/>
        <w:spacing w:line="360" w:lineRule="auto"/>
        <w:ind w:right="11" w:firstLine="460" w:firstLineChars="192"/>
        <w:jc w:val="left"/>
        <w:rPr>
          <w:rFonts w:hint="eastAsia" w:ascii="宋体" w:hAnsi="宋体" w:eastAsia="宋体"/>
          <w:color w:val="auto"/>
          <w:sz w:val="24"/>
          <w:highlight w:val="none"/>
          <w:lang w:eastAsia="zh-CN"/>
        </w:rPr>
      </w:pPr>
      <w:r>
        <w:rPr>
          <w:rFonts w:hint="eastAsia" w:ascii="宋体" w:hAnsi="宋体"/>
          <w:color w:val="auto"/>
          <w:sz w:val="24"/>
          <w:highlight w:val="none"/>
        </w:rPr>
        <w:t xml:space="preserve">    单位工程先于全部工程进行验收，经验收合格并交付使用的，该单位工程缺陷责任期自单位工程验收合格之日起算。</w:t>
      </w:r>
    </w:p>
    <w:p w14:paraId="00D240CE">
      <w:pPr>
        <w:adjustRightInd w:val="0"/>
        <w:snapToGrid w:val="0"/>
        <w:spacing w:line="360" w:lineRule="auto"/>
        <w:ind w:right="11" w:firstLine="460" w:firstLineChars="192"/>
        <w:jc w:val="left"/>
        <w:rPr>
          <w:rFonts w:hint="eastAsia" w:ascii="宋体" w:hAnsi="宋体"/>
          <w:color w:val="auto"/>
          <w:sz w:val="24"/>
          <w:highlight w:val="none"/>
        </w:rPr>
      </w:pPr>
      <w:r>
        <w:rPr>
          <w:rFonts w:hint="eastAsia" w:ascii="宋体" w:hAnsi="宋体"/>
          <w:color w:val="auto"/>
          <w:sz w:val="24"/>
          <w:highlight w:val="none"/>
        </w:rPr>
        <w:t xml:space="preserve">    1.44质量保证金：是指发包人与承包人在本合同中约定，从应付的工程款中预留，用以保证承包人在缺陷责任期内对建设工程出现的缺陷进行维修的资金。</w:t>
      </w:r>
    </w:p>
    <w:p w14:paraId="1343A60E">
      <w:pPr>
        <w:adjustRightInd w:val="0"/>
        <w:snapToGrid w:val="0"/>
        <w:spacing w:line="360" w:lineRule="auto"/>
        <w:ind w:right="11" w:firstLine="460" w:firstLineChars="192"/>
        <w:jc w:val="left"/>
        <w:rPr>
          <w:rFonts w:hint="eastAsia" w:ascii="宋体" w:hAnsi="宋体"/>
          <w:color w:val="auto"/>
          <w:sz w:val="24"/>
          <w:highlight w:val="none"/>
        </w:rPr>
      </w:pPr>
      <w:r>
        <w:rPr>
          <w:rFonts w:hint="eastAsia" w:ascii="宋体" w:hAnsi="宋体"/>
          <w:color w:val="auto"/>
          <w:sz w:val="24"/>
          <w:highlight w:val="none"/>
        </w:rPr>
        <w:t>1.45保证人：指按本合同专用条款第 44.3款约定向发包人提交承包人履约担保的机构。</w:t>
      </w:r>
    </w:p>
    <w:p w14:paraId="43F9BDA4">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2、合同文件及解释顺序</w:t>
      </w:r>
    </w:p>
    <w:p w14:paraId="215F8828">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按合同协议书第7条执行。</w:t>
      </w:r>
    </w:p>
    <w:p w14:paraId="5F226459">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3、语言文字和适用法律、标准及规范</w:t>
      </w:r>
    </w:p>
    <w:p w14:paraId="0655A019">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3.2适用法律和法规</w:t>
      </w:r>
    </w:p>
    <w:p w14:paraId="21665EB2">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适用于本合同的法律法规是中华人民共和国法律、法规，合同约定的部门规章及工程所在地的地方法规。</w:t>
      </w:r>
    </w:p>
    <w:p w14:paraId="18FF637F">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需要明示的法律、行政法规：《中华人民共和国合同法》、《中华人民共和国建筑法》、《中华人民共和国招标投标法》、《建设工程质量管理条例》。</w:t>
      </w:r>
    </w:p>
    <w:p w14:paraId="0E9D05B2">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3.3适用标准、规范</w:t>
      </w:r>
    </w:p>
    <w:p w14:paraId="0F9EDA6A">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适用标准、规范的名称：国家及广东省、广州市现行有效的有关建设项目管理、设计、施工及验收规范和验收标准，以及发包人根据本工程具体情况聘请专家委员会依照国家有关标准制订的施工技术规定及验收办法。</w:t>
      </w:r>
    </w:p>
    <w:p w14:paraId="57A9710E">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4、图纸</w:t>
      </w:r>
    </w:p>
    <w:p w14:paraId="548C6723">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4.1发包人向承包人提供图纸的日期和套数：发包人在开工前向承包人提供8套图纸（其中4套为编制竣工图所需），同时提供电子文档。承包人确需增加图纸套数的，应当取得发包人的同意，所需费用由承包人自行承担。</w:t>
      </w:r>
    </w:p>
    <w:p w14:paraId="4F8E5502">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4.2对图纸的保密要求：由发包人提供的图纸、文件等，未经发包人许可，承包人不得用于本工程以外的项目或者转借、出让、泄露给第三方。保密措施费用由承包人自行承担。</w:t>
      </w:r>
    </w:p>
    <w:p w14:paraId="5730AF78">
      <w:pPr>
        <w:adjustRightInd w:val="0"/>
        <w:snapToGrid w:val="0"/>
        <w:spacing w:line="360" w:lineRule="auto"/>
        <w:ind w:right="11"/>
        <w:rPr>
          <w:rFonts w:hint="eastAsia" w:ascii="宋体" w:hAnsi="宋体"/>
          <w:bCs/>
          <w:snapToGrid w:val="0"/>
          <w:color w:val="auto"/>
          <w:kern w:val="0"/>
          <w:sz w:val="24"/>
          <w:highlight w:val="none"/>
        </w:rPr>
      </w:pPr>
    </w:p>
    <w:p w14:paraId="77B5E9D8">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二、双方一般权利和义务</w:t>
      </w:r>
    </w:p>
    <w:p w14:paraId="210B3835">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5、工程师</w:t>
      </w:r>
    </w:p>
    <w:p w14:paraId="41D995EC">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5.1监理单位（项目管理单位）</w:t>
      </w:r>
    </w:p>
    <w:p w14:paraId="08F92C1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发包人委托</w:t>
      </w:r>
      <w:r>
        <w:rPr>
          <w:rFonts w:hint="eastAsia" w:ascii="宋体" w:hAnsi="宋体"/>
          <w:bCs/>
          <w:snapToGrid w:val="0"/>
          <w:color w:val="auto"/>
          <w:kern w:val="0"/>
          <w:sz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广东重工建设监理有限公司 </w:t>
      </w:r>
      <w:r>
        <w:rPr>
          <w:rFonts w:hint="eastAsia" w:ascii="宋体" w:hAnsi="宋体"/>
          <w:snapToGrid w:val="0"/>
          <w:color w:val="auto"/>
          <w:kern w:val="0"/>
          <w:sz w:val="24"/>
          <w:highlight w:val="none"/>
        </w:rPr>
        <w:t>为</w:t>
      </w:r>
      <w:r>
        <w:rPr>
          <w:rFonts w:hint="eastAsia" w:ascii="宋体" w:hAnsi="宋体"/>
          <w:bCs/>
          <w:snapToGrid w:val="0"/>
          <w:color w:val="auto"/>
          <w:kern w:val="0"/>
          <w:sz w:val="24"/>
          <w:highlight w:val="none"/>
        </w:rPr>
        <w:t>本工程的监理单位（项目管理单位），总监理工程师为 （另行通知）</w:t>
      </w:r>
      <w:r>
        <w:rPr>
          <w:rFonts w:hint="eastAsia" w:ascii="宋体" w:hAnsi="宋体"/>
          <w:snapToGrid w:val="0"/>
          <w:color w:val="auto"/>
          <w:kern w:val="0"/>
          <w:sz w:val="24"/>
          <w:highlight w:val="none"/>
          <w:u w:val="single"/>
        </w:rPr>
        <w:t xml:space="preserve"> 、项目管理单位的项目负责人为</w:t>
      </w:r>
      <w:r>
        <w:rPr>
          <w:rFonts w:hint="eastAsia" w:ascii="宋体" w:hAnsi="宋体"/>
          <w:bCs/>
          <w:snapToGrid w:val="0"/>
          <w:color w:val="auto"/>
          <w:kern w:val="0"/>
          <w:sz w:val="24"/>
          <w:highlight w:val="none"/>
        </w:rPr>
        <w:t xml:space="preserve"> （另行通知）。监理单位（项目管理单位）的职责以发包人与其签订的《监理合同》为准。</w:t>
      </w:r>
    </w:p>
    <w:p w14:paraId="360B28BB">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5.2</w:t>
      </w:r>
      <w:r>
        <w:rPr>
          <w:rFonts w:hint="eastAsia" w:ascii="宋体" w:hAnsi="宋体"/>
          <w:snapToGrid w:val="0"/>
          <w:color w:val="auto"/>
          <w:kern w:val="0"/>
          <w:sz w:val="24"/>
          <w:highlight w:val="none"/>
        </w:rPr>
        <w:t>发包人代表</w:t>
      </w:r>
    </w:p>
    <w:p w14:paraId="339DFB6A">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发包人派驻施工场地履行合同的代表在本合同中称为发包人代表。其姓名如下：</w:t>
      </w:r>
    </w:p>
    <w:p w14:paraId="2F35B7D7">
      <w:pPr>
        <w:adjustRightInd w:val="0"/>
        <w:snapToGrid w:val="0"/>
        <w:spacing w:line="360" w:lineRule="auto"/>
        <w:ind w:right="11" w:firstLine="460" w:firstLineChars="192"/>
        <w:rPr>
          <w:rFonts w:hint="eastAsia" w:ascii="宋体" w:hAnsi="宋体"/>
          <w:bCs/>
          <w:strike/>
          <w:snapToGrid w:val="0"/>
          <w:color w:val="auto"/>
          <w:kern w:val="0"/>
          <w:sz w:val="24"/>
          <w:highlight w:val="none"/>
          <w:u w:val="single"/>
        </w:rPr>
      </w:pPr>
      <w:r>
        <w:rPr>
          <w:rFonts w:hint="eastAsia" w:ascii="宋体" w:hAnsi="宋体"/>
          <w:bCs/>
          <w:snapToGrid w:val="0"/>
          <w:color w:val="auto"/>
          <w:kern w:val="0"/>
          <w:sz w:val="24"/>
          <w:highlight w:val="none"/>
        </w:rPr>
        <w:t>姓名：</w:t>
      </w:r>
      <w:r>
        <w:rPr>
          <w:rFonts w:hint="eastAsia" w:ascii="宋体" w:hAnsi="宋体"/>
          <w:snapToGrid w:val="0"/>
          <w:color w:val="auto"/>
          <w:kern w:val="0"/>
          <w:sz w:val="24"/>
          <w:highlight w:val="none"/>
          <w:u w:val="single"/>
          <w:lang w:val="en-US" w:eastAsia="zh-CN"/>
        </w:rPr>
        <w:t xml:space="preserve">    </w:t>
      </w:r>
      <w:r>
        <w:rPr>
          <w:rFonts w:hint="eastAsia" w:ascii="宋体" w:hAnsi="宋体"/>
          <w:bCs/>
          <w:snapToGrid w:val="0"/>
          <w:color w:val="auto"/>
          <w:kern w:val="0"/>
          <w:sz w:val="24"/>
          <w:highlight w:val="none"/>
        </w:rPr>
        <w:t xml:space="preserve">。 </w:t>
      </w:r>
    </w:p>
    <w:p w14:paraId="17D0B0EF">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6、工程师的委派和指令</w:t>
      </w:r>
    </w:p>
    <w:p w14:paraId="72E550DC">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6.2在紧急情况下，总监理工程师可以当场发出口头指令，承包人应遵照执行。承包人在收到上述口头指令后24小时内，应向总监理工程师发出书面确认函。若总监理工程师在收到书面确认函后24小时内未予答复，该口头指令应被视为总监理工程师的正式指令。由于总监理工程师指令错误而延误工期的，工期顺延情形只适用于一般节点工期。</w:t>
      </w:r>
    </w:p>
    <w:p w14:paraId="212CABF6">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6.3由于总监理工程师未能按合同约定履行义务造成工期延误的，工期顺延情形只适用于一般节点工期。</w:t>
      </w:r>
    </w:p>
    <w:p w14:paraId="79599346">
      <w:pPr>
        <w:adjustRightInd w:val="0"/>
        <w:snapToGrid w:val="0"/>
        <w:spacing w:line="360" w:lineRule="auto"/>
        <w:ind w:right="11" w:firstLine="463" w:firstLineChars="19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承包人与发包人一致同意增加6.5、6.6：</w:t>
      </w:r>
    </w:p>
    <w:p w14:paraId="31F1E45E">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6.5除特别指明外，总监理工程师对承包人的任何工作、工程或其采用的材料和设备未提出否定意见的，不应视为已获批准，也不影响总监理工程师在以后拒绝该项工作、工程、材料设备的权利。</w:t>
      </w:r>
    </w:p>
    <w:p w14:paraId="007B40E4">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6.6总监理工程师的指令应该有总监理工程师的签字，并加盖监理单位驻施工场地机构印章。</w:t>
      </w:r>
    </w:p>
    <w:p w14:paraId="431AB0C0">
      <w:pPr>
        <w:adjustRightInd w:val="0"/>
        <w:snapToGrid w:val="0"/>
        <w:spacing w:line="360" w:lineRule="auto"/>
        <w:ind w:firstLine="48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7、项目经理</w:t>
      </w:r>
    </w:p>
    <w:p w14:paraId="6AD0A17C">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7.1本工程项目经理</w:t>
      </w:r>
    </w:p>
    <w:p w14:paraId="0683634C">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姓名：</w:t>
      </w:r>
      <w:r>
        <w:rPr>
          <w:rFonts w:hint="eastAsia" w:ascii="宋体" w:hAnsi="宋体"/>
          <w:snapToGrid w:val="0"/>
          <w:color w:val="auto"/>
          <w:kern w:val="0"/>
          <w:sz w:val="24"/>
          <w:highlight w:val="none"/>
          <w:u w:val="single"/>
        </w:rPr>
        <w:t xml:space="preserve">                 </w:t>
      </w:r>
      <w:r>
        <w:rPr>
          <w:rFonts w:hint="eastAsia" w:ascii="宋体" w:hAnsi="宋体"/>
          <w:snapToGrid w:val="0"/>
          <w:color w:val="auto"/>
          <w:kern w:val="0"/>
          <w:sz w:val="24"/>
          <w:highlight w:val="none"/>
        </w:rPr>
        <w:t>。    职务：</w:t>
      </w:r>
      <w:r>
        <w:rPr>
          <w:rFonts w:hint="eastAsia" w:ascii="宋体" w:hAnsi="宋体"/>
          <w:snapToGrid w:val="0"/>
          <w:color w:val="auto"/>
          <w:kern w:val="0"/>
          <w:sz w:val="24"/>
          <w:highlight w:val="none"/>
          <w:u w:val="single"/>
        </w:rPr>
        <w:t xml:space="preserve">                  </w:t>
      </w:r>
      <w:r>
        <w:rPr>
          <w:rFonts w:hint="eastAsia" w:ascii="宋体" w:hAnsi="宋体"/>
          <w:snapToGrid w:val="0"/>
          <w:color w:val="auto"/>
          <w:kern w:val="0"/>
          <w:sz w:val="24"/>
          <w:highlight w:val="none"/>
        </w:rPr>
        <w:t>。</w:t>
      </w:r>
    </w:p>
    <w:p w14:paraId="44DB6795">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7.3合同通用条款第7.3款所提及的工期顺延情形只适用于一般节点工期。</w:t>
      </w:r>
    </w:p>
    <w:p w14:paraId="2E0D99AF">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t>承包人与发包人一致同意增加7.6至7.9：</w:t>
      </w:r>
    </w:p>
    <w:p w14:paraId="70E1D9F4">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7.6现场管理机构</w:t>
      </w:r>
    </w:p>
    <w:p w14:paraId="3EA01CD7">
      <w:pPr>
        <w:adjustRightInd w:val="0"/>
        <w:snapToGrid w:val="0"/>
        <w:spacing w:line="360" w:lineRule="auto"/>
        <w:ind w:firstLine="48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（1）承包人必须按照投标文件的承诺建立现场管理机构，严格执行《建设工程项目管理规范》（GB/T50326-2016），并积极主动接受建设行政主管部门的监督和检查。</w:t>
      </w:r>
    </w:p>
    <w:p w14:paraId="39637C8A">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（2）现场管理机构各</w:t>
      </w:r>
      <w:r>
        <w:rPr>
          <w:rFonts w:hint="eastAsia" w:ascii="宋体" w:hAnsi="宋体"/>
          <w:bCs/>
          <w:snapToGrid w:val="0"/>
          <w:color w:val="auto"/>
          <w:kern w:val="0"/>
          <w:sz w:val="24"/>
          <w:highlight w:val="none"/>
        </w:rPr>
        <w:t>部</w:t>
      </w:r>
      <w:r>
        <w:rPr>
          <w:rFonts w:hint="eastAsia" w:ascii="宋体" w:hAnsi="宋体"/>
          <w:snapToGrid w:val="0"/>
          <w:color w:val="auto"/>
          <w:kern w:val="0"/>
          <w:sz w:val="24"/>
          <w:highlight w:val="none"/>
        </w:rPr>
        <w:t>主要组织管理人员在开工前必须全部到位，并接受总监理工程师和发包人代表的查验。</w:t>
      </w:r>
    </w:p>
    <w:p w14:paraId="1699CF91">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承包人委派的现场管理机构各部主要组织管理人员不得有兼职情况存在，并需接受监理单位的监督。</w:t>
      </w:r>
    </w:p>
    <w:p w14:paraId="61BC7306">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7.7现场管理机构各部主要组织管理人员应与投标文件保持一致，除特殊情况（该人员因死亡或重大疾病或离职无法继续履职，或其他经监理单位、发包人认可的属承包人无法预见、无法控制的合理事由）外，无论承包人主动申请更换还是被发包人要求更换，若累计更换次数超过一次，则自第二次起，承包人需按合同专用条款第38.7（3）款的约定承担违约责任。</w:t>
      </w:r>
    </w:p>
    <w:p w14:paraId="6C8B7ED3">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无论承包人因何种原因需更换主要组织管理人员的，均应以书面形式向监理单位提出意向（附前任和后任人员的详细履历资料），经总监理工程师签署意见后向发包人提出申请，征得发包人同意后方可更换。</w:t>
      </w:r>
    </w:p>
    <w:p w14:paraId="3311F691">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主要组织管理人员无论因何种原因需更换，承包人必须保证后任人员的资质、资历、业绩、实际工作能力不低于前任人员；必须履行建设行政主管部门规定的人员变更手续，后任人员继续行使前任的职权，履行前任的义务。</w:t>
      </w:r>
    </w:p>
    <w:p w14:paraId="70722A68">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7.8现场管理机构各部主要组织管理人员的实际工作能力和工作效果达不到招标文件的明确要求或投标文件的承诺或存在消极怠工、工作态度不端正、不适应现场工作需要的，发包人有权要求承包人限期更换。承包人可以在收到发包人更换通知后3天内提出书面整改意见，如发包人不予接受或认为整改效果不明显的，应及时回复承包人，承包人必须在发包人回复后7天内按合同专用条款第7.7条的约定进行更换及承担违约责任。</w:t>
      </w:r>
    </w:p>
    <w:p w14:paraId="25550375">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如承包人未及时提出整改意见也未按发包人要求及时更换的，或者提出整改意见后未按发包人回复意见及时执行的，则视为拒绝执行发包人的指令，承包人需按合同专用条款第38.7（1）款约定承担违约责任。</w:t>
      </w:r>
    </w:p>
    <w:p w14:paraId="687E2FAE">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iCs/>
          <w:snapToGrid w:val="0"/>
          <w:color w:val="auto"/>
          <w:kern w:val="0"/>
          <w:sz w:val="24"/>
          <w:highlight w:val="none"/>
        </w:rPr>
        <w:t>7.9</w:t>
      </w:r>
      <w:r>
        <w:rPr>
          <w:rFonts w:hint="eastAsia" w:ascii="宋体" w:hAnsi="宋体"/>
          <w:bCs/>
          <w:snapToGrid w:val="0"/>
          <w:color w:val="auto"/>
          <w:kern w:val="0"/>
          <w:sz w:val="24"/>
          <w:highlight w:val="none"/>
        </w:rPr>
        <w:t>现场管理机构各部主要组织管理人员必须全职在现场办公，不得兼职或者擅自离岗。因特殊情况需短暂离岗的，应当事先报总监理工程师及发包人批准，且须妥善安排工作交接，并按以下约定执行：</w:t>
      </w:r>
    </w:p>
    <w:p w14:paraId="1C8B9764">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（1）离场半天内，须经总监理工程师批准同意；</w:t>
      </w:r>
    </w:p>
    <w:p w14:paraId="065A0FF1">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（2）离场1天内，须经总监理工程师同意，并经发包人代表批准；</w:t>
      </w:r>
    </w:p>
    <w:p w14:paraId="38A3873D">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（3）离场2天以上（含2天），须经总监理工程师及发包人代表同意，并经发包人主管部门领导批准；</w:t>
      </w:r>
    </w:p>
    <w:p w14:paraId="7C594F1A">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（4）一个月内累计离场时间不得超过5天（经发包人分管领导批准的除外）；</w:t>
      </w:r>
    </w:p>
    <w:p w14:paraId="5A5F51F3">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（5）项目经理不论离场多久，均应经发包人分管领导批准。</w:t>
      </w:r>
    </w:p>
    <w:p w14:paraId="155C7442">
      <w:pPr>
        <w:adjustRightInd w:val="0"/>
        <w:snapToGrid w:val="0"/>
        <w:spacing w:line="360" w:lineRule="auto"/>
        <w:ind w:right="11" w:firstLine="480" w:firstLineChars="200"/>
        <w:rPr>
          <w:rFonts w:hint="eastAsia" w:ascii="宋体" w:hAnsi="宋体"/>
          <w:iCs/>
          <w:snapToGrid w:val="0"/>
          <w:color w:val="auto"/>
          <w:kern w:val="0"/>
          <w:sz w:val="24"/>
          <w:highlight w:val="none"/>
        </w:rPr>
      </w:pPr>
      <w:r>
        <w:rPr>
          <w:rFonts w:hint="eastAsia" w:ascii="宋体" w:hAnsi="宋体"/>
          <w:iCs/>
          <w:snapToGrid w:val="0"/>
          <w:color w:val="auto"/>
          <w:kern w:val="0"/>
          <w:sz w:val="24"/>
          <w:highlight w:val="none"/>
        </w:rPr>
        <w:t>承包人若违反上述约定，应按照合同专用条款第38.7款的相关约定承担违约责任。</w:t>
      </w:r>
    </w:p>
    <w:p w14:paraId="68F16F1F">
      <w:pPr>
        <w:adjustRightInd w:val="0"/>
        <w:snapToGrid w:val="0"/>
        <w:spacing w:line="360" w:lineRule="auto"/>
        <w:ind w:right="11" w:firstLine="480" w:firstLineChars="200"/>
        <w:rPr>
          <w:rFonts w:hint="eastAsia" w:ascii="宋体" w:hAnsi="宋体"/>
          <w:iCs/>
          <w:snapToGrid w:val="0"/>
          <w:color w:val="auto"/>
          <w:kern w:val="0"/>
          <w:sz w:val="24"/>
          <w:highlight w:val="none"/>
        </w:rPr>
      </w:pPr>
      <w:r>
        <w:rPr>
          <w:rFonts w:hint="eastAsia" w:ascii="宋体" w:hAnsi="宋体"/>
          <w:iCs/>
          <w:snapToGrid w:val="0"/>
          <w:color w:val="auto"/>
          <w:kern w:val="0"/>
          <w:sz w:val="24"/>
          <w:highlight w:val="none"/>
        </w:rPr>
        <w:t>本合同所称现场办公，是指在工程实施过程中，现场管理机构各部主要组织管理人员必须在施工场地全职上班，履行各自的职责。</w:t>
      </w:r>
    </w:p>
    <w:p w14:paraId="1BA5744B">
      <w:pPr>
        <w:adjustRightInd w:val="0"/>
        <w:snapToGrid w:val="0"/>
        <w:spacing w:line="360" w:lineRule="auto"/>
        <w:ind w:right="11" w:firstLine="480" w:firstLineChars="200"/>
        <w:rPr>
          <w:rFonts w:hint="eastAsia" w:ascii="宋体" w:hAnsi="宋体"/>
          <w:iCs/>
          <w:snapToGrid w:val="0"/>
          <w:color w:val="auto"/>
          <w:kern w:val="0"/>
          <w:sz w:val="24"/>
          <w:highlight w:val="none"/>
        </w:rPr>
      </w:pPr>
      <w:r>
        <w:rPr>
          <w:rFonts w:hint="eastAsia" w:ascii="宋体" w:hAnsi="宋体"/>
          <w:iCs/>
          <w:snapToGrid w:val="0"/>
          <w:color w:val="auto"/>
          <w:kern w:val="0"/>
          <w:sz w:val="24"/>
          <w:highlight w:val="none"/>
        </w:rPr>
        <w:t>现场管理机构各部主要组织管理人员现场办公天数，由总监理工程师及发包人现场管理负责人按实计量。</w:t>
      </w:r>
    </w:p>
    <w:p w14:paraId="19B8472E">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8、发包人工作</w:t>
      </w:r>
    </w:p>
    <w:p w14:paraId="3C56780D">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8.1发包人应按约定的时间和要求完成以下工作：</w:t>
      </w:r>
    </w:p>
    <w:p w14:paraId="1289FCF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（1）施工场地具备施工条件的要求及完成的时间：发包人负责在开工前完成施工场地的征地拆迁工作，具备按设计要求进行场地平整施工的条件（合同及招标文件另有约定的除外）。</w:t>
      </w:r>
    </w:p>
    <w:p w14:paraId="21717B21">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（2）将施工所需的水、电、电讯线路接至施工场地的时间、地点和供应要求：发包人提供水、电驳接点（临水、临电工程由承包人实施）</w:t>
      </w:r>
    </w:p>
    <w:p w14:paraId="0B010475">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（3）施工场地与公共道路通道的开通时间和要求：结合现场实际情况考虑。</w:t>
      </w:r>
    </w:p>
    <w:p w14:paraId="27EC20D6">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（4）工程地质资料的提供时间：开工前提供。</w:t>
      </w:r>
    </w:p>
    <w:p w14:paraId="2D2CDB1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（5）由发包人办理的施工所需证件、批件的名称和完成时间：发包人负责办理本工程立项许可证、建设用地规划许可证、建设工程规划许可证。</w:t>
      </w:r>
    </w:p>
    <w:p w14:paraId="5F5DB11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（6）水准点与坐标控制点交验要求：发包人负责在施工现场将已施测的水准点高程与平面控制点坐标以书面形式提供给承包人，由承包人做好交验记录。</w:t>
      </w:r>
    </w:p>
    <w:p w14:paraId="72F3421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（7）图纸会审和设计交底时间：承包人接到施工图纸后14天内进行。</w:t>
      </w:r>
    </w:p>
    <w:p w14:paraId="4C53E7AE">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（8）协调施工场地周围地下管线和邻近建筑物、构筑物（含文物保护建筑）、古树名木的保护工作。</w:t>
      </w:r>
    </w:p>
    <w:p w14:paraId="545B36B8">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8.2发包人委托承包人办理的工作：包括但不限于办理施工许可证和工程质量安全监督报建手续等工作。</w:t>
      </w:r>
    </w:p>
    <w:p w14:paraId="70747193">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8.3</w:t>
      </w:r>
      <w:r>
        <w:rPr>
          <w:rFonts w:hint="eastAsia" w:ascii="宋体" w:hAnsi="宋体"/>
          <w:snapToGrid w:val="0"/>
          <w:color w:val="auto"/>
          <w:kern w:val="0"/>
          <w:sz w:val="24"/>
          <w:highlight w:val="none"/>
        </w:rPr>
        <w:t>合同通用条款第8.3款所提及的工期顺延情形只适用于一般节点工期。</w:t>
      </w:r>
    </w:p>
    <w:p w14:paraId="6BAEBA98">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t>承包人和发包人一致同意增加8.4：</w:t>
      </w:r>
    </w:p>
    <w:p w14:paraId="049B5304">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8.4经发包人与承包人双方协商一致，发包人保留下列权利：</w:t>
      </w:r>
    </w:p>
    <w:p w14:paraId="05C89670">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（1）对用于本合同工程的材料设备的品质、质量提交质量监督检验机构（包括本合同约定的质量监督检验机构和法律法规规定的质量监督检验机构）审查确认的权利。</w:t>
      </w:r>
    </w:p>
    <w:p w14:paraId="387A66DF">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9、承包人工作</w:t>
      </w:r>
    </w:p>
    <w:p w14:paraId="0698F498">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9.1承包人按合同约定的内容和时间完成以下工作：</w:t>
      </w:r>
    </w:p>
    <w:p w14:paraId="7670A84E">
      <w:pPr>
        <w:adjustRightInd w:val="0"/>
        <w:snapToGrid w:val="0"/>
        <w:spacing w:line="360" w:lineRule="auto"/>
        <w:ind w:right="11" w:firstLine="460" w:firstLineChars="192"/>
        <w:outlineLvl w:val="4"/>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（3）根据工程需要，承包人提供和维修白天或夜间施工使用的照明、围栏设施，并负责安全保卫。若承包人未履行上述义务造成工程、财产、人身损害等，由承包人承担责任及因此所发生的一切费用。</w:t>
      </w:r>
    </w:p>
    <w:p w14:paraId="63AC19A6">
      <w:pPr>
        <w:adjustRightInd w:val="0"/>
        <w:snapToGrid w:val="0"/>
        <w:spacing w:line="360" w:lineRule="auto"/>
        <w:ind w:right="11" w:firstLine="460" w:firstLineChars="192"/>
        <w:outlineLvl w:val="4"/>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w:t>
      </w:r>
      <w:r>
        <w:rPr>
          <w:rFonts w:hint="eastAsia" w:ascii="宋体" w:hAnsi="宋体"/>
          <w:snapToGrid w:val="0"/>
          <w:color w:val="auto"/>
          <w:kern w:val="0"/>
          <w:sz w:val="24"/>
          <w:highlight w:val="none"/>
        </w:rPr>
        <w:t>遵守政府有关主管部门对施工场地交通、施工噪音以及环境保护和安全生产等的管理规定，</w:t>
      </w:r>
      <w:r>
        <w:rPr>
          <w:rFonts w:hint="eastAsia" w:ascii="宋体" w:hAnsi="宋体"/>
          <w:bCs/>
          <w:snapToGrid w:val="0"/>
          <w:color w:val="auto"/>
          <w:kern w:val="0"/>
          <w:sz w:val="24"/>
          <w:highlight w:val="none"/>
        </w:rPr>
        <w:t>按工程所在地政府主管部门的规定办理并承担由此发生的费用，并在开工后2个月内以书面形式知会发包人。</w:t>
      </w:r>
    </w:p>
    <w:p w14:paraId="67FC7441">
      <w:pPr>
        <w:adjustRightInd w:val="0"/>
        <w:snapToGrid w:val="0"/>
        <w:spacing w:line="360" w:lineRule="auto"/>
        <w:ind w:right="11" w:firstLine="460" w:firstLineChars="192"/>
        <w:outlineLvl w:val="4"/>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（6）未移交后续施工单位或发包人使用前，对已完工工程的保护工作及费用均由承包人负责，发生损坏由承包人自费修复。</w:t>
      </w:r>
    </w:p>
    <w:p w14:paraId="12B3F35B">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（7）承包人应对施工场地及周围的地下管线、建筑物、构筑物（含文物保护建筑）、古树名木之状况进行勘察，根据勘察结果确定具体的保护措施并承担有关费用。</w:t>
      </w:r>
    </w:p>
    <w:p w14:paraId="13EA9C11">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应严格按照《国务院办公厅关于科学绿化的指导意见》（国办发〔2021〕19号）、《广州市关于科学绿化的实施意见》（穗办【2021】11号）、《广东省人民政府办公厅关于科学绿化的实施意见》（粤府办【2021】48号）和《广州市城市树木保护管理规定（试行）》（穗林业园林规字〔2022〕1号）等相关规定组织施工，严格落实古树名木、古树后续资源、行道树、大树等树木的保护工作，禁止擅自砍伐树木或擅自迁移树木。</w:t>
      </w:r>
    </w:p>
    <w:p w14:paraId="3266BDAA">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承包人应对所采取的保护措施进行监测，并应根据监测结果及时反馈信息指导施工，以确保上述受保护物件及作业人员、居民的安全。因承包人原因，受保护物件发生损坏的，由承包人承担责任并负责赔偿。</w:t>
      </w:r>
    </w:p>
    <w:p w14:paraId="4FF86390">
      <w:pPr>
        <w:numPr>
          <w:ilvl w:val="0"/>
          <w:numId w:val="1"/>
        </w:num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应当编制建筑垃圾处理方案，并在开工前报工程所在地县级人民政府建筑垃圾主管部门备案并按发包人批准的施工组织设计进行施工现场布置、放置材料机械及其他设施。承包人以地勘报告及现场情况确定土（石）方弃置内容，遵守建筑废弃物运输时间要求，综合考虑土质、土石比例、淤泥、装卸方式、垂直运输、运输方式（含陆运水运）、场外道路等，工作内容包括但不限于运输、排障、协调等。承包人根据现场情况自行确定土（石）方堆放地点，场内运输费已包含到分部分项工程费内；结算时不再单独计取。</w:t>
      </w:r>
    </w:p>
    <w:p w14:paraId="51FCB33C">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施工过程中，承包人应当建立建筑垃圾管理台账，分类收集、贮存和及时清运施工过程中产生的建筑垃圾，具体要求按照《广东省建筑垃圾管理条例》（广东省第十三届人民代表大会常务委员会公告第126号）等环境卫生管理的有关规定执行,确保施工场地清洁达到合同协议书约定的安全生产及文明施工目标。同时，工程竣工验收后10天内，承包人应当对施工场地进行全面清理。</w:t>
      </w:r>
    </w:p>
    <w:p w14:paraId="0DE69894">
      <w:pPr>
        <w:adjustRightInd w:val="0"/>
        <w:snapToGrid w:val="0"/>
        <w:spacing w:line="360" w:lineRule="auto"/>
        <w:ind w:right="11" w:firstLine="460" w:firstLineChars="192"/>
        <w:outlineLvl w:val="4"/>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（9）承包人应做的其他工作</w:t>
      </w:r>
    </w:p>
    <w:p w14:paraId="5FBD9388">
      <w:pPr>
        <w:adjustRightInd w:val="0"/>
        <w:snapToGrid w:val="0"/>
        <w:spacing w:line="360" w:lineRule="auto"/>
        <w:ind w:firstLine="48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1）进场后每日按审定格式申报人材机投入量及实物工程量完成量，以此作为工程款（进度款）支付的依据。</w:t>
      </w:r>
    </w:p>
    <w:p w14:paraId="3AD4F7B9">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2）</w:t>
      </w:r>
      <w:r>
        <w:rPr>
          <w:rFonts w:hint="eastAsia" w:ascii="宋体" w:hAnsi="宋体"/>
          <w:snapToGrid w:val="0"/>
          <w:color w:val="auto"/>
          <w:kern w:val="0"/>
          <w:sz w:val="24"/>
          <w:highlight w:val="none"/>
        </w:rPr>
        <w:t>保证执行投标文件所承诺的施工组织设计中的资源投入计划，将工程施工所需的机械设备、人员、材料等资源，根据工程进度计划按时、按标准、足额投入；否则，应按</w:t>
      </w:r>
      <w:r>
        <w:rPr>
          <w:rFonts w:hint="eastAsia" w:ascii="宋体" w:hAnsi="宋体"/>
          <w:bCs/>
          <w:snapToGrid w:val="0"/>
          <w:color w:val="auto"/>
          <w:kern w:val="0"/>
          <w:sz w:val="24"/>
          <w:highlight w:val="none"/>
        </w:rPr>
        <w:t>合同专用条款第</w:t>
      </w:r>
      <w:r>
        <w:rPr>
          <w:rFonts w:hint="eastAsia" w:ascii="宋体" w:hAnsi="宋体"/>
          <w:snapToGrid w:val="0"/>
          <w:color w:val="auto"/>
          <w:kern w:val="0"/>
          <w:sz w:val="24"/>
          <w:highlight w:val="none"/>
        </w:rPr>
        <w:t>38.7（3）款的约定承担违反投标承诺的违约责任。</w:t>
      </w:r>
    </w:p>
    <w:p w14:paraId="59107F81">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施工过程中，承包人因特殊原因需变更资源投入计划或者对已投入的资源进行调整的，应当提前7天提出申请，报总监理工程师和发包人批准。</w:t>
      </w:r>
      <w:r>
        <w:rPr>
          <w:rFonts w:hint="eastAsia" w:ascii="宋体" w:hAnsi="宋体"/>
          <w:snapToGrid w:val="0"/>
          <w:color w:val="auto"/>
          <w:kern w:val="0"/>
          <w:sz w:val="24"/>
          <w:highlight w:val="none"/>
        </w:rPr>
        <w:t>允许机械、设备调整的原则为：所调整机械、设备的规格、标准只能比原计划提高，不能降低；数量原则上不允许减少，如确因更换先进设备提高了工效，可考虑在总工作能力不降低的前提下同意调整。</w:t>
      </w:r>
      <w:r>
        <w:rPr>
          <w:rFonts w:hint="eastAsia" w:ascii="宋体" w:hAnsi="宋体"/>
          <w:bCs/>
          <w:snapToGrid w:val="0"/>
          <w:color w:val="auto"/>
          <w:kern w:val="0"/>
          <w:sz w:val="24"/>
          <w:highlight w:val="none"/>
        </w:rPr>
        <w:t>未经发包人许可，承包人开工后已进场的机械设备在</w:t>
      </w:r>
      <w:r>
        <w:rPr>
          <w:rFonts w:hint="eastAsia" w:ascii="宋体" w:hAnsi="宋体"/>
          <w:snapToGrid w:val="0"/>
          <w:color w:val="auto"/>
          <w:kern w:val="0"/>
          <w:sz w:val="24"/>
          <w:highlight w:val="none"/>
        </w:rPr>
        <w:t>任何情况下都</w:t>
      </w:r>
      <w:r>
        <w:rPr>
          <w:rFonts w:hint="eastAsia" w:ascii="宋体" w:hAnsi="宋体"/>
          <w:bCs/>
          <w:snapToGrid w:val="0"/>
          <w:color w:val="auto"/>
          <w:kern w:val="0"/>
          <w:sz w:val="24"/>
          <w:highlight w:val="none"/>
        </w:rPr>
        <w:t>不得在计划使用期间撤出现场。若施工机械、设备在施工过程中发生损坏，承包人必须在3天内修复或更换。</w:t>
      </w:r>
    </w:p>
    <w:p w14:paraId="60486A0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因设计变更、施工现场情况变化造成工程内容、工程量变化，须调整机械、设备的规格、数量的，承包人须在变更或变化确定后3天内，提出完整的更新施工方案和资源投入计划，报总监理工程师和发包人批准后实施。</w:t>
      </w:r>
    </w:p>
    <w:p w14:paraId="2511CA77">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3）对施工图、技术资料认真地复核和检查，有预见性地发现和指正设计缺陷和错误，应提出能实质性地节约资金和缩短工期的建议和措施。</w:t>
      </w:r>
    </w:p>
    <w:p w14:paraId="78D3C1E6">
      <w:pPr>
        <w:adjustRightInd w:val="0"/>
        <w:snapToGrid w:val="0"/>
        <w:spacing w:line="360" w:lineRule="auto"/>
        <w:ind w:right="11" w:firstLine="480" w:firstLineChars="200"/>
        <w:rPr>
          <w:rFonts w:hint="eastAsia" w:ascii="宋体" w:hAnsi="宋体"/>
          <w:iCs/>
          <w:snapToGrid w:val="0"/>
          <w:color w:val="auto"/>
          <w:kern w:val="0"/>
          <w:sz w:val="24"/>
          <w:highlight w:val="none"/>
        </w:rPr>
      </w:pPr>
      <w:r>
        <w:rPr>
          <w:rFonts w:hint="eastAsia" w:ascii="宋体" w:hAnsi="宋体"/>
          <w:iCs/>
          <w:snapToGrid w:val="0"/>
          <w:color w:val="auto"/>
          <w:kern w:val="0"/>
          <w:sz w:val="24"/>
          <w:highlight w:val="none"/>
        </w:rPr>
        <w:t>4）承包人应当清楚地预计到施工期间对外界可能产生的不可避免的干扰，并保证主动努力减少这些干扰对外界的影响，积极主动与外界进行协调。</w:t>
      </w:r>
    </w:p>
    <w:p w14:paraId="560D72EE">
      <w:pPr>
        <w:adjustRightInd w:val="0"/>
        <w:snapToGrid w:val="0"/>
        <w:spacing w:line="360" w:lineRule="auto"/>
        <w:ind w:right="11" w:firstLine="480" w:firstLineChars="200"/>
        <w:rPr>
          <w:rFonts w:hint="eastAsia" w:ascii="宋体" w:hAnsi="宋体"/>
          <w:iCs/>
          <w:snapToGrid w:val="0"/>
          <w:color w:val="auto"/>
          <w:kern w:val="0"/>
          <w:sz w:val="24"/>
          <w:highlight w:val="none"/>
        </w:rPr>
      </w:pPr>
      <w:r>
        <w:rPr>
          <w:rFonts w:hint="eastAsia" w:ascii="宋体" w:hAnsi="宋体"/>
          <w:iCs/>
          <w:snapToGrid w:val="0"/>
          <w:color w:val="auto"/>
          <w:kern w:val="0"/>
          <w:sz w:val="24"/>
          <w:highlight w:val="none"/>
        </w:rPr>
        <w:t>5）承包人应努力创建节能减排和节约型工地。</w:t>
      </w:r>
    </w:p>
    <w:p w14:paraId="76867476">
      <w:pPr>
        <w:adjustRightInd w:val="0"/>
        <w:snapToGrid w:val="0"/>
        <w:spacing w:line="360" w:lineRule="auto"/>
        <w:ind w:right="11" w:firstLine="482" w:firstLineChars="200"/>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承包人与发包人一致同意增加9.3至9.11：</w:t>
      </w:r>
    </w:p>
    <w:p w14:paraId="3940A8D3">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9.3若发包人及相关行政管理部门有工程需要，承包人应采用计算机信息管理，与发包人及相关行政管理部门的工程管理系统接口一致，建立相应的信息交换网络，以便发包人及各有关单位与其进行数据交换，提高工作效率。对于智慧工地的建设按照《广州市住房和城乡建设局关于进一步推进全市房屋建筑工程智慧工地建设的通知（试行）》（穗建质[2023]683号文）的相关要求执行。</w:t>
      </w:r>
    </w:p>
    <w:p w14:paraId="20379E9F">
      <w:pPr>
        <w:adjustRightInd w:val="0"/>
        <w:snapToGrid w:val="0"/>
        <w:spacing w:line="360" w:lineRule="auto"/>
        <w:ind w:right="11" w:firstLine="480" w:firstLineChars="200"/>
        <w:outlineLvl w:val="4"/>
        <w:rPr>
          <w:rFonts w:hint="eastAsia" w:ascii="宋体" w:hAnsi="宋体"/>
          <w:snapToGrid w:val="0"/>
          <w:color w:val="auto"/>
          <w:kern w:val="0"/>
          <w:sz w:val="24"/>
          <w:highlight w:val="none"/>
        </w:rPr>
      </w:pPr>
      <w:r>
        <w:rPr>
          <w:rFonts w:ascii="宋体" w:hAnsi="宋体"/>
          <w:snapToGrid w:val="0"/>
          <w:color w:val="auto"/>
          <w:kern w:val="0"/>
          <w:sz w:val="24"/>
          <w:highlight w:val="none"/>
        </w:rPr>
        <w:t>（1）计算机信息管理的内容和基本要求</w:t>
      </w:r>
    </w:p>
    <w:p w14:paraId="6A1E4ACF">
      <w:pPr>
        <w:pStyle w:val="8"/>
        <w:adjustRightInd w:val="0"/>
        <w:snapToGrid w:val="0"/>
        <w:spacing w:line="360" w:lineRule="auto"/>
        <w:ind w:firstLine="413"/>
        <w:rPr>
          <w:rFonts w:hAnsi="宋体"/>
          <w:snapToGrid w:val="0"/>
          <w:color w:val="auto"/>
          <w:kern w:val="0"/>
          <w:sz w:val="24"/>
          <w:szCs w:val="24"/>
          <w:highlight w:val="none"/>
        </w:rPr>
      </w:pPr>
      <w:r>
        <w:rPr>
          <w:rFonts w:hAnsi="宋体"/>
          <w:snapToGrid w:val="0"/>
          <w:color w:val="auto"/>
          <w:kern w:val="0"/>
          <w:sz w:val="24"/>
          <w:szCs w:val="24"/>
          <w:highlight w:val="none"/>
        </w:rPr>
        <w:t>承包人应运用计算机技术对合同项目进行科学管理，全面提高合同工程施工管理水平。发包人开发了计算机工程信息管理系统，承包人是该系统最基础的信息源之一，承包人应配置和运用该系统进行项目施工管理，包括进度、质量、安全、物资设备、合同、合同结算、文档等管理系统。</w:t>
      </w:r>
    </w:p>
    <w:p w14:paraId="6FA8D28C">
      <w:pPr>
        <w:pStyle w:val="8"/>
        <w:adjustRightInd w:val="0"/>
        <w:snapToGrid w:val="0"/>
        <w:spacing w:line="360" w:lineRule="auto"/>
        <w:ind w:firstLine="413"/>
        <w:rPr>
          <w:rFonts w:hAnsi="宋体"/>
          <w:snapToGrid w:val="0"/>
          <w:color w:val="auto"/>
          <w:kern w:val="0"/>
          <w:sz w:val="24"/>
          <w:szCs w:val="24"/>
          <w:highlight w:val="none"/>
        </w:rPr>
      </w:pPr>
      <w:r>
        <w:rPr>
          <w:rFonts w:hAnsi="宋体"/>
          <w:snapToGrid w:val="0"/>
          <w:color w:val="auto"/>
          <w:kern w:val="0"/>
          <w:sz w:val="24"/>
          <w:szCs w:val="24"/>
          <w:highlight w:val="none"/>
        </w:rPr>
        <w:t>承包人因使用工程信息管理系统所需的计算机系统规划、配置和人员培训与技术指导等工作，由发包人批准或指定的单位提供服务，以正确运用发包人的计算机工程信息管理系统，具体要求应按照发包人的有关文件执行。因承包人使用工程信息管理系统所需的计算机系统规划、配置和人员培训与技术咨询等所产生的费用由承包人自行承担。</w:t>
      </w:r>
    </w:p>
    <w:p w14:paraId="375DB7E7">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（2）计算机网络</w:t>
      </w:r>
    </w:p>
    <w:p w14:paraId="7D8BD137">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以发包人及有关行政部门要求为准。</w:t>
      </w:r>
    </w:p>
    <w:p w14:paraId="362D32B7">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（3）计算机硬件</w:t>
      </w:r>
    </w:p>
    <w:p w14:paraId="6D70DAB0">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以发包人及有关行政部门要求为准。</w:t>
      </w:r>
    </w:p>
    <w:p w14:paraId="1B061D28">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（4）计算机软件</w:t>
      </w:r>
    </w:p>
    <w:p w14:paraId="7C2DD7BE">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以发包人及有关行政部门要求为准。</w:t>
      </w:r>
    </w:p>
    <w:p w14:paraId="15785D4C">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（5）人员配备及培训</w:t>
      </w:r>
    </w:p>
    <w:p w14:paraId="59A9E6E9">
      <w:pPr>
        <w:pStyle w:val="8"/>
        <w:adjustRightInd w:val="0"/>
        <w:snapToGrid w:val="0"/>
        <w:spacing w:line="360" w:lineRule="auto"/>
        <w:ind w:firstLine="413"/>
        <w:rPr>
          <w:rFonts w:hAnsi="宋体"/>
          <w:snapToGrid w:val="0"/>
          <w:color w:val="auto"/>
          <w:kern w:val="0"/>
          <w:sz w:val="24"/>
          <w:szCs w:val="24"/>
          <w:highlight w:val="none"/>
        </w:rPr>
      </w:pPr>
      <w:r>
        <w:rPr>
          <w:rFonts w:hAnsi="宋体"/>
          <w:snapToGrid w:val="0"/>
          <w:color w:val="auto"/>
          <w:kern w:val="0"/>
          <w:sz w:val="24"/>
          <w:szCs w:val="24"/>
          <w:highlight w:val="none"/>
        </w:rPr>
        <w:t>承包人应配备一定数量的专门人员负责支持和维护计算机工程信息管理系统，并报发包人备案。以上人员须参加岗位培训，经一定形式的考核后方能上岗。</w:t>
      </w:r>
    </w:p>
    <w:p w14:paraId="15CDF6A0">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（6）信息内容、格式及信息传递要求（若有）</w:t>
      </w:r>
    </w:p>
    <w:p w14:paraId="64254B90">
      <w:pPr>
        <w:pStyle w:val="8"/>
        <w:adjustRightInd w:val="0"/>
        <w:snapToGrid w:val="0"/>
        <w:spacing w:line="360" w:lineRule="auto"/>
        <w:ind w:firstLine="414"/>
        <w:rPr>
          <w:rFonts w:hAnsi="宋体"/>
          <w:snapToGrid w:val="0"/>
          <w:color w:val="auto"/>
          <w:kern w:val="0"/>
          <w:sz w:val="24"/>
          <w:szCs w:val="24"/>
          <w:highlight w:val="none"/>
        </w:rPr>
      </w:pPr>
      <w:r>
        <w:rPr>
          <w:rFonts w:hAnsi="宋体"/>
          <w:snapToGrid w:val="0"/>
          <w:color w:val="auto"/>
          <w:kern w:val="0"/>
          <w:sz w:val="24"/>
          <w:szCs w:val="24"/>
          <w:highlight w:val="none"/>
        </w:rPr>
        <w:t>承包人应及时准确地按发包人和总监理工程师所要求的时限、内容和格式将相关工程信息录入并传递给发包人和总监理工程师。承包人如未能按发包人的规定将信息录入或传递给发包人，可以成为发包人缓付或停付工程进度款的理由。</w:t>
      </w:r>
    </w:p>
    <w:p w14:paraId="65CF3853">
      <w:pPr>
        <w:pStyle w:val="8"/>
        <w:adjustRightInd w:val="0"/>
        <w:snapToGrid w:val="0"/>
        <w:spacing w:line="360" w:lineRule="auto"/>
        <w:ind w:firstLine="413"/>
        <w:outlineLvl w:val="4"/>
        <w:rPr>
          <w:rFonts w:hAnsi="宋体"/>
          <w:snapToGrid w:val="0"/>
          <w:color w:val="auto"/>
          <w:kern w:val="0"/>
          <w:sz w:val="24"/>
          <w:szCs w:val="24"/>
          <w:highlight w:val="none"/>
        </w:rPr>
      </w:pPr>
      <w:r>
        <w:rPr>
          <w:rFonts w:hAnsi="宋体"/>
          <w:snapToGrid w:val="0"/>
          <w:color w:val="auto"/>
          <w:kern w:val="0"/>
          <w:sz w:val="24"/>
          <w:szCs w:val="24"/>
          <w:highlight w:val="none"/>
        </w:rPr>
        <w:t>（7）信息安全</w:t>
      </w:r>
    </w:p>
    <w:p w14:paraId="3AB491C4">
      <w:pPr>
        <w:pStyle w:val="8"/>
        <w:adjustRightInd w:val="0"/>
        <w:snapToGrid w:val="0"/>
        <w:spacing w:line="360" w:lineRule="auto"/>
        <w:ind w:firstLine="413"/>
        <w:rPr>
          <w:rFonts w:hAnsi="宋体"/>
          <w:snapToGrid w:val="0"/>
          <w:color w:val="auto"/>
          <w:kern w:val="0"/>
          <w:sz w:val="24"/>
          <w:szCs w:val="24"/>
          <w:highlight w:val="none"/>
        </w:rPr>
      </w:pPr>
      <w:r>
        <w:rPr>
          <w:rFonts w:hAnsi="宋体"/>
          <w:snapToGrid w:val="0"/>
          <w:color w:val="auto"/>
          <w:kern w:val="0"/>
          <w:sz w:val="24"/>
          <w:szCs w:val="24"/>
          <w:highlight w:val="none"/>
        </w:rPr>
        <w:t>计算机工程信息管理系统采用授权用户及密码验证以保证合法用户使用。承包人在使用计算机工程信息管理系统过程中，应采取必要的措施，以确保信息的完整、准确和安全。计算机工程信息管理系统中的信息资源所有权属于发包人，在施工承包过程中，承包人可以访问使用与所承包合同相关的信息。</w:t>
      </w:r>
    </w:p>
    <w:p w14:paraId="22832646">
      <w:pPr>
        <w:adjustRightInd w:val="0"/>
        <w:snapToGrid w:val="0"/>
        <w:spacing w:line="360" w:lineRule="auto"/>
        <w:ind w:right="11" w:firstLine="482" w:firstLineChars="200"/>
        <w:outlineLvl w:val="4"/>
        <w:rPr>
          <w:rFonts w:hint="eastAsia" w:ascii="宋体" w:hAnsi="宋体"/>
          <w:bCs/>
          <w:iCs/>
          <w:snapToGrid w:val="0"/>
          <w:color w:val="auto"/>
          <w:kern w:val="0"/>
          <w:sz w:val="24"/>
          <w:highlight w:val="none"/>
        </w:rPr>
      </w:pPr>
      <w:r>
        <w:rPr>
          <w:rFonts w:hint="eastAsia" w:ascii="宋体" w:hAnsi="宋体"/>
          <w:b/>
          <w:snapToGrid w:val="0"/>
          <w:color w:val="auto"/>
          <w:kern w:val="0"/>
          <w:sz w:val="24"/>
          <w:highlight w:val="none"/>
        </w:rPr>
        <w:sym w:font="Wingdings 2" w:char="00A3"/>
      </w:r>
      <w:r>
        <w:rPr>
          <w:rFonts w:hint="eastAsia" w:ascii="宋体" w:hAnsi="宋体"/>
          <w:bCs/>
          <w:iCs/>
          <w:snapToGrid w:val="0"/>
          <w:color w:val="auto"/>
          <w:kern w:val="0"/>
          <w:sz w:val="24"/>
          <w:highlight w:val="none"/>
        </w:rPr>
        <w:t>（8）网络视频监控要求</w:t>
      </w:r>
    </w:p>
    <w:p w14:paraId="090FDB95">
      <w:pPr>
        <w:pStyle w:val="8"/>
        <w:adjustRightInd w:val="0"/>
        <w:snapToGrid w:val="0"/>
        <w:spacing w:line="360" w:lineRule="auto"/>
        <w:ind w:firstLine="413"/>
        <w:rPr>
          <w:rFonts w:hAnsi="宋体"/>
          <w:snapToGrid w:val="0"/>
          <w:color w:val="auto"/>
          <w:kern w:val="0"/>
          <w:sz w:val="24"/>
          <w:szCs w:val="24"/>
          <w:highlight w:val="none"/>
        </w:rPr>
      </w:pPr>
      <w:r>
        <w:rPr>
          <w:rFonts w:hAnsi="宋体"/>
          <w:snapToGrid w:val="0"/>
          <w:color w:val="auto"/>
          <w:kern w:val="0"/>
          <w:sz w:val="24"/>
          <w:szCs w:val="24"/>
          <w:highlight w:val="none"/>
        </w:rPr>
        <w:t>网络视频监控要求（</w:t>
      </w:r>
      <w:r>
        <w:rPr>
          <w:rFonts w:hAnsi="宋体"/>
          <w:b/>
          <w:snapToGrid w:val="0"/>
          <w:color w:val="auto"/>
          <w:kern w:val="0"/>
          <w:sz w:val="24"/>
          <w:szCs w:val="24"/>
          <w:highlight w:val="none"/>
        </w:rPr>
        <w:sym w:font="Wingdings 2" w:char="00A3"/>
      </w:r>
      <w:r>
        <w:rPr>
          <w:rFonts w:hAnsi="宋体"/>
          <w:snapToGrid w:val="0"/>
          <w:color w:val="auto"/>
          <w:kern w:val="0"/>
          <w:sz w:val="24"/>
          <w:szCs w:val="24"/>
          <w:highlight w:val="none"/>
        </w:rPr>
        <w:t xml:space="preserve"> 需满足建委及其他相关部门要求的视频监控  </w:t>
      </w:r>
      <w:r>
        <w:rPr>
          <w:rFonts w:hAnsi="宋体"/>
          <w:b/>
          <w:snapToGrid w:val="0"/>
          <w:color w:val="auto"/>
          <w:kern w:val="0"/>
          <w:sz w:val="24"/>
          <w:szCs w:val="24"/>
          <w:highlight w:val="none"/>
        </w:rPr>
        <w:sym w:font="Wingdings 2" w:char="00A3"/>
      </w:r>
      <w:r>
        <w:rPr>
          <w:rFonts w:hAnsi="宋体"/>
          <w:snapToGrid w:val="0"/>
          <w:color w:val="auto"/>
          <w:kern w:val="0"/>
          <w:sz w:val="24"/>
          <w:szCs w:val="24"/>
          <w:highlight w:val="none"/>
        </w:rPr>
        <w:t xml:space="preserve"> 及需满足发包人调度使用的远程工地视频监控系统）</w:t>
      </w:r>
    </w:p>
    <w:p w14:paraId="264D691A">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1）承包人必须遵照《关于广州市建筑工地安装视频监控装置的通知》（穗建筑【2006】551号）、《关于全面启动广州市社会治安视频监控系统建设有关问题的通知》（穗视频建字【2006】1号）和《广州市住房和城乡建设委员会关于全市建设工地纳入视频监管的通知》（穗建质[2017]1166号）的要求，建立满足隐蔽工程和关键工序质量监控、安全文明施工监控、验收监控等需要的视频监控系统（以通过发包人验收为准）。</w:t>
      </w:r>
    </w:p>
    <w:p w14:paraId="78205C84">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2）施工现场视频监控的部位应当覆盖以下基本部位：大门及围墙、临时用电设施、深基坑、高支摸体系、附着式升降脚手架（整体提升架或爬架）、外用电梯、塔吊、物料提升机（龙门架、井字架）等。</w:t>
      </w:r>
    </w:p>
    <w:p w14:paraId="0D25F0E6">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3）承包人应建立视频监控系统资料的收集、查阅、检索等档案系统，并安排专人负责。</w:t>
      </w:r>
    </w:p>
    <w:p w14:paraId="0F183139">
      <w:pPr>
        <w:adjustRightInd w:val="0"/>
        <w:snapToGrid w:val="0"/>
        <w:spacing w:line="360" w:lineRule="auto"/>
        <w:ind w:right="11" w:firstLine="482" w:firstLineChars="200"/>
        <w:outlineLvl w:val="4"/>
        <w:rPr>
          <w:rFonts w:hint="eastAsia" w:ascii="宋体" w:hAnsi="宋体"/>
          <w:b/>
          <w:bCs/>
          <w:iCs/>
          <w:snapToGrid w:val="0"/>
          <w:color w:val="auto"/>
          <w:kern w:val="0"/>
          <w:sz w:val="24"/>
          <w:highlight w:val="none"/>
        </w:rPr>
      </w:pPr>
      <w:r>
        <w:rPr>
          <w:rFonts w:hint="eastAsia" w:ascii="宋体" w:hAnsi="宋体"/>
          <w:b/>
          <w:snapToGrid w:val="0"/>
          <w:color w:val="auto"/>
          <w:kern w:val="0"/>
          <w:sz w:val="24"/>
          <w:highlight w:val="none"/>
        </w:rPr>
        <w:sym w:font="Wingdings 2" w:char="00A3"/>
      </w:r>
      <w:r>
        <w:rPr>
          <w:rFonts w:hint="eastAsia" w:ascii="宋体" w:hAnsi="宋体"/>
          <w:b/>
          <w:snapToGrid w:val="0"/>
          <w:color w:val="auto"/>
          <w:kern w:val="0"/>
          <w:sz w:val="24"/>
          <w:highlight w:val="none"/>
        </w:rPr>
        <w:t xml:space="preserve"> </w:t>
      </w:r>
      <w:r>
        <w:rPr>
          <w:rFonts w:hint="eastAsia" w:ascii="宋体" w:hAnsi="宋体"/>
          <w:bCs/>
          <w:iCs/>
          <w:snapToGrid w:val="0"/>
          <w:color w:val="auto"/>
          <w:kern w:val="0"/>
          <w:sz w:val="24"/>
          <w:highlight w:val="none"/>
        </w:rPr>
        <w:t>（9）</w:t>
      </w:r>
      <w:r>
        <w:rPr>
          <w:rFonts w:hint="eastAsia" w:ascii="宋体" w:hAnsi="宋体"/>
          <w:b/>
          <w:bCs/>
          <w:iCs/>
          <w:snapToGrid w:val="0"/>
          <w:color w:val="auto"/>
          <w:kern w:val="0"/>
          <w:sz w:val="24"/>
          <w:highlight w:val="none"/>
        </w:rPr>
        <w:t>远程工地视频监控系统</w:t>
      </w:r>
    </w:p>
    <w:p w14:paraId="2AD81BD6">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1）承包人必须明确远程工地视频监控系统的前端监控设备主要用于发包人远程现场指挥调度需要。</w:t>
      </w:r>
    </w:p>
    <w:p w14:paraId="39479796">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2）承包人应负责“1080P高清”工地视频监控项目前端监控设备的采购安装和日常维护保养，保证实现7X24小时视频无故障传输。</w:t>
      </w:r>
    </w:p>
    <w:p w14:paraId="29DEB95C">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3）承包人应在进场后一个月内完成视频监控的前端的建设，设备归承包人所有。</w:t>
      </w:r>
    </w:p>
    <w:p w14:paraId="1F5BDA10">
      <w:pPr>
        <w:spacing w:line="360" w:lineRule="auto"/>
        <w:ind w:firstLine="470" w:firstLineChars="196"/>
        <w:rPr>
          <w:rFonts w:hint="eastAsia" w:ascii="宋体" w:hAnsi="宋体"/>
          <w:b/>
          <w:bCs/>
          <w:iCs/>
          <w:snapToGrid w:val="0"/>
          <w:color w:val="auto"/>
          <w:kern w:val="0"/>
          <w:sz w:val="24"/>
          <w:highlight w:val="none"/>
        </w:rPr>
      </w:pPr>
      <w:r>
        <w:rPr>
          <w:rFonts w:hint="eastAsia" w:ascii="宋体" w:hAnsi="宋体"/>
          <w:bCs/>
          <w:iCs/>
          <w:snapToGrid w:val="0"/>
          <w:color w:val="auto"/>
          <w:kern w:val="0"/>
          <w:sz w:val="24"/>
          <w:highlight w:val="none"/>
        </w:rPr>
        <w:t>4）施工现场远程监控调度系统应当覆盖现场大部分的建筑范围。对于高层建筑工地，要求将球形摄像机安装在工地吊塔上，以保证对工地的全方位监控；对于低层建筑工地，要求建设独立的金属立杆（为保证球形摄像机不受到大型施工工具的碰撞，要求立杆不低于6米）。具体安装位置及数量先由承包人提交部署建议，由发包人工程管理部门审核确定。</w:t>
      </w:r>
    </w:p>
    <w:p w14:paraId="1B45C55D">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5）为保证系统白天和晚上的视频质量以及保证发包人远程现场指挥调度中心能实时查看工地全景；承包人在视频监控的前端建设时必须选用1080p高清日夜型网络监控设备。</w:t>
      </w:r>
    </w:p>
    <w:p w14:paraId="5D91F721">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6）为保证前端监控数据能通过网络上传至发包人远程现场指挥调度中心需租用光纤资源，承包人必须保证前端工地的网络出口有固定的公网IP；同时为保证1080p监控录像的实时传输，承包人必须为每路监控视频提供至少2M上行带宽。</w:t>
      </w:r>
    </w:p>
    <w:p w14:paraId="25BFDB4C">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7）按照广州市人民政府令第62号《广州市建设工程文明施工管理规定》规定、广州市人民政府令第57号《广州市安全生产管理规定(试行)》规定和《广州市公共安全视频系统管理规定》规定，承包人必须使用专门的房间（或安全的区域）放置网络机柜，必须保证网络机柜和摄像枪（或球形摄像机）的供电稳定，必须对摄像枪（或球形摄像机）做电源和网络防雷。</w:t>
      </w:r>
    </w:p>
    <w:p w14:paraId="3DAF48FE">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8）承包人应严格按照监控工程建设规范进行施工和维护，包括：前端设备采用集中供电的方式，供电线缆应使用防水线缆，规格不低于3*1.5mm</w:t>
      </w:r>
      <w:r>
        <w:rPr>
          <w:rFonts w:hint="eastAsia" w:ascii="宋体" w:hAnsi="宋体"/>
          <w:bCs/>
          <w:iCs/>
          <w:snapToGrid w:val="0"/>
          <w:color w:val="auto"/>
          <w:kern w:val="0"/>
          <w:sz w:val="24"/>
          <w:highlight w:val="none"/>
          <w:vertAlign w:val="superscript"/>
        </w:rPr>
        <w:t>2</w:t>
      </w:r>
      <w:r>
        <w:rPr>
          <w:rFonts w:hint="eastAsia" w:ascii="宋体" w:hAnsi="宋体"/>
          <w:bCs/>
          <w:iCs/>
          <w:snapToGrid w:val="0"/>
          <w:color w:val="auto"/>
          <w:kern w:val="0"/>
          <w:sz w:val="24"/>
          <w:highlight w:val="none"/>
        </w:rPr>
        <w:t>，前端所有传输线缆需敷设在PVC线管内。</w:t>
      </w:r>
    </w:p>
    <w:p w14:paraId="6F23EAB8">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9）为保证前端监控数据的质量，如监控前端距离网络机柜不超过90米，使用超五类非屏蔽线缆作为视频传输介质，如超过90米，要求使用4芯光纤作为传输介质。如前端仅设置1个监控点，直接使用路由器作为监控前端的接入设备；如前端设置2个或以上监控点，要求另外配置一台8口百兆接入交换机作为接入设备。</w:t>
      </w:r>
    </w:p>
    <w:p w14:paraId="1D72E960">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10）承包人应提供视频监控的前端所有设备的供电保障，包括：高清日夜型网络监控设备、路由器、交换机等。</w:t>
      </w:r>
    </w:p>
    <w:p w14:paraId="3A7D6271">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11）承包人对视频监控系统反馈信息的分析、决策、上报、实施，均须严格按照质量控制流程和国家、省、市及发包人制订的相关规定执行。</w:t>
      </w:r>
    </w:p>
    <w:p w14:paraId="23B073C9">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12）承包人应建立视频监控系统资料的收集、查阅、检索等档案系统，并安排专人负责。</w:t>
      </w:r>
    </w:p>
    <w:p w14:paraId="6E24FF9B">
      <w:pPr>
        <w:adjustRightInd w:val="0"/>
        <w:snapToGrid w:val="0"/>
        <w:spacing w:line="360" w:lineRule="auto"/>
        <w:ind w:right="11" w:firstLine="480" w:firstLineChars="200"/>
        <w:outlineLvl w:val="3"/>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9.4承包人应在签订本合同的同时按招标文件提供的格式与发包人签订《工程质量保修书》、《工程建设廉洁协议书》、《安全生产合同》等文件。</w:t>
      </w:r>
    </w:p>
    <w:p w14:paraId="00D4E8B1">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bCs/>
          <w:iCs/>
          <w:snapToGrid w:val="0"/>
          <w:color w:val="auto"/>
          <w:kern w:val="0"/>
          <w:sz w:val="24"/>
          <w:highlight w:val="none"/>
        </w:rPr>
        <w:t>9.5</w:t>
      </w:r>
      <w:r>
        <w:rPr>
          <w:rFonts w:hint="eastAsia" w:ascii="宋体" w:hAnsi="宋体"/>
          <w:snapToGrid w:val="0"/>
          <w:color w:val="auto"/>
          <w:kern w:val="0"/>
          <w:sz w:val="24"/>
          <w:highlight w:val="none"/>
        </w:rPr>
        <w:t>承包人应当按照国家及广东省、广州市的有关规定和本合同的有关约定加强其参与本工程建设人员（包括施工人员）的管理。</w:t>
      </w:r>
    </w:p>
    <w:p w14:paraId="452092DC">
      <w:pPr>
        <w:adjustRightInd w:val="0"/>
        <w:snapToGrid w:val="0"/>
        <w:spacing w:line="360" w:lineRule="auto"/>
        <w:ind w:right="11" w:firstLine="480" w:firstLineChars="200"/>
        <w:rPr>
          <w:rFonts w:ascii="Times New Roman" w:hAnsi="Times New Roman"/>
          <w:bCs/>
          <w:iCs/>
          <w:snapToGrid w:val="0"/>
          <w:color w:val="auto"/>
          <w:kern w:val="0"/>
          <w:sz w:val="24"/>
          <w:highlight w:val="none"/>
        </w:rPr>
      </w:pPr>
      <w:r>
        <w:rPr>
          <w:rFonts w:hint="eastAsia" w:ascii="Times New Roman" w:hAnsi="Times New Roman"/>
          <w:bCs/>
          <w:iCs/>
          <w:snapToGrid w:val="0"/>
          <w:color w:val="auto"/>
          <w:kern w:val="0"/>
          <w:sz w:val="24"/>
          <w:highlight w:val="none"/>
        </w:rPr>
        <w:t>（1）按时足额支付施工人员工资</w:t>
      </w:r>
    </w:p>
    <w:p w14:paraId="0D27B8D0">
      <w:pPr>
        <w:adjustRightInd w:val="0"/>
        <w:snapToGrid w:val="0"/>
        <w:spacing w:line="360" w:lineRule="auto"/>
        <w:ind w:right="11" w:firstLine="480" w:firstLineChars="200"/>
        <w:rPr>
          <w:rFonts w:ascii="Times New Roman" w:hAnsi="Times New Roman"/>
          <w:bCs/>
          <w:iCs/>
          <w:snapToGrid w:val="0"/>
          <w:color w:val="auto"/>
          <w:kern w:val="0"/>
          <w:sz w:val="24"/>
          <w:highlight w:val="none"/>
        </w:rPr>
      </w:pPr>
      <w:r>
        <w:rPr>
          <w:rFonts w:hint="eastAsia" w:ascii="Times New Roman" w:hAnsi="Times New Roman"/>
          <w:bCs/>
          <w:iCs/>
          <w:snapToGrid w:val="0"/>
          <w:color w:val="auto"/>
          <w:kern w:val="0"/>
          <w:sz w:val="24"/>
          <w:highlight w:val="none"/>
        </w:rPr>
        <w:t>1）承包人应当根据劳动合同约定的施工人员工资标准等内容，按照依法签订的集体合同或劳动合同约定的日期按月支付工资，并不得低于当地最低工资标准。</w:t>
      </w:r>
    </w:p>
    <w:p w14:paraId="48D42B1D">
      <w:pPr>
        <w:adjustRightInd w:val="0"/>
        <w:snapToGrid w:val="0"/>
        <w:spacing w:line="360" w:lineRule="auto"/>
        <w:ind w:right="11" w:firstLine="480" w:firstLineChars="200"/>
        <w:rPr>
          <w:rFonts w:ascii="Times New Roman" w:hAnsi="Times New Roman"/>
          <w:bCs/>
          <w:iCs/>
          <w:snapToGrid w:val="0"/>
          <w:color w:val="auto"/>
          <w:kern w:val="0"/>
          <w:sz w:val="24"/>
          <w:highlight w:val="none"/>
        </w:rPr>
      </w:pPr>
      <w:r>
        <w:rPr>
          <w:rFonts w:hint="eastAsia" w:ascii="Times New Roman" w:hAnsi="Times New Roman"/>
          <w:bCs/>
          <w:iCs/>
          <w:snapToGrid w:val="0"/>
          <w:color w:val="auto"/>
          <w:kern w:val="0"/>
          <w:sz w:val="24"/>
          <w:highlight w:val="none"/>
        </w:rPr>
        <w:t>2）承包人应每月编制施工人员工资支付表，如实记录支付时间、支付对象、支付金额等工资支付情况，并于每月底在其现场管理机构办公场所显眼位置公示，接受监督。</w:t>
      </w:r>
    </w:p>
    <w:p w14:paraId="0B0CCDA1">
      <w:pPr>
        <w:adjustRightInd w:val="0"/>
        <w:snapToGrid w:val="0"/>
        <w:spacing w:line="360" w:lineRule="auto"/>
        <w:ind w:right="11" w:firstLine="480" w:firstLineChars="200"/>
        <w:rPr>
          <w:rFonts w:ascii="Times New Roman" w:hAnsi="Times New Roman"/>
          <w:bCs/>
          <w:iCs/>
          <w:snapToGrid w:val="0"/>
          <w:color w:val="auto"/>
          <w:kern w:val="0"/>
          <w:sz w:val="24"/>
          <w:highlight w:val="none"/>
        </w:rPr>
      </w:pPr>
      <w:r>
        <w:rPr>
          <w:rFonts w:hint="eastAsia" w:ascii="Times New Roman" w:hAnsi="Times New Roman"/>
          <w:bCs/>
          <w:iCs/>
          <w:snapToGrid w:val="0"/>
          <w:color w:val="auto"/>
          <w:kern w:val="0"/>
          <w:sz w:val="24"/>
          <w:highlight w:val="none"/>
        </w:rPr>
        <w:t>3）实施工人工资总包代发制度。承包人应对专业分包单位（含发包人直接发包的专业承包单位）和劳务分包单位（统称分包单位，下同）的劳动用工进行监督管理，与分包单位签订委托工资支付协议，审核分包单位编制的施工人员考勤表、工资支付表等工资发放资料，并按《工程建设领域农民工工资专用账户管理暂行办法》（人社部发〔2021〕53号）以及合同专用条款第9.5（1）款7）项的要求支付分包单位施工人员工资。开展班组长、农民工进场签订守法承诺书、退场签订工资结清确认书制度。</w:t>
      </w:r>
    </w:p>
    <w:p w14:paraId="333E5534">
      <w:pPr>
        <w:adjustRightInd w:val="0"/>
        <w:snapToGrid w:val="0"/>
        <w:spacing w:line="360" w:lineRule="auto"/>
        <w:ind w:right="11" w:firstLine="480" w:firstLineChars="200"/>
        <w:rPr>
          <w:rFonts w:ascii="Times New Roman" w:hAnsi="Times New Roman"/>
          <w:bCs/>
          <w:iCs/>
          <w:snapToGrid w:val="0"/>
          <w:color w:val="auto"/>
          <w:kern w:val="0"/>
          <w:sz w:val="24"/>
          <w:highlight w:val="none"/>
        </w:rPr>
      </w:pPr>
      <w:r>
        <w:rPr>
          <w:rFonts w:hint="eastAsia" w:ascii="Times New Roman" w:hAnsi="Times New Roman"/>
          <w:bCs/>
          <w:iCs/>
          <w:snapToGrid w:val="0"/>
          <w:color w:val="auto"/>
          <w:kern w:val="0"/>
          <w:sz w:val="24"/>
          <w:highlight w:val="none"/>
        </w:rPr>
        <w:t>4）承包人不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予以公告。如属恶意煽动并造成社会不良影响的，发包人将提请司法部门追究其法律责任。</w:t>
      </w:r>
    </w:p>
    <w:p w14:paraId="4AE643FB">
      <w:pPr>
        <w:adjustRightInd w:val="0"/>
        <w:snapToGrid w:val="0"/>
        <w:spacing w:line="360" w:lineRule="auto"/>
        <w:ind w:right="11" w:firstLine="480" w:firstLineChars="200"/>
        <w:rPr>
          <w:rFonts w:ascii="Times New Roman" w:hAnsi="Times New Roman"/>
          <w:bCs/>
          <w:iCs/>
          <w:snapToGrid w:val="0"/>
          <w:color w:val="auto"/>
          <w:kern w:val="0"/>
          <w:sz w:val="24"/>
          <w:highlight w:val="none"/>
        </w:rPr>
      </w:pPr>
      <w:r>
        <w:rPr>
          <w:rFonts w:hint="eastAsia" w:ascii="Times New Roman" w:hAnsi="Times New Roman"/>
          <w:bCs/>
          <w:iCs/>
          <w:snapToGrid w:val="0"/>
          <w:color w:val="auto"/>
          <w:kern w:val="0"/>
          <w:sz w:val="24"/>
          <w:highlight w:val="none"/>
        </w:rPr>
        <w:t>5）由于承包人或其管理的分包单位、劳务合作单位拖欠施工人员工资，致使发包人被投诉或起诉并被判令先行垫付施工人员工资的，发包人除追究承包人和其他相关责任单位的违约责任外，还将在工程结算时按合同专用条款第38.14（2）款的约定扣回相关款项作为补偿。</w:t>
      </w:r>
    </w:p>
    <w:p w14:paraId="244ACBC2">
      <w:pPr>
        <w:adjustRightInd w:val="0"/>
        <w:snapToGrid w:val="0"/>
        <w:spacing w:line="360" w:lineRule="auto"/>
        <w:ind w:right="11" w:firstLine="480" w:firstLineChars="200"/>
        <w:rPr>
          <w:rFonts w:ascii="Times New Roman" w:hAnsi="Times New Roman"/>
          <w:bCs/>
          <w:iCs/>
          <w:snapToGrid w:val="0"/>
          <w:color w:val="auto"/>
          <w:kern w:val="0"/>
          <w:sz w:val="24"/>
          <w:highlight w:val="none"/>
        </w:rPr>
      </w:pPr>
      <w:r>
        <w:rPr>
          <w:rFonts w:hint="eastAsia" w:ascii="Times New Roman" w:hAnsi="Times New Roman"/>
          <w:bCs/>
          <w:iCs/>
          <w:snapToGrid w:val="0"/>
          <w:color w:val="auto"/>
          <w:kern w:val="0"/>
          <w:sz w:val="24"/>
          <w:highlight w:val="none"/>
        </w:rPr>
        <w:t>6）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14:paraId="411A8703">
      <w:pPr>
        <w:adjustRightInd w:val="0"/>
        <w:snapToGrid w:val="0"/>
        <w:spacing w:line="360" w:lineRule="auto"/>
        <w:ind w:right="11" w:firstLine="480" w:firstLineChars="200"/>
        <w:rPr>
          <w:rFonts w:ascii="Times New Roman" w:hAnsi="Times New Roman"/>
          <w:bCs/>
          <w:iCs/>
          <w:snapToGrid w:val="0"/>
          <w:color w:val="auto"/>
          <w:kern w:val="0"/>
          <w:sz w:val="24"/>
          <w:highlight w:val="none"/>
        </w:rPr>
      </w:pPr>
      <w:r>
        <w:rPr>
          <w:rFonts w:hint="eastAsia" w:ascii="Times New Roman" w:hAnsi="Times New Roman"/>
          <w:bCs/>
          <w:iCs/>
          <w:snapToGrid w:val="0"/>
          <w:color w:val="auto"/>
          <w:kern w:val="0"/>
          <w:sz w:val="24"/>
          <w:highlight w:val="none"/>
        </w:rPr>
        <w:t>7）承包人必须按《广州市建设领域工人工资支付分账管理实施细则》（穗建规字〔2020〕37号）设立工人工资支付专用账户，通过工人工资支付专用账户，依法按时足额将工人工资直接支付到工人的工资个人账户，并按月将工人工资支付明细表报发包人备案以及向分包单位提供代发工资凭证。承包人应当建立用工管理台账，真实、准确记录工人名册、劳动合同、劳务合同、工程进度、工时、劳务承包款和工人工资支付情况等信息，并至少保存至工程完工且工资全部结清后3年备查。</w:t>
      </w:r>
    </w:p>
    <w:p w14:paraId="19CC6EA2">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bCs/>
          <w:iCs/>
          <w:snapToGrid w:val="0"/>
          <w:color w:val="auto"/>
          <w:kern w:val="0"/>
          <w:sz w:val="24"/>
          <w:highlight w:val="none"/>
        </w:rPr>
        <w:t>（</w:t>
      </w:r>
      <w:r>
        <w:rPr>
          <w:rFonts w:hint="eastAsia" w:ascii="宋体" w:hAnsi="宋体"/>
          <w:bCs/>
          <w:iCs/>
          <w:snapToGrid w:val="0"/>
          <w:color w:val="auto"/>
          <w:kern w:val="0"/>
          <w:sz w:val="24"/>
          <w:highlight w:val="none"/>
        </w:rPr>
        <w:t>2）</w:t>
      </w:r>
      <w:r>
        <w:rPr>
          <w:rFonts w:ascii="宋体" w:hAnsi="宋体"/>
          <w:bCs/>
          <w:iCs/>
          <w:snapToGrid w:val="0"/>
          <w:color w:val="auto"/>
          <w:kern w:val="0"/>
          <w:sz w:val="24"/>
          <w:highlight w:val="none"/>
        </w:rPr>
        <w:t>成立处理劳资纠纷</w:t>
      </w:r>
      <w:r>
        <w:rPr>
          <w:rFonts w:hint="eastAsia" w:ascii="宋体" w:hAnsi="宋体"/>
          <w:bCs/>
          <w:iCs/>
          <w:snapToGrid w:val="0"/>
          <w:color w:val="auto"/>
          <w:kern w:val="0"/>
          <w:sz w:val="24"/>
          <w:highlight w:val="none"/>
        </w:rPr>
        <w:t>的</w:t>
      </w:r>
      <w:r>
        <w:rPr>
          <w:rFonts w:ascii="宋体" w:hAnsi="宋体"/>
          <w:bCs/>
          <w:iCs/>
          <w:snapToGrid w:val="0"/>
          <w:color w:val="auto"/>
          <w:kern w:val="0"/>
          <w:sz w:val="24"/>
          <w:highlight w:val="none"/>
        </w:rPr>
        <w:t>协调机构</w:t>
      </w:r>
    </w:p>
    <w:p w14:paraId="7F831A66">
      <w:pPr>
        <w:adjustRightInd w:val="0"/>
        <w:snapToGrid w:val="0"/>
        <w:spacing w:line="360" w:lineRule="auto"/>
        <w:ind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承包人</w:t>
      </w:r>
      <w:r>
        <w:rPr>
          <w:rFonts w:ascii="宋体" w:hAnsi="宋体"/>
          <w:snapToGrid w:val="0"/>
          <w:color w:val="auto"/>
          <w:kern w:val="0"/>
          <w:sz w:val="24"/>
          <w:highlight w:val="none"/>
        </w:rPr>
        <w:t>必须成立处理劳资纠纷</w:t>
      </w:r>
      <w:r>
        <w:rPr>
          <w:rFonts w:hint="eastAsia" w:ascii="宋体" w:hAnsi="宋体"/>
          <w:snapToGrid w:val="0"/>
          <w:color w:val="auto"/>
          <w:kern w:val="0"/>
          <w:sz w:val="24"/>
          <w:highlight w:val="none"/>
        </w:rPr>
        <w:t>的</w:t>
      </w:r>
      <w:r>
        <w:rPr>
          <w:rFonts w:ascii="宋体" w:hAnsi="宋体"/>
          <w:snapToGrid w:val="0"/>
          <w:color w:val="auto"/>
          <w:kern w:val="0"/>
          <w:sz w:val="24"/>
          <w:highlight w:val="none"/>
        </w:rPr>
        <w:t>协调机构，</w:t>
      </w:r>
      <w:r>
        <w:rPr>
          <w:rFonts w:hint="eastAsia" w:ascii="宋体" w:hAnsi="宋体"/>
          <w:bCs/>
          <w:iCs/>
          <w:snapToGrid w:val="0"/>
          <w:color w:val="auto"/>
          <w:kern w:val="0"/>
          <w:sz w:val="24"/>
          <w:highlight w:val="none"/>
        </w:rPr>
        <w:t>承包人主管领导和项目经理要亲自负责，</w:t>
      </w:r>
      <w:r>
        <w:rPr>
          <w:rFonts w:ascii="宋体" w:hAnsi="宋体"/>
          <w:bCs/>
          <w:iCs/>
          <w:snapToGrid w:val="0"/>
          <w:color w:val="auto"/>
          <w:kern w:val="0"/>
          <w:sz w:val="24"/>
          <w:highlight w:val="none"/>
        </w:rPr>
        <w:t>配备专职人员，及时化解</w:t>
      </w:r>
      <w:r>
        <w:rPr>
          <w:rFonts w:hint="eastAsia" w:ascii="宋体" w:hAnsi="宋体"/>
          <w:bCs/>
          <w:iCs/>
          <w:snapToGrid w:val="0"/>
          <w:color w:val="auto"/>
          <w:kern w:val="0"/>
          <w:sz w:val="24"/>
          <w:highlight w:val="none"/>
        </w:rPr>
        <w:t>劳资</w:t>
      </w:r>
      <w:r>
        <w:rPr>
          <w:rFonts w:ascii="宋体" w:hAnsi="宋体"/>
          <w:bCs/>
          <w:iCs/>
          <w:snapToGrid w:val="0"/>
          <w:color w:val="auto"/>
          <w:kern w:val="0"/>
          <w:sz w:val="24"/>
          <w:highlight w:val="none"/>
        </w:rPr>
        <w:t>矛盾及纠纷，</w:t>
      </w:r>
      <w:r>
        <w:rPr>
          <w:rFonts w:hint="eastAsia" w:ascii="宋体" w:hAnsi="宋体"/>
          <w:bCs/>
          <w:iCs/>
          <w:snapToGrid w:val="0"/>
          <w:color w:val="auto"/>
          <w:kern w:val="0"/>
          <w:sz w:val="24"/>
          <w:highlight w:val="none"/>
        </w:rPr>
        <w:t>并</w:t>
      </w:r>
      <w:r>
        <w:rPr>
          <w:rFonts w:ascii="宋体" w:hAnsi="宋体"/>
          <w:bCs/>
          <w:iCs/>
          <w:snapToGrid w:val="0"/>
          <w:color w:val="auto"/>
          <w:kern w:val="0"/>
          <w:sz w:val="24"/>
          <w:highlight w:val="none"/>
        </w:rPr>
        <w:t>及时揭露</w:t>
      </w:r>
      <w:r>
        <w:rPr>
          <w:rFonts w:hint="eastAsia" w:ascii="宋体" w:hAnsi="宋体"/>
          <w:bCs/>
          <w:iCs/>
          <w:snapToGrid w:val="0"/>
          <w:color w:val="auto"/>
          <w:kern w:val="0"/>
          <w:sz w:val="24"/>
          <w:highlight w:val="none"/>
        </w:rPr>
        <w:t>、</w:t>
      </w:r>
      <w:r>
        <w:rPr>
          <w:rFonts w:ascii="宋体" w:hAnsi="宋体"/>
          <w:bCs/>
          <w:iCs/>
          <w:snapToGrid w:val="0"/>
          <w:color w:val="auto"/>
          <w:kern w:val="0"/>
          <w:sz w:val="24"/>
          <w:highlight w:val="none"/>
        </w:rPr>
        <w:t>制止恶意煽动施工人员集体上访、集聚围阻的行为，</w:t>
      </w:r>
      <w:r>
        <w:rPr>
          <w:rFonts w:hint="eastAsia" w:ascii="宋体" w:hAnsi="宋体"/>
          <w:bCs/>
          <w:iCs/>
          <w:snapToGrid w:val="0"/>
          <w:color w:val="auto"/>
          <w:kern w:val="0"/>
          <w:sz w:val="24"/>
          <w:highlight w:val="none"/>
        </w:rPr>
        <w:t>保证在整个工程建设期间不发生施工人员集体上访、集聚围阻等事件。</w:t>
      </w:r>
    </w:p>
    <w:p w14:paraId="30914159">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bCs/>
          <w:iCs/>
          <w:snapToGrid w:val="0"/>
          <w:color w:val="auto"/>
          <w:kern w:val="0"/>
          <w:sz w:val="24"/>
          <w:highlight w:val="none"/>
        </w:rPr>
        <w:t>9.6施工总承包管理单位须按照本合同约定履行施工总承包管理和配合服务，包括但不限于下列工作内容：</w:t>
      </w:r>
    </w:p>
    <w:p w14:paraId="07583657">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（1）项目进度管理；</w:t>
      </w:r>
    </w:p>
    <w:p w14:paraId="367DDB00">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（2）施工现场临时设施搭建和管理；</w:t>
      </w:r>
    </w:p>
    <w:p w14:paraId="60A951C6">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（3）文明施工和安全生产管理；</w:t>
      </w:r>
    </w:p>
    <w:p w14:paraId="7273357B">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（4）综合管理；</w:t>
      </w:r>
    </w:p>
    <w:p w14:paraId="0F792BBC">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（5）成品保护；</w:t>
      </w:r>
    </w:p>
    <w:p w14:paraId="6CED56BB">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（6）设计配合与技术督导配合；</w:t>
      </w:r>
    </w:p>
    <w:p w14:paraId="412D387F">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（7）竣工验收、竣工资料（含竣工图）管理；</w:t>
      </w:r>
    </w:p>
    <w:p w14:paraId="7BF0DAAE">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（8）对发包人另行发包的专业工程的总承包管理及配合服务；</w:t>
      </w:r>
    </w:p>
    <w:p w14:paraId="702415B2">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（9）本合同包含的其他施工总承包管理和配合服务内容；</w:t>
      </w:r>
    </w:p>
    <w:p w14:paraId="12ACCC62">
      <w:pPr>
        <w:adjustRightInd w:val="0"/>
        <w:snapToGrid w:val="0"/>
        <w:spacing w:line="360" w:lineRule="auto"/>
        <w:ind w:right="11" w:firstLine="480" w:firstLineChars="200"/>
        <w:rPr>
          <w:rFonts w:hint="eastAsia" w:ascii="宋体" w:hAnsi="宋体"/>
          <w:bCs/>
          <w:iCs/>
          <w:snapToGrid w:val="0"/>
          <w:color w:val="auto"/>
          <w:kern w:val="0"/>
          <w:sz w:val="24"/>
          <w:highlight w:val="none"/>
        </w:rPr>
      </w:pPr>
      <w:r>
        <w:rPr>
          <w:rFonts w:hint="eastAsia" w:ascii="宋体" w:hAnsi="宋体"/>
          <w:bCs/>
          <w:iCs/>
          <w:snapToGrid w:val="0"/>
          <w:color w:val="auto"/>
          <w:kern w:val="0"/>
          <w:sz w:val="24"/>
          <w:highlight w:val="none"/>
        </w:rPr>
        <w:t>（10）发包人交办的其他任务。</w:t>
      </w:r>
    </w:p>
    <w:p w14:paraId="71872366">
      <w:pPr>
        <w:adjustRightInd w:val="0"/>
        <w:snapToGrid w:val="0"/>
        <w:spacing w:line="360" w:lineRule="auto"/>
        <w:ind w:right="11"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9.7承包人须于每月最后一日前向总监理工程师提供综合报表（内容包括但不限于如下计划、报表或报告），经总监理工程师审核，并报发包人批准后实施：</w:t>
      </w:r>
    </w:p>
    <w:p w14:paraId="187C79FB">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上月工程进度款《资金使用反馈表》（统计时段从上上月25日至上月24日），并提交已支付分包及材料设备供货单位价款凭证复印件，由总监理工程师核实确认资金落实情况并报发包人，以保证承包人将工程进度款专用于本工程。</w:t>
      </w:r>
    </w:p>
    <w:p w14:paraId="0DC6AC1B">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当月应完成的工程进度和实际完成进度统计报表，当月完成的工程量申报（要求分细项申报，并含有完成金额），当月工程质量、安全生产、文明施工情况报告，当月工程事故报告（如果发生时，须同时报政府相关部门），当月</w:t>
      </w:r>
      <w:r>
        <w:rPr>
          <w:rFonts w:hint="eastAsia" w:ascii="宋体" w:hAnsi="宋体"/>
          <w:snapToGrid w:val="0"/>
          <w:color w:val="auto"/>
          <w:kern w:val="0"/>
          <w:sz w:val="24"/>
          <w:highlight w:val="none"/>
        </w:rPr>
        <w:t>其总承包管理范围内各专业间的组织管理、协调、配合等方面情况及所出现问题的专项报告</w:t>
      </w:r>
      <w:r>
        <w:rPr>
          <w:rFonts w:hint="eastAsia" w:ascii="宋体" w:hAnsi="宋体"/>
          <w:bCs/>
          <w:snapToGrid w:val="0"/>
          <w:color w:val="auto"/>
          <w:kern w:val="0"/>
          <w:sz w:val="24"/>
          <w:highlight w:val="none"/>
        </w:rPr>
        <w:t>（统计时段从上月25日至当月24日）。</w:t>
      </w:r>
    </w:p>
    <w:p w14:paraId="226EBFA5">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（3）下月资金使用计划，下月施工进度计划，下月施工拟投入设备、劳动力计划（统计时段从本月25日至下月24日）。</w:t>
      </w:r>
    </w:p>
    <w:p w14:paraId="7DEB2CCA">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所有计划、报表及报告的具体格式，应按照发包人信息采集办法要求，填报发包人工程管理系统可识别的电子文件。</w:t>
      </w:r>
    </w:p>
    <w:p w14:paraId="778ED8C8">
      <w:pPr>
        <w:adjustRightInd w:val="0"/>
        <w:snapToGrid w:val="0"/>
        <w:spacing w:line="360" w:lineRule="auto"/>
        <w:ind w:firstLine="482" w:firstLineChars="200"/>
        <w:outlineLvl w:val="3"/>
        <w:rPr>
          <w:rFonts w:hint="eastAsia" w:ascii="宋体" w:hAnsi="宋体"/>
          <w:snapToGrid w:val="0"/>
          <w:color w:val="auto"/>
          <w:kern w:val="0"/>
          <w:sz w:val="24"/>
          <w:highlight w:val="none"/>
        </w:rPr>
      </w:pPr>
      <w:r>
        <w:rPr>
          <w:rFonts w:hint="eastAsia" w:ascii="宋体" w:hAnsi="宋体"/>
          <w:b/>
          <w:bCs/>
          <w:snapToGrid w:val="0"/>
          <w:color w:val="auto"/>
          <w:kern w:val="0"/>
          <w:sz w:val="24"/>
          <w:highlight w:val="none"/>
        </w:rPr>
        <w:sym w:font="Wingdings 2" w:char="0052"/>
      </w:r>
      <w:r>
        <w:rPr>
          <w:rFonts w:hint="eastAsia" w:ascii="宋体" w:hAnsi="宋体"/>
          <w:bCs/>
          <w:snapToGrid w:val="0"/>
          <w:color w:val="auto"/>
          <w:kern w:val="0"/>
          <w:sz w:val="24"/>
          <w:highlight w:val="none"/>
        </w:rPr>
        <w:t xml:space="preserve"> 9.8分部验收工作计划的提交要求</w:t>
      </w:r>
    </w:p>
    <w:p w14:paraId="27359910">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须于进场之日起15日内向发包人提交本工程的分部验收工作计划，经发包人审定后执行。如在施工过程中发生设计变更、新增工程等情况导致工程内容发生变化的，承包人应在发包人规定的时间内提交新的分部验收工作计划，经发包人审定后执行。分部验收原则上按分部工程为界面划分，特殊情况下，也可按子分部工程或分项工程为界面来划分。</w:t>
      </w:r>
    </w:p>
    <w:p w14:paraId="1B1A9259">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cs="宋体"/>
          <w:color w:val="auto"/>
          <w:kern w:val="0"/>
          <w:sz w:val="24"/>
          <w:szCs w:val="24"/>
          <w:highlight w:val="none"/>
          <w:lang w:bidi="ar"/>
        </w:rPr>
        <w:t xml:space="preserve"> </w:t>
      </w:r>
      <w:r>
        <w:rPr>
          <w:rFonts w:hint="eastAsia" w:ascii="宋体" w:hAnsi="宋体"/>
          <w:bCs/>
          <w:snapToGrid w:val="0"/>
          <w:color w:val="auto"/>
          <w:kern w:val="0"/>
          <w:sz w:val="24"/>
          <w:highlight w:val="none"/>
        </w:rPr>
        <w:t>9.9分段结算工作计划的提交要求</w:t>
      </w:r>
      <w:r>
        <w:rPr>
          <w:rFonts w:hint="eastAsia" w:ascii="楷体_GB2312" w:eastAsia="楷体_GB2312"/>
          <w:b/>
          <w:snapToGrid w:val="0"/>
          <w:color w:val="auto"/>
          <w:highlight w:val="none"/>
          <w:u w:val="single"/>
        </w:rPr>
        <w:t>、</w:t>
      </w:r>
      <w:r>
        <w:rPr>
          <w:rFonts w:hint="eastAsia" w:ascii="宋体" w:hAnsi="宋体"/>
          <w:b/>
          <w:bCs/>
          <w:snapToGrid w:val="0"/>
          <w:color w:val="auto"/>
          <w:kern w:val="0"/>
          <w:sz w:val="24"/>
          <w:highlight w:val="none"/>
        </w:rPr>
        <w:t>（</w:t>
      </w:r>
      <w:r>
        <w:rPr>
          <w:rFonts w:hint="eastAsia" w:ascii="宋体" w:hAnsi="宋体"/>
          <w:bCs/>
          <w:snapToGrid w:val="0"/>
          <w:color w:val="auto"/>
          <w:kern w:val="0"/>
          <w:sz w:val="24"/>
          <w:highlight w:val="none"/>
        </w:rPr>
        <w:t>本项目不涉及分段结算</w:t>
      </w:r>
      <w:r>
        <w:rPr>
          <w:rFonts w:hint="eastAsia" w:ascii="宋体" w:hAnsi="宋体"/>
          <w:b/>
          <w:bCs/>
          <w:snapToGrid w:val="0"/>
          <w:color w:val="auto"/>
          <w:kern w:val="0"/>
          <w:sz w:val="24"/>
          <w:highlight w:val="none"/>
        </w:rPr>
        <w:t>）</w:t>
      </w:r>
    </w:p>
    <w:p w14:paraId="48A338AB">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Cs/>
          <w:snapToGrid w:val="0"/>
          <w:color w:val="auto"/>
          <w:kern w:val="0"/>
          <w:sz w:val="24"/>
          <w:highlight w:val="none"/>
        </w:rPr>
        <w:t xml:space="preserve"> 9.10分段结算资料提交要求</w:t>
      </w:r>
      <w:r>
        <w:rPr>
          <w:rFonts w:hint="eastAsia" w:ascii="宋体" w:hAnsi="宋体"/>
          <w:b/>
          <w:bCs/>
          <w:snapToGrid w:val="0"/>
          <w:color w:val="auto"/>
          <w:kern w:val="0"/>
          <w:sz w:val="24"/>
          <w:highlight w:val="none"/>
        </w:rPr>
        <w:t>（</w:t>
      </w:r>
      <w:r>
        <w:rPr>
          <w:rFonts w:hint="eastAsia" w:ascii="宋体" w:hAnsi="宋体"/>
          <w:bCs/>
          <w:snapToGrid w:val="0"/>
          <w:color w:val="auto"/>
          <w:kern w:val="0"/>
          <w:sz w:val="24"/>
          <w:highlight w:val="none"/>
        </w:rPr>
        <w:t>本项目不涉及分段结算</w:t>
      </w:r>
      <w:r>
        <w:rPr>
          <w:rFonts w:hint="eastAsia" w:ascii="宋体" w:hAnsi="宋体"/>
          <w:b/>
          <w:bCs/>
          <w:snapToGrid w:val="0"/>
          <w:color w:val="auto"/>
          <w:kern w:val="0"/>
          <w:sz w:val="24"/>
          <w:highlight w:val="none"/>
        </w:rPr>
        <w:t>）</w:t>
      </w:r>
    </w:p>
    <w:p w14:paraId="22E15E3F">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9.</w:t>
      </w:r>
      <w:r>
        <w:rPr>
          <w:rFonts w:hint="eastAsia" w:ascii="宋体" w:hAnsi="宋体"/>
          <w:bCs/>
          <w:snapToGrid w:val="0"/>
          <w:color w:val="auto"/>
          <w:kern w:val="0"/>
          <w:sz w:val="24"/>
          <w:highlight w:val="none"/>
          <w:u w:val="single"/>
        </w:rPr>
        <w:t xml:space="preserve">11 </w:t>
      </w:r>
      <w:r>
        <w:rPr>
          <w:rFonts w:hint="eastAsia" w:ascii="宋体" w:hAnsi="宋体"/>
          <w:bCs/>
          <w:snapToGrid w:val="0"/>
          <w:color w:val="auto"/>
          <w:kern w:val="0"/>
          <w:sz w:val="24"/>
          <w:highlight w:val="none"/>
        </w:rPr>
        <w:t>以下工作均在承包人工作范围内，且在报价时已在总价中综合考虑，不再额外计取费用。</w:t>
      </w:r>
    </w:p>
    <w:p w14:paraId="3752707E">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（1）发包人、监理、咨询办公室及生活区日常维护费：负责办公区及生活区日常维护（含安保费、保洁费、水电费、燃气费、物业管理费、排污费、网络费等）的相关费用。</w:t>
      </w:r>
    </w:p>
    <w:p w14:paraId="57FD447F">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（2）竣工图费及竣工验收备案资料费：包括绘制、整理、装订竣工图纸的费用，以及施工过程中收集、整理、制作、装订、归档建设工程档案资料的费用。</w:t>
      </w:r>
    </w:p>
    <w:p w14:paraId="5A01426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（3）危大工程技术措施费：针对危险性较大的分部分项工程，承包人需组织专项施工方案的编制、专家论证及验收，相关技术措施费用已在分部分项及措施项目清单中考虑。</w:t>
      </w:r>
    </w:p>
    <w:p w14:paraId="03E843F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（4）施工图深化设计费：承包范围内施工图深化设计的相关费用。</w:t>
      </w:r>
    </w:p>
    <w:p w14:paraId="4D12705F">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（5）配合消防验收、出证、联网检测、消防工程第三方检测费：包括消防报建、验收配合、第三方检测协调等费用（含土建及装修等专业的验收配合）。</w:t>
      </w:r>
    </w:p>
    <w:p w14:paraId="37479A86">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（6）水质检测费（给水系统水质检测）：为满足国家及规范要求，对自来水工程进行水质检测的费用。</w:t>
      </w:r>
    </w:p>
    <w:p w14:paraId="4AF19EB6">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（7）航空障碍照明报建、审查、验收、出证费：包括报建审批、图纸审查协调、验收出证等费用。</w:t>
      </w:r>
    </w:p>
    <w:p w14:paraId="3E3D592E">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（8）排水水质检测费：工程完工后，完成环保、水质部门核准的检测并出证的相关费用。</w:t>
      </w:r>
    </w:p>
    <w:p w14:paraId="7216AF0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（9）防雷报建、验收、出证费：包括防雷设计审查、报建、验收、出证，以及第三方检测、雷电灾害风险评估等费用。</w:t>
      </w:r>
    </w:p>
    <w:p w14:paraId="3618C440">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（10）办理排水许可证及相关报建验收手续费：负责办理排水许可证及相关手续的费用。</w:t>
      </w:r>
    </w:p>
    <w:p w14:paraId="696E36C6">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（11）常规消防演练费：每半年举行一次应急演练，满足政府相关部门规定的费用。</w:t>
      </w:r>
    </w:p>
    <w:p w14:paraId="1323BFD8">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（12）交通疏导费：委派专人疏导交通道路或临时道路上车辆、人流的费用。</w:t>
      </w:r>
    </w:p>
    <w:p w14:paraId="7BAEA27A">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（13）施工雨（污）水排除、20m高以下工程用水加压、材料堆放场地整理、结构预留洞口封堵、临时停水停电、基础埋深2m以内挖土方塌方处理、完工清场垃圾外运、隐蔽工程拍照、管线综合平衡等费用。</w:t>
      </w:r>
    </w:p>
    <w:p w14:paraId="0FCE368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（14）工程所在地周边单位关系协调费：根据项目特点完成报建、审查和验收的协调费用。</w:t>
      </w:r>
    </w:p>
    <w:p w14:paraId="4211F3A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（15）施工组织设计及专项方案编制费：包括施工组织设计、施工措施方案、排栅施工专项方案、高大模板专项方案等编制及申报费用。</w:t>
      </w:r>
    </w:p>
    <w:p w14:paraId="4C719D75">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（16）质量、进度及安全文明措施费：按合同及附加要求保证质量、进度及安全文明的措施费用。</w:t>
      </w:r>
    </w:p>
    <w:p w14:paraId="3F4BAFED">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（17）工程款及工资分账管理费：因实行分账管理产生的额外费用。</w:t>
      </w:r>
    </w:p>
    <w:p w14:paraId="60FF5DD4">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（18）第三方评估及检测配合费：包括建设方质量管理要求、第三方评估、飞行检查、检测配合及整改费用。</w:t>
      </w:r>
    </w:p>
    <w:p w14:paraId="46C9012E">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（19）临水补偿费：临水接通前，承包人自行解决施工及生活、办公用水的补偿费用。</w:t>
      </w:r>
    </w:p>
    <w:p w14:paraId="1C6A553E">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（20）屋面、楼面砼养护费：所有屋面、楼面砼采用满铺麻袋或覆膜养护的费用。</w:t>
      </w:r>
    </w:p>
    <w:p w14:paraId="2778C5CF">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（21）外墙淋水检验费：外墙（含铝窗）拆架后淋水检验的管材及架设、水电等费用。</w:t>
      </w:r>
    </w:p>
    <w:p w14:paraId="55804B15">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（22）临建搬迁及清理费：临建搬迁、建筑垃圾与遗留物清理外运的费用。</w:t>
      </w:r>
    </w:p>
    <w:p w14:paraId="776F369A">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（23）加气砼砌块堆放及施工措施费：包括堆放期间的场地平整、防水措施、材料保管、砌筑浇水等费用，以及机械/设备/材料过隧道路桥费、施工临时道路修复、合同工期内赶工损耗等。</w:t>
      </w:r>
    </w:p>
    <w:p w14:paraId="59E4945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24）其他施工措施费：包括固定预埋件支架、管道填补及防水、金属构件与墙体连接处填补、套管塞缝、弱电预埋穿铁丝、基坑降排水、施工噪音环保措施、水土保持防护、防风措施、特殊工程技术培训、文明工地措施等费用。</w:t>
      </w:r>
    </w:p>
    <w:p w14:paraId="32B94254">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（25）地下涌水及降雨抽排水费：施工期间自备水泵抽排水，保证地下室设备和人员安全的费用。</w:t>
      </w:r>
    </w:p>
    <w:p w14:paraId="4AE91CD1">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（26）塔吊运力不足补充费：因塔吊无法使用或运力不足，增加其他起吊设备的费用。</w:t>
      </w:r>
    </w:p>
    <w:p w14:paraId="3323AFB3">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（27）临时设施租房费：因场地不足或政府要求，临时设施采用租房形式的费用差异。</w:t>
      </w:r>
    </w:p>
    <w:p w14:paraId="00FBD238">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（28）工期起始时间差协调费：合同工期与开工报告日期存在时间差时，承包人协调政府相关部门的费用。</w:t>
      </w:r>
    </w:p>
    <w:p w14:paraId="2E8F2277">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（29）现场踏勘费：承包人在签订合同前自行踏勘项目现场的费用。</w:t>
      </w:r>
    </w:p>
    <w:p w14:paraId="70C0F2D5">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（30）临时出入口开设费：承包人自行办理施工路口开通审批手续、施工洗车槽和集水井等措施的费用。</w:t>
      </w:r>
    </w:p>
    <w:p w14:paraId="08BED894">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（31）施工围墙拆除费：工程完工后拆除场地范围内所有施工围墙的费用。</w:t>
      </w:r>
    </w:p>
    <w:p w14:paraId="026E64F2">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（32）地下障碍物风险费：承包人承担现场原有地质情况风险，包括物探及风险应对费用。</w:t>
      </w:r>
    </w:p>
    <w:p w14:paraId="3EC64EE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（33）杂草及无用苗木清理费：清理基坑范围外影响施工通道的杂草及无用苗木的费用。</w:t>
      </w:r>
    </w:p>
    <w:p w14:paraId="2F050A16">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（34）施工总平面布置调整费：根据发包人要求调整施工加工场地、办公室、临时设施等的搬迁费用。</w:t>
      </w:r>
    </w:p>
    <w:p w14:paraId="3CB00905">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（35）场地狭小机械降效费：因场地狭小导致大型机械进出场降效的费用。</w:t>
      </w:r>
    </w:p>
    <w:p w14:paraId="6ECF0307">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（36）周边关系协调费：为满足项目要求，协调周边地铁、村、学校及相关政府部门的费用。</w:t>
      </w:r>
    </w:p>
    <w:p w14:paraId="1185902E">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（37）高标准执行费：若发现合同描述或要求不一致，按最严格标准执行的相关费用。</w:t>
      </w:r>
    </w:p>
    <w:p w14:paraId="60C3AC9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（38）电梯底坑及集水井维护费：保证电梯底坑连通集水井，设置自动抽水泵并安排专人巡检的费用。</w:t>
      </w:r>
    </w:p>
    <w:p w14:paraId="7ADFAE1B">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（39）施工电梯及塔吊无偿使用费：施工电梯、塔吊无偿提供给分包单位使用，包括24小时加班的费用。</w:t>
      </w:r>
    </w:p>
    <w:p w14:paraId="517ACE76">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（40）地库顶板后浇带处理费：后浇带两侧砌筑灰砂砖挡墙以保证土方回填的费用。</w:t>
      </w:r>
    </w:p>
    <w:p w14:paraId="36CEBFD0">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（41）市级安全文明施工样板工地费：达到市级安全文明施工样板工地标准的费用。</w:t>
      </w:r>
    </w:p>
    <w:p w14:paraId="60AB3EA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（42）第三方检测配合费：为配合第三方检测所发生的费用。</w:t>
      </w:r>
    </w:p>
    <w:p w14:paraId="0147E86A">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（43）系统联合调试费：系统联合调试的相关费用。</w:t>
      </w:r>
    </w:p>
    <w:p w14:paraId="306922C0">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（44）管线迁移费：管线迁移的相关费用。</w:t>
      </w:r>
    </w:p>
    <w:p w14:paraId="06A94755">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（45）临水临电工程费：临水工程及临电工程的费用。</w:t>
      </w:r>
    </w:p>
    <w:p w14:paraId="7374B1C9">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46）BIM技术运用费：BIM技术运用的相关费用，包括但不限于承包人合同范围内及发包人自行分包项目（如医用呼叫系统、医用气体工程、净化工程等）的管线综合平衡工作，承包人需在BIM模型中统筹协调并整体考虑。</w:t>
      </w:r>
    </w:p>
    <w:p w14:paraId="5037DA17">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（47）开荒保洁费：工程完工后的开荒保洁费用。</w:t>
      </w:r>
    </w:p>
    <w:p w14:paraId="173A6DBF">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（48）项目宣传及检查配合费：承包人应根据发包人要求制作本项目相应比例的实体模型、展示板等宣传材料，以满足项目宣传及各类检查需求。</w:t>
      </w:r>
    </w:p>
    <w:p w14:paraId="43C34109">
      <w:pPr>
        <w:widowControl/>
        <w:adjustRightInd w:val="0"/>
        <w:snapToGrid w:val="0"/>
        <w:spacing w:line="360" w:lineRule="auto"/>
        <w:ind w:right="11" w:firstLine="480" w:firstLineChars="200"/>
        <w:rPr>
          <w:rFonts w:hint="eastAsia"/>
          <w:bCs/>
          <w:snapToGrid w:val="0"/>
          <w:color w:val="auto"/>
          <w:highlight w:val="none"/>
        </w:rPr>
      </w:pPr>
      <w:r>
        <w:rPr>
          <w:rFonts w:hint="eastAsia" w:ascii="宋体" w:hAnsi="宋体"/>
          <w:bCs/>
          <w:snapToGrid w:val="0"/>
          <w:color w:val="auto"/>
          <w:kern w:val="0"/>
          <w:sz w:val="24"/>
          <w:highlight w:val="none"/>
        </w:rPr>
        <w:t>（49）土石方场内运输费：承包人根据现场情况自行确定土（石）方堆放地点，场内运输费已包含在分部分项投标总价内；结算时不再单独计取。</w:t>
      </w:r>
    </w:p>
    <w:p w14:paraId="25E07DE1">
      <w:pPr>
        <w:widowControl/>
        <w:adjustRightInd w:val="0"/>
        <w:snapToGrid w:val="0"/>
        <w:spacing w:line="360" w:lineRule="auto"/>
        <w:ind w:right="11" w:firstLine="480" w:firstLineChars="200"/>
        <w:rPr>
          <w:rFonts w:hint="eastAsia"/>
          <w:color w:val="auto"/>
          <w:highlight w:val="none"/>
        </w:rPr>
      </w:pPr>
      <w:r>
        <w:rPr>
          <w:rFonts w:hint="eastAsia" w:ascii="宋体" w:hAnsi="宋体"/>
          <w:bCs/>
          <w:snapToGrid w:val="0"/>
          <w:color w:val="auto"/>
          <w:kern w:val="0"/>
          <w:sz w:val="24"/>
          <w:highlight w:val="none"/>
        </w:rPr>
        <w:t>（50）泥浆场内运输（若有）所需费用已包含在分部分项投标总价内，结算时不再单独计取。</w:t>
      </w:r>
    </w:p>
    <w:p w14:paraId="61FF0518">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三、施工组织设计和工期</w:t>
      </w:r>
    </w:p>
    <w:p w14:paraId="3E81404D">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10、进度计划</w:t>
      </w:r>
    </w:p>
    <w:p w14:paraId="5526E95A">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10.1计划的提交和确认</w:t>
      </w:r>
    </w:p>
    <w:p w14:paraId="3B02C6D4">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（1）承包人应于收到总监理工程师的进场通知后7天内向总监理工程师提交项目及单位工程的施工组织设计与进度计划。</w:t>
      </w:r>
    </w:p>
    <w:p w14:paraId="79449CD9">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承包人提交的施工组织设计应当载明如下内容（包括但不限于）：</w:t>
      </w:r>
    </w:p>
    <w:p w14:paraId="503F3CC7">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1）各分部分项工程完整的施工方案；</w:t>
      </w:r>
    </w:p>
    <w:p w14:paraId="5D3FFB88">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2）施工资源投入计划，包括：机械设备进场计划、工程材料和物料进场及仓储计划、施工人员进场计划等；</w:t>
      </w:r>
    </w:p>
    <w:p w14:paraId="09B5D3D2">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3）施工现场平面布置图（包括施工道路平面图、各种临时设施、施工用水、监控设施、施工机具、材料构配件存放位置）；</w:t>
      </w:r>
    </w:p>
    <w:p w14:paraId="2362BD8C">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4）季节性施工措施；</w:t>
      </w:r>
    </w:p>
    <w:p w14:paraId="35E89A12">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5）地下管线及其他地下设施的处理措施；</w:t>
      </w:r>
    </w:p>
    <w:p w14:paraId="18CDFD7C">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6）保证工期、质量的措施；</w:t>
      </w:r>
    </w:p>
    <w:p w14:paraId="4ABCA2F5">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7）建筑垃圾处理方案（包括施工现场建筑垃圾源头减量的具体要求和措施，以及建筑垃圾综合利用产品的使用要求等）；</w:t>
      </w:r>
    </w:p>
    <w:p w14:paraId="628F0CC1">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8）保证安全生产、文明施工、减少扰民，且满足环境保护要求的措施；</w:t>
      </w:r>
    </w:p>
    <w:p w14:paraId="4AC54BBD">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9）妥善处理与相邻施工作业现场关系的措施；</w:t>
      </w:r>
    </w:p>
    <w:p w14:paraId="5355ED02">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10）其他与工程施工有关的管理方案、措施。</w:t>
      </w:r>
    </w:p>
    <w:p w14:paraId="0F9EB63A">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承包人编制的</w:t>
      </w:r>
      <w:r>
        <w:rPr>
          <w:rFonts w:hint="eastAsia" w:ascii="宋体" w:hAnsi="宋体"/>
          <w:snapToGrid w:val="0"/>
          <w:color w:val="auto"/>
          <w:kern w:val="0"/>
          <w:sz w:val="24"/>
          <w:highlight w:val="none"/>
        </w:rPr>
        <w:t>工程进度计划内容应全面详实，且应针对施工总承包范围内的各专业平行分包工程及建筑工程的全部或分项施工作业和特点提出施工方法、施工穿插顺序及时间安排，并在各节点位置标注相应的工程量、资金使用计划、人力机械组织及材料消耗量。</w:t>
      </w:r>
    </w:p>
    <w:p w14:paraId="6F0E6347">
      <w:pPr>
        <w:adjustRightInd w:val="0"/>
        <w:snapToGrid w:val="0"/>
        <w:spacing w:line="360" w:lineRule="auto"/>
        <w:ind w:right="11" w:firstLine="460" w:firstLineChars="192"/>
        <w:outlineLvl w:val="4"/>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总监理工程师和发包人在接到承包人提交的施工组织设计和工程进度计划后7天内予以确认或提出修改意见（总监理工程师在4天内审核并签署意见，发包人在3天内审核并签署意见）。逾期既不确认，也不提出书面意见的视为同意，但如遇到重大或技术复杂、难度大的施工方案（如深基坑支护及高支模等施工方案），则应按政府有关规定召开专家评审会评审。</w:t>
      </w:r>
    </w:p>
    <w:p w14:paraId="4B4E5ABA">
      <w:pPr>
        <w:adjustRightInd w:val="0"/>
        <w:snapToGrid w:val="0"/>
        <w:spacing w:line="360" w:lineRule="auto"/>
        <w:ind w:right="11" w:firstLine="463" w:firstLineChars="192"/>
        <w:rPr>
          <w:rFonts w:hint="eastAsia" w:ascii="宋体" w:hAnsi="宋体"/>
          <w:snapToGrid w:val="0"/>
          <w:color w:val="auto"/>
          <w:kern w:val="0"/>
          <w:sz w:val="24"/>
          <w:highlight w:val="none"/>
        </w:rPr>
      </w:pPr>
      <w:r>
        <w:rPr>
          <w:rFonts w:hint="eastAsia" w:ascii="宋体" w:hAnsi="宋体"/>
          <w:b/>
          <w:snapToGrid w:val="0"/>
          <w:color w:val="auto"/>
          <w:kern w:val="0"/>
          <w:sz w:val="24"/>
          <w:highlight w:val="none"/>
        </w:rPr>
        <w:t>承包人和发包人一致同意增加10.4：</w:t>
      </w:r>
    </w:p>
    <w:p w14:paraId="2E5590C8">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10.4计划的执行</w:t>
      </w:r>
    </w:p>
    <w:p w14:paraId="52C69000">
      <w:pPr>
        <w:adjustRightInd w:val="0"/>
        <w:snapToGrid w:val="0"/>
        <w:spacing w:line="360" w:lineRule="auto"/>
        <w:ind w:firstLine="480" w:firstLineChars="200"/>
        <w:outlineLvl w:val="4"/>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（1）承包人应当加强计划管理，严格按照总监理工程师确认的工程进度计划组织施工，并接受总监理工程师对工程进度的检查、监督。</w:t>
      </w:r>
    </w:p>
    <w:p w14:paraId="64AF5CC8">
      <w:pPr>
        <w:adjustRightInd w:val="0"/>
        <w:snapToGrid w:val="0"/>
        <w:spacing w:line="360" w:lineRule="auto"/>
        <w:ind w:firstLine="480" w:firstLineChars="200"/>
        <w:outlineLvl w:val="4"/>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（2）为便于总监理工程师掌握和控制工期，承包人应于每月底向总监理工程师填报当月工程进度计划完成情况（没完成计划的必须说明原因），</w:t>
      </w:r>
      <w:r>
        <w:rPr>
          <w:rFonts w:hint="eastAsia" w:ascii="宋体" w:hAnsi="宋体"/>
          <w:bCs/>
          <w:snapToGrid w:val="0"/>
          <w:color w:val="auto"/>
          <w:kern w:val="0"/>
          <w:sz w:val="24"/>
          <w:highlight w:val="none"/>
        </w:rPr>
        <w:t>并在此基础上更新工程进度计划、</w:t>
      </w:r>
      <w:r>
        <w:rPr>
          <w:rFonts w:hint="eastAsia" w:ascii="宋体" w:hAnsi="宋体"/>
          <w:snapToGrid w:val="0"/>
          <w:color w:val="auto"/>
          <w:kern w:val="0"/>
          <w:sz w:val="24"/>
          <w:highlight w:val="none"/>
        </w:rPr>
        <w:t>资金计划和其他工作计划。总监理工程师在接到报告后应当予以确认或提出书面意见，承包人必须按照总监理工程师的确认或者书面意见执行。</w:t>
      </w:r>
    </w:p>
    <w:p w14:paraId="697C8B93">
      <w:pPr>
        <w:adjustRightInd w:val="0"/>
        <w:snapToGrid w:val="0"/>
        <w:spacing w:line="360" w:lineRule="auto"/>
        <w:ind w:firstLine="480" w:firstLineChars="200"/>
        <w:outlineLvl w:val="4"/>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总监理工程师认为本工程或其中任何部分工程进度滞后而不能按预定工期完工，应将此情况通知承包人。承包人应据此修改工程进度计划，采取总监理工程师同意的必要措施加快工程进度，属承包人原因造成的，则承包人无权要求发包人支付任何附加费用。如承包人未能在总监理工程师发布指令</w:t>
      </w:r>
      <w:r>
        <w:rPr>
          <w:rFonts w:hint="eastAsia" w:ascii="宋体" w:hAnsi="宋体"/>
          <w:iCs/>
          <w:snapToGrid w:val="0"/>
          <w:color w:val="auto"/>
          <w:kern w:val="0"/>
          <w:sz w:val="24"/>
          <w:highlight w:val="none"/>
        </w:rPr>
        <w:t>后10天内采取有效措施，工程进度仍然无明显改</w:t>
      </w:r>
      <w:r>
        <w:rPr>
          <w:rFonts w:hint="eastAsia" w:ascii="宋体" w:hAnsi="宋体"/>
          <w:snapToGrid w:val="0"/>
          <w:color w:val="auto"/>
          <w:kern w:val="0"/>
          <w:sz w:val="24"/>
          <w:highlight w:val="none"/>
        </w:rPr>
        <w:t>进，发包人有权部分或全部解除合同，将未完工程另行发包给其他有能力的施工单位；承包人必须无条件服从，由此所造成的损失全部由承包人承担。</w:t>
      </w:r>
    </w:p>
    <w:p w14:paraId="1A8C4A77">
      <w:pPr>
        <w:adjustRightInd w:val="0"/>
        <w:snapToGrid w:val="0"/>
        <w:spacing w:line="360" w:lineRule="auto"/>
        <w:ind w:firstLine="482" w:firstLineChars="200"/>
        <w:rPr>
          <w:rFonts w:hint="eastAsia" w:ascii="宋体" w:hAnsi="宋体"/>
          <w:snapToGrid w:val="0"/>
          <w:color w:val="auto"/>
          <w:kern w:val="0"/>
          <w:sz w:val="24"/>
          <w:highlight w:val="none"/>
        </w:rPr>
      </w:pPr>
      <w:r>
        <w:rPr>
          <w:rFonts w:hint="eastAsia"/>
          <w:b/>
          <w:snapToGrid w:val="0"/>
          <w:color w:val="auto"/>
          <w:kern w:val="0"/>
          <w:sz w:val="24"/>
          <w:highlight w:val="none"/>
        </w:rPr>
        <w:t>承包人和发包人一致同意不适用合同通用条款第11条的约定，代之以：</w:t>
      </w:r>
    </w:p>
    <w:p w14:paraId="4629BD6D">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11、开工及延期开工</w:t>
      </w:r>
    </w:p>
    <w:p w14:paraId="424F64C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承包人必须在收到发包人进场通知的次日进入施工场地，做好施工准备工作，尽快开工。在工程已具备开工条件，但因</w:t>
      </w:r>
      <w:r>
        <w:rPr>
          <w:rFonts w:hint="eastAsia" w:ascii="宋体" w:hAnsi="宋体"/>
          <w:bCs/>
          <w:snapToGrid w:val="0"/>
          <w:color w:val="auto"/>
          <w:kern w:val="0"/>
          <w:sz w:val="24"/>
          <w:highlight w:val="none"/>
        </w:rPr>
        <w:t>承包人自身的原因（包括但不限于项目经理及现场管理机构其他人员尚未到位）而无法实际开工</w:t>
      </w:r>
      <w:r>
        <w:rPr>
          <w:rFonts w:hint="eastAsia" w:ascii="宋体" w:hAnsi="宋体"/>
          <w:snapToGrid w:val="0"/>
          <w:color w:val="auto"/>
          <w:kern w:val="0"/>
          <w:sz w:val="24"/>
          <w:highlight w:val="none"/>
        </w:rPr>
        <w:t>的，经发包人书面同意，总监理工程师可以签发开工令，工期开始正式计算，但现场不允许开工；再由总监理工程师发出停工令，待承包人准备妥当后才批准复工。由此产生的工期延误等损失由承包人承担，并按照合同专用条款第38.8款的有关约定处理。</w:t>
      </w:r>
    </w:p>
    <w:p w14:paraId="3D2AA1B2">
      <w:pPr>
        <w:adjustRightInd w:val="0"/>
        <w:snapToGrid w:val="0"/>
        <w:spacing w:line="360" w:lineRule="auto"/>
        <w:ind w:right="11" w:firstLine="482" w:firstLineChars="20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承包人和发包人一致同意不适用合同通用条款第12条的约定，代之以：</w:t>
      </w:r>
    </w:p>
    <w:p w14:paraId="1D616AD1">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12、暂停施工</w:t>
      </w:r>
    </w:p>
    <w:p w14:paraId="3362E7F9">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12.1</w:t>
      </w:r>
      <w:r>
        <w:rPr>
          <w:rFonts w:hint="eastAsia" w:ascii="宋体" w:hAnsi="宋体"/>
          <w:snapToGrid w:val="0"/>
          <w:color w:val="auto"/>
          <w:kern w:val="0"/>
          <w:sz w:val="24"/>
          <w:highlight w:val="none"/>
        </w:rPr>
        <w:t>因下列原因，总监理工程师报经发包人同意，可通知承包人暂停施工：</w:t>
      </w:r>
    </w:p>
    <w:p w14:paraId="76E1F36D">
      <w:pPr>
        <w:adjustRightInd w:val="0"/>
        <w:snapToGrid w:val="0"/>
        <w:spacing w:line="360" w:lineRule="auto"/>
        <w:ind w:left="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（1）工程设计发生重大变更；</w:t>
      </w:r>
    </w:p>
    <w:p w14:paraId="1155DFBD">
      <w:pPr>
        <w:adjustRightInd w:val="0"/>
        <w:snapToGrid w:val="0"/>
        <w:spacing w:line="360" w:lineRule="auto"/>
        <w:ind w:left="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（2）不可抗力；</w:t>
      </w:r>
    </w:p>
    <w:p w14:paraId="3FE52A13">
      <w:pPr>
        <w:adjustRightInd w:val="0"/>
        <w:snapToGrid w:val="0"/>
        <w:spacing w:line="360" w:lineRule="auto"/>
        <w:ind w:left="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（3）质量事故；</w:t>
      </w:r>
    </w:p>
    <w:p w14:paraId="6D710DA1">
      <w:pPr>
        <w:adjustRightInd w:val="0"/>
        <w:snapToGrid w:val="0"/>
        <w:spacing w:line="360" w:lineRule="auto"/>
        <w:ind w:left="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（4）安全生产事故。</w:t>
      </w:r>
    </w:p>
    <w:p w14:paraId="34CFB067">
      <w:pPr>
        <w:adjustRightInd w:val="0"/>
        <w:snapToGrid w:val="0"/>
        <w:spacing w:line="360" w:lineRule="auto"/>
        <w:ind w:firstLine="480" w:firstLineChars="200"/>
        <w:rPr>
          <w:rFonts w:hint="eastAsia" w:ascii="宋体" w:hAnsi="宋体"/>
          <w:snapToGrid w:val="0"/>
          <w:color w:val="auto"/>
          <w:kern w:val="0"/>
          <w:sz w:val="24"/>
          <w:highlight w:val="none"/>
          <w:shd w:val="clear" w:color="auto" w:fill="999999"/>
        </w:rPr>
      </w:pPr>
      <w:r>
        <w:rPr>
          <w:rFonts w:hint="eastAsia" w:ascii="宋体" w:hAnsi="宋体"/>
          <w:snapToGrid w:val="0"/>
          <w:color w:val="auto"/>
          <w:kern w:val="0"/>
          <w:sz w:val="24"/>
          <w:highlight w:val="none"/>
        </w:rPr>
        <w:t>因发生上述（1）、（2）项原因而暂停施工的，工期调整适用合同专用条款第13条的有关约定；因发生上述第（3）、（4）项原因而暂停施工的，工期不予顺延，承包人必须承担由此发生的费用，并按合同专用条款第38.10款、第38.11款的约定向发包人承担违约责任。</w:t>
      </w:r>
    </w:p>
    <w:p w14:paraId="629EE693">
      <w:pPr>
        <w:adjustRightInd w:val="0"/>
        <w:snapToGrid w:val="0"/>
        <w:spacing w:line="360" w:lineRule="auto"/>
        <w:ind w:firstLine="480" w:firstLineChars="200"/>
        <w:rPr>
          <w:rFonts w:hint="eastAsia" w:ascii="宋体" w:hAnsi="宋体"/>
          <w:snapToGrid w:val="0"/>
          <w:color w:val="auto"/>
          <w:kern w:val="0"/>
          <w:sz w:val="24"/>
          <w:highlight w:val="none"/>
          <w:shd w:val="clear" w:color="auto" w:fill="999999"/>
        </w:rPr>
      </w:pPr>
      <w:r>
        <w:rPr>
          <w:rFonts w:hint="eastAsia" w:ascii="宋体" w:hAnsi="宋体"/>
          <w:snapToGrid w:val="0"/>
          <w:color w:val="auto"/>
          <w:kern w:val="0"/>
          <w:sz w:val="24"/>
          <w:highlight w:val="none"/>
        </w:rPr>
        <w:t>承包人不得以与发包人有争议或争议未解决为由而单方面停工，否则，按照合同专用条款第38.8（2）款的约定承担违约责任。</w:t>
      </w:r>
    </w:p>
    <w:p w14:paraId="709CCB93">
      <w:pPr>
        <w:adjustRightInd w:val="0"/>
        <w:snapToGrid w:val="0"/>
        <w:spacing w:line="360" w:lineRule="auto"/>
        <w:ind w:firstLine="480" w:firstLineChars="200"/>
        <w:outlineLvl w:val="3"/>
        <w:rPr>
          <w:rFonts w:hint="eastAsia" w:ascii="宋体" w:hAnsi="宋体"/>
          <w:snapToGrid w:val="0"/>
          <w:color w:val="auto"/>
          <w:kern w:val="0"/>
          <w:sz w:val="24"/>
          <w:highlight w:val="none"/>
          <w:shd w:val="clear" w:color="auto" w:fill="999999"/>
        </w:rPr>
      </w:pPr>
      <w:r>
        <w:rPr>
          <w:rFonts w:hint="eastAsia" w:ascii="宋体" w:hAnsi="宋体"/>
          <w:snapToGrid w:val="0"/>
          <w:color w:val="auto"/>
          <w:kern w:val="0"/>
          <w:sz w:val="24"/>
          <w:highlight w:val="none"/>
        </w:rPr>
        <w:t>12.2为了保证工程质量安全，凡出现下列情况之一（不限于此）的，总监理工程师有权下达停工令，责令承包人停工整改，由此造成的损失由承包人自行负责，造成工期延误的由承包人按合同专用条款第38.8款的有关约定承担违约责任：</w:t>
      </w:r>
    </w:p>
    <w:p w14:paraId="499F8D7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（1）拒绝监理等单位管理；</w:t>
      </w:r>
    </w:p>
    <w:p w14:paraId="37741A6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（2）施工组织设计（方案）未获总监理工程师批准而进行施工；</w:t>
      </w:r>
    </w:p>
    <w:p w14:paraId="21DD1E1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（3）未经监理单位检验而进行下一道工序作业；</w:t>
      </w:r>
    </w:p>
    <w:p w14:paraId="3CFE290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（4）擅自采用未经监理单位及发包人认可或批准的材料，或者使用的原材料、构配件不合格或未经检查确认，或者擅自采用未经认可的代用材料；</w:t>
      </w:r>
    </w:p>
    <w:p w14:paraId="322703A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（5）擅自变更设计图纸的要求；</w:t>
      </w:r>
    </w:p>
    <w:p w14:paraId="5C34063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（6）转包工程；</w:t>
      </w:r>
    </w:p>
    <w:p w14:paraId="3F04EAD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（7）擅自让未经发包人批准的分包单位进场作业；</w:t>
      </w:r>
    </w:p>
    <w:p w14:paraId="0B28CE5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（8）存在安全隐患，未按监理单位要求及时进行整改；</w:t>
      </w:r>
    </w:p>
    <w:p w14:paraId="416D16A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（9）未按双方约定的要求上报所需的资料。</w:t>
      </w:r>
    </w:p>
    <w:p w14:paraId="5FC69C1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12.3承包人在总监理工程师发出开工令之前的现场施工准备工作，不计算任何停工、窝工损失补偿费。施工期间，非承包人原因导致停工的，在总监理工程师发出停工令3天内，承包人应向总监理工程师提交停工期间的人员、设备安排计划，经总监理工程师、发包人批准后实施，并作为停工结算的依据。</w:t>
      </w:r>
    </w:p>
    <w:p w14:paraId="2B1DB6F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承包人未按批准的停工期间的施工组织方案（含工作计划）投入人员、设备的，或承包人在经批准的停工期间施工组织方案（含工作计划）之外额外投入人员、设备不计算停工、窝工费用。</w:t>
      </w:r>
    </w:p>
    <w:p w14:paraId="4C4FA5EF">
      <w:pPr>
        <w:adjustRightInd w:val="0"/>
        <w:snapToGrid w:val="0"/>
        <w:spacing w:line="360" w:lineRule="auto"/>
        <w:ind w:right="11" w:firstLine="482" w:firstLineChars="20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承包人和发包人一致同意不适用合同通用条款第13条的约定，代之以：</w:t>
      </w:r>
    </w:p>
    <w:p w14:paraId="2F8491B8">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13、工期延误</w:t>
      </w:r>
    </w:p>
    <w:p w14:paraId="57D7E30F">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13.1工期控制与调整</w:t>
      </w:r>
    </w:p>
    <w:p w14:paraId="01DC24F4">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（1）本工程工期分为关键节点工期和一般节点工期两类，承包人必须在施工组织设计文件中分专业详细区分和列明本工程</w:t>
      </w:r>
      <w:r>
        <w:rPr>
          <w:rFonts w:hint="eastAsia" w:ascii="宋体" w:hAnsi="宋体"/>
          <w:bCs/>
          <w:snapToGrid w:val="0"/>
          <w:color w:val="auto"/>
          <w:kern w:val="0"/>
          <w:sz w:val="24"/>
          <w:highlight w:val="none"/>
        </w:rPr>
        <w:t>总体及各单体工程</w:t>
      </w:r>
      <w:r>
        <w:rPr>
          <w:rFonts w:hint="eastAsia" w:ascii="宋体" w:hAnsi="宋体"/>
          <w:snapToGrid w:val="0"/>
          <w:color w:val="auto"/>
          <w:kern w:val="0"/>
          <w:sz w:val="24"/>
          <w:highlight w:val="none"/>
        </w:rPr>
        <w:t>的关键节点工期和一般节点工期，并报总监理工程师和发包人批准后实施。</w:t>
      </w:r>
    </w:p>
    <w:p w14:paraId="2863956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工期调整的原则：对于承包人原因造成的工期延误，工期一概不得顺延；对于非承包人原因造成的工期延误，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26CBDD7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w:t>
      </w:r>
      <w:r>
        <w:rPr>
          <w:rFonts w:hint="eastAsia" w:ascii="宋体" w:hAnsi="宋体"/>
          <w:bCs/>
          <w:snapToGrid w:val="0"/>
          <w:color w:val="auto"/>
          <w:kern w:val="0"/>
          <w:sz w:val="24"/>
          <w:highlight w:val="none"/>
        </w:rPr>
        <w:t>承包人必须按照调整后的总工期控制计划和关键节点工期计划执行。</w:t>
      </w:r>
    </w:p>
    <w:p w14:paraId="177F4B01">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13</w:t>
      </w:r>
      <w:r>
        <w:rPr>
          <w:rFonts w:ascii="宋体" w:hAnsi="宋体"/>
          <w:bCs/>
          <w:snapToGrid w:val="0"/>
          <w:color w:val="auto"/>
          <w:kern w:val="0"/>
          <w:sz w:val="24"/>
          <w:highlight w:val="none"/>
        </w:rPr>
        <w:t>.</w:t>
      </w:r>
      <w:r>
        <w:rPr>
          <w:rFonts w:hint="eastAsia" w:ascii="宋体" w:hAnsi="宋体"/>
          <w:bCs/>
          <w:snapToGrid w:val="0"/>
          <w:color w:val="auto"/>
          <w:kern w:val="0"/>
          <w:sz w:val="24"/>
          <w:highlight w:val="none"/>
        </w:rPr>
        <w:t>2工期延误的原因及其处理</w:t>
      </w:r>
    </w:p>
    <w:p w14:paraId="59221D7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（1）</w:t>
      </w:r>
      <w:r>
        <w:rPr>
          <w:rFonts w:hint="eastAsia" w:ascii="宋体" w:hAnsi="宋体"/>
          <w:snapToGrid w:val="0"/>
          <w:color w:val="auto"/>
          <w:kern w:val="0"/>
          <w:sz w:val="24"/>
          <w:highlight w:val="none"/>
        </w:rPr>
        <w:t>非承包人原因造成的工期延误，是指有确凿证据证实因下列原因而直接造成承包人的原定工期计划延误：</w:t>
      </w:r>
    </w:p>
    <w:p w14:paraId="01DA382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1）不可抗力；</w:t>
      </w:r>
    </w:p>
    <w:p w14:paraId="1F37042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2）工程设计有重大变更或重大失误，并经总监理工程师确认会造成工期延误的；</w:t>
      </w:r>
    </w:p>
    <w:p w14:paraId="7881643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3）发包人延期交付施工场地；</w:t>
      </w:r>
    </w:p>
    <w:p w14:paraId="3F47583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4）施工图纸供应时间影响工期进度，并经总监理工程师确认的；</w:t>
      </w:r>
    </w:p>
    <w:p w14:paraId="7E0509E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5）发包人指令（非承包人原因）引起的停工；</w:t>
      </w:r>
    </w:p>
    <w:p w14:paraId="115FE4B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6）发包人其他违约行为造成工期延误并经总监理工程师确认的。</w:t>
      </w:r>
    </w:p>
    <w:p w14:paraId="0739AE6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除上述原因之外，其他所有工期延误均为承包人原因造成的延误。</w:t>
      </w:r>
    </w:p>
    <w:p w14:paraId="45148E30">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（2）</w:t>
      </w:r>
      <w:r>
        <w:rPr>
          <w:rFonts w:hint="eastAsia" w:ascii="宋体" w:hAnsi="宋体"/>
          <w:snapToGrid w:val="0"/>
          <w:color w:val="auto"/>
          <w:kern w:val="0"/>
          <w:sz w:val="24"/>
          <w:highlight w:val="none"/>
        </w:rPr>
        <w:t>因承包人原因造成的工期延误，工期一概不得顺延。承包人还应当按照合同专用条款第38.8款的有关约定承担违约责任。</w:t>
      </w:r>
    </w:p>
    <w:p w14:paraId="3DE96479">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（3）因承包人对</w:t>
      </w:r>
      <w:r>
        <w:rPr>
          <w:rFonts w:hint="eastAsia" w:ascii="宋体" w:hAnsi="宋体"/>
          <w:bCs/>
          <w:snapToGrid w:val="0"/>
          <w:color w:val="auto"/>
          <w:kern w:val="0"/>
          <w:sz w:val="24"/>
          <w:highlight w:val="none"/>
        </w:rPr>
        <w:t>现场组织管理不力或未能提供协调、配合服务，以致专业工程的进度影响工期，承包人不得以此为由提出延长工期的要求。</w:t>
      </w:r>
    </w:p>
    <w:p w14:paraId="64E28F00">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bCs/>
          <w:snapToGrid w:val="0"/>
          <w:color w:val="auto"/>
          <w:kern w:val="0"/>
          <w:sz w:val="24"/>
          <w:highlight w:val="none"/>
        </w:rPr>
        <w:t>1</w:t>
      </w:r>
      <w:r>
        <w:rPr>
          <w:rFonts w:hint="eastAsia" w:ascii="宋体" w:hAnsi="宋体"/>
          <w:bCs/>
          <w:snapToGrid w:val="0"/>
          <w:color w:val="auto"/>
          <w:kern w:val="0"/>
          <w:sz w:val="24"/>
          <w:highlight w:val="none"/>
        </w:rPr>
        <w:t>3</w:t>
      </w:r>
      <w:r>
        <w:rPr>
          <w:rFonts w:ascii="宋体" w:hAnsi="宋体"/>
          <w:bCs/>
          <w:snapToGrid w:val="0"/>
          <w:color w:val="auto"/>
          <w:kern w:val="0"/>
          <w:sz w:val="24"/>
          <w:highlight w:val="none"/>
        </w:rPr>
        <w:t>.</w:t>
      </w:r>
      <w:r>
        <w:rPr>
          <w:rFonts w:hint="eastAsia" w:ascii="宋体" w:hAnsi="宋体"/>
          <w:bCs/>
          <w:snapToGrid w:val="0"/>
          <w:color w:val="auto"/>
          <w:kern w:val="0"/>
          <w:sz w:val="24"/>
          <w:highlight w:val="none"/>
        </w:rPr>
        <w:t>3</w:t>
      </w:r>
      <w:r>
        <w:rPr>
          <w:rFonts w:hint="eastAsia" w:ascii="宋体" w:hAnsi="宋体"/>
          <w:snapToGrid w:val="0"/>
          <w:color w:val="auto"/>
          <w:kern w:val="0"/>
          <w:sz w:val="24"/>
          <w:highlight w:val="none"/>
        </w:rPr>
        <w:t>非因承包人原因造成关键节点工期延误，一次性延误</w:t>
      </w:r>
      <w:r>
        <w:rPr>
          <w:rFonts w:hint="eastAsia" w:ascii="宋体" w:hAnsi="宋体"/>
          <w:iCs/>
          <w:snapToGrid w:val="0"/>
          <w:color w:val="auto"/>
          <w:kern w:val="0"/>
          <w:sz w:val="24"/>
          <w:highlight w:val="none"/>
        </w:rPr>
        <w:t>不满</w:t>
      </w:r>
      <w:r>
        <w:rPr>
          <w:rFonts w:hint="default" w:ascii="宋体" w:hAnsi="宋体"/>
          <w:iCs/>
          <w:snapToGrid w:val="0"/>
          <w:color w:val="auto"/>
          <w:kern w:val="0"/>
          <w:sz w:val="24"/>
          <w:highlight w:val="none"/>
          <w:lang w:val="en-US"/>
        </w:rPr>
        <w:t>10</w:t>
      </w:r>
      <w:r>
        <w:rPr>
          <w:rFonts w:hint="eastAsia" w:ascii="宋体" w:hAnsi="宋体"/>
          <w:snapToGrid w:val="0"/>
          <w:color w:val="auto"/>
          <w:kern w:val="0"/>
          <w:sz w:val="24"/>
          <w:highlight w:val="none"/>
        </w:rPr>
        <w:t>天的，工期不予顺延，由承包人采取措施自行消化；一次性延</w:t>
      </w:r>
      <w:r>
        <w:rPr>
          <w:rFonts w:hint="eastAsia" w:ascii="宋体" w:hAnsi="宋体"/>
          <w:iCs/>
          <w:snapToGrid w:val="0"/>
          <w:color w:val="auto"/>
          <w:kern w:val="0"/>
          <w:sz w:val="24"/>
          <w:highlight w:val="none"/>
        </w:rPr>
        <w:t>误达到</w:t>
      </w:r>
      <w:r>
        <w:rPr>
          <w:rFonts w:hint="default" w:ascii="宋体" w:hAnsi="宋体"/>
          <w:iCs/>
          <w:snapToGrid w:val="0"/>
          <w:color w:val="auto"/>
          <w:kern w:val="0"/>
          <w:sz w:val="24"/>
          <w:highlight w:val="none"/>
          <w:lang w:val="en-US"/>
        </w:rPr>
        <w:t>10</w:t>
      </w:r>
      <w:r>
        <w:rPr>
          <w:rFonts w:hint="eastAsia" w:ascii="宋体" w:hAnsi="宋体"/>
          <w:iCs/>
          <w:snapToGrid w:val="0"/>
          <w:color w:val="auto"/>
          <w:kern w:val="0"/>
          <w:sz w:val="24"/>
          <w:highlight w:val="none"/>
        </w:rPr>
        <w:t>天不满</w:t>
      </w:r>
      <w:r>
        <w:rPr>
          <w:rFonts w:hint="default" w:ascii="宋体" w:hAnsi="宋体"/>
          <w:iCs/>
          <w:snapToGrid w:val="0"/>
          <w:color w:val="auto"/>
          <w:kern w:val="0"/>
          <w:sz w:val="24"/>
          <w:highlight w:val="none"/>
          <w:lang w:val="en-US"/>
        </w:rPr>
        <w:t>20</w:t>
      </w:r>
      <w:r>
        <w:rPr>
          <w:rFonts w:hint="eastAsia" w:ascii="宋体" w:hAnsi="宋体"/>
          <w:iCs/>
          <w:snapToGrid w:val="0"/>
          <w:color w:val="auto"/>
          <w:kern w:val="0"/>
          <w:sz w:val="24"/>
          <w:highlight w:val="none"/>
        </w:rPr>
        <w:t>天的</w:t>
      </w:r>
      <w:r>
        <w:rPr>
          <w:rFonts w:hint="eastAsia" w:ascii="宋体" w:hAnsi="宋体"/>
          <w:snapToGrid w:val="0"/>
          <w:color w:val="auto"/>
          <w:kern w:val="0"/>
          <w:sz w:val="24"/>
          <w:highlight w:val="none"/>
        </w:rPr>
        <w:t>，该节点工期可顺延5天，承包人应采取措施在下一个节点工期内消化；一次</w:t>
      </w:r>
      <w:r>
        <w:rPr>
          <w:rFonts w:hint="eastAsia" w:ascii="宋体" w:hAnsi="宋体"/>
          <w:iCs/>
          <w:snapToGrid w:val="0"/>
          <w:color w:val="auto"/>
          <w:kern w:val="0"/>
          <w:sz w:val="24"/>
          <w:highlight w:val="none"/>
        </w:rPr>
        <w:t>性延误达到</w:t>
      </w:r>
      <w:r>
        <w:rPr>
          <w:rFonts w:hint="default" w:ascii="宋体" w:hAnsi="宋体"/>
          <w:iCs/>
          <w:snapToGrid w:val="0"/>
          <w:color w:val="auto"/>
          <w:kern w:val="0"/>
          <w:sz w:val="24"/>
          <w:highlight w:val="none"/>
          <w:lang w:val="en-US"/>
        </w:rPr>
        <w:t>20</w:t>
      </w:r>
      <w:r>
        <w:rPr>
          <w:rFonts w:hint="eastAsia" w:ascii="宋体" w:hAnsi="宋体"/>
          <w:iCs/>
          <w:snapToGrid w:val="0"/>
          <w:color w:val="auto"/>
          <w:kern w:val="0"/>
          <w:sz w:val="24"/>
          <w:highlight w:val="none"/>
        </w:rPr>
        <w:t>天不满</w:t>
      </w:r>
      <w:r>
        <w:rPr>
          <w:rFonts w:hint="default" w:ascii="宋体" w:hAnsi="宋体"/>
          <w:iCs/>
          <w:snapToGrid w:val="0"/>
          <w:color w:val="auto"/>
          <w:kern w:val="0"/>
          <w:sz w:val="24"/>
          <w:highlight w:val="none"/>
          <w:lang w:val="en-US"/>
        </w:rPr>
        <w:t>30</w:t>
      </w:r>
      <w:r>
        <w:rPr>
          <w:rFonts w:hint="eastAsia" w:ascii="宋体" w:hAnsi="宋体"/>
          <w:iCs/>
          <w:snapToGrid w:val="0"/>
          <w:color w:val="auto"/>
          <w:kern w:val="0"/>
          <w:sz w:val="24"/>
          <w:highlight w:val="none"/>
        </w:rPr>
        <w:t>天的</w:t>
      </w:r>
      <w:r>
        <w:rPr>
          <w:rFonts w:hint="eastAsia" w:ascii="宋体" w:hAnsi="宋体"/>
          <w:snapToGrid w:val="0"/>
          <w:color w:val="auto"/>
          <w:kern w:val="0"/>
          <w:sz w:val="24"/>
          <w:highlight w:val="none"/>
        </w:rPr>
        <w:t>，节点工期可顺延</w:t>
      </w:r>
      <w:r>
        <w:rPr>
          <w:rFonts w:hint="eastAsia" w:ascii="宋体" w:hAnsi="宋体"/>
          <w:iCs/>
          <w:snapToGrid w:val="0"/>
          <w:color w:val="auto"/>
          <w:kern w:val="0"/>
          <w:sz w:val="24"/>
          <w:highlight w:val="none"/>
        </w:rPr>
        <w:t>10</w:t>
      </w:r>
      <w:r>
        <w:rPr>
          <w:rFonts w:hint="eastAsia" w:ascii="宋体" w:hAnsi="宋体"/>
          <w:snapToGrid w:val="0"/>
          <w:color w:val="auto"/>
          <w:kern w:val="0"/>
          <w:sz w:val="24"/>
          <w:highlight w:val="none"/>
        </w:rPr>
        <w:t>天，但承包人必须在总工期内采取措施消化被延误工期（此延误发生在最后一个节点工期内的除外）；一次性延误达到</w:t>
      </w:r>
      <w:r>
        <w:rPr>
          <w:rFonts w:hint="default" w:ascii="宋体" w:hAnsi="宋体"/>
          <w:snapToGrid w:val="0"/>
          <w:color w:val="auto"/>
          <w:kern w:val="0"/>
          <w:sz w:val="24"/>
          <w:highlight w:val="none"/>
          <w:lang w:val="en-US"/>
        </w:rPr>
        <w:t>30</w:t>
      </w:r>
      <w:r>
        <w:rPr>
          <w:rFonts w:hint="eastAsia" w:ascii="宋体" w:hAnsi="宋体"/>
          <w:snapToGrid w:val="0"/>
          <w:color w:val="auto"/>
          <w:kern w:val="0"/>
          <w:sz w:val="24"/>
          <w:highlight w:val="none"/>
        </w:rPr>
        <w:t>天以上的，工期可以顺延15天（经发包人特别批准的除外）。</w:t>
      </w:r>
    </w:p>
    <w:p w14:paraId="1093EF7D">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13.4对于非因承包人原因发生的工期延误，承包人应当在工期延误发生后7天内就延误的内容和因此发生的经济支出向发包人提出书面报告；逾期不报告的，发包人不予确认。发包人代表在收到报告后10天内予以确认、答复，逾期不予答复的，承包人即可视为延期要求已被确认。</w:t>
      </w:r>
    </w:p>
    <w:p w14:paraId="66B0646D">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14、工程竣工</w:t>
      </w:r>
    </w:p>
    <w:p w14:paraId="028A318A">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14.1承包人必须采取一切有效措施保证按照合同协议书约定或者</w:t>
      </w:r>
      <w:r>
        <w:rPr>
          <w:rFonts w:hint="eastAsia" w:ascii="宋体" w:hAnsi="宋体"/>
          <w:bCs/>
          <w:snapToGrid w:val="0"/>
          <w:color w:val="auto"/>
          <w:kern w:val="0"/>
          <w:sz w:val="24"/>
          <w:highlight w:val="none"/>
        </w:rPr>
        <w:t>发包人根据工程实施情况调整</w:t>
      </w:r>
      <w:r>
        <w:rPr>
          <w:rFonts w:hint="eastAsia" w:ascii="宋体" w:hAnsi="宋体"/>
          <w:snapToGrid w:val="0"/>
          <w:color w:val="auto"/>
          <w:kern w:val="0"/>
          <w:sz w:val="24"/>
          <w:highlight w:val="none"/>
        </w:rPr>
        <w:t>的竣工日期竣工，不得延误，除非发生了以下情形：</w:t>
      </w:r>
    </w:p>
    <w:p w14:paraId="622B33EB">
      <w:pPr>
        <w:adjustRightInd w:val="0"/>
        <w:snapToGrid w:val="0"/>
        <w:spacing w:line="360" w:lineRule="auto"/>
        <w:ind w:left="461"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（1）政府对本工程建设项目作出停建、缓建的决定；</w:t>
      </w:r>
    </w:p>
    <w:p w14:paraId="5A6CC440">
      <w:pPr>
        <w:adjustRightInd w:val="0"/>
        <w:snapToGrid w:val="0"/>
        <w:spacing w:line="360" w:lineRule="auto"/>
        <w:ind w:left="461"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（2）重大设计变更导致本工程在规划、使用、功能方面有重大调整；</w:t>
      </w:r>
    </w:p>
    <w:p w14:paraId="6970C5DF">
      <w:pPr>
        <w:adjustRightInd w:val="0"/>
        <w:snapToGrid w:val="0"/>
        <w:spacing w:line="360" w:lineRule="auto"/>
        <w:ind w:left="461"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（3）非因承包人原因造成关键节点工期延误达到30天以上；</w:t>
      </w:r>
    </w:p>
    <w:p w14:paraId="404D8CAC">
      <w:pPr>
        <w:adjustRightInd w:val="0"/>
        <w:snapToGrid w:val="0"/>
        <w:spacing w:line="360" w:lineRule="auto"/>
        <w:ind w:left="461"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（4）其他非因承包人原因造成的竣工日期延误。</w:t>
      </w:r>
    </w:p>
    <w:p w14:paraId="321E6A11">
      <w:pPr>
        <w:adjustRightInd w:val="0"/>
        <w:snapToGrid w:val="0"/>
        <w:spacing w:line="360" w:lineRule="auto"/>
        <w:ind w:right="11"/>
        <w:outlineLvl w:val="1"/>
        <w:rPr>
          <w:rFonts w:hint="eastAsia" w:ascii="宋体" w:hAnsi="宋体"/>
          <w:b/>
          <w:bCs/>
          <w:snapToGrid w:val="0"/>
          <w:color w:val="auto"/>
          <w:kern w:val="0"/>
          <w:sz w:val="28"/>
          <w:szCs w:val="28"/>
          <w:highlight w:val="none"/>
        </w:rPr>
      </w:pPr>
    </w:p>
    <w:p w14:paraId="3A203B13">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四、质量与检验</w:t>
      </w:r>
    </w:p>
    <w:p w14:paraId="2E80EB76">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ascii="宋体" w:hAnsi="宋体"/>
          <w:b/>
          <w:snapToGrid w:val="0"/>
          <w:color w:val="auto"/>
          <w:kern w:val="0"/>
          <w:sz w:val="24"/>
          <w:highlight w:val="none"/>
        </w:rPr>
        <w:t>1</w:t>
      </w:r>
      <w:r>
        <w:rPr>
          <w:rFonts w:hint="eastAsia" w:ascii="宋体" w:hAnsi="宋体"/>
          <w:b/>
          <w:snapToGrid w:val="0"/>
          <w:color w:val="auto"/>
          <w:kern w:val="0"/>
          <w:sz w:val="24"/>
          <w:highlight w:val="none"/>
        </w:rPr>
        <w:t>5、工程质量</w:t>
      </w:r>
    </w:p>
    <w:p w14:paraId="69ACFB48">
      <w:pPr>
        <w:adjustRightInd w:val="0"/>
        <w:snapToGrid w:val="0"/>
        <w:spacing w:line="360" w:lineRule="auto"/>
        <w:ind w:firstLine="420" w:firstLineChars="175"/>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15.1工程质量标准</w:t>
      </w:r>
    </w:p>
    <w:p w14:paraId="247AAFFC">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（1）本合同工程质量标准按合同协议书第4条的约定执行。</w:t>
      </w:r>
    </w:p>
    <w:p w14:paraId="1BEF9FC5">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承包人必须确保工程一次验收合格。因承包人原因致使工程未一次验收合格的，由承包人按照合同专用条款第38.10（2）款的约定承担违约责任；因此导致工程不能按计划工期办理竣工验收的，由承包人按照合同专用条款第38.8（5）款的约定承担违约责任。</w:t>
      </w:r>
    </w:p>
    <w:p w14:paraId="0E5B993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（3）本工程不涉及</w:t>
      </w:r>
      <w:bookmarkStart w:id="7" w:name="OLE_LINK91"/>
      <w:r>
        <w:rPr>
          <w:rFonts w:hint="eastAsia" w:ascii="宋体" w:hAnsi="宋体"/>
          <w:bCs/>
          <w:snapToGrid w:val="0"/>
          <w:color w:val="auto"/>
          <w:kern w:val="0"/>
          <w:sz w:val="24"/>
          <w:highlight w:val="none"/>
        </w:rPr>
        <w:t>分段结算</w:t>
      </w:r>
      <w:bookmarkEnd w:id="7"/>
      <w:r>
        <w:rPr>
          <w:rFonts w:hint="eastAsia" w:ascii="宋体" w:hAnsi="宋体" w:eastAsia="楷体_GB2312"/>
          <w:bCs/>
          <w:snapToGrid w:val="0"/>
          <w:color w:val="auto"/>
          <w:kern w:val="0"/>
          <w:sz w:val="24"/>
          <w:highlight w:val="none"/>
        </w:rPr>
        <w:t>。</w:t>
      </w:r>
    </w:p>
    <w:p w14:paraId="1777EAA6">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ascii="宋体" w:hAnsi="宋体"/>
          <w:bCs/>
          <w:snapToGrid w:val="0"/>
          <w:color w:val="auto"/>
          <w:kern w:val="0"/>
          <w:sz w:val="24"/>
          <w:highlight w:val="none"/>
        </w:rPr>
        <w:t>1</w:t>
      </w:r>
      <w:r>
        <w:rPr>
          <w:rFonts w:hint="eastAsia" w:ascii="宋体" w:hAnsi="宋体"/>
          <w:bCs/>
          <w:snapToGrid w:val="0"/>
          <w:color w:val="auto"/>
          <w:kern w:val="0"/>
          <w:sz w:val="24"/>
          <w:highlight w:val="none"/>
        </w:rPr>
        <w:t>5</w:t>
      </w:r>
      <w:r>
        <w:rPr>
          <w:rFonts w:ascii="宋体" w:hAnsi="宋体"/>
          <w:bCs/>
          <w:snapToGrid w:val="0"/>
          <w:color w:val="auto"/>
          <w:kern w:val="0"/>
          <w:sz w:val="24"/>
          <w:highlight w:val="none"/>
        </w:rPr>
        <w:t>.2</w:t>
      </w:r>
      <w:r>
        <w:rPr>
          <w:rFonts w:hint="eastAsia" w:ascii="宋体" w:hAnsi="宋体"/>
          <w:bCs/>
          <w:snapToGrid w:val="0"/>
          <w:color w:val="auto"/>
          <w:kern w:val="0"/>
          <w:sz w:val="24"/>
          <w:highlight w:val="none"/>
        </w:rPr>
        <w:t>工程质量争议与鉴定</w:t>
      </w:r>
    </w:p>
    <w:p w14:paraId="3C78D2F5">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双方一致同意，对于本合同履行过程中的工程质量争议，由工程所在地负责工程质量监督的政府主管机构或部门依据《建筑工程施工质量验收统一标准》（GB50300-2013）（如有新版本，则按最新版本执行）系列各专业验收规范及设计文件等进行鉴定并按鉴定结论及有关规定承担责任。</w:t>
      </w:r>
    </w:p>
    <w:p w14:paraId="5397018D">
      <w:pPr>
        <w:adjustRightInd w:val="0"/>
        <w:snapToGrid w:val="0"/>
        <w:spacing w:line="360" w:lineRule="auto"/>
        <w:ind w:firstLine="482" w:firstLineChars="200"/>
        <w:rPr>
          <w:rFonts w:hint="eastAsia" w:ascii="宋体" w:hAnsi="宋体"/>
          <w:snapToGrid w:val="0"/>
          <w:color w:val="auto"/>
          <w:kern w:val="0"/>
          <w:sz w:val="24"/>
          <w:highlight w:val="none"/>
        </w:rPr>
      </w:pPr>
      <w:r>
        <w:rPr>
          <w:rFonts w:hint="eastAsia" w:ascii="宋体" w:hAnsi="宋体"/>
          <w:b/>
          <w:snapToGrid w:val="0"/>
          <w:color w:val="auto"/>
          <w:kern w:val="0"/>
          <w:sz w:val="24"/>
          <w:highlight w:val="none"/>
        </w:rPr>
        <w:t>承包人和发包人一致同意增加15.3：</w:t>
      </w:r>
    </w:p>
    <w:p w14:paraId="33DA6BDB">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15.3工程质量保证体系</w:t>
      </w:r>
    </w:p>
    <w:p w14:paraId="2FDB23E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承包人应当完善质量管理制度，建立质量控制流程，进行全面质量管理（TQC），以《质量管理体系要求》（GB/T19001-2016）为标准，建立并保持一个有效的工程质量管理体系。为此，承包人必须做到（不限于）：</w:t>
      </w:r>
    </w:p>
    <w:p w14:paraId="79A64E6C">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建立完整的质量保证体系，委派专人负责工程质量管理，现场管理机构、工区（段）设有专职质检人员，班组设质检员，必须附有项目架构人员名单，各类人员必须持有上岗资格证，于本合同签订后5天内将上述人员报总监理工程师备查。承包人还应建立并完善各项目质量管理检查制度及企业质量管理文件等。</w:t>
      </w:r>
      <w:r>
        <w:rPr>
          <w:rFonts w:hint="eastAsia" w:ascii="宋体" w:hAnsi="宋体"/>
          <w:bCs/>
          <w:snapToGrid w:val="0"/>
          <w:color w:val="auto"/>
          <w:kern w:val="0"/>
          <w:sz w:val="24"/>
          <w:highlight w:val="none"/>
        </w:rPr>
        <w:t>同时，承包人应积极配合工程质量第三方检测工作，并积极采用新材料、新工艺、新技术。</w:t>
      </w:r>
    </w:p>
    <w:p w14:paraId="0F651B89">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（2）承包人提交总监理工程师批准的施工组织设计或者施工方案必须附有完备的工程质量保证措施，包括：工程质量预控措施，</w:t>
      </w:r>
      <w:r>
        <w:rPr>
          <w:rFonts w:hint="eastAsia" w:ascii="宋体" w:hAnsi="宋体"/>
          <w:iCs/>
          <w:snapToGrid w:val="0"/>
          <w:color w:val="auto"/>
          <w:kern w:val="0"/>
          <w:sz w:val="24"/>
          <w:highlight w:val="none"/>
        </w:rPr>
        <w:t>工序质量控制点，</w:t>
      </w:r>
      <w:r>
        <w:rPr>
          <w:rFonts w:hint="eastAsia" w:ascii="宋体" w:hAnsi="宋体"/>
          <w:snapToGrid w:val="0"/>
          <w:color w:val="auto"/>
          <w:kern w:val="0"/>
          <w:sz w:val="24"/>
          <w:highlight w:val="none"/>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p>
    <w:p w14:paraId="3A37E211">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（3）单项工程开工前，承包人必须按要求对职工分级进行技术交底，组织学习有关规程、标准、规范和工艺要求（规程包括但不限于施工企业标准和作业指导书），在施工中必须按规程及工艺进行操作。</w:t>
      </w:r>
    </w:p>
    <w:p w14:paraId="0E2B9672">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单项工程和重要部位必须遵循先试验后铺开施工的程序，开工前承包人应熟悉施工图纸会审和设计变更内容并完成施工组织设计和必要的施工准备，送总监理工程师审查批准后方可进行试验性施工，完工后由总监理工程师检验，符合要求后才能铺开施工或者批量生产。</w:t>
      </w:r>
    </w:p>
    <w:p w14:paraId="3527FD14">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按照《关于加强房屋建筑和市政基础设施工程混凝土试件标准养护管理的通知》（穗建质[2011]941号）的要求，在建房屋建筑和市政基础设施工程，现场有混凝土结构施工部位的，必须在施工现场建立混凝土试件标准养护室或放置标准养护箱，而且监督见证检验次数不少于同类材料进场检验频次的10%且不少于一次。</w:t>
      </w:r>
    </w:p>
    <w:p w14:paraId="0233E391">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16、检查和返工</w:t>
      </w:r>
    </w:p>
    <w:p w14:paraId="614A649A">
      <w:pPr>
        <w:adjustRightInd w:val="0"/>
        <w:snapToGrid w:val="0"/>
        <w:spacing w:line="360" w:lineRule="auto"/>
        <w:ind w:firstLine="482" w:firstLineChars="20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承包人和发包人一致同意增加16.5至16.10：</w:t>
      </w:r>
    </w:p>
    <w:p w14:paraId="1702C342">
      <w:pPr>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16.5对承包人采购的工程材料、设备及采用的工艺的查验</w:t>
      </w:r>
    </w:p>
    <w:p w14:paraId="0B405A48">
      <w:pPr>
        <w:adjustRightInd w:val="0"/>
        <w:snapToGrid w:val="0"/>
        <w:spacing w:line="360" w:lineRule="auto"/>
        <w:ind w:firstLine="480"/>
        <w:outlineLvl w:val="4"/>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实施工程的一切材料、设备及工艺，都必须符合工程设计及技术标准、规范的要求，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14:paraId="4FAFA092">
      <w:pPr>
        <w:adjustRightInd w:val="0"/>
        <w:snapToGrid w:val="0"/>
        <w:spacing w:line="360" w:lineRule="auto"/>
        <w:ind w:firstLine="480" w:firstLineChars="200"/>
        <w:outlineLvl w:val="4"/>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总监理工程师有权在施工场地、库房以及为工程生产、加工、制配材料、设备的地点（无论这些地点是否属于承包人管辖）检查和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则发包人有权雇佣他人代为实施，由此产生的相关费用由承包人承担。</w:t>
      </w:r>
    </w:p>
    <w:p w14:paraId="11175AE6">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发包人和总监理工程师认为有必要的，有权对已检查、检验过的材料、设备进行重复检查、检验，承包人应遵照执行。重复检查、检验的程序和内容适用前述约定。</w:t>
      </w:r>
    </w:p>
    <w:p w14:paraId="195488E6">
      <w:pPr>
        <w:adjustRightInd w:val="0"/>
        <w:snapToGrid w:val="0"/>
        <w:spacing w:line="360" w:lineRule="auto"/>
        <w:ind w:firstLine="420"/>
        <w:outlineLvl w:val="4"/>
        <w:rPr>
          <w:rFonts w:hint="eastAsia" w:ascii="宋体" w:hAnsi="宋体"/>
          <w:iCs/>
          <w:snapToGrid w:val="0"/>
          <w:color w:val="auto"/>
          <w:kern w:val="0"/>
          <w:sz w:val="24"/>
          <w:highlight w:val="none"/>
        </w:rPr>
      </w:pPr>
      <w:r>
        <w:rPr>
          <w:rFonts w:hint="eastAsia" w:ascii="宋体" w:hAnsi="宋体"/>
          <w:bCs/>
          <w:snapToGrid w:val="0"/>
          <w:color w:val="auto"/>
          <w:kern w:val="0"/>
          <w:sz w:val="24"/>
          <w:highlight w:val="none"/>
        </w:rPr>
        <w:t>（3）</w:t>
      </w:r>
      <w:r>
        <w:rPr>
          <w:rFonts w:hint="eastAsia" w:ascii="宋体" w:hAnsi="宋体"/>
          <w:snapToGrid w:val="0"/>
          <w:color w:val="auto"/>
          <w:kern w:val="0"/>
          <w:sz w:val="24"/>
          <w:highlight w:val="none"/>
        </w:rPr>
        <w:t>在施工过程中，总监理工程师有权随时对工程材料、设备的使用进行抽查，包括成品、半成品、器具、设备、附件、小五金等。抽查范围、比例、数量、批次及检查深度可比国家</w:t>
      </w:r>
      <w:r>
        <w:rPr>
          <w:rFonts w:hint="eastAsia" w:ascii="宋体" w:hAnsi="宋体"/>
          <w:iCs/>
          <w:snapToGrid w:val="0"/>
          <w:color w:val="auto"/>
          <w:kern w:val="0"/>
          <w:sz w:val="24"/>
          <w:highlight w:val="none"/>
        </w:rPr>
        <w:t>现行施工质量验收规范和</w:t>
      </w:r>
      <w:r>
        <w:rPr>
          <w:rFonts w:hint="eastAsia" w:ascii="宋体" w:hAnsi="宋体"/>
          <w:snapToGrid w:val="0"/>
          <w:color w:val="auto"/>
          <w:kern w:val="0"/>
          <w:sz w:val="24"/>
          <w:highlight w:val="none"/>
        </w:rPr>
        <w:t>相关规定有所提高。</w:t>
      </w:r>
    </w:p>
    <w:p w14:paraId="779AA16C">
      <w:pPr>
        <w:adjustRightInd w:val="0"/>
        <w:snapToGrid w:val="0"/>
        <w:spacing w:line="360" w:lineRule="auto"/>
        <w:ind w:firstLine="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工程材料、设备的质量依据下列顺序之标准认定（排序在前者优先）：</w:t>
      </w:r>
    </w:p>
    <w:p w14:paraId="050EE691">
      <w:pPr>
        <w:adjustRightInd w:val="0"/>
        <w:snapToGrid w:val="0"/>
        <w:spacing w:line="360" w:lineRule="auto"/>
        <w:ind w:firstLine="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1）本工程设计图纸规定的设计标准和发包人制定的材料标准及技术要求[不符合下列第5）项标准要求的除外]；</w:t>
      </w:r>
    </w:p>
    <w:p w14:paraId="61FDEE90">
      <w:pPr>
        <w:adjustRightInd w:val="0"/>
        <w:snapToGrid w:val="0"/>
        <w:spacing w:line="360" w:lineRule="auto"/>
        <w:ind w:firstLine="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2）招投标时确定的规格、技术指标、质量标准、品牌/生产厂商等[不符合下列第5）项标准要求的除外]；</w:t>
      </w:r>
    </w:p>
    <w:p w14:paraId="7AFA3245">
      <w:pPr>
        <w:adjustRightInd w:val="0"/>
        <w:snapToGrid w:val="0"/>
        <w:spacing w:line="360" w:lineRule="auto"/>
        <w:ind w:firstLine="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3）经设计单位、监理单位、承包人、发包人共同认定的产品封样、样板（包括样板房等）[不符合下列第5）项标准要求的除外]；</w:t>
      </w:r>
    </w:p>
    <w:p w14:paraId="3E0B8D96">
      <w:pPr>
        <w:adjustRightInd w:val="0"/>
        <w:snapToGrid w:val="0"/>
        <w:spacing w:line="360" w:lineRule="auto"/>
        <w:ind w:firstLine="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4)招标文件列明的推荐品牌/生产厂商范围（如有）[不符合下列第5）项标准要求的除外]；</w:t>
      </w:r>
    </w:p>
    <w:p w14:paraId="136034A9">
      <w:pPr>
        <w:adjustRightInd w:val="0"/>
        <w:snapToGrid w:val="0"/>
        <w:spacing w:line="360" w:lineRule="auto"/>
        <w:ind w:firstLine="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5）国家或行业强制执行的技术标准、技术规范。</w:t>
      </w:r>
    </w:p>
    <w:p w14:paraId="5053135E">
      <w:pPr>
        <w:adjustRightInd w:val="0"/>
        <w:snapToGrid w:val="0"/>
        <w:spacing w:line="360" w:lineRule="auto"/>
        <w:ind w:firstLine="42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工程材料、设备的抽查、检验结果与前款约定不符的，总监理工程师必须扩大对该批材料的抽查范围、增加数量抽检，同时，涉及工程结构安全和使用功能的检测必须委托有资质的第三方检测试验单位进行检测试验并执行《建筑节能工程施工质量验收规范》（GB50411-2007）、《广东省建筑节能工程施工质量验收规范》（DBJ15-65-2009）。承包人必须在发包人或监理单位书面通知的限期内将不符合要求的材料、设备全部无条件拆除、更换，并运出施工现场，由此所造成的工期延误、费用增加等一切损失均由承包人承担；同时，承包人还应当按照合同专用条款第38.9（1）款的约定承担违约责任。</w:t>
      </w:r>
    </w:p>
    <w:p w14:paraId="2582D8CD">
      <w:pPr>
        <w:adjustRightInd w:val="0"/>
        <w:snapToGrid w:val="0"/>
        <w:spacing w:line="360" w:lineRule="auto"/>
        <w:ind w:right="11" w:firstLine="460" w:firstLineChars="192"/>
        <w:outlineLvl w:val="4"/>
        <w:rPr>
          <w:rFonts w:hint="eastAsia" w:ascii="宋体" w:hAnsi="宋体"/>
          <w:bCs/>
          <w:snapToGrid w:val="0"/>
          <w:color w:val="auto"/>
          <w:kern w:val="0"/>
          <w:sz w:val="24"/>
          <w:highlight w:val="none"/>
        </w:rPr>
      </w:pPr>
      <w:r>
        <w:rPr>
          <w:rFonts w:hint="eastAsia" w:ascii="宋体" w:hAnsi="宋体"/>
          <w:iCs/>
          <w:snapToGrid w:val="0"/>
          <w:color w:val="auto"/>
          <w:kern w:val="0"/>
          <w:sz w:val="24"/>
          <w:highlight w:val="none"/>
        </w:rPr>
        <w:t>（4）总监理工程师对材料、设备或工程进行检查、检验的费用由承包人负担。总监理工程师或发包人进</w:t>
      </w:r>
      <w:r>
        <w:rPr>
          <w:rFonts w:hint="eastAsia" w:ascii="宋体" w:hAnsi="宋体"/>
          <w:snapToGrid w:val="0"/>
          <w:color w:val="auto"/>
          <w:kern w:val="0"/>
          <w:sz w:val="24"/>
          <w:highlight w:val="none"/>
        </w:rPr>
        <w:t>行</w:t>
      </w:r>
      <w:r>
        <w:rPr>
          <w:rFonts w:hint="eastAsia" w:ascii="宋体" w:hAnsi="宋体"/>
          <w:bCs/>
          <w:snapToGrid w:val="0"/>
          <w:color w:val="auto"/>
          <w:kern w:val="0"/>
          <w:sz w:val="24"/>
          <w:highlight w:val="none"/>
        </w:rPr>
        <w:t>重复检查、检验的，检查、检验的结果证明材料、设备或工程不符合合同、技术规范要求的，费用由承包人承担；符合合同、招标文件、技术规范要求的，费用由发包人承担。</w:t>
      </w:r>
    </w:p>
    <w:p w14:paraId="664EC0DB">
      <w:pPr>
        <w:adjustRightInd w:val="0"/>
        <w:snapToGrid w:val="0"/>
        <w:spacing w:line="360" w:lineRule="auto"/>
        <w:ind w:firstLine="420"/>
        <w:outlineLvl w:val="3"/>
        <w:rPr>
          <w:rFonts w:hint="eastAsia" w:ascii="宋体" w:hAnsi="宋体"/>
          <w:bCs/>
          <w:snapToGrid w:val="0"/>
          <w:color w:val="auto"/>
          <w:kern w:val="0"/>
          <w:sz w:val="24"/>
          <w:highlight w:val="none"/>
        </w:rPr>
      </w:pPr>
      <w:r>
        <w:rPr>
          <w:rFonts w:ascii="宋体" w:hAnsi="宋体"/>
          <w:bCs/>
          <w:snapToGrid w:val="0"/>
          <w:color w:val="auto"/>
          <w:kern w:val="0"/>
          <w:sz w:val="24"/>
          <w:highlight w:val="none"/>
        </w:rPr>
        <w:t>1</w:t>
      </w:r>
      <w:r>
        <w:rPr>
          <w:rFonts w:hint="eastAsia" w:ascii="宋体" w:hAnsi="宋体"/>
          <w:bCs/>
          <w:snapToGrid w:val="0"/>
          <w:color w:val="auto"/>
          <w:kern w:val="0"/>
          <w:sz w:val="24"/>
          <w:highlight w:val="none"/>
        </w:rPr>
        <w:t>6</w:t>
      </w:r>
      <w:r>
        <w:rPr>
          <w:rFonts w:ascii="宋体" w:hAnsi="宋体"/>
          <w:bCs/>
          <w:snapToGrid w:val="0"/>
          <w:color w:val="auto"/>
          <w:kern w:val="0"/>
          <w:sz w:val="24"/>
          <w:highlight w:val="none"/>
        </w:rPr>
        <w:t>.</w:t>
      </w:r>
      <w:r>
        <w:rPr>
          <w:rFonts w:hint="eastAsia" w:ascii="宋体" w:hAnsi="宋体"/>
          <w:bCs/>
          <w:snapToGrid w:val="0"/>
          <w:color w:val="auto"/>
          <w:kern w:val="0"/>
          <w:sz w:val="24"/>
          <w:highlight w:val="none"/>
        </w:rPr>
        <w:t>6承包人应当</w:t>
      </w:r>
      <w:r>
        <w:rPr>
          <w:rFonts w:hint="eastAsia" w:ascii="宋体" w:hAnsi="宋体"/>
          <w:snapToGrid w:val="0"/>
          <w:color w:val="auto"/>
          <w:kern w:val="0"/>
          <w:sz w:val="24"/>
          <w:highlight w:val="none"/>
        </w:rPr>
        <w:t>按照发包人、总监理工程师及有关规范要求，对施工各工序报验检查的质量控制点，先自检后报请总监理工程师复检。总监理工程师在接到承包人的自检结果后，应当及时复检。经复检发现存在质量问题的，则该工序质量为不合格，承包人必须全部返工，</w:t>
      </w:r>
      <w:r>
        <w:rPr>
          <w:rFonts w:hint="eastAsia" w:ascii="宋体" w:hAnsi="宋体"/>
          <w:bCs/>
          <w:snapToGrid w:val="0"/>
          <w:color w:val="auto"/>
          <w:kern w:val="0"/>
          <w:sz w:val="24"/>
          <w:highlight w:val="none"/>
        </w:rPr>
        <w:t>由此所产生的工期延误和费用增加等全部损失由承包人承担，并由承包人按照</w:t>
      </w:r>
      <w:r>
        <w:rPr>
          <w:rFonts w:hint="eastAsia" w:ascii="宋体" w:hAnsi="宋体"/>
          <w:snapToGrid w:val="0"/>
          <w:color w:val="auto"/>
          <w:kern w:val="0"/>
          <w:sz w:val="24"/>
          <w:highlight w:val="none"/>
        </w:rPr>
        <w:t>合同专用条款第38</w:t>
      </w:r>
      <w:r>
        <w:rPr>
          <w:rFonts w:hint="eastAsia" w:ascii="宋体" w:hAnsi="宋体"/>
          <w:bCs/>
          <w:snapToGrid w:val="0"/>
          <w:color w:val="auto"/>
          <w:kern w:val="0"/>
          <w:sz w:val="24"/>
          <w:highlight w:val="none"/>
        </w:rPr>
        <w:t>.10（1）款的约定承担违约责任。</w:t>
      </w:r>
    </w:p>
    <w:p w14:paraId="282AB697">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16.7总监理工程师发现工程存在重大质量问题时，必须立即下达停工整改令。承包人必须在5天内提出书面整改措施，经总监理工程师和发包人批准后实施整改，由此所产生的工期延误和费用增加等全部损失，由承包人承担。承包人拒绝整改的，发包人有权暂停拨付工程款，并将未完工程另行发包。</w:t>
      </w:r>
    </w:p>
    <w:p w14:paraId="4FDA03B3">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16.8承包人承诺：无论总监理工程师对工程是否进行并通过了各项检验，均不解除承包人对其承包的工程的质量所负的任何责任，除非质量问题是由于非承包人责任原因引起，而此类质量问题承包人须及时通知总监理工程师。在采用承包人设计的施工图施工和由承包人自行采购的材料、设备时，设计和制造所引起的质量责任由承包人承担。</w:t>
      </w:r>
    </w:p>
    <w:p w14:paraId="458846D4">
      <w:pPr>
        <w:adjustRightInd w:val="0"/>
        <w:snapToGrid w:val="0"/>
        <w:spacing w:line="360" w:lineRule="auto"/>
        <w:ind w:firstLine="48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1</w:t>
      </w:r>
      <w:r>
        <w:rPr>
          <w:rFonts w:hint="eastAsia" w:ascii="宋体" w:hAnsi="宋体"/>
          <w:snapToGrid w:val="0"/>
          <w:color w:val="auto"/>
          <w:kern w:val="0"/>
          <w:sz w:val="24"/>
          <w:highlight w:val="none"/>
        </w:rPr>
        <w:t>6</w:t>
      </w:r>
      <w:r>
        <w:rPr>
          <w:rFonts w:ascii="宋体" w:hAnsi="宋体"/>
          <w:snapToGrid w:val="0"/>
          <w:color w:val="auto"/>
          <w:kern w:val="0"/>
          <w:sz w:val="24"/>
          <w:highlight w:val="none"/>
        </w:rPr>
        <w:t>.</w:t>
      </w:r>
      <w:r>
        <w:rPr>
          <w:rFonts w:hint="eastAsia" w:ascii="宋体" w:hAnsi="宋体"/>
          <w:snapToGrid w:val="0"/>
          <w:color w:val="auto"/>
          <w:kern w:val="0"/>
          <w:sz w:val="24"/>
          <w:highlight w:val="none"/>
        </w:rPr>
        <w:t>9承包人承诺：无论工程材料是采用甲供、甲招乙供、甲管乙供，还是乙供，均由承包人承担工程全面质量的责任。承包人应对各种材料按规范进行检查验收，拒绝不符合要求的材料用于工程。无论何种原因，出现不合格材料用于工程的情况，均由承包人承担应有的责任。</w:t>
      </w:r>
    </w:p>
    <w:p w14:paraId="44E02A35">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16.10承包人应保证按照国家、地方、行业的有关规定，准确、及时做好日常工程技术资料的记录、整理和归档工作，保证记录中原始数据的真实性和及时性，监理单位或发包人有权抽查承包人日常工程技术资料的整理工作，若发现未按照规定及时做好资料整理工作，每发现三次，则由承包人按照合同专用条款第38.15款的约定承担违约责任。若发现原始记录数据不存在、不真实、不完整，经监理单位确认，发包人有权拒绝相应部分工程的工程量计量与支付，并视情节轻重，由承包人按照合同专用条款第38.15款的约定承担违约责任。</w:t>
      </w:r>
    </w:p>
    <w:p w14:paraId="7E6433C8">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17、隐蔽工程和中间验收</w:t>
      </w:r>
    </w:p>
    <w:p w14:paraId="5FB0F956">
      <w:pPr>
        <w:adjustRightInd w:val="0"/>
        <w:snapToGrid w:val="0"/>
        <w:spacing w:line="360" w:lineRule="auto"/>
        <w:ind w:right="11" w:firstLine="460" w:firstLineChars="192"/>
        <w:outlineLvl w:val="3"/>
        <w:rPr>
          <w:rFonts w:hint="eastAsia" w:ascii="宋体" w:hAnsi="宋体"/>
          <w:bCs/>
          <w:iCs/>
          <w:snapToGrid w:val="0"/>
          <w:color w:val="auto"/>
          <w:kern w:val="0"/>
          <w:sz w:val="24"/>
          <w:highlight w:val="none"/>
        </w:rPr>
      </w:pPr>
      <w:r>
        <w:rPr>
          <w:rFonts w:hint="eastAsia" w:ascii="宋体" w:hAnsi="宋体"/>
          <w:bCs/>
          <w:snapToGrid w:val="0"/>
          <w:color w:val="auto"/>
          <w:kern w:val="0"/>
          <w:sz w:val="24"/>
          <w:highlight w:val="none"/>
        </w:rPr>
        <w:t>17.1双方约定，中间验收部位按穗建监字（2001）068号文执行，验收程序按合同通用条款第17条执行。验收人员组成：发包人、监理单位、承包</w:t>
      </w:r>
      <w:r>
        <w:rPr>
          <w:rFonts w:hint="eastAsia" w:ascii="宋体" w:hAnsi="宋体"/>
          <w:bCs/>
          <w:iCs/>
          <w:snapToGrid w:val="0"/>
          <w:color w:val="auto"/>
          <w:kern w:val="0"/>
          <w:sz w:val="24"/>
          <w:highlight w:val="none"/>
        </w:rPr>
        <w:t>人及其他有关单位。</w:t>
      </w:r>
    </w:p>
    <w:p w14:paraId="4B4F937A">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t>承包人和发包人一致同意增加17.4、17.5：</w:t>
      </w:r>
    </w:p>
    <w:p w14:paraId="595929B8">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17.4</w:t>
      </w:r>
      <w:r>
        <w:rPr>
          <w:rFonts w:hint="eastAsia" w:ascii="宋体" w:hAnsi="宋体"/>
          <w:snapToGrid w:val="0"/>
          <w:color w:val="auto"/>
          <w:kern w:val="0"/>
          <w:sz w:val="24"/>
          <w:highlight w:val="none"/>
        </w:rPr>
        <w:t>隐蔽工程或中间验收部位未经专业监理工程师验收合格，不得隐蔽或继续施工，否则该部分工程被视为不合格，</w:t>
      </w:r>
      <w:r>
        <w:rPr>
          <w:rFonts w:hint="eastAsia" w:ascii="宋体" w:hAnsi="宋体"/>
          <w:bCs/>
          <w:snapToGrid w:val="0"/>
          <w:color w:val="auto"/>
          <w:kern w:val="0"/>
          <w:sz w:val="24"/>
          <w:highlight w:val="none"/>
        </w:rPr>
        <w:t>由此所产生的返工费用由承包人承担。</w:t>
      </w:r>
    </w:p>
    <w:p w14:paraId="467B59B0">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17.5</w:t>
      </w:r>
      <w:r>
        <w:rPr>
          <w:rFonts w:hint="eastAsia" w:ascii="宋体" w:hAnsi="宋体"/>
          <w:snapToGrid w:val="0"/>
          <w:color w:val="auto"/>
          <w:kern w:val="0"/>
          <w:sz w:val="24"/>
          <w:szCs w:val="24"/>
          <w:highlight w:val="none"/>
        </w:rPr>
        <w:t>本项目重要分部（子分部）工程质量验收工作，须按</w:t>
      </w:r>
      <w:r>
        <w:rPr>
          <w:rFonts w:hint="eastAsia" w:ascii="宋体" w:hAnsi="宋体"/>
          <w:snapToGrid w:val="0"/>
          <w:color w:val="auto"/>
          <w:kern w:val="0"/>
          <w:sz w:val="24"/>
          <w:highlight w:val="none"/>
        </w:rPr>
        <w:t>现行有效的政府规范性文件、行业规范等</w:t>
      </w:r>
      <w:r>
        <w:rPr>
          <w:rFonts w:hint="eastAsia" w:ascii="宋体" w:hAnsi="宋体"/>
          <w:snapToGrid w:val="0"/>
          <w:color w:val="auto"/>
          <w:kern w:val="0"/>
          <w:sz w:val="24"/>
          <w:szCs w:val="24"/>
          <w:highlight w:val="none"/>
        </w:rPr>
        <w:t>规定执行，加强工程质量验收工作。</w:t>
      </w:r>
    </w:p>
    <w:p w14:paraId="187D0CD9">
      <w:pPr>
        <w:adjustRightInd w:val="0"/>
        <w:snapToGrid w:val="0"/>
        <w:spacing w:line="360" w:lineRule="auto"/>
        <w:ind w:right="11"/>
        <w:rPr>
          <w:rFonts w:hint="eastAsia" w:ascii="宋体" w:hAnsi="宋体"/>
          <w:b/>
          <w:bCs/>
          <w:snapToGrid w:val="0"/>
          <w:color w:val="auto"/>
          <w:kern w:val="0"/>
          <w:sz w:val="28"/>
          <w:szCs w:val="28"/>
          <w:highlight w:val="none"/>
        </w:rPr>
      </w:pPr>
    </w:p>
    <w:p w14:paraId="6F035793">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五、安全文明施工</w:t>
      </w:r>
    </w:p>
    <w:p w14:paraId="68168E03">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20、施工场地的占用与管理</w:t>
      </w:r>
    </w:p>
    <w:p w14:paraId="164D9FE6">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20.2</w:t>
      </w:r>
      <w:r>
        <w:rPr>
          <w:rFonts w:hint="eastAsia" w:ascii="宋体" w:hAnsi="宋体"/>
          <w:snapToGrid w:val="0"/>
          <w:color w:val="auto"/>
          <w:kern w:val="0"/>
          <w:sz w:val="24"/>
          <w:highlight w:val="none"/>
        </w:rPr>
        <w:t>在工程实施期间，施工场地一经移交给承包人，承包人即对施工场地负有全过程、全面的管理责任，必须对施工场地范围内的治安秩序、安全保卫、环境卫生以及周围房屋、市政设施等全面负责，对施工场地范围内的交通道路、用水、用电、场地内的施工协调负责。承包人需对其施工场地布置、人员的管理、交通组织制订详细的方案，对施工时段作出合理安排，必须采用全封闭施工方案，确保不对周边环境、道路、行人和相邻施工现场造成不利影响，不得干扰周围居民的正常生活。</w:t>
      </w:r>
    </w:p>
    <w:p w14:paraId="710A54A6">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20.3承包人必须在工程竣工初验后</w:t>
      </w:r>
      <w:r>
        <w:rPr>
          <w:rFonts w:ascii="宋体" w:hAnsi="宋体"/>
          <w:snapToGrid w:val="0"/>
          <w:color w:val="auto"/>
          <w:kern w:val="0"/>
          <w:sz w:val="24"/>
          <w:highlight w:val="none"/>
        </w:rPr>
        <w:t>30</w:t>
      </w:r>
      <w:r>
        <w:rPr>
          <w:rFonts w:hint="eastAsia" w:ascii="宋体" w:hAnsi="宋体"/>
          <w:snapToGrid w:val="0"/>
          <w:color w:val="auto"/>
          <w:kern w:val="0"/>
          <w:sz w:val="24"/>
          <w:highlight w:val="none"/>
        </w:rPr>
        <w:t>天内或发包人规定的时间内（发包人将提前通知承包人），无条件清退所有施工场地。拒不清退的，发包人除向承包人收取租金（租金为按建筑面积计、每天人民币1元</w:t>
      </w:r>
      <w:r>
        <w:rPr>
          <w:rFonts w:ascii="宋体" w:hAnsi="宋体"/>
          <w:snapToGrid w:val="0"/>
          <w:color w:val="auto"/>
          <w:kern w:val="0"/>
          <w:sz w:val="24"/>
          <w:highlight w:val="none"/>
        </w:rPr>
        <w:t>/m</w:t>
      </w:r>
      <w:r>
        <w:rPr>
          <w:rFonts w:ascii="宋体" w:hAnsi="宋体"/>
          <w:snapToGrid w:val="0"/>
          <w:color w:val="auto"/>
          <w:kern w:val="0"/>
          <w:sz w:val="24"/>
          <w:highlight w:val="none"/>
          <w:vertAlign w:val="superscript"/>
        </w:rPr>
        <w:t>2</w:t>
      </w:r>
      <w:r>
        <w:rPr>
          <w:rFonts w:hint="eastAsia" w:ascii="宋体" w:hAnsi="宋体"/>
          <w:snapToGrid w:val="0"/>
          <w:color w:val="auto"/>
          <w:kern w:val="0"/>
          <w:sz w:val="24"/>
          <w:highlight w:val="none"/>
        </w:rPr>
        <w:t>）外，还有权暂停计价支付、工程结算、工程验收等工作，并由承包人承担由此而产生的一切后果（包括发包人因此而被第三方索赔所产生的损失）。</w:t>
      </w:r>
    </w:p>
    <w:p w14:paraId="09248B4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对于临时房屋及设施，发包人认为有必要保留的，承包人在清退场地时应无条件保持完好并移交给发包人使用，并不得提出任何费用要求及其他要求。</w:t>
      </w:r>
    </w:p>
    <w:p w14:paraId="47E423F5">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20.4承包人必须服从政府主管部门的执法检查和处罚，并按照检查结果进行整改。</w:t>
      </w:r>
    </w:p>
    <w:p w14:paraId="2B4E871C">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21、安全施工与检查</w:t>
      </w:r>
    </w:p>
    <w:p w14:paraId="4928AAEF">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21</w:t>
      </w:r>
      <w:r>
        <w:rPr>
          <w:rFonts w:ascii="宋体" w:hAnsi="宋体"/>
          <w:bCs/>
          <w:snapToGrid w:val="0"/>
          <w:color w:val="auto"/>
          <w:kern w:val="0"/>
          <w:sz w:val="24"/>
          <w:highlight w:val="none"/>
        </w:rPr>
        <w:t>.</w:t>
      </w:r>
      <w:r>
        <w:rPr>
          <w:rFonts w:hint="eastAsia" w:ascii="宋体" w:hAnsi="宋体"/>
          <w:bCs/>
          <w:snapToGrid w:val="0"/>
          <w:color w:val="auto"/>
          <w:kern w:val="0"/>
          <w:sz w:val="24"/>
          <w:highlight w:val="none"/>
        </w:rPr>
        <w:t>1</w:t>
      </w:r>
      <w:r>
        <w:rPr>
          <w:rFonts w:hint="eastAsia" w:ascii="宋体" w:hAnsi="宋体"/>
          <w:snapToGrid w:val="0"/>
          <w:color w:val="auto"/>
          <w:kern w:val="0"/>
          <w:sz w:val="24"/>
          <w:highlight w:val="none"/>
        </w:rPr>
        <w:t>承包人应建立健全建筑施工</w:t>
      </w:r>
      <w:r>
        <w:rPr>
          <w:rFonts w:hint="eastAsia" w:ascii="宋体" w:hAnsi="宋体"/>
          <w:bCs/>
          <w:snapToGrid w:val="0"/>
          <w:color w:val="auto"/>
          <w:kern w:val="0"/>
          <w:sz w:val="24"/>
          <w:highlight w:val="none"/>
        </w:rPr>
        <w:t>安全生产组织机构和</w:t>
      </w:r>
      <w:r>
        <w:rPr>
          <w:rFonts w:hint="eastAsia" w:ascii="宋体" w:hAnsi="宋体"/>
          <w:snapToGrid w:val="0"/>
          <w:color w:val="auto"/>
          <w:kern w:val="0"/>
          <w:sz w:val="24"/>
          <w:highlight w:val="none"/>
        </w:rPr>
        <w:t>安全保证体系，</w:t>
      </w:r>
      <w:r>
        <w:rPr>
          <w:rFonts w:hint="eastAsia" w:ascii="宋体" w:hAnsi="宋体"/>
          <w:bCs/>
          <w:snapToGrid w:val="0"/>
          <w:color w:val="auto"/>
          <w:kern w:val="0"/>
          <w:sz w:val="24"/>
          <w:highlight w:val="none"/>
        </w:rPr>
        <w:t>落实安全生产责任制，</w:t>
      </w:r>
      <w:r>
        <w:rPr>
          <w:rFonts w:hint="eastAsia" w:ascii="宋体" w:hAnsi="宋体"/>
          <w:snapToGrid w:val="0"/>
          <w:color w:val="auto"/>
          <w:kern w:val="0"/>
          <w:sz w:val="24"/>
          <w:highlight w:val="none"/>
        </w:rPr>
        <w:t>按照工程建设安全生产的有关管理规定，采取相应措施，负责现场全部作业的安全，并对此承担全部责任。</w:t>
      </w:r>
    </w:p>
    <w:p w14:paraId="225273C9">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21</w:t>
      </w:r>
      <w:r>
        <w:rPr>
          <w:rFonts w:ascii="宋体" w:hAnsi="宋体"/>
          <w:bCs/>
          <w:snapToGrid w:val="0"/>
          <w:color w:val="auto"/>
          <w:kern w:val="0"/>
          <w:sz w:val="24"/>
          <w:highlight w:val="none"/>
        </w:rPr>
        <w:t>.</w:t>
      </w:r>
      <w:r>
        <w:rPr>
          <w:rFonts w:hint="eastAsia" w:ascii="宋体" w:hAnsi="宋体"/>
          <w:bCs/>
          <w:snapToGrid w:val="0"/>
          <w:color w:val="auto"/>
          <w:kern w:val="0"/>
          <w:sz w:val="24"/>
          <w:highlight w:val="none"/>
        </w:rPr>
        <w:t>2</w:t>
      </w:r>
      <w:r>
        <w:rPr>
          <w:rFonts w:hint="eastAsia" w:ascii="宋体" w:hAnsi="宋体"/>
          <w:snapToGrid w:val="0"/>
          <w:color w:val="auto"/>
          <w:kern w:val="0"/>
          <w:sz w:val="24"/>
          <w:highlight w:val="none"/>
        </w:rPr>
        <w:t>承包人在施工中必须制定定期检查制度，加强对自身及其总承包管理范围内各专业单位在安全施工方面的检查、监督管理；若被发现存在严重安全隐患的，应按照合同专用条款第38.11（1）、（2）款的约定承担违约责任。</w:t>
      </w:r>
    </w:p>
    <w:p w14:paraId="15582299">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21.3承包人应当将施工现场的办公、生活区与作业区分开设置，并保持安全距离。</w:t>
      </w:r>
    </w:p>
    <w:p w14:paraId="4BF347DB">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ascii="宋体" w:hAnsi="宋体"/>
          <w:b/>
          <w:snapToGrid w:val="0"/>
          <w:color w:val="auto"/>
          <w:kern w:val="0"/>
          <w:sz w:val="24"/>
          <w:highlight w:val="none"/>
        </w:rPr>
        <w:t>22</w:t>
      </w:r>
      <w:r>
        <w:rPr>
          <w:rFonts w:hint="eastAsia" w:ascii="宋体" w:hAnsi="宋体"/>
          <w:b/>
          <w:snapToGrid w:val="0"/>
          <w:color w:val="auto"/>
          <w:kern w:val="0"/>
          <w:sz w:val="24"/>
          <w:highlight w:val="none"/>
        </w:rPr>
        <w:t>、安全防护</w:t>
      </w:r>
    </w:p>
    <w:p w14:paraId="065F0878">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t>承包人和发包人一致同意增加22.3、22.4：</w:t>
      </w:r>
    </w:p>
    <w:p w14:paraId="1EDE0453">
      <w:pPr>
        <w:adjustRightInd w:val="0"/>
        <w:snapToGrid w:val="0"/>
        <w:spacing w:line="360" w:lineRule="auto"/>
        <w:ind w:firstLine="48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22.3本工程的安全防护及文明施工措施费包括但不限于合同通用条款第22.1款、第22.2款所列明的费用，所有安全防护及文明施工措施费已包含在合同价款之中。</w:t>
      </w:r>
    </w:p>
    <w:p w14:paraId="00B7722D">
      <w:pPr>
        <w:adjustRightInd w:val="0"/>
        <w:snapToGrid w:val="0"/>
        <w:spacing w:line="360" w:lineRule="auto"/>
        <w:ind w:firstLine="48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22.4措施项目的实施要求须满足《建筑施工安全检查标准》（JGJ59-2011）、《建设工程施工现场环境与卫生标准》（JGJ146-2013）、广东省建设厅转发建设部关于印发《建筑工程安全防护、文明施工措施费用及使用管理规定》的通知（粤建管字[2005]116 号）、关于印发《广东省建设厅建筑工程安全防护、文明施工措施费用管理办法》的通知（粤建管字[2007]39 号）、关于印发《广州市建设工程现场文明施工管理办法》的通知（穗建质[2008]937 号）、《关于印发&lt;广州市建设工程施工现场消防安全管理规定&gt;的通知》（穗建质[2011]617 号）、《广州市建设工程文明施工管理规定》（广州市政府2011年第62号令）、《广州市提升建设工程安全文明施工管理水平的工作指引》（穗建质[2017]815 号）、《广州市住房和城乡建设局关于印发广州市建设工程安全文明施工规程（试行版）的通知》（穗建质〔2021) 316 号）、《广东省建筑垃圾管理条例》（广东省第十三届人民代表大会常务委员会公告第126号）等及发包人制定的相关规定的要求，并应当做到：</w:t>
      </w:r>
    </w:p>
    <w:p w14:paraId="307E9442">
      <w:pPr>
        <w:adjustRightInd w:val="0"/>
        <w:snapToGrid w:val="0"/>
        <w:spacing w:line="360" w:lineRule="auto"/>
        <w:ind w:firstLine="48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（1）加强对职业健康安全应急预案、安全技术方案的审查管理工作。</w:t>
      </w:r>
    </w:p>
    <w:p w14:paraId="415345A6">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（2）保护所有在现场人员的安全，保护其管辖范围内的现场以及尚未完</w:t>
      </w:r>
      <w:r>
        <w:rPr>
          <w:rFonts w:hint="eastAsia" w:ascii="宋体" w:hAnsi="宋体"/>
          <w:snapToGrid w:val="0"/>
          <w:color w:val="auto"/>
          <w:kern w:val="0"/>
          <w:sz w:val="24"/>
          <w:highlight w:val="none"/>
        </w:rPr>
        <w:t>工的和发包人尚未占用的工程处于良好的安全状态。</w:t>
      </w:r>
    </w:p>
    <w:p w14:paraId="0989AFCE">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（3）在需要的时间和地点，根据总监理工程师、发包人或者当地政府的要求，提供和维持所有的照明灯光、护板、围墙、栅栏、警告信号标志和值班人员，对工程进行保护和为公众提供安全和方便。</w:t>
      </w:r>
    </w:p>
    <w:p w14:paraId="66690E71">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承包人应采取适当措施，确保其工作人员和劳务人员的身体健康，遵照当地卫生部门的要求保证在施工的全过程中，在工地、宿舍和工棚，备有医疗人员、急救设施、药品和治疗室等，并为预防传染病和一切必要的福利、卫生要求作出安排，建立“疾病应急小组”，制订应急措施。若出现任何重大或恶性传染性的疾病（如：非典型性肺炎）时，承包人必须遵守并执行省市卫生部门为处理和控制上述传染病而制定的规章、命令和要求，迅速向发包人和工程所在地疾病控制中心报告。</w:t>
      </w:r>
    </w:p>
    <w:p w14:paraId="31E2BABD">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ascii="宋体" w:hAnsi="宋体"/>
          <w:b/>
          <w:snapToGrid w:val="0"/>
          <w:color w:val="auto"/>
          <w:kern w:val="0"/>
          <w:sz w:val="24"/>
          <w:highlight w:val="none"/>
        </w:rPr>
        <w:t>2</w:t>
      </w:r>
      <w:r>
        <w:rPr>
          <w:rFonts w:hint="eastAsia" w:ascii="宋体" w:hAnsi="宋体"/>
          <w:b/>
          <w:snapToGrid w:val="0"/>
          <w:color w:val="auto"/>
          <w:kern w:val="0"/>
          <w:sz w:val="24"/>
          <w:highlight w:val="none"/>
        </w:rPr>
        <w:t>3、事故处理</w:t>
      </w:r>
    </w:p>
    <w:p w14:paraId="49F24B6B">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t>承包人和发包人一致同意增加23.3、23.4：</w:t>
      </w:r>
    </w:p>
    <w:p w14:paraId="7B40F17F">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23</w:t>
      </w:r>
      <w:r>
        <w:rPr>
          <w:rFonts w:ascii="宋体" w:hAnsi="宋体"/>
          <w:snapToGrid w:val="0"/>
          <w:color w:val="auto"/>
          <w:kern w:val="0"/>
          <w:sz w:val="24"/>
          <w:highlight w:val="none"/>
        </w:rPr>
        <w:t>.</w:t>
      </w:r>
      <w:r>
        <w:rPr>
          <w:rFonts w:hint="eastAsia" w:ascii="宋体" w:hAnsi="宋体"/>
          <w:snapToGrid w:val="0"/>
          <w:color w:val="auto"/>
          <w:kern w:val="0"/>
          <w:sz w:val="24"/>
          <w:highlight w:val="none"/>
        </w:rPr>
        <w:t>3因承包人责任过失造成安全事故的，除按照国家规定由行政主管部门给予承包人处罚外，承包人还应负责赔偿发包人的损失，并按照合同专用条款第38.11（3）款的约定承担违约责任。</w:t>
      </w:r>
    </w:p>
    <w:p w14:paraId="44410DF9">
      <w:pPr>
        <w:pStyle w:val="8"/>
        <w:adjustRightInd w:val="0"/>
        <w:snapToGrid w:val="0"/>
        <w:spacing w:line="360" w:lineRule="auto"/>
        <w:ind w:firstLine="480"/>
        <w:outlineLvl w:val="3"/>
        <w:rPr>
          <w:rFonts w:hAnsi="宋体"/>
          <w:snapToGrid w:val="0"/>
          <w:color w:val="auto"/>
          <w:kern w:val="0"/>
          <w:sz w:val="24"/>
          <w:szCs w:val="24"/>
          <w:highlight w:val="none"/>
        </w:rPr>
      </w:pPr>
      <w:r>
        <w:rPr>
          <w:rFonts w:hAnsi="宋体"/>
          <w:snapToGrid w:val="0"/>
          <w:color w:val="auto"/>
          <w:kern w:val="0"/>
          <w:sz w:val="24"/>
          <w:szCs w:val="24"/>
          <w:highlight w:val="none"/>
        </w:rPr>
        <w:t>23.4承包人应保证发包人免于受到或承担应由承包人负责的因承包人现场施工所引起的或与之有关的索赔、诉讼以及其他开支；若有证据证实发包人因此发生了索赔、诉讼以及其他开支，承包人必须在接到发包人通知后三天内据实补偿发包人因此所受到的损失或者由发包人在承包人工程款项中予以扣除。</w:t>
      </w:r>
    </w:p>
    <w:p w14:paraId="1D872C01">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24、文明施工与环境保护</w:t>
      </w:r>
    </w:p>
    <w:p w14:paraId="183B2AA3">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24.1承包人应严格落实文明施工措施，否则按合同专用条款第38.12款的约定承担违约责任。</w:t>
      </w:r>
    </w:p>
    <w:p w14:paraId="211F2330">
      <w:pPr>
        <w:adjustRightInd w:val="0"/>
        <w:snapToGrid w:val="0"/>
        <w:spacing w:line="360" w:lineRule="auto"/>
        <w:ind w:right="11" w:firstLine="460" w:firstLineChars="192"/>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24.2</w:t>
      </w:r>
      <w:r>
        <w:rPr>
          <w:rFonts w:hint="eastAsia" w:ascii="宋体" w:hAnsi="宋体"/>
          <w:snapToGrid w:val="0"/>
          <w:color w:val="auto"/>
          <w:kern w:val="0"/>
          <w:sz w:val="24"/>
          <w:highlight w:val="none"/>
        </w:rPr>
        <w:t>承包人应在进入现场前提交施工期间的环境保护方案一式四份，经总监理工程师批准后实施。环境保护方案必须包括：施工现场所必须的照明灯光、护板、围护、栅栏、警告标志和值班人员名单，以及建筑垃圾、施工和生活污水、噪音、粉尘的处理排放方案。在实施过程中所采用的材料、设备等应使总监理工程师和发包人满意。</w:t>
      </w:r>
    </w:p>
    <w:p w14:paraId="7119A64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承包人应在现场布置足量洒水车，消除扬尘，并使总监理工程师和发包人满意。</w:t>
      </w:r>
    </w:p>
    <w:p w14:paraId="724B516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对于承包人施工过程中造成的环境污染问题，经发包人或者总监理工程师指出后，承包人未能在24小时之内采取整治措施，或者所采取的整治措施未能有效消除污染的，发包人可以自行或者委托他人代为整治，由此所产生的一切损失、费用均由承包人承担。</w:t>
      </w:r>
    </w:p>
    <w:p w14:paraId="5E26FAF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合同专用条款第38.12款[</w:t>
      </w:r>
      <w:r>
        <w:rPr>
          <w:rFonts w:hint="eastAsia" w:ascii="宋体" w:hAnsi="宋体" w:cs="宋体"/>
          <w:b/>
          <w:snapToGrid w:val="0"/>
          <w:color w:val="auto"/>
          <w:kern w:val="0"/>
          <w:sz w:val="24"/>
          <w:highlight w:val="none"/>
        </w:rPr>
        <w:sym w:font="Wingdings 2" w:char="0052"/>
      </w:r>
      <w:r>
        <w:rPr>
          <w:rFonts w:hint="eastAsia" w:ascii="宋体" w:hAnsi="宋体" w:cs="宋体"/>
          <w:b/>
          <w:snapToGrid w:val="0"/>
          <w:color w:val="auto"/>
          <w:kern w:val="0"/>
          <w:sz w:val="24"/>
          <w:highlight w:val="none"/>
        </w:rPr>
        <w:t xml:space="preserve"> </w:t>
      </w:r>
      <w:r>
        <w:rPr>
          <w:rFonts w:hint="eastAsia" w:ascii="宋体" w:hAnsi="宋体"/>
          <w:snapToGrid w:val="0"/>
          <w:color w:val="auto"/>
          <w:kern w:val="0"/>
          <w:sz w:val="24"/>
          <w:highlight w:val="none"/>
        </w:rPr>
        <w:t>和第38.7（5）款]的约定承担相应的违约责任。</w:t>
      </w:r>
    </w:p>
    <w:p w14:paraId="760853E6">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t>承包人和发包人一致同意增加24.3：</w:t>
      </w:r>
    </w:p>
    <w:p w14:paraId="15BC3DF0">
      <w:pPr>
        <w:adjustRightInd w:val="0"/>
        <w:snapToGrid w:val="0"/>
        <w:spacing w:line="360" w:lineRule="auto"/>
        <w:ind w:right="11" w:firstLine="460" w:firstLineChars="192"/>
        <w:outlineLvl w:val="3"/>
        <w:rPr>
          <w:rFonts w:hint="eastAsia" w:ascii="宋体" w:hAnsi="宋体"/>
          <w:bCs/>
          <w:iCs/>
          <w:snapToGrid w:val="0"/>
          <w:color w:val="auto"/>
          <w:kern w:val="0"/>
          <w:sz w:val="24"/>
          <w:highlight w:val="none"/>
        </w:rPr>
      </w:pPr>
      <w:r>
        <w:rPr>
          <w:rFonts w:hint="eastAsia" w:ascii="宋体" w:hAnsi="宋体"/>
          <w:bCs/>
          <w:snapToGrid w:val="0"/>
          <w:color w:val="auto"/>
          <w:kern w:val="0"/>
          <w:sz w:val="24"/>
          <w:highlight w:val="none"/>
        </w:rPr>
        <w:t>24.3</w:t>
      </w:r>
      <w:r>
        <w:rPr>
          <w:rFonts w:hint="eastAsia" w:ascii="宋体" w:hAnsi="宋体"/>
          <w:bCs/>
          <w:iCs/>
          <w:snapToGrid w:val="0"/>
          <w:color w:val="auto"/>
          <w:kern w:val="0"/>
          <w:sz w:val="24"/>
          <w:highlight w:val="none"/>
        </w:rPr>
        <w:t>承包人承诺：所有施工的安全设施、机具以及围网、护栏、临边防护、施工通道等全部按发包人的要求统一标准、统一标识。安全防护、文明施工的内容按中标后承包人向发包人提交且经发包人批准的详细的施工组织设计实施，但安全防护、文明施工的投标总报价不变。</w:t>
      </w:r>
    </w:p>
    <w:p w14:paraId="2434A4AB">
      <w:pPr>
        <w:pStyle w:val="8"/>
        <w:adjustRightInd w:val="0"/>
        <w:snapToGrid w:val="0"/>
        <w:spacing w:line="360" w:lineRule="auto"/>
        <w:ind w:firstLine="465"/>
        <w:rPr>
          <w:rFonts w:hint="default"/>
          <w:snapToGrid w:val="0"/>
          <w:color w:val="auto"/>
          <w:kern w:val="0"/>
          <w:sz w:val="24"/>
          <w:szCs w:val="24"/>
          <w:highlight w:val="none"/>
        </w:rPr>
      </w:pPr>
      <w:r>
        <w:rPr>
          <w:snapToGrid w:val="0"/>
          <w:color w:val="auto"/>
          <w:kern w:val="0"/>
          <w:sz w:val="24"/>
          <w:szCs w:val="24"/>
          <w:highlight w:val="none"/>
        </w:rPr>
        <w:t>在合同工期内，发包人、总监理工程师对承包人的安全文明施工及环境保护措施进行定期检查，并按招标文件规定的项目和款项执行奖罚。</w:t>
      </w:r>
    </w:p>
    <w:p w14:paraId="64BB2ED1">
      <w:pPr>
        <w:pStyle w:val="8"/>
        <w:adjustRightInd w:val="0"/>
        <w:snapToGrid w:val="0"/>
        <w:spacing w:line="360" w:lineRule="auto"/>
        <w:rPr>
          <w:rFonts w:hint="default"/>
          <w:snapToGrid w:val="0"/>
          <w:color w:val="auto"/>
          <w:kern w:val="0"/>
          <w:highlight w:val="none"/>
        </w:rPr>
      </w:pPr>
    </w:p>
    <w:p w14:paraId="4E321390">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六、合同价款与支付</w:t>
      </w:r>
    </w:p>
    <w:p w14:paraId="0AAF4F97">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25、合同价款及调整</w:t>
      </w:r>
    </w:p>
    <w:p w14:paraId="40F7E8BA">
      <w:pPr>
        <w:autoSpaceDE w:val="0"/>
        <w:autoSpaceDN w:val="0"/>
        <w:adjustRightInd w:val="0"/>
        <w:snapToGrid w:val="0"/>
        <w:spacing w:line="360" w:lineRule="auto"/>
        <w:ind w:right="11" w:firstLine="461"/>
        <w:outlineLvl w:val="3"/>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25</w:t>
      </w:r>
      <w:r>
        <w:rPr>
          <w:rFonts w:ascii="宋体" w:hAnsi="宋体" w:cs="宋体"/>
          <w:snapToGrid w:val="0"/>
          <w:color w:val="auto"/>
          <w:kern w:val="0"/>
          <w:sz w:val="24"/>
          <w:highlight w:val="none"/>
          <w:lang w:val="zh-CN"/>
        </w:rPr>
        <w:t>.1</w:t>
      </w:r>
      <w:r>
        <w:rPr>
          <w:rFonts w:hint="eastAsia" w:ascii="宋体" w:hAnsi="宋体" w:cs="宋体"/>
          <w:snapToGrid w:val="0"/>
          <w:color w:val="auto"/>
          <w:kern w:val="0"/>
          <w:sz w:val="24"/>
          <w:highlight w:val="none"/>
          <w:lang w:val="zh-CN"/>
        </w:rPr>
        <w:t>合同价款按照合同协议书第6条和本条第25.2款的约定执行。</w:t>
      </w:r>
    </w:p>
    <w:p w14:paraId="6BDAF428">
      <w:pPr>
        <w:autoSpaceDE w:val="0"/>
        <w:autoSpaceDN w:val="0"/>
        <w:adjustRightInd w:val="0"/>
        <w:snapToGrid w:val="0"/>
        <w:spacing w:line="360" w:lineRule="auto"/>
        <w:ind w:right="11" w:firstLine="461"/>
        <w:outlineLvl w:val="3"/>
        <w:rPr>
          <w:rFonts w:hint="eastAsia" w:ascii="宋体" w:hAnsi="宋体" w:cs="宋体"/>
          <w:snapToGrid w:val="0"/>
          <w:color w:val="auto"/>
          <w:kern w:val="0"/>
          <w:sz w:val="24"/>
          <w:highlight w:val="none"/>
        </w:rPr>
      </w:pPr>
      <w:r>
        <w:rPr>
          <w:rFonts w:hint="eastAsia" w:ascii="宋体" w:hAnsi="宋体" w:cs="宋体"/>
          <w:snapToGrid w:val="0"/>
          <w:color w:val="auto"/>
          <w:kern w:val="0"/>
          <w:sz w:val="24"/>
          <w:highlight w:val="none"/>
        </w:rPr>
        <w:t>25.2</w:t>
      </w:r>
      <w:r>
        <w:rPr>
          <w:rFonts w:hint="eastAsia" w:ascii="宋体" w:hAnsi="宋体" w:cs="宋体"/>
          <w:snapToGrid w:val="0"/>
          <w:color w:val="auto"/>
          <w:kern w:val="0"/>
          <w:sz w:val="24"/>
          <w:highlight w:val="none"/>
          <w:lang w:val="zh-CN"/>
        </w:rPr>
        <w:t>确定合同价款的方式</w:t>
      </w:r>
      <w:r>
        <w:rPr>
          <w:rFonts w:hint="eastAsia" w:ascii="宋体" w:hAnsi="宋体" w:cs="宋体"/>
          <w:snapToGrid w:val="0"/>
          <w:color w:val="auto"/>
          <w:kern w:val="0"/>
          <w:sz w:val="24"/>
          <w:highlight w:val="none"/>
        </w:rPr>
        <w:t>：</w:t>
      </w:r>
    </w:p>
    <w:p w14:paraId="506B2CDF">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Cs/>
          <w:snapToGrid w:val="0"/>
          <w:color w:val="auto"/>
          <w:kern w:val="0"/>
          <w:sz w:val="24"/>
          <w:highlight w:val="none"/>
        </w:rPr>
        <w:t>（1）</w:t>
      </w:r>
      <w:r>
        <w:rPr>
          <w:rFonts w:hint="eastAsia" w:ascii="宋体" w:hAnsi="宋体" w:cs="宋体"/>
          <w:snapToGrid w:val="0"/>
          <w:color w:val="auto"/>
          <w:kern w:val="0"/>
          <w:sz w:val="24"/>
          <w:highlight w:val="none"/>
          <w:lang w:val="zh-CN"/>
        </w:rPr>
        <w:t>采用合同协议书第</w:t>
      </w:r>
      <w:r>
        <w:rPr>
          <w:rFonts w:hint="eastAsia" w:ascii="宋体" w:hAnsi="宋体"/>
          <w:bCs/>
          <w:snapToGrid w:val="0"/>
          <w:color w:val="auto"/>
          <w:kern w:val="0"/>
          <w:sz w:val="24"/>
          <w:highlight w:val="none"/>
        </w:rPr>
        <w:t>2.3</w:t>
      </w:r>
      <w:r>
        <w:rPr>
          <w:rFonts w:hint="eastAsia" w:ascii="宋体" w:hAnsi="宋体" w:cs="宋体"/>
          <w:snapToGrid w:val="0"/>
          <w:color w:val="auto"/>
          <w:kern w:val="0"/>
          <w:sz w:val="24"/>
          <w:highlight w:val="none"/>
          <w:lang w:val="zh-CN"/>
        </w:rPr>
        <w:t>款约定的</w:t>
      </w:r>
      <w:r>
        <w:rPr>
          <w:rFonts w:hint="eastAsia" w:ascii="宋体" w:hAnsi="宋体"/>
          <w:bCs/>
          <w:snapToGrid w:val="0"/>
          <w:color w:val="auto"/>
          <w:kern w:val="0"/>
          <w:sz w:val="24"/>
          <w:highlight w:val="none"/>
        </w:rPr>
        <w:t>合同价款固定不变。</w:t>
      </w:r>
    </w:p>
    <w:p w14:paraId="41CB8FAE">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Cs/>
          <w:snapToGrid w:val="0"/>
          <w:color w:val="auto"/>
          <w:kern w:val="0"/>
          <w:sz w:val="24"/>
          <w:highlight w:val="none"/>
        </w:rPr>
        <w:t>（2）合同价款总价包干，若招标范围和承包内容不发生变化，则本工程结算价即为合同价（招标文件及本合同另有约定可以调整的项目除外）。</w:t>
      </w:r>
    </w:p>
    <w:p w14:paraId="43DE9957">
      <w:pPr>
        <w:adjustRightInd w:val="0"/>
        <w:snapToGrid w:val="0"/>
        <w:spacing w:line="360" w:lineRule="auto"/>
        <w:ind w:right="11" w:firstLine="482" w:firstLineChars="200"/>
        <w:rPr>
          <w:rFonts w:hint="eastAsia" w:ascii="宋体" w:hAnsi="宋体"/>
          <w:bCs/>
          <w:snapToGrid w:val="0"/>
          <w:color w:val="auto"/>
          <w:kern w:val="0"/>
          <w:sz w:val="24"/>
          <w:highlight w:val="none"/>
        </w:rPr>
      </w:pPr>
      <w:r>
        <w:rPr>
          <w:rFonts w:hint="eastAsia" w:ascii="宋体" w:hAnsi="宋体" w:cs="宋体"/>
          <w:b/>
          <w:snapToGrid w:val="0"/>
          <w:color w:val="auto"/>
          <w:kern w:val="0"/>
          <w:sz w:val="24"/>
          <w:highlight w:val="none"/>
        </w:rPr>
        <w:sym w:font="Wingdings 2" w:char="0052"/>
      </w:r>
      <w:r>
        <w:rPr>
          <w:rFonts w:hint="eastAsia" w:ascii="宋体" w:hAnsi="宋体"/>
          <w:bCs/>
          <w:snapToGrid w:val="0"/>
          <w:color w:val="auto"/>
          <w:kern w:val="0"/>
          <w:sz w:val="24"/>
          <w:highlight w:val="none"/>
        </w:rPr>
        <w:t>（3）</w:t>
      </w:r>
      <w:r>
        <w:rPr>
          <w:rFonts w:hint="eastAsia" w:ascii="宋体" w:hAnsi="宋体" w:cs="宋体"/>
          <w:snapToGrid w:val="0"/>
          <w:color w:val="auto"/>
          <w:kern w:val="0"/>
          <w:sz w:val="24"/>
          <w:highlight w:val="none"/>
          <w:lang w:val="zh-CN"/>
        </w:rPr>
        <w:t>采用合同协议书第2.3款约定的</w:t>
      </w:r>
      <w:r>
        <w:rPr>
          <w:rFonts w:hint="eastAsia" w:ascii="宋体" w:hAnsi="宋体"/>
          <w:bCs/>
          <w:snapToGrid w:val="0"/>
          <w:color w:val="auto"/>
          <w:kern w:val="0"/>
          <w:sz w:val="24"/>
          <w:highlight w:val="none"/>
        </w:rPr>
        <w:t>工程量清单综合单价包干及综合合价项目包干并按</w:t>
      </w:r>
      <w:r>
        <w:rPr>
          <w:rFonts w:hint="eastAsia" w:ascii="宋体" w:hAnsi="宋体"/>
          <w:snapToGrid w:val="0"/>
          <w:color w:val="auto"/>
          <w:kern w:val="0"/>
          <w:sz w:val="24"/>
          <w:highlight w:val="none"/>
        </w:rPr>
        <w:t>本条第25.3款的约定执行</w:t>
      </w:r>
      <w:r>
        <w:rPr>
          <w:rFonts w:hint="eastAsia" w:ascii="宋体" w:hAnsi="宋体"/>
          <w:bCs/>
          <w:snapToGrid w:val="0"/>
          <w:color w:val="auto"/>
          <w:kern w:val="0"/>
          <w:sz w:val="24"/>
          <w:highlight w:val="none"/>
        </w:rPr>
        <w:t>，最终按有权结算终审部门审定价结算。</w:t>
      </w:r>
    </w:p>
    <w:p w14:paraId="724D2BC3">
      <w:pPr>
        <w:autoSpaceDE w:val="0"/>
        <w:autoSpaceDN w:val="0"/>
        <w:adjustRightInd w:val="0"/>
        <w:snapToGrid w:val="0"/>
        <w:spacing w:line="360" w:lineRule="auto"/>
        <w:ind w:right="11" w:firstLine="461"/>
        <w:rPr>
          <w:rFonts w:hint="eastAsia" w:ascii="宋体" w:hAnsi="宋体" w:cs="宋体"/>
          <w:snapToGrid w:val="0"/>
          <w:color w:val="auto"/>
          <w:kern w:val="0"/>
          <w:sz w:val="24"/>
          <w:highlight w:val="none"/>
          <w:lang w:val="zh-CN"/>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cs="宋体"/>
          <w:snapToGrid w:val="0"/>
          <w:color w:val="auto"/>
          <w:kern w:val="0"/>
          <w:sz w:val="24"/>
          <w:highlight w:val="none"/>
        </w:rPr>
        <w:t>（4）</w:t>
      </w:r>
      <w:r>
        <w:rPr>
          <w:rFonts w:hint="eastAsia" w:ascii="宋体" w:hAnsi="宋体" w:cs="宋体"/>
          <w:snapToGrid w:val="0"/>
          <w:color w:val="auto"/>
          <w:kern w:val="0"/>
          <w:sz w:val="24"/>
          <w:highlight w:val="none"/>
          <w:lang w:val="zh-CN"/>
        </w:rPr>
        <w:t>其他</w:t>
      </w:r>
      <w:r>
        <w:rPr>
          <w:rFonts w:hint="eastAsia" w:ascii="宋体" w:hAnsi="宋体" w:cs="宋体"/>
          <w:snapToGrid w:val="0"/>
          <w:color w:val="auto"/>
          <w:kern w:val="0"/>
          <w:sz w:val="24"/>
          <w:highlight w:val="none"/>
        </w:rPr>
        <w:t>：</w:t>
      </w:r>
      <w:r>
        <w:rPr>
          <w:rFonts w:hint="eastAsia" w:ascii="宋体" w:hAnsi="宋体" w:cs="宋体"/>
          <w:snapToGrid w:val="0"/>
          <w:color w:val="auto"/>
          <w:kern w:val="0"/>
          <w:sz w:val="24"/>
          <w:highlight w:val="none"/>
          <w:u w:val="single"/>
        </w:rPr>
        <w:t xml:space="preserve">                                                  </w:t>
      </w:r>
      <w:r>
        <w:rPr>
          <w:rFonts w:hint="eastAsia" w:ascii="宋体" w:hAnsi="宋体" w:cs="宋体"/>
          <w:snapToGrid w:val="0"/>
          <w:color w:val="auto"/>
          <w:kern w:val="0"/>
          <w:sz w:val="24"/>
          <w:highlight w:val="none"/>
          <w:lang w:val="zh-CN"/>
        </w:rPr>
        <w:t>。</w:t>
      </w:r>
    </w:p>
    <w:p w14:paraId="1CA374BE">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承包人与发包人一致同意不适用合同通用条款第25.3、25.4款的约定，代之以：</w:t>
      </w:r>
    </w:p>
    <w:p w14:paraId="530AC797">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2</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3综合单价包干的合同价款的调整</w:t>
      </w:r>
    </w:p>
    <w:p w14:paraId="452452D2">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合同价款的调整按照如下约定执行：</w:t>
      </w:r>
    </w:p>
    <w:p w14:paraId="67579502">
      <w:pPr>
        <w:adjustRightInd w:val="0"/>
        <w:snapToGrid w:val="0"/>
        <w:spacing w:line="360" w:lineRule="auto"/>
        <w:ind w:right="11" w:firstLine="463" w:firstLineChars="192"/>
        <w:rPr>
          <w:rFonts w:hint="eastAsia" w:ascii="宋体" w:hAnsi="宋体"/>
          <w:snapToGrid w:val="0"/>
          <w:color w:val="auto"/>
          <w:kern w:val="0"/>
          <w:sz w:val="24"/>
          <w:highlight w:val="none"/>
        </w:rPr>
      </w:pPr>
      <w:r>
        <w:rPr>
          <w:rFonts w:hint="eastAsia" w:ascii="宋体" w:hAnsi="宋体"/>
          <w:b/>
          <w:snapToGrid w:val="0"/>
          <w:color w:val="auto"/>
          <w:kern w:val="0"/>
          <w:sz w:val="24"/>
          <w:highlight w:val="none"/>
        </w:rPr>
        <w:sym w:font="Wingdings 2" w:char="0052"/>
      </w:r>
      <w:r>
        <w:rPr>
          <w:rFonts w:hint="eastAsia" w:ascii="宋体" w:hAnsi="宋体"/>
          <w:snapToGrid w:val="0"/>
          <w:color w:val="auto"/>
          <w:kern w:val="0"/>
          <w:sz w:val="24"/>
          <w:highlight w:val="none"/>
        </w:rPr>
        <w:t>（1）合同价款的调整。当发生下列情况时，可对合同价款进行调整：</w:t>
      </w:r>
    </w:p>
    <w:p w14:paraId="2ABC18BD">
      <w:pPr>
        <w:adjustRightInd w:val="0"/>
        <w:snapToGrid w:val="0"/>
        <w:spacing w:line="360" w:lineRule="auto"/>
        <w:ind w:right="11" w:firstLine="463" w:firstLineChars="192"/>
        <w:rPr>
          <w:rFonts w:hint="eastAsia" w:ascii="宋体" w:hAnsi="宋体"/>
          <w:snapToGrid w:val="0"/>
          <w:color w:val="auto"/>
          <w:kern w:val="0"/>
          <w:sz w:val="24"/>
          <w:highlight w:val="none"/>
        </w:rPr>
      </w:pPr>
      <w:r>
        <w:rPr>
          <w:rFonts w:hint="eastAsia" w:ascii="宋体" w:hAnsi="宋体"/>
          <w:b/>
          <w:snapToGrid w:val="0"/>
          <w:color w:val="auto"/>
          <w:kern w:val="0"/>
          <w:sz w:val="24"/>
          <w:highlight w:val="none"/>
        </w:rPr>
        <w:sym w:font="Wingdings 2" w:char="0052"/>
      </w:r>
      <w:r>
        <w:rPr>
          <w:rFonts w:hint="eastAsia" w:ascii="宋体" w:hAnsi="宋体"/>
          <w:snapToGrid w:val="0"/>
          <w:color w:val="auto"/>
          <w:kern w:val="0"/>
          <w:sz w:val="24"/>
          <w:highlight w:val="none"/>
        </w:rPr>
        <w:t xml:space="preserve"> 1）发包人及监理单位共同确认的工程量增减。</w:t>
      </w:r>
    </w:p>
    <w:p w14:paraId="4013A0DF">
      <w:pPr>
        <w:adjustRightInd w:val="0"/>
        <w:snapToGrid w:val="0"/>
        <w:spacing w:line="360" w:lineRule="auto"/>
        <w:ind w:right="11" w:firstLine="463" w:firstLineChars="192"/>
        <w:rPr>
          <w:rFonts w:hint="eastAsia" w:ascii="宋体" w:hAnsi="宋体"/>
          <w:snapToGrid w:val="0"/>
          <w:color w:val="auto"/>
          <w:kern w:val="0"/>
          <w:sz w:val="24"/>
          <w:highlight w:val="none"/>
        </w:rPr>
      </w:pPr>
      <w:r>
        <w:rPr>
          <w:rFonts w:hint="eastAsia" w:ascii="宋体" w:hAnsi="宋体"/>
          <w:b/>
          <w:snapToGrid w:val="0"/>
          <w:color w:val="auto"/>
          <w:kern w:val="0"/>
          <w:sz w:val="24"/>
          <w:highlight w:val="none"/>
        </w:rPr>
        <w:sym w:font="Wingdings 2" w:char="0052"/>
      </w:r>
      <w:r>
        <w:rPr>
          <w:rFonts w:hint="eastAsia" w:ascii="宋体" w:hAnsi="宋体"/>
          <w:snapToGrid w:val="0"/>
          <w:color w:val="auto"/>
          <w:kern w:val="0"/>
          <w:sz w:val="24"/>
          <w:highlight w:val="none"/>
        </w:rPr>
        <w:t xml:space="preserve"> 2）发包人及监理单位共同确认的变更工程和新增工程。</w:t>
      </w:r>
    </w:p>
    <w:p w14:paraId="720D4DEE">
      <w:pPr>
        <w:adjustRightInd w:val="0"/>
        <w:snapToGrid w:val="0"/>
        <w:spacing w:line="360" w:lineRule="auto"/>
        <w:ind w:right="11" w:firstLine="463" w:firstLineChars="192"/>
        <w:rPr>
          <w:rFonts w:hint="eastAsia" w:ascii="宋体" w:hAnsi="宋体"/>
          <w:snapToGrid w:val="0"/>
          <w:color w:val="auto"/>
          <w:kern w:val="0"/>
          <w:sz w:val="24"/>
          <w:highlight w:val="none"/>
        </w:rPr>
      </w:pPr>
      <w:r>
        <w:rPr>
          <w:rFonts w:hint="eastAsia" w:ascii="宋体" w:hAnsi="宋体"/>
          <w:b/>
          <w:snapToGrid w:val="0"/>
          <w:color w:val="auto"/>
          <w:kern w:val="0"/>
          <w:sz w:val="24"/>
          <w:highlight w:val="none"/>
        </w:rPr>
        <w:sym w:font="Wingdings 2" w:char="0052"/>
      </w:r>
      <w:r>
        <w:rPr>
          <w:rFonts w:hint="eastAsia" w:ascii="宋体" w:hAnsi="宋体"/>
          <w:snapToGrid w:val="0"/>
          <w:color w:val="auto"/>
          <w:kern w:val="0"/>
          <w:sz w:val="24"/>
          <w:highlight w:val="none"/>
        </w:rPr>
        <w:t>（2）所有变更工程和新增工程的单价或价格，均按照合同专用条款第33条执行。</w:t>
      </w:r>
    </w:p>
    <w:p w14:paraId="3DCAE1EA">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2</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4承包人应在本条第</w:t>
      </w:r>
      <w:r>
        <w:rPr>
          <w:rFonts w:ascii="宋体" w:hAnsi="宋体"/>
          <w:snapToGrid w:val="0"/>
          <w:color w:val="auto"/>
          <w:kern w:val="0"/>
          <w:sz w:val="24"/>
          <w:highlight w:val="none"/>
        </w:rPr>
        <w:t>2</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3（1）款情况发生后5天内将调整原因、金额以书面形式通知监理单位，经监理单位和发包人批准后作为调整合同价款及拨付工程进度款的依据。监理单位收到后3天内审核并签署意见，发包人在10天内审定并批准执行。</w:t>
      </w:r>
    </w:p>
    <w:p w14:paraId="4AACFB20">
      <w:pPr>
        <w:adjustRightInd w:val="0"/>
        <w:snapToGrid w:val="0"/>
        <w:spacing w:line="360" w:lineRule="auto"/>
        <w:ind w:right="11" w:firstLine="463" w:firstLineChars="192"/>
        <w:rPr>
          <w:rFonts w:hint="eastAsia" w:ascii="宋体" w:hAnsi="宋体"/>
          <w:snapToGrid w:val="0"/>
          <w:color w:val="auto"/>
          <w:kern w:val="0"/>
          <w:sz w:val="24"/>
          <w:highlight w:val="none"/>
        </w:rPr>
      </w:pPr>
      <w:r>
        <w:rPr>
          <w:rFonts w:hint="eastAsia" w:ascii="宋体" w:hAnsi="宋体"/>
          <w:b/>
          <w:snapToGrid w:val="0"/>
          <w:color w:val="auto"/>
          <w:kern w:val="0"/>
          <w:sz w:val="24"/>
          <w:highlight w:val="none"/>
        </w:rPr>
        <w:t>承包人与发包人一致同意增加25.5至25.12：</w:t>
      </w:r>
    </w:p>
    <w:p w14:paraId="2E14D0AE">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2</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5工程签证的计价</w:t>
      </w:r>
    </w:p>
    <w:p w14:paraId="021BD640">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当发包人书面指令必须进行工程签证时，所有工程签证必须在发生后2天内经发包人和监理单位现场核实计量后签字并盖章确认，承包人根据工程签证确认的工程量5天内编制预算报监理单位审核，监理单位3天内提出造价审核意见报发包人，并由发包人签字盖章确认。凡是没有经过发包人和监理单位签字并盖章确认的工程签证，其增加的费用不予确认。结算时工程签证的计价以有权结算终审部门的审定为准。</w:t>
      </w:r>
      <w:r>
        <w:rPr>
          <w:rFonts w:hint="eastAsia" w:ascii="宋体" w:hAnsi="宋体"/>
          <w:snapToGrid w:val="0"/>
          <w:color w:val="auto"/>
          <w:kern w:val="0"/>
          <w:sz w:val="24"/>
          <w:highlight w:val="none"/>
        </w:rPr>
        <w:tab/>
      </w:r>
    </w:p>
    <w:p w14:paraId="07A05851">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25.6承包人承诺：所有变更工程和新增工程引起的计价、计量调整、报批和审批过程，均不得影响变更的执行，承包人不得以此为理由公开或变相拖延或延误新增或变更工程的实施，否则，承包人须承担由此造成的发包人经济损失及工期延误的责任，且须按合同专用条款第38.7、38.8款承担违约责任。</w:t>
      </w:r>
    </w:p>
    <w:p w14:paraId="7FE2C088">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25.7承包人承诺：在整个合同执行期间发包人如发现有招标文件规定的不合理投标报价的（包括但不限于不平衡报价等），发包人有权按有关规定和合同约定进行调整，同时书面通知承包人，并以此作为结算依据。其中，不合理投标报价（包括但不限于不平衡报价等）指投标综合单价高于发包人招标控制价相应清单项目综合单价20%的清单项目，仅对投标单价高于招标控制价的清单项目予以调低，在回标分析报告（作为合同附件）双方予以确认。新的单价调整参照合同专用条款33.2.2（3）执行。</w:t>
      </w:r>
    </w:p>
    <w:p w14:paraId="00D7D308">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25.8本项目执行国家和省有关计价规范（《建设工程工程量清单计价规范（GB50500-2013）》）、《关于调整广东省建设工程计价依据增值税税率的通知》（粤建标函〔2019〕819号）和《广东省住房和城乡建设厅关于印发&lt;广东省建设工程计价依据（2018）&gt;的通知》（粤建市[2019]6号）。</w:t>
      </w:r>
    </w:p>
    <w:p w14:paraId="1AFBD2A6">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25.9合价项目的投入若能满足施工组织和验收要求，则按合同全额支付和结算（招标人统一调配的除外）；若不能满足施工组织和验收要求且经整改10天仍不满足要求的，则由发包人有权另行委托队伍施工，所发生的费用不管有无超过合同中该项目的合价，均全部由承包人负责并在其结算中扣除；经整改后仍不满足要求，此类事件每发生一次，结算时在项目总措施项目费中扣除人民币伍万元。</w:t>
      </w:r>
    </w:p>
    <w:p w14:paraId="65BE95B4">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snapToGrid w:val="0"/>
          <w:color w:val="auto"/>
          <w:highlight w:val="none"/>
        </w:rPr>
        <w:t>25.10</w:t>
      </w:r>
      <w:r>
        <w:rPr>
          <w:rFonts w:hint="eastAsia"/>
          <w:snapToGrid w:val="0"/>
          <w:color w:val="auto"/>
          <w:highlight w:val="none"/>
        </w:rPr>
        <w:t>非承包人原因引起的分部分项工程量变化，其综合单价的调整原则：</w:t>
      </w:r>
    </w:p>
    <w:p w14:paraId="2BB84F35">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（1）对任一分部分项工程的清单项目，如结算工程量与招标工程量相比变化幅度在20%以内时，其综合单价不做调整，执行原有合同综合单价。</w:t>
      </w:r>
    </w:p>
    <w:p w14:paraId="30D35693">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（2）对任一分部分项工程的清单项目，如结算工程量超出招标工程量20%，对超过招标工程量20%以外部分，其综合单价按以下原则进行调整和结算。</w:t>
      </w:r>
    </w:p>
    <w:p w14:paraId="3CE9E718">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①当P</w:t>
      </w:r>
      <w:r>
        <w:rPr>
          <w:rFonts w:hint="eastAsia"/>
          <w:snapToGrid w:val="0"/>
          <w:color w:val="auto"/>
          <w:highlight w:val="none"/>
          <w:vertAlign w:val="subscript"/>
        </w:rPr>
        <w:t>0</w:t>
      </w:r>
      <w:r>
        <w:rPr>
          <w:rFonts w:hint="eastAsia"/>
          <w:snapToGrid w:val="0"/>
          <w:color w:val="auto"/>
          <w:highlight w:val="none"/>
        </w:rPr>
        <w:t>&lt;P</w:t>
      </w:r>
      <w:r>
        <w:rPr>
          <w:rFonts w:hint="eastAsia"/>
          <w:snapToGrid w:val="0"/>
          <w:color w:val="auto"/>
          <w:highlight w:val="none"/>
          <w:vertAlign w:val="subscript"/>
        </w:rPr>
        <w:t>1</w:t>
      </w:r>
      <w:r>
        <w:rPr>
          <w:rFonts w:hint="eastAsia"/>
          <w:snapToGrid w:val="0"/>
          <w:color w:val="auto"/>
          <w:highlight w:val="none"/>
        </w:rPr>
        <w:t>×(1-15%)时，该类项目的综合单价按照P</w:t>
      </w:r>
      <w:r>
        <w:rPr>
          <w:rFonts w:hint="eastAsia"/>
          <w:snapToGrid w:val="0"/>
          <w:color w:val="auto"/>
          <w:highlight w:val="none"/>
          <w:vertAlign w:val="subscript"/>
        </w:rPr>
        <w:t>1</w:t>
      </w:r>
      <w:r>
        <w:rPr>
          <w:rFonts w:hint="eastAsia"/>
          <w:snapToGrid w:val="0"/>
          <w:color w:val="auto"/>
          <w:highlight w:val="none"/>
        </w:rPr>
        <w:t>×(1-15%)调整；</w:t>
      </w:r>
    </w:p>
    <w:p w14:paraId="18DC680A">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②当P</w:t>
      </w:r>
      <w:r>
        <w:rPr>
          <w:rFonts w:hint="eastAsia"/>
          <w:snapToGrid w:val="0"/>
          <w:color w:val="auto"/>
          <w:highlight w:val="none"/>
          <w:vertAlign w:val="subscript"/>
        </w:rPr>
        <w:t>0</w:t>
      </w:r>
      <w:r>
        <w:rPr>
          <w:rFonts w:hint="eastAsia"/>
          <w:snapToGrid w:val="0"/>
          <w:color w:val="auto"/>
          <w:highlight w:val="none"/>
        </w:rPr>
        <w:t>＞P</w:t>
      </w:r>
      <w:r>
        <w:rPr>
          <w:rFonts w:hint="eastAsia"/>
          <w:snapToGrid w:val="0"/>
          <w:color w:val="auto"/>
          <w:highlight w:val="none"/>
          <w:vertAlign w:val="subscript"/>
        </w:rPr>
        <w:t>1</w:t>
      </w:r>
      <w:r>
        <w:rPr>
          <w:rFonts w:hint="eastAsia"/>
          <w:snapToGrid w:val="0"/>
          <w:color w:val="auto"/>
          <w:highlight w:val="none"/>
        </w:rPr>
        <w:t>×L时，该类项目的综合单价按照P</w:t>
      </w:r>
      <w:r>
        <w:rPr>
          <w:rFonts w:hint="eastAsia"/>
          <w:snapToGrid w:val="0"/>
          <w:color w:val="auto"/>
          <w:highlight w:val="none"/>
          <w:vertAlign w:val="subscript"/>
        </w:rPr>
        <w:t>1</w:t>
      </w:r>
      <w:r>
        <w:rPr>
          <w:rFonts w:hint="eastAsia"/>
          <w:snapToGrid w:val="0"/>
          <w:color w:val="auto"/>
          <w:highlight w:val="none"/>
        </w:rPr>
        <w:t>×L调整。</w:t>
      </w:r>
    </w:p>
    <w:p w14:paraId="3145B31E">
      <w:pPr>
        <w:pStyle w:val="13"/>
        <w:adjustRightInd w:val="0"/>
        <w:snapToGrid w:val="0"/>
        <w:spacing w:before="0" w:beforeAutospacing="0" w:after="0" w:afterAutospacing="0" w:line="360" w:lineRule="auto"/>
        <w:ind w:left="-8" w:leftChars="-4" w:firstLine="477" w:firstLineChars="199"/>
        <w:outlineLvl w:val="4"/>
        <w:rPr>
          <w:rFonts w:hint="eastAsia"/>
          <w:snapToGrid w:val="0"/>
          <w:color w:val="auto"/>
          <w:highlight w:val="none"/>
        </w:rPr>
      </w:pPr>
      <w:r>
        <w:rPr>
          <w:rFonts w:hint="eastAsia"/>
          <w:snapToGrid w:val="0"/>
          <w:color w:val="auto"/>
          <w:highlight w:val="none"/>
        </w:rPr>
        <w:t>注明:P</w:t>
      </w:r>
      <w:r>
        <w:rPr>
          <w:rFonts w:hint="eastAsia"/>
          <w:snapToGrid w:val="0"/>
          <w:color w:val="auto"/>
          <w:highlight w:val="none"/>
          <w:vertAlign w:val="subscript"/>
        </w:rPr>
        <w:t>0</w:t>
      </w:r>
      <w:r>
        <w:rPr>
          <w:rFonts w:hint="eastAsia"/>
          <w:snapToGrid w:val="0"/>
          <w:color w:val="auto"/>
          <w:highlight w:val="none"/>
        </w:rPr>
        <w:t>--承包人在工程量清单中填报的综合单价；</w:t>
      </w:r>
    </w:p>
    <w:p w14:paraId="36F40A8E">
      <w:pPr>
        <w:pStyle w:val="13"/>
        <w:adjustRightInd w:val="0"/>
        <w:snapToGrid w:val="0"/>
        <w:spacing w:before="0" w:beforeAutospacing="0" w:after="0" w:afterAutospacing="0" w:line="360" w:lineRule="auto"/>
        <w:ind w:left="-8" w:leftChars="-4" w:firstLine="477" w:firstLineChars="199"/>
        <w:outlineLvl w:val="4"/>
        <w:rPr>
          <w:rFonts w:hint="eastAsia" w:cs="宋体"/>
          <w:color w:val="auto"/>
          <w:kern w:val="2"/>
          <w:sz w:val="22"/>
          <w:szCs w:val="22"/>
          <w:highlight w:val="none"/>
          <w:lang w:bidi="ar"/>
        </w:rPr>
      </w:pPr>
      <w:r>
        <w:rPr>
          <w:rFonts w:hint="eastAsia"/>
          <w:snapToGrid w:val="0"/>
          <w:color w:val="auto"/>
          <w:highlight w:val="none"/>
        </w:rPr>
        <w:t>P</w:t>
      </w:r>
      <w:r>
        <w:rPr>
          <w:rFonts w:hint="eastAsia"/>
          <w:snapToGrid w:val="0"/>
          <w:color w:val="auto"/>
          <w:highlight w:val="none"/>
          <w:vertAlign w:val="subscript"/>
        </w:rPr>
        <w:t>1</w:t>
      </w:r>
      <w:r>
        <w:rPr>
          <w:rFonts w:hint="eastAsia"/>
          <w:snapToGrid w:val="0"/>
          <w:color w:val="auto"/>
          <w:highlight w:val="none"/>
        </w:rPr>
        <w:t>--</w:t>
      </w:r>
      <w:r>
        <w:rPr>
          <w:rFonts w:hint="eastAsia" w:cs="宋体"/>
          <w:color w:val="auto"/>
          <w:kern w:val="2"/>
          <w:sz w:val="22"/>
          <w:szCs w:val="22"/>
          <w:highlight w:val="none"/>
          <w:lang w:bidi="ar"/>
        </w:rPr>
        <w:t>按照下列标准确定人工、材料和机械的消耗量及管理费：《建设工程工程量清单计价规范》（GB50500-2013）、《广东省建 筑与装饰工程综合定额2018》、《广东省通用安装工程综合定额2018》、《广东省市政工程综合定额 2018》、《广东省园林绿化工程综合定额 2018》计算。其中，人、材、机价格执行原合同文件工程量清单中最低价格。如出现原合同文件工程量清单中没有的材料，材料价格在《广州地区建设工程常用材料税前综合价格》表中有对应的材料，按基准期的综合价格计算，材料价格在《广州地区建设工程常用材料税前综合价格》表中没有对应的材料按以下方法计算：</w:t>
      </w:r>
    </w:p>
    <w:p w14:paraId="2649FE2A">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A、建筑装饰、装修和市政工程材料按照《广州地区建设工程材料（设备）厂商价格信息》对应品牌、规格及型号下浮</w:t>
      </w:r>
      <w:r>
        <w:rPr>
          <w:rFonts w:hint="default" w:cs="宋体"/>
          <w:color w:val="auto"/>
          <w:kern w:val="2"/>
          <w:sz w:val="22"/>
          <w:szCs w:val="22"/>
          <w:highlight w:val="none"/>
          <w:lang w:val="en-US" w:bidi="ar"/>
        </w:rPr>
        <w:t>15</w:t>
      </w:r>
      <w:r>
        <w:rPr>
          <w:rFonts w:hint="eastAsia" w:cs="宋体"/>
          <w:color w:val="auto"/>
          <w:kern w:val="2"/>
          <w:sz w:val="22"/>
          <w:szCs w:val="22"/>
          <w:highlight w:val="none"/>
          <w:lang w:bidi="ar"/>
        </w:rPr>
        <w:t xml:space="preserve">%及市场询价的较低者计算。 </w:t>
      </w:r>
    </w:p>
    <w:p w14:paraId="264CF7B1">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B、机电安装工程中的管、线材料按照《广州地区建设工程材料（设备）厂商价格信息》对应品牌、规格及型号下浮</w:t>
      </w:r>
      <w:r>
        <w:rPr>
          <w:rFonts w:hint="default" w:cs="宋体"/>
          <w:color w:val="auto"/>
          <w:kern w:val="2"/>
          <w:sz w:val="22"/>
          <w:szCs w:val="22"/>
          <w:highlight w:val="none"/>
          <w:lang w:val="en-US" w:bidi="ar"/>
        </w:rPr>
        <w:t>20</w:t>
      </w:r>
      <w:r>
        <w:rPr>
          <w:rFonts w:hint="eastAsia" w:cs="宋体"/>
          <w:color w:val="auto"/>
          <w:kern w:val="2"/>
          <w:sz w:val="22"/>
          <w:szCs w:val="22"/>
          <w:highlight w:val="none"/>
          <w:lang w:bidi="ar"/>
        </w:rPr>
        <w:t xml:space="preserve">%及市场询价的较低者计算。 </w:t>
      </w:r>
    </w:p>
    <w:p w14:paraId="34E990EC">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C、机电安装工程中的设备按照《广州地区建设工程材料（设备）厂商价格信息》对应品牌、规格及型号下浮</w:t>
      </w:r>
      <w:r>
        <w:rPr>
          <w:rFonts w:hint="default" w:cs="宋体"/>
          <w:color w:val="auto"/>
          <w:kern w:val="2"/>
          <w:sz w:val="22"/>
          <w:szCs w:val="22"/>
          <w:highlight w:val="none"/>
          <w:lang w:val="en-US" w:bidi="ar"/>
        </w:rPr>
        <w:t>30</w:t>
      </w:r>
      <w:r>
        <w:rPr>
          <w:rFonts w:hint="eastAsia" w:cs="宋体"/>
          <w:color w:val="auto"/>
          <w:kern w:val="2"/>
          <w:sz w:val="22"/>
          <w:szCs w:val="22"/>
          <w:highlight w:val="none"/>
          <w:lang w:bidi="ar"/>
        </w:rPr>
        <w:t>%计算及市场询价的较低者计算。</w:t>
      </w:r>
    </w:p>
    <w:p w14:paraId="08DBE920">
      <w:pPr>
        <w:pStyle w:val="13"/>
        <w:adjustRightInd w:val="0"/>
        <w:snapToGrid w:val="0"/>
        <w:spacing w:before="0" w:beforeAutospacing="0" w:after="0" w:afterAutospacing="0" w:line="360" w:lineRule="auto"/>
        <w:ind w:firstLine="440" w:firstLineChars="200"/>
        <w:outlineLvl w:val="3"/>
        <w:rPr>
          <w:rFonts w:hint="eastAsia" w:cs="宋体"/>
          <w:color w:val="auto"/>
          <w:kern w:val="2"/>
          <w:sz w:val="22"/>
          <w:szCs w:val="22"/>
          <w:highlight w:val="none"/>
          <w:lang w:bidi="ar"/>
        </w:rPr>
      </w:pPr>
      <w:r>
        <w:rPr>
          <w:rFonts w:hint="eastAsia" w:cs="宋体"/>
          <w:color w:val="auto"/>
          <w:kern w:val="2"/>
          <w:sz w:val="22"/>
          <w:szCs w:val="22"/>
          <w:highlight w:val="none"/>
          <w:lang w:bidi="ar"/>
        </w:rPr>
        <w:t>D、《广州地区建设工程材料（设备）厂商价格信息》没有对应的品牌、规格及型号的材料，由建设单位、监理单位、造价咨询通过市场询价（询价应为到工地价格）确定。取费标准按施工时期对应的广州市计费文件计算，措施项目费及预算包干费不另计算。</w:t>
      </w:r>
    </w:p>
    <w:p w14:paraId="30BA957A">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L--承包人报价折扣率，计算公式为L=（中标价-非竞争性费用）/（最高投标限价-非竞争性费用）×100%。</w:t>
      </w:r>
    </w:p>
    <w:p w14:paraId="0319115F">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25.11投标文件有漏项的，在签订合同时，漏项项目清单工程量以招标工程量清单和清单修正项为依据计列，漏项项目综合单价按该项目【其余合格中标候选人】相应投标单价平均值计列，形成漏项项目工程量清单作为合同附件；在工程结算时，按施工实际工程数量减漏项项目招标工程数量计算增减工程量，增减工程量乘以上述综合单价作为漏项项目结算款。</w:t>
      </w:r>
    </w:p>
    <w:p w14:paraId="0241AA52">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25.12余泥渣土消纳费结算时工程量按实际发生计算，其中建筑垃圾处置企业（单位）收取的消纳费，凭施工单位与建筑垃圾处置企业（单位）签订的合同与发票之间的较低者结算。</w:t>
      </w:r>
    </w:p>
    <w:p w14:paraId="3D8DAEFA">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25.13 上述所产生的综合单价及投标时综合单价冲突时，以最低者选取确定最后的综合单价。</w:t>
      </w:r>
    </w:p>
    <w:p w14:paraId="6604B751">
      <w:pPr>
        <w:adjustRightInd w:val="0"/>
        <w:snapToGrid w:val="0"/>
        <w:spacing w:line="360" w:lineRule="auto"/>
        <w:ind w:right="11" w:firstLine="482" w:firstLineChars="20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承包人与发包人一致同意不适用合同通用条款第26条的约定，代之以：</w:t>
      </w:r>
    </w:p>
    <w:p w14:paraId="3786536E">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26、工程预付款</w:t>
      </w:r>
    </w:p>
    <w:p w14:paraId="5B85F816">
      <w:pPr>
        <w:pStyle w:val="13"/>
        <w:adjustRightInd w:val="0"/>
        <w:snapToGrid w:val="0"/>
        <w:spacing w:before="0" w:beforeAutospacing="0" w:after="0" w:afterAutospacing="0" w:line="360" w:lineRule="auto"/>
        <w:ind w:firstLine="480" w:firstLineChars="200"/>
        <w:outlineLvl w:val="3"/>
        <w:rPr>
          <w:rFonts w:hint="eastAsia"/>
          <w:b/>
          <w:snapToGrid w:val="0"/>
          <w:color w:val="auto"/>
          <w:highlight w:val="none"/>
        </w:rPr>
      </w:pPr>
      <w:r>
        <w:rPr>
          <w:rFonts w:hint="eastAsia"/>
          <w:snapToGrid w:val="0"/>
          <w:color w:val="auto"/>
          <w:highlight w:val="none"/>
        </w:rPr>
        <w:t>26.1承包人按招标文件及合同专用条款第44条的要求提交履约</w:t>
      </w:r>
      <w:r>
        <w:rPr>
          <w:rFonts w:hint="eastAsia"/>
          <w:b/>
          <w:bCs/>
          <w:snapToGrid w:val="0"/>
          <w:color w:val="auto"/>
          <w:highlight w:val="none"/>
        </w:rPr>
        <w:t>担保</w:t>
      </w:r>
      <w:r>
        <w:rPr>
          <w:rFonts w:hint="eastAsia"/>
          <w:snapToGrid w:val="0"/>
          <w:color w:val="auto"/>
          <w:highlight w:val="none"/>
        </w:rPr>
        <w:t>且本合同签订后，承包人提交工程预付款申请书，发包人收到后28天内向承包人支付分部分项工程量清单计价的</w:t>
      </w:r>
      <w:r>
        <w:rPr>
          <w:rFonts w:hint="eastAsia" w:cs="宋体"/>
          <w:color w:val="auto"/>
          <w:szCs w:val="21"/>
          <w:highlight w:val="none"/>
          <w:lang w:bidi="ar"/>
        </w:rPr>
        <w:t>的</w:t>
      </w:r>
      <w:r>
        <w:rPr>
          <w:rFonts w:hint="eastAsia" w:cs="宋体"/>
          <w:color w:val="auto"/>
          <w:szCs w:val="21"/>
          <w:highlight w:val="none"/>
          <w:u w:val="single"/>
          <w:lang w:bidi="ar"/>
        </w:rPr>
        <w:t xml:space="preserve"> 20 </w:t>
      </w:r>
      <w:r>
        <w:rPr>
          <w:rFonts w:hint="eastAsia" w:cs="宋体"/>
          <w:color w:val="auto"/>
          <w:szCs w:val="21"/>
          <w:highlight w:val="none"/>
          <w:lang w:bidi="ar"/>
        </w:rPr>
        <w:t>%（即占合同价款的</w:t>
      </w:r>
      <w:r>
        <w:rPr>
          <w:rFonts w:hint="eastAsia" w:cs="宋体"/>
          <w:color w:val="auto"/>
          <w:szCs w:val="21"/>
          <w:highlight w:val="none"/>
          <w:u w:val="single"/>
          <w:lang w:bidi="ar"/>
        </w:rPr>
        <w:t xml:space="preserve">    </w:t>
      </w:r>
      <w:r>
        <w:rPr>
          <w:rFonts w:hint="eastAsia" w:cs="宋体"/>
          <w:color w:val="auto"/>
          <w:szCs w:val="21"/>
          <w:highlight w:val="none"/>
          <w:lang w:bidi="ar"/>
        </w:rPr>
        <w:t>%），即</w:t>
      </w:r>
      <w:r>
        <w:rPr>
          <w:rFonts w:hint="eastAsia" w:cs="宋体"/>
          <w:color w:val="auto"/>
          <w:szCs w:val="21"/>
          <w:highlight w:val="none"/>
          <w:u w:val="single"/>
          <w:lang w:bidi="ar"/>
        </w:rPr>
        <w:t xml:space="preserve">    </w:t>
      </w:r>
      <w:r>
        <w:rPr>
          <w:rFonts w:hint="eastAsia" w:cs="宋体"/>
          <w:color w:val="auto"/>
          <w:szCs w:val="21"/>
          <w:highlight w:val="none"/>
          <w:lang w:bidi="ar"/>
        </w:rPr>
        <w:t>元</w:t>
      </w:r>
      <w:r>
        <w:rPr>
          <w:rFonts w:hint="eastAsia"/>
          <w:snapToGrid w:val="0"/>
          <w:color w:val="auto"/>
          <w:highlight w:val="none"/>
        </w:rPr>
        <w:t>作为工程预付款</w:t>
      </w:r>
      <w:r>
        <w:rPr>
          <w:rFonts w:hint="eastAsia" w:cs="宋体"/>
          <w:color w:val="auto"/>
          <w:szCs w:val="21"/>
          <w:highlight w:val="none"/>
          <w:lang w:bidi="ar"/>
        </w:rPr>
        <w:t>（发包人有权根据项目资金落实情况进行分批支付</w:t>
      </w:r>
      <w:r>
        <w:rPr>
          <w:rFonts w:hint="eastAsia" w:cs="仿宋"/>
          <w:color w:val="auto"/>
          <w:szCs w:val="21"/>
          <w:highlight w:val="none"/>
        </w:rPr>
        <w:t>工程预付款</w:t>
      </w:r>
      <w:r>
        <w:rPr>
          <w:rFonts w:hint="eastAsia" w:cs="宋体"/>
          <w:color w:val="auto"/>
          <w:szCs w:val="21"/>
          <w:highlight w:val="none"/>
          <w:lang w:bidi="ar"/>
        </w:rPr>
        <w:t>）</w:t>
      </w:r>
      <w:r>
        <w:rPr>
          <w:rFonts w:hint="eastAsia"/>
          <w:snapToGrid w:val="0"/>
          <w:color w:val="auto"/>
          <w:highlight w:val="none"/>
        </w:rPr>
        <w:t>，</w:t>
      </w:r>
      <w:r>
        <w:rPr>
          <w:rFonts w:hint="eastAsia" w:cs="宋体"/>
          <w:bCs/>
          <w:color w:val="auto"/>
          <w:szCs w:val="21"/>
          <w:highlight w:val="none"/>
          <w:lang w:bidi="ar"/>
        </w:rPr>
        <w:t>其中属于人工费用预付款部分的金额为本合同总价的1%，即</w:t>
      </w:r>
      <w:r>
        <w:rPr>
          <w:rFonts w:hint="eastAsia" w:cs="宋体"/>
          <w:bCs/>
          <w:color w:val="auto"/>
          <w:szCs w:val="21"/>
          <w:highlight w:val="none"/>
          <w:u w:val="single"/>
          <w:lang w:bidi="ar"/>
        </w:rPr>
        <w:t xml:space="preserve">      </w:t>
      </w:r>
      <w:r>
        <w:rPr>
          <w:rFonts w:hint="eastAsia" w:cs="宋体"/>
          <w:bCs/>
          <w:color w:val="auto"/>
          <w:szCs w:val="21"/>
          <w:highlight w:val="none"/>
          <w:lang w:bidi="ar"/>
        </w:rPr>
        <w:t>元，一次性拨付到工人工资支付专用账户。</w:t>
      </w:r>
      <w:r>
        <w:rPr>
          <w:rFonts w:hint="eastAsia"/>
          <w:b/>
          <w:snapToGrid w:val="0"/>
          <w:color w:val="auto"/>
          <w:highlight w:val="none"/>
        </w:rPr>
        <w:t>建筑业职工工伤保险费已包含在合同总价及工程预付款中，发包人不另行支付。</w:t>
      </w:r>
    </w:p>
    <w:p w14:paraId="26AC0D5D">
      <w:pPr>
        <w:pStyle w:val="13"/>
        <w:adjustRightInd w:val="0"/>
        <w:snapToGrid w:val="0"/>
        <w:spacing w:before="0" w:beforeAutospacing="0" w:after="0" w:afterAutospacing="0" w:line="360" w:lineRule="auto"/>
        <w:ind w:firstLine="480" w:firstLineChars="200"/>
        <w:outlineLvl w:val="3"/>
        <w:rPr>
          <w:rFonts w:hint="eastAsia" w:ascii="楷体_GB2312" w:eastAsia="楷体_GB2312"/>
          <w:b/>
          <w:snapToGrid w:val="0"/>
          <w:color w:val="auto"/>
          <w:highlight w:val="none"/>
          <w:u w:val="single"/>
        </w:rPr>
      </w:pPr>
      <w:r>
        <w:rPr>
          <w:rFonts w:hint="eastAsia" w:cs="宋体"/>
          <w:color w:val="auto"/>
          <w:szCs w:val="21"/>
          <w:highlight w:val="none"/>
          <w:lang w:bidi="ar"/>
        </w:rPr>
        <w:t>承包人在收到发包人工程预付款后，应及时向作业班组、分包单位、供应商支付</w:t>
      </w:r>
      <w:r>
        <w:rPr>
          <w:rFonts w:cs="宋体"/>
          <w:color w:val="auto"/>
          <w:szCs w:val="21"/>
          <w:highlight w:val="none"/>
          <w:lang w:bidi="ar"/>
        </w:rPr>
        <w:t>人工费用、</w:t>
      </w:r>
      <w:r>
        <w:rPr>
          <w:rFonts w:hint="eastAsia" w:cs="宋体"/>
          <w:color w:val="auto"/>
          <w:szCs w:val="21"/>
          <w:highlight w:val="none"/>
          <w:lang w:bidi="ar"/>
        </w:rPr>
        <w:t>备料款等相关费用。承包人如挪用预付款，或未及时向作业班组、分包单位、供应商支付</w:t>
      </w:r>
      <w:r>
        <w:rPr>
          <w:rFonts w:cs="宋体"/>
          <w:color w:val="auto"/>
          <w:szCs w:val="21"/>
          <w:highlight w:val="none"/>
          <w:lang w:bidi="ar"/>
        </w:rPr>
        <w:t>人工费用、</w:t>
      </w:r>
      <w:r>
        <w:rPr>
          <w:rFonts w:hint="eastAsia" w:cs="宋体"/>
          <w:color w:val="auto"/>
          <w:szCs w:val="21"/>
          <w:highlight w:val="none"/>
          <w:lang w:bidi="ar"/>
        </w:rPr>
        <w:t>备料款导致工期延误的，发包人一经查实，承包人承担严重违约责任。</w:t>
      </w:r>
    </w:p>
    <w:p w14:paraId="66121609">
      <w:pPr>
        <w:pStyle w:val="8"/>
        <w:adjustRightInd w:val="0"/>
        <w:snapToGrid w:val="0"/>
        <w:spacing w:line="360" w:lineRule="auto"/>
        <w:ind w:firstLine="480" w:firstLineChars="200"/>
        <w:outlineLvl w:val="3"/>
        <w:rPr>
          <w:rFonts w:hAnsi="宋体"/>
          <w:snapToGrid w:val="0"/>
          <w:color w:val="auto"/>
          <w:kern w:val="0"/>
          <w:sz w:val="24"/>
          <w:szCs w:val="24"/>
          <w:highlight w:val="none"/>
        </w:rPr>
      </w:pPr>
      <w:r>
        <w:rPr>
          <w:rFonts w:hAnsi="宋体" w:cs="宋体"/>
          <w:color w:val="auto"/>
          <w:kern w:val="0"/>
          <w:sz w:val="24"/>
          <w:szCs w:val="24"/>
          <w:highlight w:val="none"/>
          <w:lang w:bidi="ar"/>
        </w:rPr>
        <w:fldChar w:fldCharType="begin"/>
      </w:r>
      <w:r>
        <w:rPr>
          <w:rFonts w:hAnsi="宋体" w:cs="宋体"/>
          <w:color w:val="auto"/>
          <w:kern w:val="0"/>
          <w:sz w:val="24"/>
          <w:szCs w:val="24"/>
          <w:highlight w:val="none"/>
          <w:lang w:bidi="ar"/>
        </w:rPr>
        <w:instrText xml:space="preserve"> EQ \o\ac(□,×)</w:instrText>
      </w:r>
      <w:r>
        <w:rPr>
          <w:rFonts w:hAnsi="宋体" w:cs="宋体"/>
          <w:color w:val="auto"/>
          <w:kern w:val="0"/>
          <w:sz w:val="24"/>
          <w:szCs w:val="24"/>
          <w:highlight w:val="none"/>
          <w:lang w:bidi="ar"/>
        </w:rPr>
        <w:fldChar w:fldCharType="end"/>
      </w:r>
      <w:r>
        <w:rPr>
          <w:rFonts w:hAnsi="宋体"/>
          <w:snapToGrid w:val="0"/>
          <w:color w:val="auto"/>
          <w:kern w:val="0"/>
          <w:sz w:val="24"/>
          <w:szCs w:val="24"/>
          <w:highlight w:val="none"/>
        </w:rPr>
        <w:t>26.2若本工程含有甲招乙供材料设备，承包人应严格按照本合同、招标文件及与甲招乙供材料设备供应商所签合同的约定及时审核、申请支付甲招乙供材料设备预付款，并在银行的监控下，按照发包人的要求直接将甲招乙供材料设备款项按合同专用条款第30.7（8）款的约定支付给材料设备供应商，否则应按合同专用条款第38.15款承担违约责任。（本项目不涉及）</w:t>
      </w:r>
    </w:p>
    <w:p w14:paraId="0A463E0D">
      <w:pPr>
        <w:pStyle w:val="8"/>
        <w:adjustRightInd w:val="0"/>
        <w:snapToGrid w:val="0"/>
        <w:spacing w:line="360" w:lineRule="auto"/>
        <w:ind w:firstLine="480" w:firstLineChars="200"/>
        <w:outlineLvl w:val="3"/>
        <w:rPr>
          <w:rFonts w:hAnsi="宋体"/>
          <w:snapToGrid w:val="0"/>
          <w:color w:val="auto"/>
          <w:kern w:val="0"/>
          <w:sz w:val="24"/>
          <w:szCs w:val="24"/>
          <w:highlight w:val="none"/>
        </w:rPr>
      </w:pPr>
      <w:r>
        <w:rPr>
          <w:rFonts w:hAnsi="宋体" w:cs="宋体"/>
          <w:color w:val="auto"/>
          <w:kern w:val="0"/>
          <w:sz w:val="24"/>
          <w:szCs w:val="24"/>
          <w:highlight w:val="none"/>
          <w:lang w:bidi="ar"/>
        </w:rPr>
        <w:fldChar w:fldCharType="begin"/>
      </w:r>
      <w:r>
        <w:rPr>
          <w:rFonts w:hAnsi="宋体" w:cs="宋体"/>
          <w:color w:val="auto"/>
          <w:kern w:val="0"/>
          <w:sz w:val="24"/>
          <w:szCs w:val="24"/>
          <w:highlight w:val="none"/>
          <w:lang w:bidi="ar"/>
        </w:rPr>
        <w:instrText xml:space="preserve"> EQ \o\ac(□,×)</w:instrText>
      </w:r>
      <w:r>
        <w:rPr>
          <w:rFonts w:hAnsi="宋体" w:cs="宋体"/>
          <w:color w:val="auto"/>
          <w:kern w:val="0"/>
          <w:sz w:val="24"/>
          <w:szCs w:val="24"/>
          <w:highlight w:val="none"/>
          <w:lang w:bidi="ar"/>
        </w:rPr>
        <w:fldChar w:fldCharType="end"/>
      </w:r>
      <w:r>
        <w:rPr>
          <w:b/>
          <w:snapToGrid w:val="0"/>
          <w:color w:val="auto"/>
          <w:sz w:val="24"/>
          <w:szCs w:val="24"/>
          <w:highlight w:val="none"/>
        </w:rPr>
        <w:t xml:space="preserve"> </w:t>
      </w:r>
      <w:r>
        <w:rPr>
          <w:rFonts w:hAnsi="宋体"/>
          <w:snapToGrid w:val="0"/>
          <w:color w:val="auto"/>
          <w:kern w:val="0"/>
          <w:sz w:val="24"/>
          <w:szCs w:val="24"/>
          <w:highlight w:val="none"/>
        </w:rPr>
        <w:t>26.3如本工程含有甲管乙供材料设备，承包人应严格按照本合同、</w:t>
      </w:r>
      <w:r>
        <w:rPr>
          <w:snapToGrid w:val="0"/>
          <w:color w:val="auto"/>
          <w:sz w:val="24"/>
          <w:szCs w:val="24"/>
          <w:highlight w:val="none"/>
        </w:rPr>
        <w:t>招标文件或</w:t>
      </w:r>
      <w:r>
        <w:rPr>
          <w:rFonts w:hAnsi="宋体"/>
          <w:snapToGrid w:val="0"/>
          <w:color w:val="auto"/>
          <w:kern w:val="0"/>
          <w:sz w:val="24"/>
          <w:szCs w:val="24"/>
          <w:highlight w:val="none"/>
        </w:rPr>
        <w:t>公开择优竞价文件及与甲管乙供材料设备供应商所签合同的约定及时审核、申请支付甲管乙供材料设备预付款，且在收到发包人支付的款项后三个工作日内将该款项支付给甲管乙供材料设备供应商，并在下一次申请付款时向发包人提交本次支付凭证复印件作为支持材料，否则应按合同专用条款第38.15款承担违约责任。（本项目不涉及）</w:t>
      </w:r>
    </w:p>
    <w:p w14:paraId="1190DCAC">
      <w:pPr>
        <w:pStyle w:val="8"/>
        <w:adjustRightInd w:val="0"/>
        <w:snapToGrid w:val="0"/>
        <w:spacing w:line="360" w:lineRule="auto"/>
        <w:ind w:firstLine="480" w:firstLineChars="200"/>
        <w:outlineLvl w:val="3"/>
        <w:rPr>
          <w:rFonts w:hAnsi="宋体"/>
          <w:snapToGrid w:val="0"/>
          <w:color w:val="auto"/>
          <w:kern w:val="0"/>
          <w:sz w:val="24"/>
          <w:szCs w:val="24"/>
          <w:highlight w:val="none"/>
        </w:rPr>
      </w:pPr>
      <w:r>
        <w:rPr>
          <w:rFonts w:hAnsi="宋体"/>
          <w:snapToGrid w:val="0"/>
          <w:color w:val="auto"/>
          <w:kern w:val="0"/>
          <w:sz w:val="24"/>
          <w:szCs w:val="24"/>
          <w:highlight w:val="none"/>
        </w:rPr>
        <w:t>26.4承包人应将预付款专用于实施本工程所需的施工机械、材料设备及人员费用，并向总监理工程师提交发票或其他证明文件的副本以证明预付款确实专款专用，否则应按合同专用条款第38.15款承担违约责任。</w:t>
      </w:r>
    </w:p>
    <w:p w14:paraId="396E90E1">
      <w:pPr>
        <w:pStyle w:val="8"/>
        <w:adjustRightInd w:val="0"/>
        <w:snapToGrid w:val="0"/>
        <w:spacing w:line="360" w:lineRule="auto"/>
        <w:ind w:left="120" w:leftChars="57" w:firstLine="360" w:firstLineChars="150"/>
        <w:outlineLvl w:val="3"/>
        <w:rPr>
          <w:rFonts w:hAnsi="宋体"/>
          <w:snapToGrid w:val="0"/>
          <w:color w:val="auto"/>
          <w:kern w:val="0"/>
          <w:sz w:val="24"/>
          <w:szCs w:val="24"/>
          <w:highlight w:val="none"/>
        </w:rPr>
      </w:pPr>
      <w:r>
        <w:rPr>
          <w:rFonts w:hAnsi="宋体"/>
          <w:snapToGrid w:val="0"/>
          <w:color w:val="auto"/>
          <w:kern w:val="0"/>
          <w:sz w:val="24"/>
          <w:szCs w:val="24"/>
          <w:highlight w:val="none"/>
        </w:rPr>
        <w:t>26.5预付款从工程进度款中分期全部扣回，扣回的时间和比例为：当分部分项工程量清单项目工程进度款、预付款累计金额达到分部分项工程量清单计价的</w:t>
      </w:r>
      <w:r>
        <w:rPr>
          <w:rFonts w:hint="default" w:hAnsi="宋体"/>
          <w:snapToGrid w:val="0"/>
          <w:color w:val="auto"/>
          <w:kern w:val="0"/>
          <w:sz w:val="24"/>
          <w:szCs w:val="24"/>
          <w:highlight w:val="none"/>
          <w:lang w:val="en-US"/>
        </w:rPr>
        <w:t>40</w:t>
      </w:r>
      <w:r>
        <w:rPr>
          <w:rFonts w:hAnsi="宋体"/>
          <w:snapToGrid w:val="0"/>
          <w:color w:val="auto"/>
          <w:kern w:val="0"/>
          <w:sz w:val="24"/>
          <w:szCs w:val="24"/>
          <w:highlight w:val="none"/>
        </w:rPr>
        <w:t>%（含本数）时，开始在下一次分部分项工程量清单项目工程进度款中扣回预付款，并在分部分项工程量清单项目工程进度款、预付款累计金额达到分部分项工程量清单计价的</w:t>
      </w:r>
      <w:r>
        <w:rPr>
          <w:rFonts w:hint="default" w:hAnsi="宋体"/>
          <w:snapToGrid w:val="0"/>
          <w:color w:val="auto"/>
          <w:kern w:val="0"/>
          <w:sz w:val="24"/>
          <w:szCs w:val="24"/>
          <w:highlight w:val="none"/>
          <w:lang w:val="en-US"/>
        </w:rPr>
        <w:t>80</w:t>
      </w:r>
      <w:r>
        <w:rPr>
          <w:rFonts w:hAnsi="宋体"/>
          <w:snapToGrid w:val="0"/>
          <w:color w:val="auto"/>
          <w:kern w:val="0"/>
          <w:sz w:val="24"/>
          <w:szCs w:val="24"/>
          <w:highlight w:val="none"/>
        </w:rPr>
        <w:t>%（含本数）以前全部扣回预付款。本合同另有约定的，从其约定。</w:t>
      </w:r>
    </w:p>
    <w:p w14:paraId="0815C39D">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27、工程量的确认</w:t>
      </w:r>
    </w:p>
    <w:p w14:paraId="0DAED792">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27.1承包人每次申请工程进度款时应提交已完工程进度款申请报表。</w:t>
      </w:r>
    </w:p>
    <w:p w14:paraId="533B3DDF">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已完工程进度款申请报表的提交应按发包人工程项目信息管理系统的要求执行。</w:t>
      </w:r>
    </w:p>
    <w:p w14:paraId="0E30105A">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27.3不予计量的情况：</w:t>
      </w:r>
    </w:p>
    <w:p w14:paraId="0496899A">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（1）隐蔽工程无验收记录表的；</w:t>
      </w:r>
    </w:p>
    <w:p w14:paraId="6A62254D">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（2）施工图之外的工作量；</w:t>
      </w:r>
    </w:p>
    <w:p w14:paraId="60949B1E">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（3）因承包人责任而增加的工作量；</w:t>
      </w:r>
    </w:p>
    <w:p w14:paraId="6D30AC3B">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（4）未经发包人批准的分包单位施工的工程；</w:t>
      </w:r>
    </w:p>
    <w:p w14:paraId="06F8530C">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（5）不符合合同约定或设计要求的工程。</w:t>
      </w:r>
    </w:p>
    <w:p w14:paraId="33C6D5CF">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t>承包人和发包人一致同意增加27.4、27.5：</w:t>
      </w:r>
    </w:p>
    <w:p w14:paraId="030F3BD2">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27.4除另有特别说明外，总监理工程师应根据合同的约定和批准的施工图纸、设计变更图纸通过计量来核实并确认已完工程的价值。当总监理工程师要求对工程的任一部分或若干部分进行计量时，总监理工程师应当书面通知承包人，承包人应按通知要求立即前往协助监理单位从事上述计量工作，并提供此计量所需的一切详实资料。承包人未能按要求时间前往参加计量并提供详实资料，则由总监理工程师进行的或由其批准的计量应直接被认为是对这一部分工程的正确计量。</w:t>
      </w:r>
    </w:p>
    <w:p w14:paraId="4F70C34E">
      <w:pPr>
        <w:adjustRightInd w:val="0"/>
        <w:snapToGrid w:val="0"/>
        <w:spacing w:line="360" w:lineRule="auto"/>
        <w:ind w:right="11" w:firstLine="480" w:firstLineChars="200"/>
        <w:outlineLvl w:val="3"/>
        <w:rPr>
          <w:rFonts w:hint="eastAsia" w:ascii="宋体" w:hAnsi="宋体"/>
          <w:b/>
          <w:snapToGrid w:val="0"/>
          <w:color w:val="auto"/>
          <w:kern w:val="0"/>
          <w:sz w:val="24"/>
          <w:highlight w:val="none"/>
        </w:rPr>
      </w:pPr>
      <w:r>
        <w:rPr>
          <w:rFonts w:hint="eastAsia" w:ascii="宋体" w:hAnsi="宋体"/>
          <w:snapToGrid w:val="0"/>
          <w:color w:val="auto"/>
          <w:kern w:val="0"/>
          <w:sz w:val="24"/>
          <w:highlight w:val="none"/>
        </w:rPr>
        <w:t>27.5工程的计量应以合同约定为准，双方另有约定的除外。</w:t>
      </w:r>
    </w:p>
    <w:p w14:paraId="2BD40B7A">
      <w:pPr>
        <w:adjustRightInd w:val="0"/>
        <w:snapToGrid w:val="0"/>
        <w:spacing w:line="360" w:lineRule="auto"/>
        <w:ind w:right="11" w:firstLine="482" w:firstLineChars="20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承包人与发包人一致同意不适用合同通用条款第28条的约定，代之以：</w:t>
      </w:r>
    </w:p>
    <w:p w14:paraId="7A4B7F7C">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28、工程款（进度款）支付</w:t>
      </w:r>
    </w:p>
    <w:p w14:paraId="2BC14F2C">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28.1</w:t>
      </w:r>
      <w:r>
        <w:rPr>
          <w:rFonts w:hint="eastAsia" w:ascii="宋体" w:hAnsi="宋体"/>
          <w:snapToGrid w:val="0"/>
          <w:color w:val="auto"/>
          <w:kern w:val="0"/>
          <w:sz w:val="24"/>
          <w:highlight w:val="none"/>
        </w:rPr>
        <w:t>双方约定的工程进度款支付</w:t>
      </w:r>
      <w:r>
        <w:rPr>
          <w:rFonts w:hint="eastAsia" w:ascii="宋体" w:hAnsi="宋体" w:cs="宋体"/>
          <w:snapToGrid w:val="0"/>
          <w:color w:val="auto"/>
          <w:kern w:val="0"/>
          <w:sz w:val="24"/>
          <w:highlight w:val="none"/>
          <w:lang w:val="zh-CN"/>
        </w:rPr>
        <w:t>基本原则</w:t>
      </w:r>
    </w:p>
    <w:p w14:paraId="3D5703F9">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（1）按月支付。每期工程款（进度款）支付，承包人须将相关的支付申请资料报监理单位，监理单位审核后报发包人，发包人审批后支付。</w:t>
      </w:r>
    </w:p>
    <w:p w14:paraId="6FD13153">
      <w:pPr>
        <w:adjustRightInd w:val="0"/>
        <w:snapToGrid w:val="0"/>
        <w:spacing w:line="360" w:lineRule="auto"/>
        <w:ind w:firstLine="480" w:firstLineChars="200"/>
        <w:rPr>
          <w:snapToGrid w:val="0"/>
          <w:color w:val="auto"/>
          <w:kern w:val="0"/>
          <w:sz w:val="24"/>
          <w:highlight w:val="none"/>
        </w:rPr>
      </w:pPr>
      <w:r>
        <w:rPr>
          <w:rFonts w:hint="eastAsia" w:ascii="宋体" w:hAnsi="宋体"/>
          <w:snapToGrid w:val="0"/>
          <w:color w:val="auto"/>
          <w:kern w:val="0"/>
          <w:sz w:val="24"/>
          <w:highlight w:val="none"/>
        </w:rPr>
        <w:t>（2）</w:t>
      </w:r>
      <w:r>
        <w:rPr>
          <w:rFonts w:hint="eastAsia"/>
          <w:snapToGrid w:val="0"/>
          <w:color w:val="auto"/>
          <w:kern w:val="0"/>
          <w:sz w:val="24"/>
          <w:highlight w:val="none"/>
        </w:rPr>
        <w:t>任何项目的计量与支付必须按合同约定的技术条件、发包人批准的施工图有关要求及规定完成，包括合同约定的与项目计量有关且必须完成的责任和义务。</w:t>
      </w:r>
    </w:p>
    <w:p w14:paraId="5AC92A6D">
      <w:pPr>
        <w:adjustRightInd w:val="0"/>
        <w:snapToGrid w:val="0"/>
        <w:spacing w:line="360" w:lineRule="auto"/>
        <w:ind w:firstLine="480" w:firstLineChars="200"/>
        <w:rPr>
          <w:snapToGrid w:val="0"/>
          <w:color w:val="auto"/>
          <w:kern w:val="0"/>
          <w:sz w:val="24"/>
          <w:highlight w:val="none"/>
        </w:rPr>
      </w:pPr>
      <w:r>
        <w:rPr>
          <w:rFonts w:hint="eastAsia" w:ascii="宋体" w:hAnsi="宋体"/>
          <w:snapToGrid w:val="0"/>
          <w:color w:val="auto"/>
          <w:kern w:val="0"/>
          <w:sz w:val="24"/>
          <w:highlight w:val="none"/>
        </w:rPr>
        <w:t>（3）已</w:t>
      </w:r>
      <w:r>
        <w:rPr>
          <w:rFonts w:hint="eastAsia"/>
          <w:snapToGrid w:val="0"/>
          <w:color w:val="auto"/>
          <w:kern w:val="0"/>
          <w:sz w:val="24"/>
          <w:highlight w:val="none"/>
        </w:rPr>
        <w:t>完工项目的计量与支付需得到总监理工程师和发包人的认可。如承包人的工作不能使总监理工程师和发包人满意（如：质量不合格，工程进度缓慢，施工总承包管理和配合服务不到位或有其他方面违反合同的行为等），总监理工程师和发包人有权拒绝计量与支付。</w:t>
      </w:r>
    </w:p>
    <w:p w14:paraId="44E8F760">
      <w:pPr>
        <w:autoSpaceDE w:val="0"/>
        <w:autoSpaceDN w:val="0"/>
        <w:adjustRightInd w:val="0"/>
        <w:snapToGrid w:val="0"/>
        <w:spacing w:line="360" w:lineRule="auto"/>
        <w:ind w:right="11" w:firstLine="480"/>
        <w:rPr>
          <w:rFonts w:hint="eastAsia" w:ascii="宋体" w:hAnsi="宋体"/>
          <w:iCs/>
          <w:snapToGrid w:val="0"/>
          <w:color w:val="auto"/>
          <w:kern w:val="0"/>
          <w:sz w:val="24"/>
          <w:highlight w:val="none"/>
        </w:rPr>
      </w:pPr>
      <w:r>
        <w:rPr>
          <w:rFonts w:hint="eastAsia" w:ascii="宋体" w:hAnsi="宋体" w:cs="宋体"/>
          <w:snapToGrid w:val="0"/>
          <w:color w:val="auto"/>
          <w:kern w:val="0"/>
          <w:sz w:val="24"/>
          <w:highlight w:val="none"/>
          <w:lang w:val="zh-CN"/>
        </w:rPr>
        <w:t>（4）</w:t>
      </w:r>
      <w:r>
        <w:rPr>
          <w:rFonts w:hint="eastAsia" w:ascii="宋体" w:hAnsi="宋体"/>
          <w:iCs/>
          <w:snapToGrid w:val="0"/>
          <w:color w:val="auto"/>
          <w:kern w:val="0"/>
          <w:sz w:val="24"/>
          <w:highlight w:val="none"/>
        </w:rPr>
        <w:t>各次月</w:t>
      </w:r>
      <w:r>
        <w:rPr>
          <w:rFonts w:hint="eastAsia" w:ascii="宋体" w:hAnsi="宋体"/>
          <w:snapToGrid w:val="0"/>
          <w:color w:val="auto"/>
          <w:kern w:val="0"/>
          <w:sz w:val="24"/>
          <w:highlight w:val="none"/>
        </w:rPr>
        <w:t>工程进度款</w:t>
      </w:r>
      <w:r>
        <w:rPr>
          <w:rFonts w:hint="eastAsia" w:ascii="宋体" w:hAnsi="宋体"/>
          <w:iCs/>
          <w:snapToGrid w:val="0"/>
          <w:color w:val="auto"/>
          <w:kern w:val="0"/>
          <w:sz w:val="24"/>
          <w:highlight w:val="none"/>
        </w:rPr>
        <w:t>支付中，发包人从</w:t>
      </w:r>
      <w:r>
        <w:rPr>
          <w:rFonts w:hint="eastAsia" w:ascii="宋体" w:hAnsi="宋体"/>
          <w:snapToGrid w:val="0"/>
          <w:color w:val="auto"/>
          <w:kern w:val="0"/>
          <w:sz w:val="24"/>
          <w:highlight w:val="none"/>
        </w:rPr>
        <w:t>工程进度款</w:t>
      </w:r>
      <w:r>
        <w:rPr>
          <w:rFonts w:hint="eastAsia" w:ascii="宋体" w:hAnsi="宋体"/>
          <w:iCs/>
          <w:snapToGrid w:val="0"/>
          <w:color w:val="auto"/>
          <w:kern w:val="0"/>
          <w:sz w:val="24"/>
          <w:highlight w:val="none"/>
        </w:rPr>
        <w:t>中扣留10％的金额作为保留金，直至保留金的数额达到本合同价款的10％为止。</w:t>
      </w:r>
    </w:p>
    <w:p w14:paraId="272DE4F5">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（5）承包人在申请支付</w:t>
      </w:r>
      <w:r>
        <w:rPr>
          <w:rFonts w:hint="eastAsia" w:ascii="宋体" w:hAnsi="宋体"/>
          <w:iCs/>
          <w:snapToGrid w:val="0"/>
          <w:color w:val="auto"/>
          <w:kern w:val="0"/>
          <w:sz w:val="24"/>
          <w:highlight w:val="none"/>
        </w:rPr>
        <w:t>各次月</w:t>
      </w:r>
      <w:r>
        <w:rPr>
          <w:rFonts w:hint="eastAsia" w:ascii="宋体" w:hAnsi="宋体"/>
          <w:snapToGrid w:val="0"/>
          <w:color w:val="auto"/>
          <w:kern w:val="0"/>
          <w:sz w:val="24"/>
          <w:highlight w:val="none"/>
        </w:rPr>
        <w:t>工程进度款</w:t>
      </w:r>
      <w:r>
        <w:rPr>
          <w:rFonts w:hint="eastAsia" w:ascii="宋体" w:hAnsi="宋体"/>
          <w:iCs/>
          <w:snapToGrid w:val="0"/>
          <w:color w:val="auto"/>
          <w:kern w:val="0"/>
          <w:sz w:val="24"/>
          <w:highlight w:val="none"/>
        </w:rPr>
        <w:t>时应连同工人工资、材料设备供货单位及分包单位（如有）的</w:t>
      </w:r>
      <w:r>
        <w:rPr>
          <w:rFonts w:hint="eastAsia" w:ascii="宋体" w:hAnsi="宋体"/>
          <w:snapToGrid w:val="0"/>
          <w:color w:val="auto"/>
          <w:kern w:val="0"/>
          <w:sz w:val="24"/>
          <w:highlight w:val="none"/>
        </w:rPr>
        <w:t>工程进度款</w:t>
      </w:r>
      <w:r>
        <w:rPr>
          <w:rFonts w:hint="eastAsia" w:ascii="宋体" w:hAnsi="宋体"/>
          <w:iCs/>
          <w:snapToGrid w:val="0"/>
          <w:color w:val="auto"/>
          <w:kern w:val="0"/>
          <w:sz w:val="24"/>
          <w:highlight w:val="none"/>
        </w:rPr>
        <w:t>一并申报，发包人有权要求承包人</w:t>
      </w:r>
      <w:r>
        <w:rPr>
          <w:rFonts w:hint="eastAsia" w:ascii="宋体" w:hAnsi="宋体"/>
          <w:bCs/>
          <w:snapToGrid w:val="0"/>
          <w:color w:val="auto"/>
          <w:kern w:val="0"/>
          <w:sz w:val="24"/>
          <w:highlight w:val="none"/>
        </w:rPr>
        <w:t>附上其上一次已支付上述单位价款凭证的复印件作为支持材料</w:t>
      </w:r>
      <w:r>
        <w:rPr>
          <w:rFonts w:hint="eastAsia" w:ascii="宋体" w:hAnsi="宋体"/>
          <w:snapToGrid w:val="0"/>
          <w:color w:val="auto"/>
          <w:kern w:val="0"/>
          <w:sz w:val="24"/>
          <w:highlight w:val="none"/>
        </w:rPr>
        <w:t>。若承包人未能提供上述支持材料或提交材料不齐的，发包人有权拒绝计量与支付。</w:t>
      </w:r>
    </w:p>
    <w:p w14:paraId="19D74498">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（6）当所有款项累计支付达到本合同价款（不含暂列金额；不含原清单减少或未实施内容）的85%时，暂停支付除暂列金额外的所有款项。暂列金额的支付按合同专用条款第28.2（3）款的约定执行。</w:t>
      </w:r>
    </w:p>
    <w:p w14:paraId="45EC10E7">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7）本合同约定的工程全部完工且由承包人完成建设工程涉及到的工程质量验收、规划验收、消防验收、环保验收、室内环境验收、卫生防疫验收、电梯验收、燃气验收、档案验收、人防工程验收、防雷验收、节能验收等，并取得相关验收主管部门出具的验收认可文件或者准许使用文件后，通过发包人组织的工程竣工验收合格后，发包人累计支付至本合同价款（不含暂列金额；不含原清单减少或未实施内容）的86%。</w:t>
      </w:r>
    </w:p>
    <w:p w14:paraId="61350BA1">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（8）承包人完成建设工程竣工验收备案并取得批复的竣工验收备案意见且实体移交后，发包人累计支付至本合同价款（不含暂列金额；不含原清单减少或未实施内容；）的87%。</w:t>
      </w:r>
    </w:p>
    <w:p w14:paraId="5F7F7D28">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（9）承包人承包范围内的所有竣工结算资料按本合同约定及发包人下发相关管理办法的规定送至发包人后，发包人累计支付至本合同价款（不含暂列金额；不含原清单减少或未实施内容；）的88%。</w:t>
      </w:r>
    </w:p>
    <w:p w14:paraId="370E2A21">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（10）竣工结算经发包人完成内审和移交竣工档案后，发包人累计支付至本合同价款（不含暂列金额；不含原清单减少或未实施内容；）的89%。</w:t>
      </w:r>
    </w:p>
    <w:p w14:paraId="1747DE36">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（11）承包人承包范围内的所有竣工结算资料由承包人配合发包人送至有权结算终审部门后，发包人累计支付至本合同价款（不含暂列金额；不含原清单减少或未实施内容；）的90%。</w:t>
      </w:r>
    </w:p>
    <w:p w14:paraId="0B770441">
      <w:pPr>
        <w:autoSpaceDE w:val="0"/>
        <w:autoSpaceDN w:val="0"/>
        <w:adjustRightInd w:val="0"/>
        <w:snapToGrid w:val="0"/>
        <w:spacing w:line="360" w:lineRule="auto"/>
        <w:ind w:right="11" w:firstLine="461"/>
        <w:rPr>
          <w:rFonts w:hint="eastAsia" w:ascii="宋体" w:hAnsi="宋体" w:cs="宋体"/>
          <w:snapToGrid w:val="0"/>
          <w:color w:val="auto"/>
          <w:kern w:val="0"/>
          <w:sz w:val="24"/>
          <w:highlight w:val="none"/>
          <w:lang w:val="zh-CN"/>
        </w:rPr>
      </w:pPr>
      <w:r>
        <w:rPr>
          <w:rFonts w:hint="eastAsia" w:ascii="宋体" w:hAnsi="宋体"/>
          <w:snapToGrid w:val="0"/>
          <w:color w:val="auto"/>
          <w:kern w:val="0"/>
          <w:sz w:val="24"/>
          <w:highlight w:val="none"/>
        </w:rPr>
        <w:t>（12）本合同工程结算经有权结算终审部门定审、承包人按合同专用条款第35条约定完整移交工程竣工档案且不发生</w:t>
      </w:r>
      <w:r>
        <w:rPr>
          <w:rFonts w:hint="eastAsia" w:ascii="宋体" w:hAnsi="宋体" w:cs="宋体"/>
          <w:snapToGrid w:val="0"/>
          <w:color w:val="auto"/>
          <w:kern w:val="0"/>
          <w:sz w:val="24"/>
          <w:highlight w:val="none"/>
          <w:lang w:val="zh-CN"/>
        </w:rPr>
        <w:t>合同专用条款第38.10（3）、（4）款</w:t>
      </w:r>
      <w:r>
        <w:rPr>
          <w:rFonts w:hint="eastAsia" w:ascii="宋体" w:hAnsi="宋体"/>
          <w:snapToGrid w:val="0"/>
          <w:color w:val="auto"/>
          <w:kern w:val="0"/>
          <w:sz w:val="24"/>
          <w:highlight w:val="none"/>
        </w:rPr>
        <w:t>的违约情形的，发包人累计支付至</w:t>
      </w:r>
      <w:r>
        <w:rPr>
          <w:rFonts w:hint="eastAsia" w:ascii="宋体" w:hAnsi="宋体" w:cs="宋体"/>
          <w:snapToGrid w:val="0"/>
          <w:color w:val="auto"/>
          <w:kern w:val="0"/>
          <w:sz w:val="24"/>
          <w:highlight w:val="none"/>
          <w:lang w:val="zh-CN"/>
        </w:rPr>
        <w:t>本合同结算定审金额</w:t>
      </w:r>
      <w:r>
        <w:rPr>
          <w:rFonts w:hint="eastAsia" w:ascii="宋体" w:hAnsi="宋体"/>
          <w:snapToGrid w:val="0"/>
          <w:color w:val="auto"/>
          <w:kern w:val="0"/>
          <w:sz w:val="24"/>
          <w:highlight w:val="none"/>
        </w:rPr>
        <w:t>的97%，</w:t>
      </w:r>
      <w:r>
        <w:rPr>
          <w:rFonts w:hint="eastAsia" w:ascii="宋体" w:hAnsi="宋体" w:cs="宋体"/>
          <w:snapToGrid w:val="0"/>
          <w:color w:val="auto"/>
          <w:kern w:val="0"/>
          <w:sz w:val="24"/>
          <w:highlight w:val="none"/>
          <w:lang w:val="zh-CN"/>
        </w:rPr>
        <w:t>留下本合同结算定审金额的3%作为工程质量保证金并按如下约定方式支付：</w:t>
      </w:r>
    </w:p>
    <w:p w14:paraId="441108FF">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1）缺陷责任期内，由承包人原因造成的缺陷，承包人应负责维修，并承担鉴定及维修费用；如承包人不维修也不承担费用，发包人可按合同约定扣除工程质量保证金，并由承包人承担违约责任；承包人维修并承担相应费用后，不免除承担对工程损失的赔偿责任。</w:t>
      </w:r>
    </w:p>
    <w:p w14:paraId="1CE5BB49">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2）本工程涉及防水工程，工程竣工验收合格后满2年，承包人应按要求向发包人提交合同结算定审金额的3%的质保期银行履约保函（保函期限</w:t>
      </w:r>
      <w:r>
        <w:rPr>
          <w:rFonts w:hint="eastAsia" w:ascii="宋体" w:hAnsi="宋体" w:cs="宋体"/>
          <w:snapToGrid w:val="0"/>
          <w:color w:val="auto"/>
          <w:kern w:val="0"/>
          <w:sz w:val="24"/>
          <w:highlight w:val="none"/>
        </w:rPr>
        <w:t>为</w:t>
      </w:r>
      <w:r>
        <w:rPr>
          <w:rFonts w:hint="eastAsia" w:ascii="宋体" w:hAnsi="宋体" w:cs="宋体"/>
          <w:snapToGrid w:val="0"/>
          <w:color w:val="auto"/>
          <w:kern w:val="0"/>
          <w:sz w:val="24"/>
          <w:highlight w:val="none"/>
          <w:lang w:val="zh-CN"/>
        </w:rPr>
        <w:t>防水工程</w:t>
      </w:r>
      <w:r>
        <w:rPr>
          <w:rFonts w:hint="eastAsia" w:ascii="宋体" w:hAnsi="宋体" w:cs="宋体"/>
          <w:snapToGrid w:val="0"/>
          <w:color w:val="auto"/>
          <w:kern w:val="0"/>
          <w:sz w:val="24"/>
          <w:highlight w:val="none"/>
        </w:rPr>
        <w:t>剩余</w:t>
      </w:r>
      <w:r>
        <w:rPr>
          <w:rFonts w:hint="eastAsia" w:ascii="宋体" w:hAnsi="宋体" w:cs="宋体"/>
          <w:snapToGrid w:val="0"/>
          <w:color w:val="auto"/>
          <w:kern w:val="0"/>
          <w:sz w:val="24"/>
          <w:highlight w:val="none"/>
          <w:lang w:val="zh-CN"/>
        </w:rPr>
        <w:t>质保期，</w:t>
      </w:r>
      <w:r>
        <w:rPr>
          <w:rFonts w:hint="eastAsia" w:ascii="宋体" w:hAnsi="宋体" w:cs="宋体"/>
          <w:snapToGrid w:val="0"/>
          <w:color w:val="auto"/>
          <w:kern w:val="0"/>
          <w:sz w:val="24"/>
          <w:highlight w:val="none"/>
        </w:rPr>
        <w:t>即3年</w:t>
      </w:r>
      <w:r>
        <w:rPr>
          <w:rFonts w:hint="eastAsia" w:ascii="宋体" w:hAnsi="宋体" w:cs="宋体"/>
          <w:snapToGrid w:val="0"/>
          <w:color w:val="auto"/>
          <w:kern w:val="0"/>
          <w:sz w:val="24"/>
          <w:highlight w:val="none"/>
          <w:lang w:val="zh-CN"/>
        </w:rPr>
        <w:t>），发包人应在收到质保期银行履约保函原件以及承包人的款项申请手续，扣除应扣款项且缺陷责任期届满后14天内将工程质量保证金（本合同结算定审金额的3%）无息支付给承包人。承包人承诺按照本合同约定的质量标准和目标，确保防水工程质量。在防水工程质量保修期内，如出现因防水工程质量问题导致建筑物渗水、漏水的，经维修后同一部位再次发生渗漏的，或渗漏水严重造成业主单位（或使用单位）损失的，均视为承包人对该承诺的违反，每出现1次，承包人应按合同约定承担1次严重违约责任，并赔偿业主单位（或使用单位）的损失；同时，在防水工程质保期（5年）届满后，承包人不存在违约情形或向发包人缴纳上述相关违约金及赔偿损失后，可向发包人申请退还质保期银行履约保函。</w:t>
      </w:r>
    </w:p>
    <w:p w14:paraId="29546979">
      <w:pPr>
        <w:autoSpaceDE w:val="0"/>
        <w:autoSpaceDN w:val="0"/>
        <w:adjustRightInd w:val="0"/>
        <w:snapToGrid w:val="0"/>
        <w:spacing w:line="360" w:lineRule="auto"/>
        <w:ind w:right="11" w:firstLine="461"/>
        <w:rPr>
          <w:rFonts w:hint="eastAsia" w:ascii="宋体" w:hAnsi="宋体" w:cs="宋体"/>
          <w:snapToGrid w:val="0"/>
          <w:color w:val="auto"/>
          <w:kern w:val="0"/>
          <w:sz w:val="24"/>
          <w:highlight w:val="none"/>
        </w:rPr>
      </w:pPr>
      <w:r>
        <w:rPr>
          <w:rFonts w:hint="eastAsia" w:ascii="宋体" w:hAnsi="宋体" w:cs="宋体"/>
          <w:snapToGrid w:val="0"/>
          <w:color w:val="auto"/>
          <w:kern w:val="0"/>
          <w:sz w:val="24"/>
          <w:highlight w:val="none"/>
          <w:lang w:val="zh-CN"/>
        </w:rPr>
        <w:t>结清工程尾款不豁免承包人继续按照本合同（含合同附件）约定应承担的保修责任。</w:t>
      </w:r>
    </w:p>
    <w:p w14:paraId="4A13BD92">
      <w:pPr>
        <w:adjustRightInd w:val="0"/>
        <w:snapToGrid w:val="0"/>
        <w:spacing w:line="360" w:lineRule="auto"/>
        <w:ind w:right="11" w:firstLine="480" w:firstLineChars="200"/>
        <w:rPr>
          <w:rFonts w:hint="eastAsia" w:ascii="宋体" w:hAnsi="宋体" w:cs="宋体-18030"/>
          <w:snapToGrid w:val="0"/>
          <w:color w:val="auto"/>
          <w:kern w:val="0"/>
          <w:sz w:val="24"/>
          <w:szCs w:val="28"/>
          <w:highlight w:val="none"/>
        </w:rPr>
      </w:pPr>
      <w:r>
        <w:rPr>
          <w:rFonts w:hint="eastAsia" w:ascii="宋体" w:hAnsi="宋体"/>
          <w:snapToGrid w:val="0"/>
          <w:color w:val="auto"/>
          <w:kern w:val="0"/>
          <w:sz w:val="24"/>
          <w:highlight w:val="none"/>
        </w:rPr>
        <w:t>（13）</w:t>
      </w:r>
      <w:r>
        <w:rPr>
          <w:rFonts w:hint="eastAsia" w:ascii="宋体" w:hAnsi="宋体" w:cs="宋体-18030"/>
          <w:snapToGrid w:val="0"/>
          <w:color w:val="auto"/>
          <w:kern w:val="0"/>
          <w:sz w:val="24"/>
          <w:szCs w:val="28"/>
          <w:highlight w:val="none"/>
        </w:rPr>
        <w:t>发包人已支付的累计金额大于</w:t>
      </w:r>
      <w:r>
        <w:rPr>
          <w:rFonts w:hint="eastAsia" w:ascii="宋体" w:hAnsi="宋体" w:cs="宋体"/>
          <w:snapToGrid w:val="0"/>
          <w:color w:val="auto"/>
          <w:kern w:val="0"/>
          <w:sz w:val="24"/>
          <w:highlight w:val="none"/>
          <w:lang w:val="zh-CN"/>
        </w:rPr>
        <w:t>本合同</w:t>
      </w:r>
      <w:r>
        <w:rPr>
          <w:rFonts w:hint="eastAsia" w:ascii="宋体" w:hAnsi="宋体" w:cs="宋体-18030"/>
          <w:snapToGrid w:val="0"/>
          <w:color w:val="auto"/>
          <w:kern w:val="0"/>
          <w:sz w:val="24"/>
          <w:szCs w:val="28"/>
          <w:highlight w:val="none"/>
        </w:rPr>
        <w:t>结算定审金额的97%的，承包人应在工程结算定审之日起15日内向发包人返还多收的款项；否则，发包人有权向承包人追索，承包人除应足额返还多收的款项外，还应每天按多收款项总金额的2‰向发包人支付违约金。</w:t>
      </w:r>
    </w:p>
    <w:p w14:paraId="24B4D5E6">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w:t>
      </w:r>
      <w:r>
        <w:rPr>
          <w:rFonts w:hint="eastAsia" w:ascii="宋体" w:hAnsi="宋体"/>
          <w:color w:val="auto"/>
          <w:kern w:val="0"/>
          <w:sz w:val="22"/>
          <w:highlight w:val="none"/>
        </w:rPr>
        <w:t xml:space="preserve"> </w:t>
      </w:r>
      <w:r>
        <w:rPr>
          <w:rFonts w:hint="eastAsia" w:ascii="宋体" w:hAnsi="宋体"/>
          <w:snapToGrid w:val="0"/>
          <w:color w:val="auto"/>
          <w:kern w:val="0"/>
          <w:sz w:val="24"/>
          <w:highlight w:val="none"/>
        </w:rPr>
        <w:t>发包人在支付每期工程进度款时，如发现承包人存在欠缴违约金情形的，则发包人有权暂停支付承包人当期申请支付的进度款，直至承包人缴清违约金为止。</w:t>
      </w:r>
    </w:p>
    <w:p w14:paraId="3A61DA9D">
      <w:pPr>
        <w:autoSpaceDE w:val="0"/>
        <w:autoSpaceDN w:val="0"/>
        <w:adjustRightInd w:val="0"/>
        <w:snapToGrid w:val="0"/>
        <w:spacing w:line="360" w:lineRule="auto"/>
        <w:ind w:right="11" w:firstLine="480"/>
        <w:outlineLvl w:val="3"/>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28.2</w:t>
      </w:r>
      <w:r>
        <w:rPr>
          <w:rFonts w:hint="eastAsia" w:ascii="宋体" w:hAnsi="宋体"/>
          <w:snapToGrid w:val="0"/>
          <w:color w:val="auto"/>
          <w:kern w:val="0"/>
          <w:sz w:val="24"/>
          <w:highlight w:val="none"/>
        </w:rPr>
        <w:t>双方约定的工程进度款支付方式</w:t>
      </w:r>
    </w:p>
    <w:p w14:paraId="5450F1B7">
      <w:pPr>
        <w:autoSpaceDE w:val="0"/>
        <w:autoSpaceDN w:val="0"/>
        <w:adjustRightInd w:val="0"/>
        <w:snapToGrid w:val="0"/>
        <w:spacing w:line="360" w:lineRule="auto"/>
        <w:ind w:right="11" w:firstLine="480"/>
        <w:outlineLvl w:val="4"/>
        <w:rPr>
          <w:rFonts w:hint="eastAsia" w:ascii="宋体" w:hAnsi="宋体" w:cs="宋体"/>
          <w:bCs/>
          <w:snapToGrid w:val="0"/>
          <w:color w:val="auto"/>
          <w:kern w:val="0"/>
          <w:sz w:val="24"/>
          <w:highlight w:val="none"/>
          <w:lang w:val="zh-CN"/>
        </w:rPr>
      </w:pPr>
      <w:r>
        <w:rPr>
          <w:rFonts w:hint="eastAsia" w:ascii="宋体" w:hAnsi="宋体" w:cs="宋体"/>
          <w:bCs/>
          <w:snapToGrid w:val="0"/>
          <w:color w:val="auto"/>
          <w:kern w:val="0"/>
          <w:sz w:val="24"/>
          <w:highlight w:val="none"/>
          <w:lang w:val="zh-CN"/>
        </w:rPr>
        <w:t>（1）分部分项工程量清单项目</w:t>
      </w:r>
      <w:r>
        <w:rPr>
          <w:rFonts w:hint="eastAsia" w:ascii="宋体" w:hAnsi="宋体"/>
          <w:snapToGrid w:val="0"/>
          <w:color w:val="auto"/>
          <w:kern w:val="0"/>
          <w:sz w:val="24"/>
          <w:highlight w:val="none"/>
        </w:rPr>
        <w:t>工程进度款的支付方式</w:t>
      </w:r>
    </w:p>
    <w:p w14:paraId="2A15A747">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sym w:font="Wingdings 2" w:char="0052"/>
      </w:r>
      <w:r>
        <w:rPr>
          <w:rFonts w:hint="eastAsia" w:ascii="宋体" w:hAnsi="宋体"/>
          <w:b/>
          <w:iCs/>
          <w:snapToGrid w:val="0"/>
          <w:color w:val="auto"/>
          <w:kern w:val="0"/>
          <w:sz w:val="24"/>
          <w:highlight w:val="none"/>
        </w:rPr>
        <w:t xml:space="preserve"> 房屋建筑、装饰装修、机电安装等项目：</w:t>
      </w:r>
    </w:p>
    <w:p w14:paraId="68BF0C96">
      <w:pPr>
        <w:adjustRightInd w:val="0"/>
        <w:snapToGrid w:val="0"/>
        <w:spacing w:line="360" w:lineRule="auto"/>
        <w:ind w:right="11" w:firstLine="480" w:firstLineChars="200"/>
        <w:rPr>
          <w:rFonts w:hint="eastAsia" w:ascii="宋体" w:hAnsi="宋体"/>
          <w:iCs/>
          <w:snapToGrid w:val="0"/>
          <w:color w:val="auto"/>
          <w:kern w:val="0"/>
          <w:sz w:val="24"/>
          <w:highlight w:val="none"/>
        </w:rPr>
      </w:pPr>
      <w:r>
        <w:rPr>
          <w:rFonts w:hint="eastAsia" w:ascii="宋体" w:hAnsi="宋体"/>
          <w:snapToGrid w:val="0"/>
          <w:color w:val="auto"/>
          <w:kern w:val="0"/>
          <w:sz w:val="24"/>
          <w:highlight w:val="none"/>
        </w:rPr>
        <w:t>1）工程进度款以监理单位审核计量和发包人审定确认为准。承包人进场开工后，应依据每日申报的实物工程量完成统计报表在每月最后一日前统计上月25日至本月24日所发生的工作量，按工程量清单单价和取费标准，计算出已完工程价款，按规定格式编制工程进度款支付申请单报监理单位核实确认，并附上隐蔽工程验收记录作为支持材料。监理单位收到后，应在5天内审核并签署意见后报发包人，发包人在7天内审批完毕，</w:t>
      </w:r>
      <w:r>
        <w:rPr>
          <w:rFonts w:hint="eastAsia" w:ascii="宋体" w:hAnsi="宋体"/>
          <w:iCs/>
          <w:snapToGrid w:val="0"/>
          <w:color w:val="auto"/>
          <w:kern w:val="0"/>
          <w:sz w:val="24"/>
          <w:highlight w:val="none"/>
        </w:rPr>
        <w:t>并办理统一拨付。</w:t>
      </w:r>
    </w:p>
    <w:p w14:paraId="1542009B">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2）工程进度款计算公式（</w:t>
      </w:r>
      <w:r>
        <w:rPr>
          <w:rFonts w:hint="eastAsia" w:hAnsi="宋体"/>
          <w:snapToGrid w:val="0"/>
          <w:color w:val="auto"/>
          <w:kern w:val="0"/>
          <w:sz w:val="24"/>
          <w:szCs w:val="24"/>
          <w:highlight w:val="none"/>
        </w:rPr>
        <w:t>本合同另有约定的，从其约定</w:t>
      </w:r>
      <w:r>
        <w:rPr>
          <w:rFonts w:hint="eastAsia" w:ascii="宋体" w:hAnsi="宋体"/>
          <w:snapToGrid w:val="0"/>
          <w:color w:val="auto"/>
          <w:kern w:val="0"/>
          <w:sz w:val="24"/>
          <w:highlight w:val="none"/>
        </w:rPr>
        <w:t>）</w:t>
      </w:r>
    </w:p>
    <w:p w14:paraId="6917B8C4">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① 当期实际完成的工程进度款、已支付款（含预付款及由发包人预交的款项）累计总数＜合同清单内分部分项工程量清单计价×</w:t>
      </w:r>
      <w:r>
        <w:rPr>
          <w:rFonts w:hint="default" w:ascii="宋体" w:hAnsi="宋体"/>
          <w:b/>
          <w:iCs/>
          <w:snapToGrid w:val="0"/>
          <w:color w:val="auto"/>
          <w:kern w:val="0"/>
          <w:sz w:val="24"/>
          <w:highlight w:val="none"/>
          <w:lang w:val="en-US"/>
        </w:rPr>
        <w:t>40</w:t>
      </w:r>
      <w:r>
        <w:rPr>
          <w:rFonts w:hint="eastAsia" w:ascii="宋体" w:hAnsi="宋体"/>
          <w:b/>
          <w:iCs/>
          <w:snapToGrid w:val="0"/>
          <w:color w:val="auto"/>
          <w:kern w:val="0"/>
          <w:sz w:val="24"/>
          <w:highlight w:val="none"/>
        </w:rPr>
        <w:t>%时</w:t>
      </w:r>
    </w:p>
    <w:p w14:paraId="37268AB5">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当期可支付工程进度款＝承包人当期实际完成的工程进度款×90%</w:t>
      </w:r>
    </w:p>
    <w:p w14:paraId="4CE76021">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② 当期实际完成的工程进度款、已支付款（含预付款及由发包人预交的款项）累计总数≥合同清单内分部分项工程量清单计价×40%时，开始扣回预付款：</w:t>
      </w:r>
    </w:p>
    <w:p w14:paraId="340E038A">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当期可支付工程进度款＝承包人当期实际完成的工程进度款×90%-预付款总额×抵扣比例</w:t>
      </w:r>
    </w:p>
    <w:p w14:paraId="7621899B">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抵扣比例＝承包人当期实际完成的工程进度款中分部分项清单计价部分/（合同清单内分部分项工程量清单计价×</w:t>
      </w:r>
      <w:r>
        <w:rPr>
          <w:rFonts w:hint="default" w:ascii="宋体" w:hAnsi="宋体"/>
          <w:b/>
          <w:iCs/>
          <w:snapToGrid w:val="0"/>
          <w:color w:val="auto"/>
          <w:kern w:val="0"/>
          <w:sz w:val="24"/>
          <w:highlight w:val="none"/>
          <w:lang w:val="en-US"/>
        </w:rPr>
        <w:t>40</w:t>
      </w:r>
      <w:r>
        <w:rPr>
          <w:rFonts w:hint="eastAsia" w:ascii="宋体" w:hAnsi="宋体"/>
          <w:b/>
          <w:iCs/>
          <w:snapToGrid w:val="0"/>
          <w:color w:val="auto"/>
          <w:kern w:val="0"/>
          <w:sz w:val="24"/>
          <w:highlight w:val="none"/>
        </w:rPr>
        <w:t>%）</w:t>
      </w:r>
    </w:p>
    <w:p w14:paraId="6920916D">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③ 当期实际完成的工程进度款、已支付款（含预付款及由发包人预交的款项）累计总数＝合同清单内分部分项工程量清单计价×</w:t>
      </w:r>
      <w:r>
        <w:rPr>
          <w:rFonts w:hint="default" w:ascii="宋体" w:hAnsi="宋体"/>
          <w:b/>
          <w:iCs/>
          <w:snapToGrid w:val="0"/>
          <w:color w:val="auto"/>
          <w:kern w:val="0"/>
          <w:sz w:val="24"/>
          <w:highlight w:val="none"/>
          <w:lang w:val="en-US"/>
        </w:rPr>
        <w:t>80</w:t>
      </w:r>
      <w:r>
        <w:rPr>
          <w:rFonts w:hint="eastAsia" w:ascii="宋体" w:hAnsi="宋体"/>
          <w:b/>
          <w:iCs/>
          <w:snapToGrid w:val="0"/>
          <w:color w:val="auto"/>
          <w:kern w:val="0"/>
          <w:sz w:val="24"/>
          <w:highlight w:val="none"/>
        </w:rPr>
        <w:t>%时</w:t>
      </w:r>
    </w:p>
    <w:p w14:paraId="16A4343F">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当期可支付工程进度款＝承包人当期实际完成的工程进度款×90%-应扣预付款余额。</w:t>
      </w:r>
    </w:p>
    <w:p w14:paraId="543ABF95">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④ 预付款扣清以后的工程进度款计算</w:t>
      </w:r>
    </w:p>
    <w:p w14:paraId="5B4E7CDE">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t>当期可支付工程进度款＝承包人当期实际完成的工程进度款×90%</w:t>
      </w:r>
    </w:p>
    <w:p w14:paraId="5C0FF766">
      <w:pPr>
        <w:adjustRightInd w:val="0"/>
        <w:snapToGrid w:val="0"/>
        <w:spacing w:line="360" w:lineRule="auto"/>
        <w:ind w:right="11" w:firstLine="482" w:firstLineChars="200"/>
        <w:outlineLvl w:val="5"/>
        <w:rPr>
          <w:rFonts w:hint="eastAsia" w:ascii="宋体" w:hAnsi="宋体"/>
          <w:b/>
          <w:iCs/>
          <w:snapToGrid w:val="0"/>
          <w:color w:val="auto"/>
          <w:kern w:val="0"/>
          <w:sz w:val="24"/>
          <w:highlight w:val="none"/>
        </w:rPr>
      </w:pPr>
      <w:r>
        <w:rPr>
          <w:rFonts w:hint="eastAsia" w:ascii="宋体" w:hAnsi="宋体"/>
          <w:b/>
          <w:iCs/>
          <w:snapToGrid w:val="0"/>
          <w:color w:val="auto"/>
          <w:kern w:val="0"/>
          <w:sz w:val="24"/>
          <w:highlight w:val="none"/>
        </w:rPr>
        <w:sym w:font="Wingdings 2" w:char="0052"/>
      </w:r>
      <w:r>
        <w:rPr>
          <w:rFonts w:hint="eastAsia" w:ascii="宋体" w:hAnsi="宋体"/>
          <w:b/>
          <w:iCs/>
          <w:snapToGrid w:val="0"/>
          <w:color w:val="auto"/>
          <w:kern w:val="0"/>
          <w:sz w:val="24"/>
          <w:highlight w:val="none"/>
        </w:rPr>
        <w:t xml:space="preserve"> 智能化工程项目：</w:t>
      </w:r>
    </w:p>
    <w:p w14:paraId="25AB7E55">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rPr>
      </w:pPr>
      <w:r>
        <w:rPr>
          <w:rFonts w:hint="eastAsia" w:ascii="宋体" w:hAnsi="宋体" w:cs="宋体"/>
          <w:snapToGrid w:val="0"/>
          <w:color w:val="auto"/>
          <w:kern w:val="0"/>
          <w:sz w:val="24"/>
          <w:highlight w:val="none"/>
          <w:lang w:val="zh-CN"/>
        </w:rPr>
        <w:t>分部分项工程量清单项目的</w:t>
      </w:r>
      <w:r>
        <w:rPr>
          <w:rFonts w:hint="eastAsia" w:ascii="宋体" w:hAnsi="宋体"/>
          <w:snapToGrid w:val="0"/>
          <w:color w:val="auto"/>
          <w:kern w:val="0"/>
          <w:sz w:val="24"/>
          <w:highlight w:val="none"/>
        </w:rPr>
        <w:t>工程进度款</w:t>
      </w:r>
      <w:r>
        <w:rPr>
          <w:rFonts w:hint="eastAsia" w:ascii="宋体" w:hAnsi="宋体" w:cs="宋体"/>
          <w:snapToGrid w:val="0"/>
          <w:color w:val="auto"/>
          <w:kern w:val="0"/>
          <w:sz w:val="24"/>
          <w:highlight w:val="none"/>
          <w:lang w:val="zh-CN"/>
        </w:rPr>
        <w:t>支付分为三部分，第一部分为“关键材料设备表”中主材费的支付，第二部分为“关键材料设备表”中主材安装费的支付，第三部分为除“关键材料设备表”的主材费和安装费以外其他分部分项工程量清单项目价款的支付。</w:t>
      </w:r>
    </w:p>
    <w:p w14:paraId="3491C047">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1）“关键材料设备表”中的主材费支付</w:t>
      </w:r>
    </w:p>
    <w:p w14:paraId="6DBFC493">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① 承包人与发包人签署本合同并且深化设计图纸和“关键材料设备表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经发包人审核通过，发包人应当在14天内向承包人支付金额为“关键材料设备表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中的主材费总价20%的定金。结算时，定金抵作合同价款。</w:t>
      </w:r>
    </w:p>
    <w:p w14:paraId="068D88DD">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② 承包人应根据合同规定的交货计划将“关键材料设备表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运抵施工现场并负责有关的装卸和保管；承包人与发包人或发包人委派的单位将共同对到货材料设备进行开箱检查和清点，双方核实无误后签署到货清单及开箱检验清单。承包人凭到货清单及开箱检验清单申报</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w:t>
      </w:r>
    </w:p>
    <w:p w14:paraId="40B541B7">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③ 承包人应于每月</w:t>
      </w:r>
      <w:r>
        <w:rPr>
          <w:rFonts w:hAnsi="宋体" w:cs="宋体"/>
          <w:snapToGrid w:val="0"/>
          <w:color w:val="auto"/>
          <w:kern w:val="0"/>
          <w:sz w:val="24"/>
          <w:szCs w:val="24"/>
          <w:highlight w:val="none"/>
        </w:rPr>
        <w:t>5</w:t>
      </w:r>
      <w:r>
        <w:rPr>
          <w:rFonts w:hint="eastAsia" w:hAnsi="宋体" w:cs="宋体"/>
          <w:snapToGrid w:val="0"/>
          <w:color w:val="auto"/>
          <w:kern w:val="0"/>
          <w:sz w:val="24"/>
          <w:szCs w:val="24"/>
          <w:highlight w:val="none"/>
        </w:rPr>
        <w:t>日前，按月申请支付实际到货的“关键材料设备表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中的主材费的到货款。经监理单位和发包人审核后，按月支付当月关键材料设备到货款的40%，计算公式为：</w:t>
      </w:r>
    </w:p>
    <w:p w14:paraId="03A3597C">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可支付的“关键材料设备表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中主材费的到货款＝承包人当月实际到货的“关键材料设备表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中的主材费累计价款×4</w:t>
      </w:r>
      <w:r>
        <w:rPr>
          <w:rFonts w:hAnsi="宋体" w:cs="宋体"/>
          <w:snapToGrid w:val="0"/>
          <w:color w:val="auto"/>
          <w:kern w:val="0"/>
          <w:sz w:val="24"/>
          <w:szCs w:val="24"/>
          <w:highlight w:val="none"/>
        </w:rPr>
        <w:t>0%</w:t>
      </w:r>
    </w:p>
    <w:p w14:paraId="5EEB0799">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④ 承包人应于每月</w:t>
      </w:r>
      <w:r>
        <w:rPr>
          <w:rFonts w:hAnsi="宋体" w:cs="宋体"/>
          <w:snapToGrid w:val="0"/>
          <w:color w:val="auto"/>
          <w:kern w:val="0"/>
          <w:sz w:val="24"/>
          <w:szCs w:val="24"/>
          <w:highlight w:val="none"/>
        </w:rPr>
        <w:t>5</w:t>
      </w:r>
      <w:r>
        <w:rPr>
          <w:rFonts w:hint="eastAsia" w:hAnsi="宋体" w:cs="宋体"/>
          <w:snapToGrid w:val="0"/>
          <w:color w:val="auto"/>
          <w:kern w:val="0"/>
          <w:sz w:val="24"/>
          <w:szCs w:val="24"/>
          <w:highlight w:val="none"/>
        </w:rPr>
        <w:t>日前，按月申请支付实际完成安装的“关键材料设备表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中的主材费的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。经监理单位和发包人审核后，按月支付“关键材料设备表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中主材费的10%。计算公式为：</w:t>
      </w:r>
    </w:p>
    <w:p w14:paraId="589971C4">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可支付的“关键材料设备表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＝承包人当月实际完成安装的“关键材料设备表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中的主材费累计价款×1</w:t>
      </w:r>
      <w:r>
        <w:rPr>
          <w:rFonts w:hAnsi="宋体" w:cs="宋体"/>
          <w:snapToGrid w:val="0"/>
          <w:color w:val="auto"/>
          <w:kern w:val="0"/>
          <w:sz w:val="24"/>
          <w:szCs w:val="24"/>
          <w:highlight w:val="none"/>
        </w:rPr>
        <w:t>0%</w:t>
      </w:r>
    </w:p>
    <w:p w14:paraId="6770D2B0">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⑤ 承包人应于每月</w:t>
      </w:r>
      <w:r>
        <w:rPr>
          <w:rFonts w:hAnsi="宋体" w:cs="宋体"/>
          <w:snapToGrid w:val="0"/>
          <w:color w:val="auto"/>
          <w:kern w:val="0"/>
          <w:sz w:val="24"/>
          <w:szCs w:val="24"/>
          <w:highlight w:val="none"/>
        </w:rPr>
        <w:t>5</w:t>
      </w:r>
      <w:r>
        <w:rPr>
          <w:rFonts w:hint="eastAsia" w:hAnsi="宋体" w:cs="宋体"/>
          <w:snapToGrid w:val="0"/>
          <w:color w:val="auto"/>
          <w:kern w:val="0"/>
          <w:sz w:val="24"/>
          <w:szCs w:val="24"/>
          <w:highlight w:val="none"/>
        </w:rPr>
        <w:t>日前，按月申请支付实际完成调试的子系统中属于“关键材料设备表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的主材费的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。经监理单位和发包人审核后，按月支付“关键材料设备表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中主材费的子系统调试完成</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。计算公式为：</w:t>
      </w:r>
    </w:p>
    <w:p w14:paraId="502EED9F">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可支付的“关键材料设备表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中主材费的子系统调试完成</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＝承包人当月实际完成子系统调试的“关键材料设备表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中的主材费累计价款×1</w:t>
      </w:r>
      <w:r>
        <w:rPr>
          <w:rFonts w:hAnsi="宋体" w:cs="宋体"/>
          <w:snapToGrid w:val="0"/>
          <w:color w:val="auto"/>
          <w:kern w:val="0"/>
          <w:sz w:val="24"/>
          <w:szCs w:val="24"/>
          <w:highlight w:val="none"/>
        </w:rPr>
        <w:t>0%</w:t>
      </w:r>
    </w:p>
    <w:p w14:paraId="71A04D2D">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⑥ 当整个系统调试及联合调试完成后，发包人与承包人共同组织系统验收并签署系统调试及联合调试合格证书，承包人凭系统调试及联合调试合格证书申请支付“关键材料设备表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中主材费的联合调试完成</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。经监理单位和发包人审核后，支付“关键材料设备表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中主材费的联合调试完成</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。计算公式为：</w:t>
      </w:r>
    </w:p>
    <w:p w14:paraId="484D76E7">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可支付的“关键材料设备表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中主材费的联合调试完成</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的主材费合计价款×5</w:t>
      </w:r>
      <w:r>
        <w:rPr>
          <w:rFonts w:hAnsi="宋体" w:cs="宋体"/>
          <w:snapToGrid w:val="0"/>
          <w:color w:val="auto"/>
          <w:kern w:val="0"/>
          <w:sz w:val="24"/>
          <w:szCs w:val="24"/>
          <w:highlight w:val="none"/>
        </w:rPr>
        <w:t>%</w:t>
      </w:r>
    </w:p>
    <w:p w14:paraId="1497D53C">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⑦ 当“关键材料设备表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中主材费</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累计支付达到“关键材料设备表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中的主材费的总价款的85</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时，暂停支付“关键材料设备表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中的主材的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w:t>
      </w:r>
    </w:p>
    <w:p w14:paraId="5010667B">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⑧ 在工程竣工结算确认且承包人按时完整移交工程竣工档案后，发包人付至关键材料设备表中的主材费结算造价的95%。</w:t>
      </w:r>
    </w:p>
    <w:p w14:paraId="1CBCF649">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⑨ 特殊情况下，发包人可以凭承包人与材料设备供货商所签订的供货合同，由发包人直接转付“关键材料设备表”中主材费给材料设备供货商，并纳入月“关键材料设备表”中的主材费</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中统计“关键材料设备表”中的主材费月</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w:t>
      </w:r>
    </w:p>
    <w:p w14:paraId="4F353F57">
      <w:pPr>
        <w:autoSpaceDE w:val="0"/>
        <w:autoSpaceDN w:val="0"/>
        <w:adjustRightInd w:val="0"/>
        <w:snapToGrid w:val="0"/>
        <w:spacing w:line="360" w:lineRule="auto"/>
        <w:ind w:right="11" w:firstLine="480"/>
        <w:rPr>
          <w:rFonts w:hint="eastAsia" w:ascii="宋体" w:hAnsi="宋体" w:cs="宋体"/>
          <w:bCs/>
          <w:snapToGrid w:val="0"/>
          <w:color w:val="auto"/>
          <w:kern w:val="0"/>
          <w:sz w:val="24"/>
          <w:highlight w:val="none"/>
          <w:lang w:val="zh-CN"/>
        </w:rPr>
      </w:pPr>
      <w:r>
        <w:rPr>
          <w:rFonts w:hint="eastAsia" w:ascii="宋体" w:hAnsi="宋体" w:cs="宋体"/>
          <w:snapToGrid w:val="0"/>
          <w:color w:val="auto"/>
          <w:kern w:val="0"/>
          <w:sz w:val="24"/>
          <w:highlight w:val="none"/>
          <w:lang w:val="zh-CN"/>
        </w:rPr>
        <w:t>2）</w:t>
      </w:r>
      <w:r>
        <w:rPr>
          <w:rFonts w:hint="eastAsia" w:ascii="宋体" w:hAnsi="宋体" w:cs="宋体"/>
          <w:bCs/>
          <w:snapToGrid w:val="0"/>
          <w:color w:val="auto"/>
          <w:kern w:val="0"/>
          <w:sz w:val="24"/>
          <w:highlight w:val="none"/>
          <w:lang w:val="zh-CN"/>
        </w:rPr>
        <w:t>“关键材料设备表”中的安装费支付</w:t>
      </w:r>
    </w:p>
    <w:p w14:paraId="02B8BD8D">
      <w:pPr>
        <w:pStyle w:val="7"/>
        <w:snapToGrid w:val="0"/>
        <w:ind w:left="0" w:leftChars="0" w:firstLine="480" w:firstLineChars="200"/>
        <w:rPr>
          <w:rFonts w:hint="eastAsia" w:hAnsi="宋体"/>
          <w:snapToGrid w:val="0"/>
          <w:color w:val="auto"/>
          <w:kern w:val="0"/>
          <w:sz w:val="24"/>
          <w:szCs w:val="24"/>
          <w:highlight w:val="none"/>
        </w:rPr>
      </w:pPr>
      <w:r>
        <w:rPr>
          <w:rFonts w:hint="eastAsia" w:hAnsi="宋体" w:cs="宋体"/>
          <w:snapToGrid w:val="0"/>
          <w:color w:val="auto"/>
          <w:kern w:val="0"/>
          <w:sz w:val="24"/>
          <w:szCs w:val="24"/>
          <w:highlight w:val="none"/>
        </w:rPr>
        <w:t>① 承包人应于每月</w:t>
      </w:r>
      <w:r>
        <w:rPr>
          <w:rFonts w:hAnsi="宋体" w:cs="宋体"/>
          <w:snapToGrid w:val="0"/>
          <w:color w:val="auto"/>
          <w:kern w:val="0"/>
          <w:sz w:val="24"/>
          <w:szCs w:val="24"/>
          <w:highlight w:val="none"/>
        </w:rPr>
        <w:t>5</w:t>
      </w:r>
      <w:r>
        <w:rPr>
          <w:rFonts w:hint="eastAsia" w:hAnsi="宋体" w:cs="宋体"/>
          <w:snapToGrid w:val="0"/>
          <w:color w:val="auto"/>
          <w:kern w:val="0"/>
          <w:sz w:val="24"/>
          <w:szCs w:val="24"/>
          <w:highlight w:val="none"/>
        </w:rPr>
        <w:t>日前，</w:t>
      </w:r>
      <w:r>
        <w:rPr>
          <w:rFonts w:hint="eastAsia" w:hAnsi="宋体"/>
          <w:snapToGrid w:val="0"/>
          <w:color w:val="auto"/>
          <w:kern w:val="0"/>
          <w:sz w:val="24"/>
          <w:szCs w:val="24"/>
          <w:highlight w:val="none"/>
        </w:rPr>
        <w:t>按当月实际完成的</w:t>
      </w:r>
      <w:r>
        <w:rPr>
          <w:rFonts w:hint="eastAsia" w:hAnsi="宋体" w:cs="宋体"/>
          <w:snapToGrid w:val="0"/>
          <w:color w:val="auto"/>
          <w:kern w:val="0"/>
          <w:sz w:val="24"/>
          <w:szCs w:val="24"/>
          <w:highlight w:val="none"/>
        </w:rPr>
        <w:t>“关键材料设备表</w:t>
      </w:r>
      <w:r>
        <w:rPr>
          <w:rFonts w:hAnsi="宋体" w:cs="宋体"/>
          <w:snapToGrid w:val="0"/>
          <w:color w:val="auto"/>
          <w:kern w:val="0"/>
          <w:sz w:val="24"/>
          <w:szCs w:val="24"/>
          <w:highlight w:val="none"/>
        </w:rPr>
        <w:t>”</w:t>
      </w:r>
      <w:r>
        <w:rPr>
          <w:rFonts w:hint="eastAsia" w:hAnsi="宋体"/>
          <w:snapToGrid w:val="0"/>
          <w:color w:val="auto"/>
          <w:kern w:val="0"/>
          <w:sz w:val="24"/>
          <w:szCs w:val="24"/>
          <w:highlight w:val="none"/>
        </w:rPr>
        <w:t>中主材安装的工程量申报安装费</w:t>
      </w:r>
      <w:r>
        <w:rPr>
          <w:rFonts w:hint="eastAsia" w:hAnsi="宋体"/>
          <w:snapToGrid w:val="0"/>
          <w:color w:val="auto"/>
          <w:kern w:val="0"/>
          <w:sz w:val="24"/>
          <w:highlight w:val="none"/>
        </w:rPr>
        <w:t>工程进度款</w:t>
      </w:r>
      <w:r>
        <w:rPr>
          <w:rFonts w:hint="eastAsia" w:hAnsi="宋体"/>
          <w:snapToGrid w:val="0"/>
          <w:color w:val="auto"/>
          <w:kern w:val="0"/>
          <w:sz w:val="24"/>
          <w:szCs w:val="24"/>
          <w:highlight w:val="none"/>
        </w:rPr>
        <w:t>，经监理单位和发包人审核后，支付</w:t>
      </w:r>
      <w:r>
        <w:rPr>
          <w:rFonts w:hint="eastAsia" w:hAnsi="宋体" w:cs="宋体"/>
          <w:snapToGrid w:val="0"/>
          <w:color w:val="auto"/>
          <w:kern w:val="0"/>
          <w:sz w:val="24"/>
          <w:szCs w:val="24"/>
          <w:highlight w:val="none"/>
        </w:rPr>
        <w:t>“关键材料设备表</w:t>
      </w:r>
      <w:r>
        <w:rPr>
          <w:rFonts w:hAnsi="宋体" w:cs="宋体"/>
          <w:snapToGrid w:val="0"/>
          <w:color w:val="auto"/>
          <w:kern w:val="0"/>
          <w:sz w:val="24"/>
          <w:szCs w:val="24"/>
          <w:highlight w:val="none"/>
        </w:rPr>
        <w:t>”</w:t>
      </w:r>
      <w:r>
        <w:rPr>
          <w:rFonts w:hint="eastAsia" w:hAnsi="宋体"/>
          <w:snapToGrid w:val="0"/>
          <w:color w:val="auto"/>
          <w:kern w:val="0"/>
          <w:sz w:val="24"/>
          <w:szCs w:val="24"/>
          <w:highlight w:val="none"/>
        </w:rPr>
        <w:t>中主材的安装费的</w:t>
      </w:r>
      <w:r>
        <w:rPr>
          <w:rFonts w:hint="eastAsia" w:hAnsi="宋体"/>
          <w:snapToGrid w:val="0"/>
          <w:color w:val="auto"/>
          <w:kern w:val="0"/>
          <w:sz w:val="24"/>
          <w:highlight w:val="none"/>
        </w:rPr>
        <w:t>工程进度款</w:t>
      </w:r>
      <w:r>
        <w:rPr>
          <w:rFonts w:hint="eastAsia" w:hAnsi="宋体"/>
          <w:snapToGrid w:val="0"/>
          <w:color w:val="auto"/>
          <w:kern w:val="0"/>
          <w:sz w:val="24"/>
          <w:szCs w:val="24"/>
          <w:highlight w:val="none"/>
        </w:rPr>
        <w:t>。在支付该部分费用时发包人视情况扣回部分</w:t>
      </w:r>
      <w:r>
        <w:rPr>
          <w:rFonts w:hint="eastAsia" w:hAnsi="宋体" w:cs="宋体"/>
          <w:snapToGrid w:val="0"/>
          <w:color w:val="auto"/>
          <w:kern w:val="0"/>
          <w:sz w:val="24"/>
          <w:highlight w:val="none"/>
        </w:rPr>
        <w:t>工程预付款。</w:t>
      </w:r>
      <w:r>
        <w:rPr>
          <w:rFonts w:hint="eastAsia" w:hAnsi="宋体" w:cs="宋体"/>
          <w:snapToGrid w:val="0"/>
          <w:color w:val="auto"/>
          <w:kern w:val="0"/>
          <w:sz w:val="24"/>
          <w:szCs w:val="24"/>
          <w:highlight w:val="none"/>
        </w:rPr>
        <w:t>计算公式为：</w:t>
      </w:r>
    </w:p>
    <w:p w14:paraId="06229CB5">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可支付的当月“关键材料设备表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中主材安装费</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＝承包人当月实际完成的“关键材料设备表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中主材安装费</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×90</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w:t>
      </w:r>
      <w:r>
        <w:rPr>
          <w:rFonts w:hint="eastAsia" w:hAnsi="宋体"/>
          <w:snapToGrid w:val="0"/>
          <w:color w:val="auto"/>
          <w:kern w:val="0"/>
          <w:sz w:val="24"/>
          <w:szCs w:val="24"/>
          <w:highlight w:val="none"/>
        </w:rPr>
        <w:t>发包人视情况扣回的部分</w:t>
      </w:r>
      <w:r>
        <w:rPr>
          <w:rFonts w:hint="eastAsia" w:hAnsi="宋体" w:cs="宋体"/>
          <w:snapToGrid w:val="0"/>
          <w:color w:val="auto"/>
          <w:kern w:val="0"/>
          <w:sz w:val="24"/>
          <w:highlight w:val="none"/>
        </w:rPr>
        <w:t>工程预付款。</w:t>
      </w:r>
    </w:p>
    <w:p w14:paraId="3C03C5AB">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② 当“关键材料设备表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中主材安装费</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累计支付达到“关键材料设备表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中的安装费的总价款的85</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时，暂停支付“关键材料设备表</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中的安装费的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w:t>
      </w:r>
    </w:p>
    <w:p w14:paraId="01CDC7C7">
      <w:pPr>
        <w:autoSpaceDE w:val="0"/>
        <w:autoSpaceDN w:val="0"/>
        <w:adjustRightInd w:val="0"/>
        <w:snapToGrid w:val="0"/>
        <w:spacing w:line="360" w:lineRule="auto"/>
        <w:ind w:right="11" w:firstLine="48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3）除“关键材料设备表”的主材费和安装费以外其他分部分项工程量清单项目价款的支付</w:t>
      </w:r>
    </w:p>
    <w:p w14:paraId="79169A3C">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① 承包人应于每月</w:t>
      </w:r>
      <w:r>
        <w:rPr>
          <w:rFonts w:hAnsi="宋体" w:cs="宋体"/>
          <w:snapToGrid w:val="0"/>
          <w:color w:val="auto"/>
          <w:kern w:val="0"/>
          <w:sz w:val="24"/>
          <w:szCs w:val="24"/>
          <w:highlight w:val="none"/>
        </w:rPr>
        <w:t>5</w:t>
      </w:r>
      <w:r>
        <w:rPr>
          <w:rFonts w:hint="eastAsia" w:hAnsi="宋体" w:cs="宋体"/>
          <w:snapToGrid w:val="0"/>
          <w:color w:val="auto"/>
          <w:kern w:val="0"/>
          <w:sz w:val="24"/>
          <w:szCs w:val="24"/>
          <w:highlight w:val="none"/>
        </w:rPr>
        <w:t>日前，按当月完成的除“关键材料设备表”的主材费和安装费以外其他分部分项工程量清单项目的工程量申报</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（以下简称该部分的分部分项工程量清单项目的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），经监理单位和发包人审核后，可予支付该部分的分部分项工程量清单项目的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，按规定办理相关手续。</w:t>
      </w:r>
      <w:r>
        <w:rPr>
          <w:rFonts w:hint="eastAsia" w:hAnsi="宋体"/>
          <w:snapToGrid w:val="0"/>
          <w:color w:val="auto"/>
          <w:kern w:val="0"/>
          <w:sz w:val="24"/>
          <w:szCs w:val="24"/>
          <w:highlight w:val="none"/>
        </w:rPr>
        <w:t>在支付该部分费用时发包人视情况扣回部分</w:t>
      </w:r>
      <w:r>
        <w:rPr>
          <w:rFonts w:hint="eastAsia" w:hAnsi="宋体" w:cs="宋体"/>
          <w:snapToGrid w:val="0"/>
          <w:color w:val="auto"/>
          <w:kern w:val="0"/>
          <w:sz w:val="24"/>
          <w:highlight w:val="none"/>
        </w:rPr>
        <w:t>工程预付款。</w:t>
      </w:r>
    </w:p>
    <w:p w14:paraId="318ECEAA">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第一次支付该部分分部分项工程量清单项目</w:t>
      </w:r>
      <w:r>
        <w:rPr>
          <w:rFonts w:hint="eastAsia" w:hAnsi="宋体"/>
          <w:snapToGrid w:val="0"/>
          <w:color w:val="auto"/>
          <w:kern w:val="0"/>
          <w:sz w:val="24"/>
          <w:highlight w:val="none"/>
        </w:rPr>
        <w:t>工程进度款的</w:t>
      </w:r>
      <w:r>
        <w:rPr>
          <w:rFonts w:hint="eastAsia" w:hAnsi="宋体" w:cs="宋体"/>
          <w:snapToGrid w:val="0"/>
          <w:color w:val="auto"/>
          <w:kern w:val="0"/>
          <w:sz w:val="24"/>
          <w:szCs w:val="24"/>
          <w:highlight w:val="none"/>
        </w:rPr>
        <w:t>计算公式：</w:t>
      </w:r>
    </w:p>
    <w:p w14:paraId="7FC98990">
      <w:pPr>
        <w:pStyle w:val="7"/>
        <w:snapToGrid w:val="0"/>
        <w:ind w:left="0" w:leftChars="0" w:firstLine="480" w:firstLineChars="200"/>
        <w:rPr>
          <w:rFonts w:hint="eastAsia" w:hAnsi="宋体" w:cs="宋体"/>
          <w:snapToGrid w:val="0"/>
          <w:color w:val="auto"/>
          <w:kern w:val="0"/>
          <w:sz w:val="24"/>
          <w:highlight w:val="none"/>
        </w:rPr>
      </w:pPr>
      <w:r>
        <w:rPr>
          <w:rFonts w:hint="eastAsia" w:hAnsi="宋体" w:cs="宋体"/>
          <w:snapToGrid w:val="0"/>
          <w:color w:val="auto"/>
          <w:kern w:val="0"/>
          <w:sz w:val="24"/>
          <w:szCs w:val="24"/>
          <w:highlight w:val="none"/>
        </w:rPr>
        <w:t>可支付的该部分分部分项工程量清单</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＝承包人当月实际完成的除“关键材料设备表”中主材费和安装费以外其他分部分项工程量清单项目的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×90</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w:t>
      </w:r>
      <w:r>
        <w:rPr>
          <w:rFonts w:hint="eastAsia" w:hAnsi="宋体"/>
          <w:snapToGrid w:val="0"/>
          <w:color w:val="auto"/>
          <w:kern w:val="0"/>
          <w:sz w:val="24"/>
          <w:szCs w:val="24"/>
          <w:highlight w:val="none"/>
        </w:rPr>
        <w:t>发包人视情况扣回的部分</w:t>
      </w:r>
      <w:r>
        <w:rPr>
          <w:rFonts w:hint="eastAsia" w:hAnsi="宋体" w:cs="宋体"/>
          <w:snapToGrid w:val="0"/>
          <w:color w:val="auto"/>
          <w:kern w:val="0"/>
          <w:sz w:val="24"/>
          <w:highlight w:val="none"/>
        </w:rPr>
        <w:t>工程预付款。</w:t>
      </w:r>
    </w:p>
    <w:p w14:paraId="25092DAE">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以后支付该部分分部分项工程量清单项目</w:t>
      </w:r>
      <w:r>
        <w:rPr>
          <w:rFonts w:hint="eastAsia" w:hAnsi="宋体"/>
          <w:snapToGrid w:val="0"/>
          <w:color w:val="auto"/>
          <w:kern w:val="0"/>
          <w:sz w:val="24"/>
          <w:highlight w:val="none"/>
        </w:rPr>
        <w:t>工程进度款的</w:t>
      </w:r>
      <w:r>
        <w:rPr>
          <w:rFonts w:hint="eastAsia" w:hAnsi="宋体" w:cs="宋体"/>
          <w:snapToGrid w:val="0"/>
          <w:color w:val="auto"/>
          <w:kern w:val="0"/>
          <w:sz w:val="24"/>
          <w:szCs w:val="24"/>
          <w:highlight w:val="none"/>
        </w:rPr>
        <w:t>计算公式：</w:t>
      </w:r>
    </w:p>
    <w:p w14:paraId="1E9CBC7A">
      <w:pPr>
        <w:pStyle w:val="7"/>
        <w:snapToGrid w:val="0"/>
        <w:ind w:left="0" w:leftChars="0" w:firstLine="480" w:firstLineChars="200"/>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可支付的该部分分部分项工程量清单</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＝承包人当月实际完成的除“关键材料设备表”中主材费和安装费以外其他分部分项工程量清单项目的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×90</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w:t>
      </w:r>
      <w:r>
        <w:rPr>
          <w:rFonts w:hint="eastAsia" w:hAnsi="宋体"/>
          <w:snapToGrid w:val="0"/>
          <w:color w:val="auto"/>
          <w:kern w:val="0"/>
          <w:sz w:val="24"/>
          <w:szCs w:val="24"/>
          <w:highlight w:val="none"/>
        </w:rPr>
        <w:t>发包人视情况扣回的部分</w:t>
      </w:r>
      <w:r>
        <w:rPr>
          <w:rFonts w:hint="eastAsia" w:hAnsi="宋体" w:cs="宋体"/>
          <w:snapToGrid w:val="0"/>
          <w:color w:val="auto"/>
          <w:kern w:val="0"/>
          <w:sz w:val="24"/>
          <w:highlight w:val="none"/>
        </w:rPr>
        <w:t>工程预付款。</w:t>
      </w:r>
    </w:p>
    <w:p w14:paraId="3690E0A0">
      <w:pPr>
        <w:pStyle w:val="7"/>
        <w:adjustRightInd w:val="0"/>
        <w:snapToGrid w:val="0"/>
        <w:ind w:right="11" w:firstLine="480" w:firstLineChars="200"/>
        <w:rPr>
          <w:rFonts w:hint="eastAsia" w:ascii="宋体" w:hAnsi="宋体"/>
          <w:snapToGrid w:val="0"/>
          <w:color w:val="auto"/>
          <w:kern w:val="0"/>
          <w:sz w:val="24"/>
          <w:highlight w:val="none"/>
        </w:rPr>
      </w:pPr>
      <w:r>
        <w:rPr>
          <w:rFonts w:hint="eastAsia" w:hAnsi="宋体" w:cs="宋体"/>
          <w:snapToGrid w:val="0"/>
          <w:color w:val="auto"/>
          <w:kern w:val="0"/>
          <w:sz w:val="24"/>
          <w:szCs w:val="24"/>
          <w:highlight w:val="none"/>
        </w:rPr>
        <w:t>② 当该部分的分部分项工程量清单项目的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累计支付达到除“关键材料设备表”的主材费和安装费以外其他分部分项工程量清单项目的总价款的85</w:t>
      </w:r>
      <w:r>
        <w:rPr>
          <w:rFonts w:hAnsi="宋体" w:cs="宋体"/>
          <w:snapToGrid w:val="0"/>
          <w:color w:val="auto"/>
          <w:kern w:val="0"/>
          <w:sz w:val="24"/>
          <w:szCs w:val="24"/>
          <w:highlight w:val="none"/>
        </w:rPr>
        <w:t>%</w:t>
      </w:r>
      <w:r>
        <w:rPr>
          <w:rFonts w:hint="eastAsia" w:hAnsi="宋体" w:cs="宋体"/>
          <w:snapToGrid w:val="0"/>
          <w:color w:val="auto"/>
          <w:kern w:val="0"/>
          <w:sz w:val="24"/>
          <w:szCs w:val="24"/>
          <w:highlight w:val="none"/>
        </w:rPr>
        <w:t>时，暂停支付该部分的分部分项工程量清单项目的</w:t>
      </w:r>
      <w:r>
        <w:rPr>
          <w:rFonts w:hint="eastAsia" w:hAnsi="宋体"/>
          <w:snapToGrid w:val="0"/>
          <w:color w:val="auto"/>
          <w:kern w:val="0"/>
          <w:sz w:val="24"/>
          <w:highlight w:val="none"/>
        </w:rPr>
        <w:t>工程进度款</w:t>
      </w:r>
      <w:r>
        <w:rPr>
          <w:rFonts w:hint="eastAsia" w:hAnsi="宋体" w:cs="宋体"/>
          <w:snapToGrid w:val="0"/>
          <w:color w:val="auto"/>
          <w:kern w:val="0"/>
          <w:sz w:val="24"/>
          <w:szCs w:val="24"/>
          <w:highlight w:val="none"/>
        </w:rPr>
        <w:t>。</w:t>
      </w:r>
    </w:p>
    <w:p w14:paraId="068FA52B">
      <w:pPr>
        <w:autoSpaceDE w:val="0"/>
        <w:autoSpaceDN w:val="0"/>
        <w:adjustRightInd w:val="0"/>
        <w:snapToGrid w:val="0"/>
        <w:spacing w:line="360" w:lineRule="auto"/>
        <w:ind w:right="11" w:firstLine="0"/>
        <w:outlineLvl w:val="4"/>
        <w:rPr>
          <w:rFonts w:hint="eastAsia" w:ascii="宋体" w:hAnsi="宋体" w:cs="宋体"/>
          <w:b/>
          <w:bCs w:val="0"/>
          <w:snapToGrid w:val="0"/>
          <w:color w:val="auto"/>
          <w:kern w:val="0"/>
          <w:sz w:val="24"/>
          <w:highlight w:val="none"/>
          <w:lang w:val="zh-CN"/>
        </w:rPr>
      </w:pPr>
      <w:bookmarkStart w:id="8" w:name="OLE_LINK96"/>
      <w:r>
        <w:rPr>
          <w:rFonts w:hint="eastAsia" w:ascii="宋体" w:hAnsi="宋体" w:cs="宋体"/>
          <w:b/>
          <w:bCs w:val="0"/>
          <w:snapToGrid w:val="0"/>
          <w:color w:val="auto"/>
          <w:kern w:val="0"/>
          <w:sz w:val="24"/>
          <w:highlight w:val="none"/>
          <w:lang w:val="zh-CN"/>
        </w:rPr>
        <w:t>措施项目费和其他项目费</w:t>
      </w:r>
      <w:bookmarkEnd w:id="8"/>
      <w:r>
        <w:rPr>
          <w:rFonts w:hint="eastAsia" w:ascii="宋体" w:hAnsi="宋体" w:cs="宋体"/>
          <w:b/>
          <w:bCs w:val="0"/>
          <w:snapToGrid w:val="0"/>
          <w:color w:val="auto"/>
          <w:kern w:val="0"/>
          <w:sz w:val="24"/>
          <w:highlight w:val="none"/>
          <w:lang w:val="zh-CN"/>
        </w:rPr>
        <w:t>的支付方式</w:t>
      </w:r>
    </w:p>
    <w:p w14:paraId="09549C6D">
      <w:pPr>
        <w:adjustRightInd w:val="0"/>
        <w:snapToGrid w:val="0"/>
        <w:spacing w:line="360" w:lineRule="auto"/>
        <w:ind w:right="11" w:firstLine="480" w:firstLineChars="200"/>
        <w:outlineLvl w:val="5"/>
        <w:rPr>
          <w:rFonts w:hint="eastAsia" w:ascii="宋体" w:hAnsi="宋体" w:cs="宋体"/>
          <w:bCs/>
          <w:snapToGrid w:val="0"/>
          <w:color w:val="auto"/>
          <w:kern w:val="0"/>
          <w:sz w:val="24"/>
          <w:highlight w:val="none"/>
          <w:lang w:val="zh-CN"/>
        </w:rPr>
      </w:pPr>
      <w:r>
        <w:rPr>
          <w:rFonts w:hint="eastAsia" w:ascii="宋体" w:hAnsi="宋体"/>
          <w:snapToGrid w:val="0"/>
          <w:color w:val="auto"/>
          <w:kern w:val="0"/>
          <w:sz w:val="24"/>
          <w:highlight w:val="none"/>
        </w:rPr>
        <w:t>1）措施项目费的支付</w:t>
      </w:r>
    </w:p>
    <w:tbl>
      <w:tblPr>
        <w:tblStyle w:val="1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478"/>
        <w:gridCol w:w="3369"/>
        <w:gridCol w:w="4177"/>
      </w:tblGrid>
      <w:tr w14:paraId="6017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4" w:type="dxa"/>
            <w:vAlign w:val="center"/>
          </w:tcPr>
          <w:p w14:paraId="216441D4">
            <w:pPr>
              <w:widowControl/>
              <w:adjustRightInd w:val="0"/>
              <w:snapToGrid w:val="0"/>
              <w:spacing w:line="276" w:lineRule="auto"/>
              <w:jc w:val="center"/>
              <w:rPr>
                <w:rFonts w:hint="eastAsia"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选项</w:t>
            </w:r>
          </w:p>
        </w:tc>
        <w:tc>
          <w:tcPr>
            <w:tcW w:w="478" w:type="dxa"/>
            <w:vAlign w:val="center"/>
          </w:tcPr>
          <w:p w14:paraId="359EBF70">
            <w:pPr>
              <w:widowControl/>
              <w:adjustRightInd w:val="0"/>
              <w:snapToGrid w:val="0"/>
              <w:spacing w:line="276" w:lineRule="auto"/>
              <w:jc w:val="center"/>
              <w:rPr>
                <w:rFonts w:hint="eastAsia"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序号</w:t>
            </w:r>
          </w:p>
        </w:tc>
        <w:tc>
          <w:tcPr>
            <w:tcW w:w="3369" w:type="dxa"/>
            <w:vAlign w:val="center"/>
          </w:tcPr>
          <w:p w14:paraId="4B17A1BF">
            <w:pPr>
              <w:widowControl/>
              <w:adjustRightInd w:val="0"/>
              <w:snapToGrid w:val="0"/>
              <w:spacing w:line="276" w:lineRule="auto"/>
              <w:jc w:val="center"/>
              <w:rPr>
                <w:rFonts w:hint="eastAsia"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项 目 名 称</w:t>
            </w:r>
          </w:p>
        </w:tc>
        <w:tc>
          <w:tcPr>
            <w:tcW w:w="4177" w:type="dxa"/>
            <w:vAlign w:val="center"/>
          </w:tcPr>
          <w:p w14:paraId="1B3FC249">
            <w:pPr>
              <w:widowControl/>
              <w:adjustRightInd w:val="0"/>
              <w:snapToGrid w:val="0"/>
              <w:spacing w:line="276" w:lineRule="auto"/>
              <w:jc w:val="center"/>
              <w:rPr>
                <w:rFonts w:hint="eastAsia"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计 量 方 式</w:t>
            </w:r>
          </w:p>
        </w:tc>
      </w:tr>
      <w:tr w14:paraId="7A0B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4" w:type="dxa"/>
            <w:vAlign w:val="center"/>
          </w:tcPr>
          <w:p w14:paraId="59BA0836">
            <w:pPr>
              <w:adjustRightInd w:val="0"/>
              <w:snapToGrid w:val="0"/>
              <w:spacing w:line="276" w:lineRule="auto"/>
              <w:jc w:val="center"/>
              <w:rPr>
                <w:rFonts w:hint="eastAsia" w:ascii="宋体" w:hAnsi="宋体"/>
                <w:snapToGrid w:val="0"/>
                <w:color w:val="auto"/>
                <w:kern w:val="0"/>
                <w:szCs w:val="21"/>
                <w:highlight w:val="none"/>
              </w:rPr>
            </w:pPr>
          </w:p>
        </w:tc>
        <w:tc>
          <w:tcPr>
            <w:tcW w:w="478" w:type="dxa"/>
            <w:vAlign w:val="center"/>
          </w:tcPr>
          <w:p w14:paraId="449BA4F8">
            <w:pPr>
              <w:adjustRightInd w:val="0"/>
              <w:snapToGrid w:val="0"/>
              <w:spacing w:line="276" w:lineRule="auto"/>
              <w:jc w:val="center"/>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一</w:t>
            </w:r>
          </w:p>
        </w:tc>
        <w:tc>
          <w:tcPr>
            <w:tcW w:w="3369" w:type="dxa"/>
            <w:vAlign w:val="center"/>
          </w:tcPr>
          <w:p w14:paraId="11206C04">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绿色施工安全防护措施费</w:t>
            </w:r>
          </w:p>
        </w:tc>
        <w:tc>
          <w:tcPr>
            <w:tcW w:w="4177" w:type="dxa"/>
            <w:vAlign w:val="center"/>
          </w:tcPr>
          <w:p w14:paraId="686B83EF">
            <w:pPr>
              <w:adjustRightInd w:val="0"/>
              <w:snapToGrid w:val="0"/>
              <w:spacing w:line="276" w:lineRule="auto"/>
              <w:rPr>
                <w:rFonts w:hint="eastAsia" w:ascii="宋体" w:hAnsi="宋体" w:cs="宋体"/>
                <w:snapToGrid w:val="0"/>
                <w:color w:val="auto"/>
                <w:kern w:val="0"/>
                <w:szCs w:val="21"/>
                <w:highlight w:val="none"/>
              </w:rPr>
            </w:pPr>
          </w:p>
        </w:tc>
      </w:tr>
      <w:tr w14:paraId="40CC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4" w:type="dxa"/>
            <w:vAlign w:val="center"/>
          </w:tcPr>
          <w:p w14:paraId="2AFE80BD">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b/>
                <w:iCs/>
                <w:snapToGrid w:val="0"/>
                <w:color w:val="auto"/>
                <w:kern w:val="0"/>
                <w:szCs w:val="21"/>
                <w:highlight w:val="none"/>
              </w:rPr>
              <w:t>☑</w:t>
            </w:r>
          </w:p>
        </w:tc>
        <w:tc>
          <w:tcPr>
            <w:tcW w:w="478" w:type="dxa"/>
            <w:vAlign w:val="center"/>
          </w:tcPr>
          <w:p w14:paraId="420B68B4">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1</w:t>
            </w:r>
          </w:p>
        </w:tc>
        <w:tc>
          <w:tcPr>
            <w:tcW w:w="3369" w:type="dxa"/>
            <w:vAlign w:val="center"/>
          </w:tcPr>
          <w:p w14:paraId="612A9475">
            <w:pPr>
              <w:adjustRightInd w:val="0"/>
              <w:snapToGrid w:val="0"/>
              <w:spacing w:line="276" w:lineRule="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绿色施工安全防护措施费（按系数计算）</w:t>
            </w:r>
          </w:p>
        </w:tc>
        <w:tc>
          <w:tcPr>
            <w:tcW w:w="4177" w:type="dxa"/>
            <w:vMerge w:val="restart"/>
            <w:vAlign w:val="center"/>
          </w:tcPr>
          <w:p w14:paraId="2571B236">
            <w:pPr>
              <w:rPr>
                <w:color w:val="auto"/>
                <w:highlight w:val="none"/>
              </w:rPr>
            </w:pPr>
            <w:r>
              <w:rPr>
                <w:rFonts w:hint="eastAsia" w:ascii="宋体" w:hAnsi="宋体"/>
                <w:snapToGrid w:val="0"/>
                <w:color w:val="auto"/>
                <w:kern w:val="0"/>
                <w:szCs w:val="21"/>
                <w:highlight w:val="none"/>
              </w:rPr>
              <w:t>该项价款的50%经发包人审查符合进场条件支付；40%按施工期分月平均支付；剩余10%在工程竣工安全评价合格后支付。</w:t>
            </w:r>
          </w:p>
          <w:p w14:paraId="4B979D19">
            <w:pPr>
              <w:rPr>
                <w:color w:val="auto"/>
                <w:highlight w:val="none"/>
              </w:rPr>
            </w:pPr>
          </w:p>
          <w:p w14:paraId="6214708A">
            <w:pPr>
              <w:adjustRightInd w:val="0"/>
              <w:snapToGrid w:val="0"/>
              <w:spacing w:line="276" w:lineRule="auto"/>
              <w:rPr>
                <w:rFonts w:hint="eastAsia" w:ascii="宋体" w:hAnsi="宋体"/>
                <w:snapToGrid w:val="0"/>
                <w:color w:val="auto"/>
                <w:kern w:val="0"/>
                <w:szCs w:val="21"/>
                <w:highlight w:val="none"/>
              </w:rPr>
            </w:pPr>
          </w:p>
        </w:tc>
      </w:tr>
      <w:tr w14:paraId="2868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4" w:type="dxa"/>
            <w:vAlign w:val="center"/>
          </w:tcPr>
          <w:p w14:paraId="13D7D8C8">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b/>
                <w:iCs/>
                <w:snapToGrid w:val="0"/>
                <w:color w:val="auto"/>
                <w:kern w:val="0"/>
                <w:szCs w:val="21"/>
                <w:highlight w:val="none"/>
              </w:rPr>
              <w:t>☑</w:t>
            </w:r>
          </w:p>
        </w:tc>
        <w:tc>
          <w:tcPr>
            <w:tcW w:w="478" w:type="dxa"/>
            <w:vAlign w:val="center"/>
          </w:tcPr>
          <w:p w14:paraId="53D4E6D8">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2</w:t>
            </w:r>
          </w:p>
        </w:tc>
        <w:tc>
          <w:tcPr>
            <w:tcW w:w="3369" w:type="dxa"/>
            <w:vAlign w:val="center"/>
          </w:tcPr>
          <w:p w14:paraId="06AB675C">
            <w:pPr>
              <w:adjustRightInd w:val="0"/>
              <w:snapToGrid w:val="0"/>
              <w:spacing w:line="276" w:lineRule="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绿色施工安全防护措施费（按子目计算）</w:t>
            </w:r>
          </w:p>
        </w:tc>
        <w:tc>
          <w:tcPr>
            <w:tcW w:w="4177" w:type="dxa"/>
            <w:vMerge w:val="continue"/>
            <w:vAlign w:val="center"/>
          </w:tcPr>
          <w:p w14:paraId="665254BA">
            <w:pPr>
              <w:adjustRightInd w:val="0"/>
              <w:snapToGrid w:val="0"/>
              <w:spacing w:line="276" w:lineRule="auto"/>
              <w:rPr>
                <w:rFonts w:hint="eastAsia" w:ascii="宋体" w:hAnsi="宋体"/>
                <w:snapToGrid w:val="0"/>
                <w:color w:val="auto"/>
                <w:kern w:val="0"/>
                <w:szCs w:val="21"/>
                <w:highlight w:val="none"/>
              </w:rPr>
            </w:pPr>
          </w:p>
        </w:tc>
      </w:tr>
      <w:tr w14:paraId="4554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04" w:type="dxa"/>
            <w:vAlign w:val="center"/>
          </w:tcPr>
          <w:p w14:paraId="0F47942B">
            <w:pPr>
              <w:adjustRightInd w:val="0"/>
              <w:snapToGrid w:val="0"/>
              <w:spacing w:line="276" w:lineRule="auto"/>
              <w:jc w:val="center"/>
              <w:rPr>
                <w:rFonts w:hint="eastAsia" w:ascii="宋体" w:hAnsi="宋体"/>
                <w:snapToGrid w:val="0"/>
                <w:color w:val="auto"/>
                <w:kern w:val="0"/>
                <w:szCs w:val="21"/>
                <w:highlight w:val="none"/>
              </w:rPr>
            </w:pPr>
          </w:p>
        </w:tc>
        <w:tc>
          <w:tcPr>
            <w:tcW w:w="478" w:type="dxa"/>
            <w:vAlign w:val="center"/>
          </w:tcPr>
          <w:p w14:paraId="24B33591">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二</w:t>
            </w:r>
          </w:p>
        </w:tc>
        <w:tc>
          <w:tcPr>
            <w:tcW w:w="3369" w:type="dxa"/>
            <w:vAlign w:val="center"/>
          </w:tcPr>
          <w:p w14:paraId="6C0F9B1E">
            <w:pPr>
              <w:adjustRightInd w:val="0"/>
              <w:snapToGrid w:val="0"/>
              <w:spacing w:line="276" w:lineRule="auto"/>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其他措施项目费</w:t>
            </w:r>
          </w:p>
        </w:tc>
        <w:tc>
          <w:tcPr>
            <w:tcW w:w="4177" w:type="dxa"/>
            <w:vAlign w:val="center"/>
          </w:tcPr>
          <w:p w14:paraId="62C4E6EA">
            <w:pPr>
              <w:adjustRightInd w:val="0"/>
              <w:snapToGrid w:val="0"/>
              <w:spacing w:line="276" w:lineRule="auto"/>
              <w:rPr>
                <w:rFonts w:hint="eastAsia" w:ascii="宋体" w:hAnsi="宋体"/>
                <w:snapToGrid w:val="0"/>
                <w:color w:val="auto"/>
                <w:kern w:val="0"/>
                <w:szCs w:val="21"/>
                <w:highlight w:val="none"/>
              </w:rPr>
            </w:pPr>
          </w:p>
        </w:tc>
      </w:tr>
      <w:tr w14:paraId="2293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04" w:type="dxa"/>
            <w:vAlign w:val="center"/>
          </w:tcPr>
          <w:p w14:paraId="7A792599">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b/>
                <w:iCs/>
                <w:snapToGrid w:val="0"/>
                <w:color w:val="auto"/>
                <w:kern w:val="0"/>
                <w:szCs w:val="21"/>
                <w:highlight w:val="none"/>
              </w:rPr>
              <w:t>☑</w:t>
            </w:r>
          </w:p>
        </w:tc>
        <w:tc>
          <w:tcPr>
            <w:tcW w:w="478" w:type="dxa"/>
            <w:vAlign w:val="center"/>
          </w:tcPr>
          <w:p w14:paraId="12BA6A6C">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1</w:t>
            </w:r>
          </w:p>
        </w:tc>
        <w:tc>
          <w:tcPr>
            <w:tcW w:w="3369" w:type="dxa"/>
            <w:vAlign w:val="center"/>
          </w:tcPr>
          <w:p w14:paraId="55B47746">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混凝土及钢筋混凝土模板及支架费</w:t>
            </w:r>
          </w:p>
        </w:tc>
        <w:tc>
          <w:tcPr>
            <w:tcW w:w="4177" w:type="dxa"/>
            <w:vAlign w:val="center"/>
          </w:tcPr>
          <w:p w14:paraId="520150E8">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按分部分项工程量清单项目的支付方式。</w:t>
            </w:r>
          </w:p>
        </w:tc>
      </w:tr>
      <w:tr w14:paraId="5648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04" w:type="dxa"/>
            <w:vAlign w:val="center"/>
          </w:tcPr>
          <w:p w14:paraId="601098BD">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b/>
                <w:iCs/>
                <w:snapToGrid w:val="0"/>
                <w:color w:val="auto"/>
                <w:kern w:val="0"/>
                <w:szCs w:val="21"/>
                <w:highlight w:val="none"/>
              </w:rPr>
              <w:t>☑</w:t>
            </w:r>
          </w:p>
        </w:tc>
        <w:tc>
          <w:tcPr>
            <w:tcW w:w="478" w:type="dxa"/>
            <w:vAlign w:val="center"/>
          </w:tcPr>
          <w:p w14:paraId="5C94260F">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2</w:t>
            </w:r>
          </w:p>
        </w:tc>
        <w:tc>
          <w:tcPr>
            <w:tcW w:w="3369" w:type="dxa"/>
            <w:vAlign w:val="center"/>
          </w:tcPr>
          <w:p w14:paraId="5005BD3C">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脚手架搭拆及摊销费</w:t>
            </w:r>
          </w:p>
        </w:tc>
        <w:tc>
          <w:tcPr>
            <w:tcW w:w="4177" w:type="dxa"/>
            <w:vAlign w:val="center"/>
          </w:tcPr>
          <w:p w14:paraId="63212A0C">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按施工期分月平均支付。</w:t>
            </w:r>
          </w:p>
        </w:tc>
      </w:tr>
      <w:tr w14:paraId="05CD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4" w:type="dxa"/>
            <w:vAlign w:val="center"/>
          </w:tcPr>
          <w:p w14:paraId="640C6034">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b/>
                <w:iCs/>
                <w:snapToGrid w:val="0"/>
                <w:color w:val="auto"/>
                <w:kern w:val="0"/>
                <w:szCs w:val="21"/>
                <w:highlight w:val="none"/>
              </w:rPr>
              <w:t>☑</w:t>
            </w:r>
          </w:p>
        </w:tc>
        <w:tc>
          <w:tcPr>
            <w:tcW w:w="478" w:type="dxa"/>
            <w:vAlign w:val="center"/>
          </w:tcPr>
          <w:p w14:paraId="7F332145">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3</w:t>
            </w:r>
          </w:p>
        </w:tc>
        <w:tc>
          <w:tcPr>
            <w:tcW w:w="3369" w:type="dxa"/>
            <w:noWrap/>
            <w:vAlign w:val="center"/>
          </w:tcPr>
          <w:p w14:paraId="325CDF5F">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垂直运输费</w:t>
            </w:r>
          </w:p>
        </w:tc>
        <w:tc>
          <w:tcPr>
            <w:tcW w:w="4177" w:type="dxa"/>
            <w:vAlign w:val="center"/>
          </w:tcPr>
          <w:p w14:paraId="499A2863">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按施工期分月平均支付。</w:t>
            </w:r>
          </w:p>
        </w:tc>
      </w:tr>
      <w:tr w14:paraId="678D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4" w:type="dxa"/>
            <w:vAlign w:val="center"/>
          </w:tcPr>
          <w:p w14:paraId="0DB76BE8">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b/>
                <w:iCs/>
                <w:snapToGrid w:val="0"/>
                <w:color w:val="auto"/>
                <w:kern w:val="0"/>
                <w:szCs w:val="21"/>
                <w:highlight w:val="none"/>
              </w:rPr>
              <w:t>☑</w:t>
            </w:r>
          </w:p>
        </w:tc>
        <w:tc>
          <w:tcPr>
            <w:tcW w:w="478" w:type="dxa"/>
            <w:vAlign w:val="center"/>
          </w:tcPr>
          <w:p w14:paraId="64CB96EA">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4</w:t>
            </w:r>
          </w:p>
        </w:tc>
        <w:tc>
          <w:tcPr>
            <w:tcW w:w="3369" w:type="dxa"/>
            <w:noWrap/>
            <w:vAlign w:val="center"/>
          </w:tcPr>
          <w:p w14:paraId="3E35179A">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大型机械设备进出场及安拆费</w:t>
            </w:r>
          </w:p>
        </w:tc>
        <w:tc>
          <w:tcPr>
            <w:tcW w:w="4177" w:type="dxa"/>
            <w:vAlign w:val="center"/>
          </w:tcPr>
          <w:p w14:paraId="5B3B6139">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按施工期分月平均支付。</w:t>
            </w:r>
          </w:p>
        </w:tc>
      </w:tr>
      <w:tr w14:paraId="76D1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04" w:type="dxa"/>
            <w:vAlign w:val="center"/>
          </w:tcPr>
          <w:p w14:paraId="4797A52F">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b/>
                <w:iCs/>
                <w:snapToGrid w:val="0"/>
                <w:color w:val="auto"/>
                <w:kern w:val="0"/>
                <w:szCs w:val="21"/>
                <w:highlight w:val="none"/>
              </w:rPr>
              <w:t>☑</w:t>
            </w:r>
          </w:p>
        </w:tc>
        <w:tc>
          <w:tcPr>
            <w:tcW w:w="478" w:type="dxa"/>
            <w:vAlign w:val="center"/>
          </w:tcPr>
          <w:p w14:paraId="121C2DFB">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5</w:t>
            </w:r>
          </w:p>
        </w:tc>
        <w:tc>
          <w:tcPr>
            <w:tcW w:w="3369" w:type="dxa"/>
            <w:vAlign w:val="center"/>
          </w:tcPr>
          <w:p w14:paraId="00146FA5">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高层建筑增加费</w:t>
            </w:r>
          </w:p>
        </w:tc>
        <w:tc>
          <w:tcPr>
            <w:tcW w:w="4177" w:type="dxa"/>
            <w:vAlign w:val="center"/>
          </w:tcPr>
          <w:p w14:paraId="4511BA55">
            <w:pPr>
              <w:adjustRightInd w:val="0"/>
              <w:snapToGrid w:val="0"/>
              <w:spacing w:line="276" w:lineRule="auto"/>
              <w:rPr>
                <w:rFonts w:hint="eastAsia" w:ascii="宋体" w:hAnsi="宋体" w:cs="宋体"/>
                <w:snapToGrid w:val="0"/>
                <w:color w:val="auto"/>
                <w:kern w:val="0"/>
                <w:szCs w:val="21"/>
                <w:highlight w:val="none"/>
              </w:rPr>
            </w:pPr>
            <w:r>
              <w:rPr>
                <w:rFonts w:hint="eastAsia" w:ascii="宋体" w:hAnsi="宋体"/>
                <w:snapToGrid w:val="0"/>
                <w:color w:val="auto"/>
                <w:kern w:val="0"/>
                <w:szCs w:val="21"/>
                <w:highlight w:val="none"/>
              </w:rPr>
              <w:t>按施工期分月平均支付。</w:t>
            </w:r>
          </w:p>
        </w:tc>
      </w:tr>
      <w:tr w14:paraId="3BAA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4" w:type="dxa"/>
            <w:vAlign w:val="center"/>
          </w:tcPr>
          <w:p w14:paraId="3773FB4A">
            <w:pPr>
              <w:adjustRightInd w:val="0"/>
              <w:snapToGrid w:val="0"/>
              <w:spacing w:line="276" w:lineRule="auto"/>
              <w:jc w:val="center"/>
              <w:rPr>
                <w:rFonts w:hint="eastAsia" w:ascii="宋体" w:hAnsi="宋体"/>
                <w:b/>
                <w:iCs/>
                <w:snapToGrid w:val="0"/>
                <w:color w:val="auto"/>
                <w:kern w:val="0"/>
                <w:szCs w:val="21"/>
                <w:highlight w:val="none"/>
              </w:rPr>
            </w:pPr>
            <w:r>
              <w:rPr>
                <w:rFonts w:hint="eastAsia" w:ascii="宋体" w:hAnsi="宋体"/>
                <w:b/>
                <w:iCs/>
                <w:snapToGrid w:val="0"/>
                <w:color w:val="auto"/>
                <w:kern w:val="0"/>
                <w:szCs w:val="21"/>
                <w:highlight w:val="none"/>
              </w:rPr>
              <w:t>☑</w:t>
            </w:r>
          </w:p>
        </w:tc>
        <w:tc>
          <w:tcPr>
            <w:tcW w:w="478" w:type="dxa"/>
            <w:vAlign w:val="center"/>
          </w:tcPr>
          <w:p w14:paraId="5911391A">
            <w:pPr>
              <w:adjustRightInd w:val="0"/>
              <w:snapToGrid w:val="0"/>
              <w:spacing w:line="276" w:lineRule="auto"/>
              <w:jc w:val="center"/>
              <w:rPr>
                <w:rFonts w:hint="eastAsia" w:ascii="宋体" w:hAnsi="宋体"/>
                <w:snapToGrid w:val="0"/>
                <w:color w:val="auto"/>
                <w:kern w:val="0"/>
                <w:szCs w:val="21"/>
                <w:highlight w:val="none"/>
              </w:rPr>
            </w:pPr>
            <w:r>
              <w:rPr>
                <w:rFonts w:hint="eastAsia" w:ascii="宋体" w:hAnsi="宋体"/>
                <w:snapToGrid w:val="0"/>
                <w:color w:val="auto"/>
                <w:kern w:val="0"/>
                <w:szCs w:val="21"/>
                <w:highlight w:val="none"/>
              </w:rPr>
              <w:t>6</w:t>
            </w:r>
          </w:p>
        </w:tc>
        <w:tc>
          <w:tcPr>
            <w:tcW w:w="3369" w:type="dxa"/>
            <w:vAlign w:val="center"/>
          </w:tcPr>
          <w:p w14:paraId="1B512F73">
            <w:pPr>
              <w:rPr>
                <w:color w:val="auto"/>
                <w:highlight w:val="none"/>
              </w:rPr>
            </w:pPr>
            <w:r>
              <w:rPr>
                <w:rFonts w:hint="eastAsia"/>
                <w:color w:val="auto"/>
                <w:highlight w:val="none"/>
              </w:rPr>
              <w:t>施工围挡（含彩钢板围蔽）</w:t>
            </w:r>
          </w:p>
        </w:tc>
        <w:tc>
          <w:tcPr>
            <w:tcW w:w="4177" w:type="dxa"/>
            <w:vAlign w:val="center"/>
          </w:tcPr>
          <w:p w14:paraId="056142C5">
            <w:pPr>
              <w:rPr>
                <w:color w:val="auto"/>
                <w:highlight w:val="none"/>
              </w:rPr>
            </w:pPr>
            <w:r>
              <w:rPr>
                <w:rFonts w:hint="eastAsia"/>
                <w:color w:val="auto"/>
                <w:highlight w:val="none"/>
              </w:rPr>
              <w:t>按分部分项工程量清单项目的支付方式。</w:t>
            </w:r>
          </w:p>
        </w:tc>
      </w:tr>
    </w:tbl>
    <w:p w14:paraId="78D4874B">
      <w:pPr>
        <w:rPr>
          <w:rFonts w:hint="eastAsia" w:ascii="宋体" w:hAnsi="宋体" w:cs="宋体"/>
          <w:bCs/>
          <w:snapToGrid w:val="0"/>
          <w:color w:val="auto"/>
          <w:kern w:val="0"/>
          <w:sz w:val="24"/>
          <w:highlight w:val="none"/>
          <w:lang w:val="zh-CN"/>
        </w:rPr>
      </w:pPr>
    </w:p>
    <w:p w14:paraId="776B0337">
      <w:pPr>
        <w:ind w:firstLine="480" w:firstLineChars="200"/>
        <w:outlineLvl w:val="5"/>
        <w:rPr>
          <w:rFonts w:hint="eastAsia" w:ascii="宋体" w:hAnsi="宋体" w:cs="宋体"/>
          <w:bCs/>
          <w:snapToGrid w:val="0"/>
          <w:color w:val="auto"/>
          <w:kern w:val="0"/>
          <w:sz w:val="24"/>
          <w:highlight w:val="none"/>
          <w:lang w:val="zh-CN"/>
        </w:rPr>
      </w:pPr>
      <w:r>
        <w:rPr>
          <w:rFonts w:hint="eastAsia" w:ascii="宋体" w:hAnsi="宋体" w:cs="宋体"/>
          <w:bCs/>
          <w:snapToGrid w:val="0"/>
          <w:color w:val="auto"/>
          <w:kern w:val="0"/>
          <w:sz w:val="24"/>
          <w:highlight w:val="none"/>
          <w:lang w:val="zh-CN"/>
        </w:rPr>
        <w:t>2）其他项目费的支付</w:t>
      </w:r>
    </w:p>
    <w:tbl>
      <w:tblPr>
        <w:tblStyle w:val="16"/>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523"/>
        <w:gridCol w:w="3321"/>
        <w:gridCol w:w="4936"/>
      </w:tblGrid>
      <w:tr w14:paraId="7B76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vAlign w:val="center"/>
          </w:tcPr>
          <w:p w14:paraId="4B173804">
            <w:pPr>
              <w:spacing w:line="276" w:lineRule="auto"/>
              <w:jc w:val="center"/>
              <w:rPr>
                <w:b/>
                <w:color w:val="auto"/>
                <w:highlight w:val="none"/>
              </w:rPr>
            </w:pPr>
            <w:r>
              <w:rPr>
                <w:rFonts w:hint="eastAsia"/>
                <w:b/>
                <w:color w:val="auto"/>
                <w:highlight w:val="none"/>
              </w:rPr>
              <w:t>选项</w:t>
            </w:r>
          </w:p>
        </w:tc>
        <w:tc>
          <w:tcPr>
            <w:tcW w:w="523" w:type="dxa"/>
            <w:vAlign w:val="center"/>
          </w:tcPr>
          <w:p w14:paraId="016FD8B4">
            <w:pPr>
              <w:spacing w:line="276" w:lineRule="auto"/>
              <w:jc w:val="center"/>
              <w:rPr>
                <w:b/>
                <w:color w:val="auto"/>
                <w:highlight w:val="none"/>
              </w:rPr>
            </w:pPr>
            <w:r>
              <w:rPr>
                <w:rFonts w:hint="eastAsia"/>
                <w:b/>
                <w:color w:val="auto"/>
                <w:highlight w:val="none"/>
              </w:rPr>
              <w:t>序号</w:t>
            </w:r>
          </w:p>
        </w:tc>
        <w:tc>
          <w:tcPr>
            <w:tcW w:w="3321" w:type="dxa"/>
            <w:vAlign w:val="center"/>
          </w:tcPr>
          <w:p w14:paraId="411BC78F">
            <w:pPr>
              <w:spacing w:line="276" w:lineRule="auto"/>
              <w:jc w:val="center"/>
              <w:rPr>
                <w:b/>
                <w:color w:val="auto"/>
                <w:highlight w:val="none"/>
              </w:rPr>
            </w:pPr>
            <w:r>
              <w:rPr>
                <w:rFonts w:hint="eastAsia"/>
                <w:b/>
                <w:color w:val="auto"/>
                <w:highlight w:val="none"/>
              </w:rPr>
              <w:t>项 目 名 称</w:t>
            </w:r>
          </w:p>
        </w:tc>
        <w:tc>
          <w:tcPr>
            <w:tcW w:w="4936" w:type="dxa"/>
            <w:vAlign w:val="center"/>
          </w:tcPr>
          <w:p w14:paraId="6D77153D">
            <w:pPr>
              <w:spacing w:line="276" w:lineRule="auto"/>
              <w:jc w:val="center"/>
              <w:rPr>
                <w:b/>
                <w:color w:val="auto"/>
                <w:highlight w:val="none"/>
              </w:rPr>
            </w:pPr>
            <w:r>
              <w:rPr>
                <w:rFonts w:hint="eastAsia"/>
                <w:b/>
                <w:color w:val="auto"/>
                <w:highlight w:val="none"/>
              </w:rPr>
              <w:t xml:space="preserve">计 量 </w:t>
            </w:r>
            <w:r>
              <w:rPr>
                <w:b/>
                <w:color w:val="auto"/>
                <w:highlight w:val="none"/>
              </w:rPr>
              <w:t xml:space="preserve">支 付 </w:t>
            </w:r>
            <w:r>
              <w:rPr>
                <w:rFonts w:hint="eastAsia"/>
                <w:b/>
                <w:color w:val="auto"/>
                <w:highlight w:val="none"/>
              </w:rPr>
              <w:t>方 式</w:t>
            </w:r>
          </w:p>
        </w:tc>
      </w:tr>
      <w:tr w14:paraId="1485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vAlign w:val="center"/>
          </w:tcPr>
          <w:p w14:paraId="0AD8B91F">
            <w:pPr>
              <w:spacing w:line="276" w:lineRule="auto"/>
              <w:jc w:val="center"/>
              <w:rPr>
                <w:color w:val="auto"/>
                <w:highlight w:val="none"/>
              </w:rPr>
            </w:pPr>
            <w:r>
              <w:rPr>
                <w:rFonts w:hint="eastAsia"/>
                <w:b/>
                <w:color w:val="auto"/>
                <w:highlight w:val="none"/>
              </w:rPr>
              <w:t>☑</w:t>
            </w:r>
          </w:p>
        </w:tc>
        <w:tc>
          <w:tcPr>
            <w:tcW w:w="523" w:type="dxa"/>
            <w:vAlign w:val="center"/>
          </w:tcPr>
          <w:p w14:paraId="4891A465">
            <w:pPr>
              <w:spacing w:line="276" w:lineRule="auto"/>
              <w:jc w:val="center"/>
              <w:rPr>
                <w:color w:val="auto"/>
                <w:highlight w:val="none"/>
              </w:rPr>
            </w:pPr>
            <w:r>
              <w:rPr>
                <w:rFonts w:hint="eastAsia"/>
                <w:color w:val="auto"/>
                <w:highlight w:val="none"/>
              </w:rPr>
              <w:t>1</w:t>
            </w:r>
          </w:p>
        </w:tc>
        <w:tc>
          <w:tcPr>
            <w:tcW w:w="3321" w:type="dxa"/>
            <w:vAlign w:val="center"/>
          </w:tcPr>
          <w:p w14:paraId="335757D8">
            <w:pPr>
              <w:spacing w:line="276" w:lineRule="auto"/>
              <w:rPr>
                <w:color w:val="auto"/>
                <w:highlight w:val="none"/>
              </w:rPr>
            </w:pPr>
            <w:r>
              <w:rPr>
                <w:rFonts w:hint="eastAsia"/>
                <w:color w:val="auto"/>
                <w:highlight w:val="none"/>
              </w:rPr>
              <w:t>预算包干费</w:t>
            </w:r>
          </w:p>
        </w:tc>
        <w:tc>
          <w:tcPr>
            <w:tcW w:w="4936" w:type="dxa"/>
            <w:vAlign w:val="center"/>
          </w:tcPr>
          <w:p w14:paraId="04D002EC">
            <w:pPr>
              <w:spacing w:line="276" w:lineRule="auto"/>
              <w:rPr>
                <w:color w:val="auto"/>
                <w:highlight w:val="none"/>
              </w:rPr>
            </w:pPr>
            <w:r>
              <w:rPr>
                <w:rFonts w:hint="eastAsia"/>
                <w:color w:val="auto"/>
                <w:highlight w:val="none"/>
              </w:rPr>
              <w:t>按施工期分月平均支付。</w:t>
            </w:r>
          </w:p>
        </w:tc>
      </w:tr>
      <w:tr w14:paraId="6923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vAlign w:val="center"/>
          </w:tcPr>
          <w:p w14:paraId="7036C342">
            <w:pPr>
              <w:spacing w:line="276" w:lineRule="auto"/>
              <w:jc w:val="center"/>
              <w:rPr>
                <w:color w:val="auto"/>
                <w:highlight w:val="none"/>
              </w:rPr>
            </w:pPr>
            <w:r>
              <w:rPr>
                <w:rFonts w:hint="eastAsia"/>
                <w:b/>
                <w:color w:val="auto"/>
                <w:highlight w:val="none"/>
              </w:rPr>
              <w:t>☑</w:t>
            </w:r>
          </w:p>
        </w:tc>
        <w:tc>
          <w:tcPr>
            <w:tcW w:w="523" w:type="dxa"/>
            <w:vAlign w:val="center"/>
          </w:tcPr>
          <w:p w14:paraId="05F3312D">
            <w:pPr>
              <w:spacing w:line="276" w:lineRule="auto"/>
              <w:jc w:val="center"/>
              <w:rPr>
                <w:color w:val="auto"/>
                <w:highlight w:val="none"/>
              </w:rPr>
            </w:pPr>
            <w:r>
              <w:rPr>
                <w:rFonts w:hint="eastAsia"/>
                <w:color w:val="auto"/>
                <w:highlight w:val="none"/>
              </w:rPr>
              <w:t>2</w:t>
            </w:r>
          </w:p>
        </w:tc>
        <w:tc>
          <w:tcPr>
            <w:tcW w:w="3321" w:type="dxa"/>
            <w:vAlign w:val="center"/>
          </w:tcPr>
          <w:p w14:paraId="04DA5B06">
            <w:pPr>
              <w:spacing w:line="276" w:lineRule="auto"/>
              <w:rPr>
                <w:color w:val="auto"/>
                <w:highlight w:val="none"/>
              </w:rPr>
            </w:pPr>
            <w:r>
              <w:rPr>
                <w:rFonts w:hint="eastAsia"/>
                <w:color w:val="auto"/>
                <w:highlight w:val="none"/>
              </w:rPr>
              <w:t>工程保险费（仅指建筑（安装）一切险、安全生产责任险中第三者人身伤亡和财产损失赔偿等保险及其他保险）</w:t>
            </w:r>
          </w:p>
        </w:tc>
        <w:tc>
          <w:tcPr>
            <w:tcW w:w="4936" w:type="dxa"/>
            <w:vAlign w:val="center"/>
          </w:tcPr>
          <w:p w14:paraId="294A370D">
            <w:pPr>
              <w:spacing w:line="276" w:lineRule="auto"/>
              <w:rPr>
                <w:color w:val="auto"/>
                <w:highlight w:val="none"/>
              </w:rPr>
            </w:pPr>
            <w:r>
              <w:rPr>
                <w:rFonts w:hint="eastAsia"/>
                <w:color w:val="auto"/>
                <w:highlight w:val="none"/>
              </w:rPr>
              <w:t>按实际保费单据实结算，该保险费结算价不得超过招标控制价公布函中的对应金额。承包人提供符合合同约定的投保证明资料且概算批复后，可申请支付该保险费，发包人审核合格后支付该保险费的85%，该保险费经有权结算终审部门审定后，发包人支付剩余金额。</w:t>
            </w:r>
          </w:p>
        </w:tc>
      </w:tr>
      <w:tr w14:paraId="0ED6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vAlign w:val="center"/>
          </w:tcPr>
          <w:p w14:paraId="771FD0EE">
            <w:pPr>
              <w:spacing w:line="276" w:lineRule="auto"/>
              <w:jc w:val="center"/>
              <w:rPr>
                <w:color w:val="auto"/>
                <w:highlight w:val="none"/>
              </w:rPr>
            </w:pPr>
            <w:r>
              <w:rPr>
                <w:rFonts w:hint="eastAsia"/>
                <w:b/>
                <w:color w:val="auto"/>
                <w:highlight w:val="none"/>
              </w:rPr>
              <w:t>☑</w:t>
            </w:r>
          </w:p>
        </w:tc>
        <w:tc>
          <w:tcPr>
            <w:tcW w:w="523" w:type="dxa"/>
            <w:vAlign w:val="center"/>
          </w:tcPr>
          <w:p w14:paraId="52CD45CF">
            <w:pPr>
              <w:spacing w:line="276" w:lineRule="auto"/>
              <w:jc w:val="center"/>
              <w:rPr>
                <w:color w:val="auto"/>
                <w:highlight w:val="none"/>
              </w:rPr>
            </w:pPr>
            <w:r>
              <w:rPr>
                <w:rFonts w:hint="eastAsia"/>
                <w:color w:val="auto"/>
                <w:highlight w:val="none"/>
              </w:rPr>
              <w:t>3</w:t>
            </w:r>
          </w:p>
        </w:tc>
        <w:tc>
          <w:tcPr>
            <w:tcW w:w="3321" w:type="dxa"/>
            <w:vAlign w:val="center"/>
          </w:tcPr>
          <w:p w14:paraId="67D4D50C">
            <w:pPr>
              <w:spacing w:line="276" w:lineRule="auto"/>
              <w:rPr>
                <w:color w:val="auto"/>
                <w:highlight w:val="none"/>
              </w:rPr>
            </w:pPr>
            <w:r>
              <w:rPr>
                <w:rFonts w:hint="eastAsia"/>
                <w:color w:val="auto"/>
                <w:highlight w:val="none"/>
              </w:rPr>
              <w:t>建筑垃圾消纳费（含余泥渣土消纳费）</w:t>
            </w:r>
          </w:p>
        </w:tc>
        <w:tc>
          <w:tcPr>
            <w:tcW w:w="4936" w:type="dxa"/>
            <w:vAlign w:val="center"/>
          </w:tcPr>
          <w:p w14:paraId="70244C50">
            <w:pPr>
              <w:spacing w:line="276" w:lineRule="auto"/>
              <w:rPr>
                <w:color w:val="auto"/>
                <w:highlight w:val="none"/>
              </w:rPr>
            </w:pPr>
            <w:r>
              <w:rPr>
                <w:rFonts w:hint="eastAsia"/>
                <w:color w:val="auto"/>
                <w:highlight w:val="none"/>
              </w:rPr>
              <w:t>余泥渣土消纳费按结算条款的约定按实计算费用，按分部分项工程量清单项目的支付方式。</w:t>
            </w:r>
          </w:p>
        </w:tc>
      </w:tr>
      <w:tr w14:paraId="5A07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vAlign w:val="center"/>
          </w:tcPr>
          <w:p w14:paraId="7DB73E95">
            <w:pPr>
              <w:spacing w:line="276" w:lineRule="auto"/>
              <w:jc w:val="center"/>
              <w:rPr>
                <w:b/>
                <w:color w:val="auto"/>
                <w:highlight w:val="none"/>
              </w:rPr>
            </w:pPr>
            <w:r>
              <w:rPr>
                <w:rFonts w:hint="eastAsia"/>
                <w:b/>
                <w:color w:val="auto"/>
                <w:highlight w:val="none"/>
              </w:rPr>
              <w:t>☑</w:t>
            </w:r>
          </w:p>
        </w:tc>
        <w:tc>
          <w:tcPr>
            <w:tcW w:w="523" w:type="dxa"/>
            <w:vAlign w:val="center"/>
          </w:tcPr>
          <w:p w14:paraId="51828F6F">
            <w:pPr>
              <w:spacing w:line="276" w:lineRule="auto"/>
              <w:jc w:val="center"/>
              <w:rPr>
                <w:color w:val="auto"/>
                <w:highlight w:val="none"/>
              </w:rPr>
            </w:pPr>
            <w:r>
              <w:rPr>
                <w:rFonts w:hint="eastAsia"/>
                <w:color w:val="auto"/>
                <w:highlight w:val="none"/>
              </w:rPr>
              <w:t>4</w:t>
            </w:r>
          </w:p>
        </w:tc>
        <w:tc>
          <w:tcPr>
            <w:tcW w:w="3321" w:type="dxa"/>
            <w:vAlign w:val="center"/>
          </w:tcPr>
          <w:p w14:paraId="461796E9">
            <w:pPr>
              <w:spacing w:line="276" w:lineRule="auto"/>
              <w:rPr>
                <w:color w:val="auto"/>
                <w:highlight w:val="none"/>
              </w:rPr>
            </w:pPr>
            <w:r>
              <w:rPr>
                <w:rFonts w:hint="eastAsia"/>
                <w:color w:val="auto"/>
                <w:highlight w:val="none"/>
              </w:rPr>
              <w:t>工程优质费</w:t>
            </w:r>
          </w:p>
        </w:tc>
        <w:tc>
          <w:tcPr>
            <w:tcW w:w="4936" w:type="dxa"/>
            <w:vAlign w:val="center"/>
          </w:tcPr>
          <w:p w14:paraId="0DB9666B">
            <w:pPr>
              <w:spacing w:line="276" w:lineRule="auto"/>
              <w:rPr>
                <w:color w:val="auto"/>
                <w:highlight w:val="none"/>
              </w:rPr>
            </w:pPr>
            <w:r>
              <w:rPr>
                <w:rFonts w:hint="eastAsia"/>
                <w:color w:val="auto"/>
                <w:highlight w:val="none"/>
              </w:rPr>
              <w:t>按施工期分月平均支付。</w:t>
            </w:r>
          </w:p>
        </w:tc>
      </w:tr>
    </w:tbl>
    <w:p w14:paraId="658603E7">
      <w:pPr>
        <w:pStyle w:val="13"/>
        <w:adjustRightInd w:val="0"/>
        <w:snapToGrid w:val="0"/>
        <w:spacing w:before="0" w:beforeAutospacing="0" w:after="0" w:afterAutospacing="0" w:line="360" w:lineRule="auto"/>
        <w:ind w:firstLine="480" w:firstLineChars="200"/>
        <w:rPr>
          <w:rFonts w:hint="eastAsia"/>
          <w:snapToGrid w:val="0"/>
          <w:color w:val="auto"/>
          <w:highlight w:val="none"/>
        </w:rPr>
      </w:pPr>
    </w:p>
    <w:p w14:paraId="78A15C3D">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3）若发生上述表格以外的措施项目和其他项目，由双方根据实际情况协商确定。原则上单价包干项目按分部分项工程量清单项目的支付方式、总价包干项目按施工期分月平均支付。不发生的项目不予支付及结算计量。</w:t>
      </w:r>
    </w:p>
    <w:p w14:paraId="26F707D7">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4）按施工期分月平均支付的措施项目费和其他项目费，第一期支付款应在相应项目开始实施之后才支付。</w:t>
      </w:r>
    </w:p>
    <w:p w14:paraId="17A0FE41">
      <w:pPr>
        <w:autoSpaceDE w:val="0"/>
        <w:autoSpaceDN w:val="0"/>
        <w:adjustRightInd w:val="0"/>
        <w:snapToGrid w:val="0"/>
        <w:spacing w:line="360" w:lineRule="auto"/>
        <w:ind w:right="11" w:firstLine="200"/>
        <w:outlineLvl w:val="4"/>
        <w:rPr>
          <w:rFonts w:hint="eastAsia" w:ascii="宋体" w:hAnsi="宋体" w:cs="宋体"/>
          <w:bCs/>
          <w:snapToGrid w:val="0"/>
          <w:color w:val="auto"/>
          <w:kern w:val="0"/>
          <w:sz w:val="24"/>
          <w:highlight w:val="none"/>
          <w:lang w:val="zh-CN"/>
        </w:rPr>
      </w:pPr>
      <w:r>
        <w:rPr>
          <w:rFonts w:hint="eastAsia" w:ascii="宋体" w:hAnsi="宋体" w:cs="宋体"/>
          <w:bCs/>
          <w:snapToGrid w:val="0"/>
          <w:color w:val="auto"/>
          <w:kern w:val="0"/>
          <w:sz w:val="24"/>
          <w:highlight w:val="none"/>
          <w:lang w:val="zh-CN"/>
        </w:rPr>
        <w:t>（3）暂列金额的支付方式</w:t>
      </w:r>
    </w:p>
    <w:p w14:paraId="3BEDE168">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1）当分部分项工程量清单项目工程款（含预付款等）累计支付超过分部分项工程量清单计价的90%时，当超出的变更部分费用小于合同分部分项工程量清单计价的10%时，超出的部分从暂列金额中支付，支付方式仍按分部分项工程量清单项目的月进度款的支付方式执行。</w:t>
      </w:r>
    </w:p>
    <w:p w14:paraId="3F63AAB9">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2）措施项目清单费用的进度款累计支付超过措施项目清单计价的90%时，当超出的变更部分费用小于措施项目清单计价的10%时，超出部分从暂列金额中支付，支付方式仍按措施项目清单费的支付方式执行。</w:t>
      </w:r>
    </w:p>
    <w:p w14:paraId="3A259956">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3）其他项目清单费用的进度款累计支付超过其他项目清单计价的90%时，当超出的变更部分费用小于其他项目清单计价的10%时，超出部分从暂列金额中支付，支付方式仍按其他项目清单费的支付方式执行。</w:t>
      </w:r>
    </w:p>
    <w:p w14:paraId="0E909750">
      <w:pPr>
        <w:pStyle w:val="13"/>
        <w:adjustRightInd w:val="0"/>
        <w:snapToGrid w:val="0"/>
        <w:spacing w:before="0" w:beforeAutospacing="0" w:after="0" w:afterAutospacing="0" w:line="360" w:lineRule="auto"/>
        <w:ind w:firstLine="480" w:firstLineChars="200"/>
        <w:outlineLvl w:val="4"/>
        <w:rPr>
          <w:rFonts w:hint="eastAsia"/>
          <w:snapToGrid w:val="0"/>
          <w:color w:val="auto"/>
          <w:highlight w:val="none"/>
        </w:rPr>
      </w:pPr>
      <w:r>
        <w:rPr>
          <w:rFonts w:hint="eastAsia"/>
          <w:snapToGrid w:val="0"/>
          <w:color w:val="auto"/>
          <w:highlight w:val="none"/>
        </w:rPr>
        <w:t>（4）规费及税金项目的支付方式</w:t>
      </w:r>
    </w:p>
    <w:p w14:paraId="257715C7">
      <w:pPr>
        <w:pStyle w:val="13"/>
        <w:adjustRightInd w:val="0"/>
        <w:snapToGrid w:val="0"/>
        <w:spacing w:before="0" w:beforeAutospacing="0" w:after="0" w:afterAutospacing="0" w:line="360" w:lineRule="auto"/>
        <w:ind w:firstLine="480" w:firstLineChars="200"/>
        <w:outlineLvl w:val="4"/>
        <w:rPr>
          <w:rFonts w:hint="eastAsia" w:cs="宋体"/>
          <w:color w:val="auto"/>
          <w:szCs w:val="21"/>
          <w:highlight w:val="none"/>
          <w:lang w:bidi="ar"/>
        </w:rPr>
      </w:pPr>
      <w:r>
        <w:rPr>
          <w:rFonts w:hint="eastAsia" w:cs="宋体"/>
          <w:color w:val="auto"/>
          <w:szCs w:val="21"/>
          <w:highlight w:val="none"/>
          <w:lang w:bidi="ar"/>
        </w:rPr>
        <w:t>税金按政府、广东及广州地区税务部门有关规定计算，根据当期进度款按月支付。</w:t>
      </w:r>
    </w:p>
    <w:p w14:paraId="58117742">
      <w:pPr>
        <w:pStyle w:val="13"/>
        <w:adjustRightInd w:val="0"/>
        <w:snapToGrid w:val="0"/>
        <w:spacing w:before="0" w:beforeAutospacing="0" w:after="0" w:afterAutospacing="0" w:line="360" w:lineRule="auto"/>
        <w:ind w:firstLine="480" w:firstLineChars="200"/>
        <w:outlineLvl w:val="4"/>
        <w:rPr>
          <w:rFonts w:hint="eastAsia"/>
          <w:snapToGrid w:val="0"/>
          <w:color w:val="auto"/>
          <w:highlight w:val="none"/>
        </w:rPr>
      </w:pPr>
      <w:r>
        <w:rPr>
          <w:rFonts w:hint="eastAsia"/>
          <w:snapToGrid w:val="0"/>
          <w:color w:val="auto"/>
          <w:highlight w:val="none"/>
        </w:rPr>
        <w:t>（5）现场组织实施管理费及其支付方式</w:t>
      </w:r>
    </w:p>
    <w:p w14:paraId="136942D9">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1）本项目不涉及此项费用。</w:t>
      </w:r>
    </w:p>
    <w:p w14:paraId="13548BD7">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2）本项目不涉及此项费用。</w:t>
      </w:r>
    </w:p>
    <w:p w14:paraId="53301966">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3）对承包人主要技术及管理人员驻场办公时间进行考核，考核结果作为管理费支付依据，考核须由总监理工程师及发包人现场项目负责人书面签名确认。</w:t>
      </w:r>
    </w:p>
    <w:p w14:paraId="41A72557">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cs="宋体"/>
          <w:snapToGrid w:val="0"/>
          <w:color w:val="auto"/>
          <w:highlight w:val="none"/>
          <w:lang w:val="zh-CN"/>
        </w:rPr>
        <w:t>当发包人累计支付达到</w:t>
      </w:r>
      <w:r>
        <w:rPr>
          <w:rFonts w:hint="eastAsia"/>
          <w:snapToGrid w:val="0"/>
          <w:color w:val="auto"/>
          <w:highlight w:val="none"/>
        </w:rPr>
        <w:t>现场组织实施管理费</w:t>
      </w:r>
      <w:r>
        <w:rPr>
          <w:rFonts w:hint="eastAsia" w:cs="宋体"/>
          <w:snapToGrid w:val="0"/>
          <w:color w:val="auto"/>
          <w:highlight w:val="none"/>
          <w:lang w:val="zh-CN"/>
        </w:rPr>
        <w:t>总额（扣除</w:t>
      </w:r>
      <w:r>
        <w:rPr>
          <w:rFonts w:hint="eastAsia"/>
          <w:snapToGrid w:val="0"/>
          <w:color w:val="auto"/>
          <w:highlight w:val="none"/>
        </w:rPr>
        <w:t>不予支付部分）的</w:t>
      </w:r>
      <w:r>
        <w:rPr>
          <w:rFonts w:hint="eastAsia" w:cs="宋体"/>
          <w:snapToGrid w:val="0"/>
          <w:color w:val="auto"/>
          <w:highlight w:val="none"/>
          <w:lang w:val="zh-CN"/>
        </w:rPr>
        <w:t>85%时暂停支付，剩余费用按</w:t>
      </w:r>
      <w:r>
        <w:rPr>
          <w:rFonts w:hint="eastAsia"/>
          <w:snapToGrid w:val="0"/>
          <w:color w:val="auto"/>
          <w:highlight w:val="none"/>
        </w:rPr>
        <w:t>合同专用条款第28.1（7）、28.1（9）、28.1（10）、28.1（11）、28.1（12）款</w:t>
      </w:r>
      <w:r>
        <w:rPr>
          <w:rFonts w:hint="eastAsia" w:cs="宋体"/>
          <w:snapToGrid w:val="0"/>
          <w:color w:val="auto"/>
          <w:highlight w:val="none"/>
          <w:lang w:val="zh-CN"/>
        </w:rPr>
        <w:t>约定的支付比例支付。</w:t>
      </w:r>
    </w:p>
    <w:p w14:paraId="2FF30509">
      <w:pPr>
        <w:pStyle w:val="8"/>
        <w:adjustRightInd w:val="0"/>
        <w:snapToGrid w:val="0"/>
        <w:spacing w:line="360" w:lineRule="auto"/>
        <w:ind w:firstLine="480" w:firstLineChars="200"/>
        <w:outlineLvl w:val="3"/>
        <w:rPr>
          <w:rFonts w:hAnsi="宋体"/>
          <w:snapToGrid w:val="0"/>
          <w:color w:val="auto"/>
          <w:kern w:val="0"/>
          <w:sz w:val="24"/>
          <w:szCs w:val="24"/>
          <w:highlight w:val="none"/>
        </w:rPr>
      </w:pPr>
      <w:r>
        <w:rPr>
          <w:rFonts w:hAnsi="宋体" w:cs="宋体"/>
          <w:color w:val="auto"/>
          <w:kern w:val="0"/>
          <w:sz w:val="24"/>
          <w:szCs w:val="24"/>
          <w:highlight w:val="none"/>
          <w:lang w:bidi="ar"/>
        </w:rPr>
        <w:fldChar w:fldCharType="begin"/>
      </w:r>
      <w:r>
        <w:rPr>
          <w:rFonts w:hAnsi="宋体" w:cs="宋体"/>
          <w:color w:val="auto"/>
          <w:kern w:val="0"/>
          <w:sz w:val="24"/>
          <w:szCs w:val="24"/>
          <w:highlight w:val="none"/>
          <w:lang w:bidi="ar"/>
        </w:rPr>
        <w:instrText xml:space="preserve"> EQ \o\ac(□,×)</w:instrText>
      </w:r>
      <w:r>
        <w:rPr>
          <w:rFonts w:hAnsi="宋体" w:cs="宋体"/>
          <w:color w:val="auto"/>
          <w:kern w:val="0"/>
          <w:sz w:val="24"/>
          <w:szCs w:val="24"/>
          <w:highlight w:val="none"/>
          <w:lang w:bidi="ar"/>
        </w:rPr>
        <w:fldChar w:fldCharType="end"/>
      </w:r>
      <w:r>
        <w:rPr>
          <w:rFonts w:hAnsi="宋体"/>
          <w:b/>
          <w:iCs/>
          <w:snapToGrid w:val="0"/>
          <w:color w:val="auto"/>
          <w:kern w:val="0"/>
          <w:sz w:val="24"/>
          <w:szCs w:val="24"/>
          <w:highlight w:val="none"/>
        </w:rPr>
        <w:t xml:space="preserve"> </w:t>
      </w:r>
      <w:r>
        <w:rPr>
          <w:rFonts w:hAnsi="宋体"/>
          <w:snapToGrid w:val="0"/>
          <w:color w:val="auto"/>
          <w:kern w:val="0"/>
          <w:sz w:val="24"/>
          <w:szCs w:val="24"/>
          <w:highlight w:val="none"/>
        </w:rPr>
        <w:t>28.3若本工程含有甲招乙供材料设备，承包人应严格按照本合同、招标文件及与甲招乙供材料设备供应商所签合同的约定及时审核、申请支付甲招乙供材料设备进度款（含到货款、安装调试验收款、竣工验收款、质量保证金），并在银行的监控下，按照发包人的要求直接将甲招乙供材料设备款项按合同专用条款第30.7（8）款的约定支付给材料设备供应商，否则应按合同专用条款第38.15款承担违约责任。（本项目不涉及）</w:t>
      </w:r>
    </w:p>
    <w:p w14:paraId="5A7742C0">
      <w:pPr>
        <w:pStyle w:val="8"/>
        <w:adjustRightInd w:val="0"/>
        <w:snapToGrid w:val="0"/>
        <w:spacing w:line="360" w:lineRule="auto"/>
        <w:ind w:firstLine="480" w:firstLineChars="200"/>
        <w:outlineLvl w:val="3"/>
        <w:rPr>
          <w:rFonts w:hAnsi="宋体"/>
          <w:snapToGrid w:val="0"/>
          <w:color w:val="auto"/>
          <w:kern w:val="0"/>
          <w:sz w:val="24"/>
          <w:szCs w:val="24"/>
          <w:highlight w:val="none"/>
        </w:rPr>
      </w:pPr>
      <w:r>
        <w:rPr>
          <w:rFonts w:hAnsi="宋体" w:cs="宋体"/>
          <w:color w:val="auto"/>
          <w:kern w:val="0"/>
          <w:sz w:val="24"/>
          <w:szCs w:val="24"/>
          <w:highlight w:val="none"/>
          <w:lang w:bidi="ar"/>
        </w:rPr>
        <w:fldChar w:fldCharType="begin"/>
      </w:r>
      <w:r>
        <w:rPr>
          <w:rFonts w:hAnsi="宋体" w:cs="宋体"/>
          <w:color w:val="auto"/>
          <w:kern w:val="0"/>
          <w:sz w:val="24"/>
          <w:szCs w:val="24"/>
          <w:highlight w:val="none"/>
          <w:lang w:bidi="ar"/>
        </w:rPr>
        <w:instrText xml:space="preserve"> EQ \o\ac(□,×)</w:instrText>
      </w:r>
      <w:r>
        <w:rPr>
          <w:rFonts w:hAnsi="宋体" w:cs="宋体"/>
          <w:color w:val="auto"/>
          <w:kern w:val="0"/>
          <w:sz w:val="24"/>
          <w:szCs w:val="24"/>
          <w:highlight w:val="none"/>
          <w:lang w:bidi="ar"/>
        </w:rPr>
        <w:fldChar w:fldCharType="end"/>
      </w:r>
      <w:r>
        <w:rPr>
          <w:rFonts w:hAnsi="宋体"/>
          <w:b/>
          <w:iCs/>
          <w:snapToGrid w:val="0"/>
          <w:color w:val="auto"/>
          <w:kern w:val="0"/>
          <w:sz w:val="24"/>
          <w:szCs w:val="24"/>
          <w:highlight w:val="none"/>
        </w:rPr>
        <w:t xml:space="preserve"> </w:t>
      </w:r>
      <w:r>
        <w:rPr>
          <w:rFonts w:hAnsi="宋体"/>
          <w:snapToGrid w:val="0"/>
          <w:color w:val="auto"/>
          <w:kern w:val="0"/>
          <w:sz w:val="24"/>
          <w:szCs w:val="24"/>
          <w:highlight w:val="none"/>
        </w:rPr>
        <w:t>28.4如本工程含有甲管乙供材料设备，承包人应严格按照本合同、</w:t>
      </w:r>
      <w:r>
        <w:rPr>
          <w:snapToGrid w:val="0"/>
          <w:color w:val="auto"/>
          <w:sz w:val="24"/>
          <w:szCs w:val="24"/>
          <w:highlight w:val="none"/>
        </w:rPr>
        <w:t>招标文件或</w:t>
      </w:r>
      <w:r>
        <w:rPr>
          <w:rFonts w:hAnsi="宋体"/>
          <w:snapToGrid w:val="0"/>
          <w:color w:val="auto"/>
          <w:kern w:val="0"/>
          <w:sz w:val="24"/>
          <w:szCs w:val="24"/>
          <w:highlight w:val="none"/>
        </w:rPr>
        <w:t>公开择优竞价文件及与甲管乙供材料设备供应商所签合同的约定及时审核、申请支付甲管乙供材料设备进度款（含到货款、安装调试验收款、竣工验收款、质量保证金），且在收到发包人支付的款项后三个工作日内将该款项支付给甲管乙供材料设备供应商，并在下一次申请付款时向发包人提交本次支付凭证复印件作为支持材料，否则应按合同专用条款第38.15款承担违约责任。（本项目不涉及）</w:t>
      </w:r>
    </w:p>
    <w:p w14:paraId="0FE612DB">
      <w:pPr>
        <w:pStyle w:val="8"/>
        <w:adjustRightInd w:val="0"/>
        <w:snapToGrid w:val="0"/>
        <w:ind w:firstLine="480" w:firstLineChars="200"/>
        <w:outlineLvl w:val="3"/>
        <w:rPr>
          <w:rFonts w:hint="default" w:cs="宋体"/>
          <w:bCs/>
          <w:snapToGrid w:val="0"/>
          <w:color w:val="auto"/>
          <w:szCs w:val="22"/>
          <w:highlight w:val="none"/>
          <w:lang w:val="zh-CN"/>
        </w:rPr>
      </w:pPr>
      <w:r>
        <w:rPr>
          <w:rFonts w:hAnsi="宋体" w:cs="宋体"/>
          <w:bCs/>
          <w:snapToGrid w:val="0"/>
          <w:color w:val="auto"/>
          <w:kern w:val="0"/>
          <w:sz w:val="24"/>
          <w:szCs w:val="22"/>
          <w:highlight w:val="none"/>
          <w:lang w:val="zh-CN"/>
        </w:rPr>
        <w:t>28.5因变更引起的工程项目支付方式</w:t>
      </w:r>
    </w:p>
    <w:p w14:paraId="13794F5B">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经发包人审核后纳入每期进度款中一并支付</w:t>
      </w:r>
      <w:r>
        <w:rPr>
          <w:snapToGrid w:val="0"/>
          <w:color w:val="auto"/>
          <w:highlight w:val="none"/>
        </w:rPr>
        <w:t>。</w:t>
      </w:r>
    </w:p>
    <w:p w14:paraId="41FD189B">
      <w:pPr>
        <w:autoSpaceDE w:val="0"/>
        <w:autoSpaceDN w:val="0"/>
        <w:adjustRightInd w:val="0"/>
        <w:snapToGrid w:val="0"/>
        <w:spacing w:line="360" w:lineRule="auto"/>
        <w:ind w:right="11" w:firstLine="482"/>
        <w:outlineLvl w:val="3"/>
        <w:rPr>
          <w:rFonts w:hint="eastAsia" w:ascii="宋体" w:hAnsi="宋体" w:cs="宋体"/>
          <w:bCs/>
          <w:snapToGrid w:val="0"/>
          <w:color w:val="auto"/>
          <w:kern w:val="0"/>
          <w:sz w:val="24"/>
          <w:highlight w:val="none"/>
          <w:lang w:val="zh-CN"/>
        </w:rPr>
      </w:pPr>
      <w:r>
        <w:rPr>
          <w:rFonts w:hint="eastAsia" w:ascii="宋体" w:hAnsi="宋体" w:cs="宋体"/>
          <w:bCs/>
          <w:snapToGrid w:val="0"/>
          <w:color w:val="auto"/>
          <w:kern w:val="0"/>
          <w:sz w:val="24"/>
          <w:highlight w:val="none"/>
          <w:lang w:val="zh-CN"/>
        </w:rPr>
        <w:t>28.6发包人原则上按每个季度统计并计算一次变更工程和新增工程、暂列金额支付情况，当发包人统计的本合同承包范围内的总金额大于本合同价款时，发包人与承包人双方应按有关规定报相关政府主管部门同意或批准后签订补充合同。</w:t>
      </w:r>
    </w:p>
    <w:p w14:paraId="0CAE1A3D">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snapToGrid w:val="0"/>
          <w:color w:val="auto"/>
          <w:highlight w:val="none"/>
        </w:rPr>
        <w:t>补充合同签订后，发包人按本合同约定已支付给承包人的暂列金额，应分别回归到调整后的分部分项工程量清单、措施项目清单、其他项目清单的累计支付价款中，即补充合同的暂列金额累计支付归零。补充合同签订后暂列金额一般不再支付，在特殊情况下，经监理单位及发包人审定后可予支付，但累计支付额不得超过暂列金额总额的85%。</w:t>
      </w:r>
    </w:p>
    <w:p w14:paraId="56BD6047">
      <w:pPr>
        <w:pStyle w:val="13"/>
        <w:adjustRightInd w:val="0"/>
        <w:snapToGrid w:val="0"/>
        <w:spacing w:before="0" w:beforeAutospacing="0" w:after="0" w:afterAutospacing="0" w:line="360" w:lineRule="auto"/>
        <w:ind w:firstLine="480" w:firstLineChars="200"/>
        <w:rPr>
          <w:rFonts w:hint="eastAsia"/>
          <w:snapToGrid w:val="0"/>
          <w:color w:val="auto"/>
          <w:highlight w:val="none"/>
        </w:rPr>
      </w:pPr>
    </w:p>
    <w:p w14:paraId="293330FA">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七、材料设备供应</w:t>
      </w:r>
    </w:p>
    <w:p w14:paraId="1C879A50">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（一）材料设备的分类</w:t>
      </w:r>
    </w:p>
    <w:p w14:paraId="46833476">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1、按照备货时间的长短，本工程的材料设备分为A、B、C三大类：</w:t>
      </w:r>
    </w:p>
    <w:p w14:paraId="6D7978F9">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（1）A类材料设备：指备货期在六个月以上（含六个月）的材料设备。主要为进口材料设备。</w:t>
      </w:r>
    </w:p>
    <w:p w14:paraId="6136C695">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（2）B类材料设备：指备货期在三个月以上（含三个月）不足六个月的材料设备。主要有：柴油发电机组、冷水机组、电梯等。</w:t>
      </w:r>
    </w:p>
    <w:p w14:paraId="78E9D079">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（3）C类材料设备：指备货期不足三月的材料设备。主要有：阀门、水泵、冷却塔、变压器、高低压开关柜、EPS电源、消防报警、石材等。</w:t>
      </w:r>
    </w:p>
    <w:p w14:paraId="0F286878">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对于上述各类材料设备，承包人签订供货合同的时间必须至少比第一批货物计划进场的时间提前两个月+备货期。</w:t>
      </w:r>
    </w:p>
    <w:p w14:paraId="2D291225">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按照供应单位产生方式不同，工程的材料设备分为甲供材料设备、甲招乙供材料设备、甲管乙供材料设备和乙供材料设备四大类。其中，甲招乙供材料设备、甲管乙供材料设备和乙供材料设备均属承包人采购材料设备，不因发包人及监理单位参与管理而减轻或免除承包人的任何责任及义务。本合同工程的材料设备主要为（</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 xml:space="preserve">甲供材料设备  </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 xml:space="preserve">甲招乙供材料设备  </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 xml:space="preserve"> 甲管乙供材料设备）和乙供材料设备，其中，若有</w:t>
      </w:r>
      <w:r>
        <w:rPr>
          <w:rFonts w:hAnsi="宋体" w:cs="宋体"/>
          <w:snapToGrid w:val="0"/>
          <w:color w:val="auto"/>
          <w:kern w:val="0"/>
          <w:sz w:val="24"/>
          <w:highlight w:val="none"/>
        </w:rPr>
        <w:t>以暂估价形式包括在</w:t>
      </w:r>
      <w:r>
        <w:rPr>
          <w:rFonts w:hint="eastAsia" w:hAnsi="宋体" w:cs="宋体"/>
          <w:snapToGrid w:val="0"/>
          <w:color w:val="auto"/>
          <w:kern w:val="0"/>
          <w:sz w:val="24"/>
          <w:highlight w:val="none"/>
        </w:rPr>
        <w:t>本合同</w:t>
      </w:r>
      <w:r>
        <w:rPr>
          <w:rFonts w:hAnsi="宋体" w:cs="宋体"/>
          <w:snapToGrid w:val="0"/>
          <w:color w:val="auto"/>
          <w:kern w:val="0"/>
          <w:sz w:val="24"/>
          <w:highlight w:val="none"/>
        </w:rPr>
        <w:t>承包范围内的工程、货物、服务属于依法必须进行招标的项目范围且达到国家规定规模标准的，应当依法进行招标。</w:t>
      </w:r>
    </w:p>
    <w:p w14:paraId="74A450EE">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1）甲供材料设备：即发包人供应材料设备，是指由发包人直接与材料设备供应商签订供货合同并支付合同货款的材料设备。本合同中其品种、规格型号及数量等以发包人与相关材料设备供应商所签合同约定的内容为准。</w:t>
      </w:r>
    </w:p>
    <w:p w14:paraId="730B413C">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（2）</w:t>
      </w:r>
      <w:r>
        <w:rPr>
          <w:rFonts w:hint="eastAsia" w:hAnsi="宋体"/>
          <w:snapToGrid w:val="0"/>
          <w:color w:val="auto"/>
          <w:kern w:val="0"/>
          <w:sz w:val="24"/>
          <w:highlight w:val="none"/>
        </w:rPr>
        <w:t>甲招乙供材料设备：属承包人采购材料设备范畴，是指由发包人通过公开招标的方式确定材料设备供应商，发包人与材料设备供应商签订材料设备供货条件合同，承包人与材料设备供应商在供货条件合同的原则下签订具体的供货合同，并由承包人在银行的监控下，按照发包人的要求直接将甲招乙供材料设备款项支付给材料设备供应商的材料设备</w:t>
      </w:r>
      <w:r>
        <w:rPr>
          <w:rFonts w:hint="eastAsia" w:ascii="宋体" w:hAnsi="宋体"/>
          <w:snapToGrid w:val="0"/>
          <w:color w:val="auto"/>
          <w:kern w:val="0"/>
          <w:sz w:val="24"/>
          <w:highlight w:val="none"/>
        </w:rPr>
        <w:t>。本合同中其品种、规格型号、单价等</w:t>
      </w:r>
      <w:r>
        <w:rPr>
          <w:rFonts w:hint="eastAsia"/>
          <w:snapToGrid w:val="0"/>
          <w:color w:val="auto"/>
          <w:kern w:val="0"/>
          <w:sz w:val="24"/>
          <w:highlight w:val="none"/>
        </w:rPr>
        <w:t>以发包人公开招标所确定的内容为准，</w:t>
      </w:r>
      <w:r>
        <w:rPr>
          <w:rFonts w:hint="eastAsia" w:ascii="宋体" w:hAnsi="宋体"/>
          <w:snapToGrid w:val="0"/>
          <w:color w:val="auto"/>
          <w:kern w:val="0"/>
          <w:sz w:val="24"/>
          <w:highlight w:val="none"/>
        </w:rPr>
        <w:t>暂定数量以甲招乙供材料设备招标文件</w:t>
      </w:r>
      <w:r>
        <w:rPr>
          <w:rFonts w:hint="eastAsia"/>
          <w:snapToGrid w:val="0"/>
          <w:color w:val="auto"/>
          <w:kern w:val="0"/>
          <w:sz w:val="24"/>
          <w:highlight w:val="none"/>
        </w:rPr>
        <w:t>列明的内容为准。</w:t>
      </w:r>
    </w:p>
    <w:p w14:paraId="095D9E2E">
      <w:pPr>
        <w:pStyle w:val="13"/>
        <w:adjustRightInd w:val="0"/>
        <w:snapToGrid w:val="0"/>
        <w:spacing w:before="0" w:beforeAutospacing="0" w:after="0" w:afterAutospacing="0" w:line="360" w:lineRule="auto"/>
        <w:ind w:firstLine="480" w:firstLineChars="200"/>
        <w:rPr>
          <w:rFonts w:hint="eastAsia"/>
          <w:snapToGrid w:val="0"/>
          <w:color w:val="auto"/>
          <w:highlight w:val="none"/>
        </w:rPr>
      </w:pPr>
      <w:r>
        <w:rPr>
          <w:rFonts w:hint="eastAsia" w:cs="宋体"/>
          <w:color w:val="auto"/>
          <w:highlight w:val="none"/>
          <w:lang w:bidi="ar"/>
        </w:rPr>
        <w:fldChar w:fldCharType="begin"/>
      </w:r>
      <w:r>
        <w:rPr>
          <w:rFonts w:hint="eastAsia" w:cs="宋体"/>
          <w:color w:val="auto"/>
          <w:highlight w:val="none"/>
          <w:lang w:bidi="ar"/>
        </w:rPr>
        <w:instrText xml:space="preserve"> EQ \o\ac(□,×)</w:instrText>
      </w:r>
      <w:r>
        <w:rPr>
          <w:rFonts w:hint="eastAsia" w:cs="宋体"/>
          <w:color w:val="auto"/>
          <w:highlight w:val="none"/>
          <w:lang w:bidi="ar"/>
        </w:rPr>
        <w:fldChar w:fldCharType="end"/>
      </w:r>
      <w:r>
        <w:rPr>
          <w:rFonts w:hint="eastAsia"/>
          <w:snapToGrid w:val="0"/>
          <w:color w:val="auto"/>
          <w:highlight w:val="none"/>
        </w:rPr>
        <w:t>（3）甲管乙供材料设备：属承包人采购材料设备范畴，指本合同工程的某些材料设备在招标文件中设为暂定价，由承包人与发包人共同组织招标或通过公开择优竞价方式确定材料设备供应商，然后由承包人与材料设备供应商签订供货合同并直接支付合同货款、发包人予以监管的材料设备。本合同中其品种、规格型号及数量、单价等以承包人与发包人共同组织招标或通过公开择优竞价方式所确定的内容为准。</w:t>
      </w:r>
    </w:p>
    <w:p w14:paraId="42807558">
      <w:pPr>
        <w:adjustRightInd w:val="0"/>
        <w:snapToGrid w:val="0"/>
        <w:spacing w:line="360" w:lineRule="auto"/>
        <w:ind w:right="11" w:firstLine="460" w:firstLineChars="192"/>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（4）乙供材料设备：属承包人采购材料设备范畴，是指由承包人根据招标文件列明的推荐品牌、投标时填报用于评审的品牌以及发包人的看样定板相关规定、合同约定自行采购并支付货款的材料设备。。</w:t>
      </w:r>
    </w:p>
    <w:p w14:paraId="60429AAB">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3、发包人有权根据工程实际情况对材料设备分类、供应方式进行调整。</w:t>
      </w:r>
    </w:p>
    <w:p w14:paraId="2B9D1C69">
      <w:pPr>
        <w:adjustRightInd w:val="0"/>
        <w:snapToGrid w:val="0"/>
        <w:spacing w:line="360" w:lineRule="auto"/>
        <w:ind w:right="11" w:firstLine="480" w:firstLineChars="200"/>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二）发包人、承包人一致同意在本合同签订后一个月内，会同监理单位参照上述分类及分工编制本工程主要材料设备供应计划并严格执行（数量较大的材料设备应分批到货，不可分割的材料设备应同时到货）。其中，所有材料设备的下料单均应由承包人填报并经监理单位及发包人批准方可实施，发包人及监理单位的批准不免除承包人因下料单失误（包括但不限于供应计划不准确、不及时、数量规格与实际需求不符等）影响工程质量、进度等的责任。</w:t>
      </w:r>
    </w:p>
    <w:p w14:paraId="0596B721">
      <w:pPr>
        <w:adjustRightInd w:val="0"/>
        <w:snapToGrid w:val="0"/>
        <w:spacing w:line="360" w:lineRule="auto"/>
        <w:ind w:firstLine="482" w:firstLineChars="200"/>
        <w:outlineLvl w:val="2"/>
        <w:rPr>
          <w:rFonts w:hint="eastAsia" w:ascii="宋体" w:hAnsi="宋体" w:cs="宋体"/>
          <w:snapToGrid w:val="0"/>
          <w:color w:val="auto"/>
          <w:kern w:val="0"/>
          <w:sz w:val="24"/>
          <w:szCs w:val="21"/>
          <w:highlight w:val="none"/>
          <w:lang w:val="zh-CN"/>
        </w:rPr>
      </w:pPr>
      <w:r>
        <w:rPr>
          <w:rFonts w:hint="eastAsia" w:ascii="宋体" w:hAnsi="宋体"/>
          <w:b/>
          <w:snapToGrid w:val="0"/>
          <w:color w:val="auto"/>
          <w:kern w:val="0"/>
          <w:sz w:val="24"/>
          <w:highlight w:val="none"/>
        </w:rPr>
        <w:sym w:font="Wingdings 2" w:char="0052"/>
      </w:r>
      <w:r>
        <w:rPr>
          <w:rFonts w:hint="eastAsia" w:ascii="宋体" w:hAnsi="宋体"/>
          <w:snapToGrid w:val="0"/>
          <w:color w:val="auto"/>
          <w:kern w:val="0"/>
          <w:sz w:val="24"/>
          <w:highlight w:val="none"/>
        </w:rPr>
        <w:t>（三）发包人将委托有资质的产品质量监督检验机构并由该机构依据合同约定对本工程进行材料设备技术检验（包括到厂抽检）和现场技术质量管理，承包人应予积极配合。凡用于本工程的材料设备必须贴上该机构的检验合格标志方可使用，没有该检验合格标志的材料设备视同不合格产品，发包人有权要求承包人拆除、调换或运出施工场地，或发包人自行组织拆除、调换或运出施工场地，因此所发生的费用和所造成的损失及责任全部由承包人承担。</w:t>
      </w:r>
    </w:p>
    <w:p w14:paraId="77FAA235">
      <w:pPr>
        <w:adjustRightInd w:val="0"/>
        <w:snapToGrid w:val="0"/>
        <w:spacing w:line="360" w:lineRule="auto"/>
        <w:ind w:firstLine="480" w:firstLineChars="200"/>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四）承包人承诺：所有的材料设备均严格按照相关技术规范、用户需求书选用，并保证材料设备参数的真实性、有效性，如发生材料设备货不对板、或以低品质材料设备冒充高品质材料设备、或以低技术档次系列的产品冒充高技术档次系列的产品的情况，该材料设备不得在本工程使用。发包人有权按照对本工程最有利的原则要求承包人更换为满足设计要求的高品质材料设备或高技术档次系列的产品，且价格不作调整；同时承包人应承担由此产生的有关违约责任和其他法律责任。</w:t>
      </w:r>
    </w:p>
    <w:p w14:paraId="5260CACD">
      <w:pPr>
        <w:adjustRightInd w:val="0"/>
        <w:snapToGrid w:val="0"/>
        <w:spacing w:line="360" w:lineRule="auto"/>
        <w:ind w:firstLine="480" w:firstLineChars="200"/>
        <w:outlineLvl w:val="2"/>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（五）承包人承诺：</w:t>
      </w:r>
      <w:bookmarkStart w:id="9" w:name="_Hlk205566217"/>
      <w:r>
        <w:rPr>
          <w:rFonts w:hint="eastAsia" w:ascii="宋体" w:hAnsi="宋体"/>
          <w:snapToGrid w:val="0"/>
          <w:color w:val="auto"/>
          <w:kern w:val="0"/>
          <w:sz w:val="24"/>
          <w:szCs w:val="24"/>
          <w:highlight w:val="none"/>
        </w:rPr>
        <w:t>投标时填报用于评审的品牌/生产厂商优先用于本工程，通过看样定板选定品牌/生产厂商的材料设备在工程实施过程中不得更换；实施时如确需更换供应商或材料设备，须报发包人同意。</w:t>
      </w:r>
    </w:p>
    <w:p w14:paraId="08A0449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szCs w:val="24"/>
          <w:highlight w:val="none"/>
        </w:rPr>
        <w:t>本着对项目有利的原则，发包人有权选用合格供应商名录中信誉更好的供应商、《主要材料参考品牌表》中档次更高、质量更优的材料设备投入本工程，但结算时材料设备单价按中标单价保持不变。只有当发包人明确放弃上述权利时，承包人方可在合格供应商名录及推荐品牌中自主选择，报发包人同意后更换，但结算时材料设备单价按中标单价保持不变。</w:t>
      </w:r>
    </w:p>
    <w:bookmarkEnd w:id="9"/>
    <w:p w14:paraId="320AC0D3">
      <w:pPr>
        <w:adjustRightInd w:val="0"/>
        <w:snapToGrid w:val="0"/>
        <w:spacing w:line="360" w:lineRule="auto"/>
        <w:ind w:firstLine="482" w:firstLineChars="20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承包人与发包人一致同意不适用合同通用条款第29条的约定，代之以：</w:t>
      </w:r>
    </w:p>
    <w:p w14:paraId="13238B2E">
      <w:pPr>
        <w:adjustRightInd w:val="0"/>
        <w:snapToGrid w:val="0"/>
        <w:spacing w:line="360" w:lineRule="auto"/>
        <w:ind w:right="11" w:firstLine="460" w:firstLineChars="192"/>
        <w:outlineLvl w:val="2"/>
        <w:rPr>
          <w:rFonts w:hint="eastAsia" w:ascii="宋体" w:hAnsi="宋体"/>
          <w:b/>
          <w:snapToGrid w:val="0"/>
          <w:color w:val="auto"/>
          <w:kern w:val="0"/>
          <w:sz w:val="24"/>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
          <w:snapToGrid w:val="0"/>
          <w:color w:val="auto"/>
          <w:kern w:val="0"/>
          <w:sz w:val="24"/>
          <w:highlight w:val="none"/>
        </w:rPr>
        <w:t xml:space="preserve"> 29、发包人供应材料设备（甲供材料设备）（本项目不涉及）</w:t>
      </w:r>
    </w:p>
    <w:p w14:paraId="1FF720DC">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29.1由发包人供应的材料设备，发包人委托承包人承担本条款所约定工作，发包人依据招标文件和本合同约定向承包人另行支付相应的材料设备管理费。</w:t>
      </w:r>
    </w:p>
    <w:p w14:paraId="3F8DA0A4">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29.2承包人负责甲供材料设备的设计联络，负责</w:t>
      </w:r>
      <w:r>
        <w:rPr>
          <w:snapToGrid w:val="0"/>
          <w:color w:val="auto"/>
          <w:highlight w:val="none"/>
        </w:rPr>
        <w:t>提供</w:t>
      </w:r>
      <w:r>
        <w:rPr>
          <w:rFonts w:hint="eastAsia"/>
          <w:snapToGrid w:val="0"/>
          <w:color w:val="auto"/>
          <w:highlight w:val="none"/>
        </w:rPr>
        <w:t>甲供材料设备</w:t>
      </w:r>
      <w:r>
        <w:rPr>
          <w:snapToGrid w:val="0"/>
          <w:color w:val="auto"/>
          <w:highlight w:val="none"/>
        </w:rPr>
        <w:t>清单，并详细说明规格、型号、数量、有关技术参数以及计划使用和要求进场时间</w:t>
      </w:r>
      <w:r>
        <w:rPr>
          <w:rFonts w:hint="eastAsia"/>
          <w:snapToGrid w:val="0"/>
          <w:color w:val="auto"/>
          <w:highlight w:val="none"/>
        </w:rPr>
        <w:t>，负责编制甲供材料设备的</w:t>
      </w:r>
      <w:r>
        <w:rPr>
          <w:snapToGrid w:val="0"/>
          <w:color w:val="auto"/>
          <w:highlight w:val="none"/>
        </w:rPr>
        <w:t>供应总计划和分阶段供应计划</w:t>
      </w:r>
      <w:r>
        <w:rPr>
          <w:rFonts w:hint="eastAsia"/>
          <w:snapToGrid w:val="0"/>
          <w:color w:val="auto"/>
          <w:highlight w:val="none"/>
        </w:rPr>
        <w:t>，并根据工程建设的实际需要及时调整计划，</w:t>
      </w:r>
      <w:r>
        <w:rPr>
          <w:snapToGrid w:val="0"/>
          <w:color w:val="auto"/>
          <w:highlight w:val="none"/>
        </w:rPr>
        <w:t>经监理单位审核后，</w:t>
      </w:r>
      <w:r>
        <w:rPr>
          <w:rFonts w:hint="eastAsia"/>
          <w:snapToGrid w:val="0"/>
          <w:color w:val="auto"/>
          <w:highlight w:val="none"/>
        </w:rPr>
        <w:t>报发包人审批</w:t>
      </w:r>
      <w:r>
        <w:rPr>
          <w:snapToGrid w:val="0"/>
          <w:color w:val="auto"/>
          <w:highlight w:val="none"/>
        </w:rPr>
        <w:t>。</w:t>
      </w:r>
      <w:r>
        <w:rPr>
          <w:rFonts w:hint="eastAsia"/>
          <w:snapToGrid w:val="0"/>
          <w:color w:val="auto"/>
          <w:highlight w:val="none"/>
        </w:rPr>
        <w:t>承包人编制的计划必须充分考虑甲供材料设备的备货期，必须保证签订供货合同的时间至少比第一批货物计划进场的时间提前两个月+备货期。</w:t>
      </w:r>
    </w:p>
    <w:p w14:paraId="1C3E75E6">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29.3承包人应对其编制的甲供材料设备供货计划（包括计划调整）的正确性、及时性和完整性全面负责。由于承包人原因（如供货计划不正确、不及时或调整的供货计划未及时书面通知供货人等）造成供货人未按供货计划提供货物，由承包人承担工期延误责任，工期不予顺延，并按合同专用条款第38.8款的有关约定承担违约责任并赔偿由此给发包人造成的损失。</w:t>
      </w:r>
    </w:p>
    <w:p w14:paraId="7B920FD0">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29.4承包人承担甲供材料设备催交的责任，监督检查供货人按供货计划执行，若供货人未按计划执行，承包人应及时把信息反馈给监理单位及发包人，并及时调整供货计划，否则造成的工期延误由承包人负责。</w:t>
      </w:r>
    </w:p>
    <w:p w14:paraId="70E0C14E">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29.5若因发包人原因造成供货人未按供货计划提供货物，由发包人承担工期延误责任。</w:t>
      </w:r>
    </w:p>
    <w:p w14:paraId="66E19070">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29.6供货人负责将甲供材料设备运至工地现场并卸车至承包人指定仓库。承包人负责对甲供材料设备质量和数量的验收、从仓库至施工现场的搬运、垂直运输、保管（含工地仓库的材料存储损耗）、安装、验收等，并于到货之日起2日内及时签发甲供材料设备到货凭证并协助供货人办理必要的支付手续，否则按合同专用条款第38.15款承担违约责任。</w:t>
      </w:r>
    </w:p>
    <w:p w14:paraId="61CC75AC">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29.7承包人应及时验收并妥善保管本工程的全部甲供材料设备，因承包人原因发生丢失损坏的，由承包人负责赔偿。</w:t>
      </w:r>
    </w:p>
    <w:p w14:paraId="0CC80AFE">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29.8工程结算时，发包人依据竣工图对甲供材料设备进行结算，超出竣工图数量而承包人供应计划已下达并已签收的货物的价款由承包人承担，并在结算时相应扣除。</w:t>
      </w:r>
    </w:p>
    <w:p w14:paraId="721E51F1">
      <w:pPr>
        <w:adjustRightInd w:val="0"/>
        <w:snapToGrid w:val="0"/>
        <w:spacing w:line="360" w:lineRule="auto"/>
        <w:ind w:right="11" w:firstLine="463" w:firstLineChars="192"/>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30、承包人采购材料设备</w:t>
      </w:r>
    </w:p>
    <w:p w14:paraId="41A5FDC9">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30.1承包人采购的材料设备主要为乙供材料设备。</w:t>
      </w:r>
    </w:p>
    <w:p w14:paraId="637CA754">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t>承包人和发包人一致同意增加30.7至30.9：</w:t>
      </w:r>
    </w:p>
    <w:p w14:paraId="3A72EDC3">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30.7甲招乙供材料设备的管理（本项目暂不涉及）</w:t>
      </w:r>
    </w:p>
    <w:p w14:paraId="69D5E8EB">
      <w:pPr>
        <w:pStyle w:val="8"/>
        <w:adjustRightInd w:val="0"/>
        <w:snapToGrid w:val="0"/>
        <w:spacing w:line="360" w:lineRule="auto"/>
        <w:ind w:firstLine="480" w:firstLineChars="200"/>
        <w:rPr>
          <w:rFonts w:hint="default"/>
          <w:snapToGrid w:val="0"/>
          <w:color w:val="auto"/>
          <w:kern w:val="0"/>
          <w:sz w:val="24"/>
          <w:szCs w:val="24"/>
          <w:highlight w:val="none"/>
        </w:rPr>
      </w:pPr>
      <w:r>
        <w:rPr>
          <w:snapToGrid w:val="0"/>
          <w:color w:val="auto"/>
          <w:kern w:val="0"/>
          <w:sz w:val="24"/>
          <w:szCs w:val="24"/>
          <w:highlight w:val="none"/>
        </w:rPr>
        <w:t>（1）甲招乙供材料设备属承包人采购材料设备范畴，承包人确认发包人通过公开招标方式选定的本合同工程所需的甲招乙供材料设备供应商及货物品牌是为确保工程质量达到要求所必需的，符合承包人的利益，承包人承诺无条件按发包人的要求与甲招乙供材料设备供应商签订供货合同并接受相对应招投标文件及供货条件合同的约束。</w:t>
      </w:r>
    </w:p>
    <w:p w14:paraId="0D580E44">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2）承包人必须严格按照本合同有关承包人采购材料设备的约定对甲招乙供材料设备进行管理，对甲招乙供材料设备的供应和质量承担全部责任。因甲招乙供材料设备供应不及时造成工期延误的，由承包人按合同专用条款第38.8款的有关约定承担违约责任；因甲招乙供材料设备质量问题给本工程造成损害的，由承包人按合同专用条款第38.10款的有关约定承担违约责任。</w:t>
      </w:r>
    </w:p>
    <w:p w14:paraId="3FEF1D01">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3）承包人应以中标通知书确定的单价为依据与甲招乙供材料设备供应商签订合同，发包人依据招标文件和本合同约定向承包人另行支付相应管理费及工程税金。承包人不得以任何理由要求甲招乙供材料设备供应商支付相应管理费及工程税金。</w:t>
      </w:r>
    </w:p>
    <w:p w14:paraId="2755F48B">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4）承包人应严格按照本合同、招标文件及与甲招乙供材料设备供应商所签合同的约定及时审核、申请、支付甲招乙供材料设备价款，并在银行的监控下，按照发包人的要求直接将甲招乙供材料设备款项按合同专用条款第30.7（8）款的约定支付给材料设备供应商，否则应按合同专用条款第38.15款承担违约责任。</w:t>
      </w:r>
    </w:p>
    <w:p w14:paraId="2EA7418D">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（5）承包人应严格按照本合同、招标文件及与甲招乙供材料设备供应商所签合同的约定及时组织对进场的甲招乙供材料设备进行清点验收，并严把甲招乙供材料设备质量关。</w:t>
      </w:r>
    </w:p>
    <w:p w14:paraId="2CF08067">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（6）由于承包人原因导致本工程甲招乙供材料设备供货不及时，造成发包人需向其他供应商购买相关材料设备的，所发生的增加费用全部由承包人承担，发包人有权在支付给承包人合同价款时予以直接扣除。</w:t>
      </w:r>
    </w:p>
    <w:p w14:paraId="68D7172C">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（7）承包人和甲招乙供材料设备供应商都应当严格按照合同约定履行各自的义务。承包人依据合同约定对甲招乙供材料设备供应商进行违约处理时应事先报请发包人批准。</w:t>
      </w:r>
    </w:p>
    <w:p w14:paraId="1E3B94AA">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8）为确保专款专用，减少争议，避免纠纷，承包人应按照发包人的要求，在发包人与甲招乙供材料设备供应商签订供货条件合同、甲招乙供材料设备供应商足额向发包人提交履约担保且承包人与甲招乙供材料设备供应商签订供货合同后的7个工作日内，与发包人、发包人指定的银行及甲招乙供材料设备供应商签订四方协议，并按照四方协议约定在银行的监控下，通过专用账号将甲招乙供材料设备款项直接支付至材料设备供应商的专用账号。</w:t>
      </w:r>
    </w:p>
    <w:p w14:paraId="35E885E4">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30.8甲管乙供材料设备的管理（本项目暂不涉及）</w:t>
      </w:r>
    </w:p>
    <w:p w14:paraId="4D78DAC7">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1）甲管乙供材料设备属承包人采购材料设备范畴，承包人必须严格按照本合同有关承包人采购材料设备的约定对甲管乙供材料设备进行管理，对甲管乙供材料设备的供应和质量承担全部责任。因甲管乙供材料设备供应不及时造成工期延误的，由承包人按合同专用条款第38.8款的有关约定承担违约责任；因甲管乙供材料设备质量问题给本工程造成损害的，由承包人按合同专用条款第38.10款的有关约定承担违约责任。</w:t>
      </w:r>
    </w:p>
    <w:p w14:paraId="2F40CE75">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（2）承包人与发包人共同组织本工程甲管乙供材料设备的</w:t>
      </w:r>
      <w:r>
        <w:rPr>
          <w:snapToGrid w:val="0"/>
          <w:color w:val="auto"/>
          <w:sz w:val="24"/>
          <w:szCs w:val="24"/>
          <w:highlight w:val="none"/>
        </w:rPr>
        <w:t>招标或</w:t>
      </w:r>
      <w:r>
        <w:rPr>
          <w:rFonts w:hAnsi="宋体"/>
          <w:snapToGrid w:val="0"/>
          <w:color w:val="auto"/>
          <w:kern w:val="0"/>
          <w:sz w:val="24"/>
          <w:szCs w:val="24"/>
          <w:highlight w:val="none"/>
        </w:rPr>
        <w:t>公开择优竞价工作，共同起草、审核</w:t>
      </w:r>
      <w:r>
        <w:rPr>
          <w:snapToGrid w:val="0"/>
          <w:color w:val="auto"/>
          <w:sz w:val="24"/>
          <w:szCs w:val="24"/>
          <w:highlight w:val="none"/>
        </w:rPr>
        <w:t>招标文件或</w:t>
      </w:r>
      <w:r>
        <w:rPr>
          <w:rFonts w:hAnsi="宋体"/>
          <w:snapToGrid w:val="0"/>
          <w:color w:val="auto"/>
          <w:kern w:val="0"/>
          <w:sz w:val="24"/>
          <w:szCs w:val="24"/>
          <w:highlight w:val="none"/>
        </w:rPr>
        <w:t>公开择优竞价文件，并予以会签确认，按有关规定或项目要求组织有关专家进行评审。</w:t>
      </w:r>
    </w:p>
    <w:p w14:paraId="591AB590">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（3）承包人应在中标（选）单位确定后两天（或发包人通知的时间）内书面通知中标（选）单位进场对现场安装条件进行核对并交发包人备案确认。</w:t>
      </w:r>
    </w:p>
    <w:p w14:paraId="6BBF062F">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（4）承包人应于中标（选）通知书发出后7天内通知中标（选）单位按甲管乙供材料设备暂定总价款的5%向发包人交纳供货措施保证金并负责督促落实。此供货措施保证金按</w:t>
      </w:r>
      <w:r>
        <w:rPr>
          <w:snapToGrid w:val="0"/>
          <w:color w:val="auto"/>
          <w:sz w:val="24"/>
          <w:szCs w:val="24"/>
          <w:highlight w:val="none"/>
        </w:rPr>
        <w:t>招标文件或</w:t>
      </w:r>
      <w:r>
        <w:rPr>
          <w:rFonts w:hAnsi="宋体"/>
          <w:snapToGrid w:val="0"/>
          <w:color w:val="auto"/>
          <w:kern w:val="0"/>
          <w:sz w:val="24"/>
          <w:szCs w:val="24"/>
          <w:highlight w:val="none"/>
        </w:rPr>
        <w:t>公开择优竞价文件约定用于甲管乙供材料设备管理，并于此甲管乙供材料设备供应工作结束后10天内无息退回（扣除已发生的违约处罚金额）。</w:t>
      </w:r>
    </w:p>
    <w:p w14:paraId="44358307">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（5）承包人应按</w:t>
      </w:r>
      <w:r>
        <w:rPr>
          <w:snapToGrid w:val="0"/>
          <w:color w:val="auto"/>
          <w:sz w:val="24"/>
          <w:szCs w:val="24"/>
          <w:highlight w:val="none"/>
        </w:rPr>
        <w:t>招标文件或</w:t>
      </w:r>
      <w:r>
        <w:rPr>
          <w:rFonts w:hAnsi="宋体"/>
          <w:snapToGrid w:val="0"/>
          <w:color w:val="auto"/>
          <w:kern w:val="0"/>
          <w:sz w:val="24"/>
          <w:szCs w:val="24"/>
          <w:highlight w:val="none"/>
        </w:rPr>
        <w:t>公开择优竞价文件规定的时间或者发包人限定的时间以中标（选）通知书确定的单价为依据与甲管乙供材料设备供应单位签订合同[最迟不得超过中标（选）通知书发出后30天]，发包人依据</w:t>
      </w:r>
      <w:r>
        <w:rPr>
          <w:snapToGrid w:val="0"/>
          <w:color w:val="auto"/>
          <w:sz w:val="24"/>
          <w:szCs w:val="24"/>
          <w:highlight w:val="none"/>
        </w:rPr>
        <w:t>招标文件或</w:t>
      </w:r>
      <w:r>
        <w:rPr>
          <w:rFonts w:hAnsi="宋体"/>
          <w:snapToGrid w:val="0"/>
          <w:color w:val="auto"/>
          <w:kern w:val="0"/>
          <w:sz w:val="24"/>
          <w:szCs w:val="24"/>
          <w:highlight w:val="none"/>
        </w:rPr>
        <w:t>公开择优竞价文件和本合同约定向承包人另行支付相应工程税金。承包人相应管理费已含于甲管乙供材料设备单价中，按</w:t>
      </w:r>
      <w:r>
        <w:rPr>
          <w:snapToGrid w:val="0"/>
          <w:color w:val="auto"/>
          <w:sz w:val="24"/>
          <w:szCs w:val="24"/>
          <w:highlight w:val="none"/>
        </w:rPr>
        <w:t>招标文件或</w:t>
      </w:r>
      <w:r>
        <w:rPr>
          <w:rFonts w:hAnsi="宋体"/>
          <w:snapToGrid w:val="0"/>
          <w:color w:val="auto"/>
          <w:kern w:val="0"/>
          <w:sz w:val="24"/>
          <w:szCs w:val="24"/>
          <w:highlight w:val="none"/>
        </w:rPr>
        <w:t>公开择优竞价文件约定执行。</w:t>
      </w:r>
    </w:p>
    <w:p w14:paraId="27C308ED">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（6）承包人应严格按照本合同、</w:t>
      </w:r>
      <w:r>
        <w:rPr>
          <w:snapToGrid w:val="0"/>
          <w:color w:val="auto"/>
          <w:sz w:val="24"/>
          <w:szCs w:val="24"/>
          <w:highlight w:val="none"/>
        </w:rPr>
        <w:t>招标文件或</w:t>
      </w:r>
      <w:r>
        <w:rPr>
          <w:rFonts w:hAnsi="宋体"/>
          <w:snapToGrid w:val="0"/>
          <w:color w:val="auto"/>
          <w:kern w:val="0"/>
          <w:sz w:val="24"/>
          <w:szCs w:val="24"/>
          <w:highlight w:val="none"/>
        </w:rPr>
        <w:t>公开择优竞价文件及与甲管乙供材料设备供应商所签合同的约定及时审核、申请支付甲管乙供材料设备价款，且在收到发包人支付的款项后三个工作日内将相关款项支付给甲管乙供材料设备供应单位，并在下一次申请付款时向发包人提交本次支付凭证复印件作为支持材料。</w:t>
      </w:r>
    </w:p>
    <w:p w14:paraId="1BF2FCDA">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（7）承包人应严格按照</w:t>
      </w:r>
      <w:r>
        <w:rPr>
          <w:snapToGrid w:val="0"/>
          <w:color w:val="auto"/>
          <w:sz w:val="24"/>
          <w:szCs w:val="24"/>
          <w:highlight w:val="none"/>
        </w:rPr>
        <w:t>招标文件或</w:t>
      </w:r>
      <w:r>
        <w:rPr>
          <w:rFonts w:hAnsi="宋体"/>
          <w:snapToGrid w:val="0"/>
          <w:color w:val="auto"/>
          <w:kern w:val="0"/>
          <w:sz w:val="24"/>
          <w:szCs w:val="24"/>
          <w:highlight w:val="none"/>
        </w:rPr>
        <w:t>公开择优竞价文件和与甲管乙供材料设备供应商所签合同的约定及时组织对进场的甲管乙供材料设备进行清点验收，并严把甲管乙供材料设备质量关。</w:t>
      </w:r>
    </w:p>
    <w:p w14:paraId="2CE0068B">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（8）由于承包人原因导致本工程甲管乙供材料设备供货不及时，造成发包人需向其他供应商购买相关材料设备的，所发生的费用全部由承包人承担，发包人有权在结算时予以直接扣除。</w:t>
      </w:r>
    </w:p>
    <w:p w14:paraId="12E263DA">
      <w:pPr>
        <w:pStyle w:val="8"/>
        <w:adjustRightInd w:val="0"/>
        <w:snapToGrid w:val="0"/>
        <w:spacing w:line="360" w:lineRule="auto"/>
        <w:ind w:firstLine="480" w:firstLineChars="200"/>
        <w:rPr>
          <w:rFonts w:hint="default"/>
          <w:snapToGrid w:val="0"/>
          <w:color w:val="auto"/>
          <w:kern w:val="0"/>
          <w:sz w:val="24"/>
          <w:szCs w:val="24"/>
          <w:highlight w:val="none"/>
        </w:rPr>
      </w:pPr>
      <w:r>
        <w:rPr>
          <w:snapToGrid w:val="0"/>
          <w:color w:val="auto"/>
          <w:kern w:val="0"/>
          <w:sz w:val="24"/>
          <w:szCs w:val="24"/>
          <w:highlight w:val="none"/>
        </w:rPr>
        <w:t>（9）承包人和甲管乙供材料设备供应商都应当严格按照合同约定履行各自的义务。承包人依据合同约定对甲管乙供材料设备供应商进行违约处理时应事先报请发包人批准。</w:t>
      </w:r>
    </w:p>
    <w:p w14:paraId="62406C55">
      <w:pPr>
        <w:pStyle w:val="8"/>
        <w:adjustRightInd w:val="0"/>
        <w:snapToGrid w:val="0"/>
        <w:spacing w:line="360" w:lineRule="auto"/>
        <w:ind w:firstLine="480" w:firstLineChars="200"/>
        <w:outlineLvl w:val="3"/>
        <w:rPr>
          <w:rFonts w:hAnsi="宋体"/>
          <w:snapToGrid w:val="0"/>
          <w:color w:val="auto"/>
          <w:kern w:val="0"/>
          <w:sz w:val="24"/>
          <w:szCs w:val="24"/>
          <w:highlight w:val="none"/>
        </w:rPr>
      </w:pPr>
      <w:r>
        <w:rPr>
          <w:rFonts w:hAnsi="宋体"/>
          <w:snapToGrid w:val="0"/>
          <w:color w:val="auto"/>
          <w:kern w:val="0"/>
          <w:sz w:val="24"/>
          <w:szCs w:val="24"/>
          <w:highlight w:val="none"/>
        </w:rPr>
        <w:t>30.9对材料设备采购的相关要求</w:t>
      </w:r>
    </w:p>
    <w:p w14:paraId="4BE2CD0D">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（1）乙供材料设备</w:t>
      </w:r>
    </w:p>
    <w:p w14:paraId="14B7E9BF">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1）招标文件已列明推荐品牌的材料设备并且承包人已在投标阶段填报采用品牌的</w:t>
      </w:r>
    </w:p>
    <w:p w14:paraId="671B989D">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① 主材若属发包人推荐品牌范围的，承包人须按发包人推荐的品牌范围内的生产厂商进行报价，承包人中标后按投标时所填报的品牌及生产厂商执行且项目实施过程均不予调整其投标价。</w:t>
      </w:r>
    </w:p>
    <w:p w14:paraId="2A3892F1">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② 承包人必须在满足或优于招标文件（包括招标文件各专业主要设备材料技术参数）、招标图纸和相关规范要求的条件下，从投标时填报用于评审的品牌、招标文件材料设备推荐品牌范围顺序进行选择，须提供其相应品牌的档次、系列及相关产品质量、性能等证明材料。</w:t>
      </w:r>
    </w:p>
    <w:p w14:paraId="35154D73">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③ 若因发包人调整招标文件各专业主要设备材料技术参数的相关要求导致招标文件材料设备推荐品牌范围中的所有生产厂商产品均无法满足要求，则参照本条第（1）2）款“招标文件未列明推荐品牌的材料设备”的相关规定执行。</w:t>
      </w:r>
    </w:p>
    <w:p w14:paraId="45CB44C9">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④ 承包人进场后，在同一标段内同一类材料设备的品牌应为同一品牌；特殊情况下，经发包人同意后，同一标段内同一类材料设备的品牌方可不同，但承包人至少应保证同一单体内的同一类材料设备的品牌应为同一品牌。</w:t>
      </w:r>
    </w:p>
    <w:p w14:paraId="6F15EC3E">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2）招标文件未列明推荐品牌的材料设备</w:t>
      </w:r>
    </w:p>
    <w:p w14:paraId="0134D188">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 xml:space="preserve">    招标文件未列明推荐品牌及生产厂商的，承包人在满足或优于招标文件（包括招标文件各专业主要设备材料技术参数）、招标图纸和相关规范要求的前提下，可以在看样定板阶段选择一种或多种品牌，同时按照发包人看样定板的相关规定执行。中标后只要发包人未有对各专业主要设备材料技术参数的相关要求进行调整则不调整承包人的中标价。</w:t>
      </w:r>
    </w:p>
    <w:p w14:paraId="4EF76A6E">
      <w:pPr>
        <w:pStyle w:val="8"/>
        <w:numPr>
          <w:ilvl w:val="0"/>
          <w:numId w:val="2"/>
        </w:numPr>
        <w:adjustRightInd w:val="0"/>
        <w:snapToGrid w:val="0"/>
        <w:spacing w:line="360" w:lineRule="auto"/>
        <w:ind w:firstLine="480" w:firstLineChars="200"/>
        <w:outlineLvl w:val="4"/>
        <w:rPr>
          <w:rFonts w:hAnsi="宋体"/>
          <w:snapToGrid w:val="0"/>
          <w:color w:val="auto"/>
          <w:kern w:val="0"/>
          <w:sz w:val="24"/>
          <w:szCs w:val="24"/>
          <w:highlight w:val="none"/>
        </w:rPr>
      </w:pPr>
      <w:bookmarkStart w:id="10" w:name="OLE_LINK102"/>
      <w:r>
        <w:rPr>
          <w:rFonts w:hAnsi="宋体"/>
          <w:snapToGrid w:val="0"/>
          <w:color w:val="auto"/>
          <w:kern w:val="0"/>
          <w:sz w:val="24"/>
          <w:szCs w:val="24"/>
          <w:highlight w:val="none"/>
        </w:rPr>
        <w:t>承包人在投标报价时应综合考虑中标后所选定的材料设备生产厂商，应是与承包人有长期合作关系、有良好商业信誉和雄厚实力的材料设备生产供应能力的生产厂商。以保证按项目的质量、数量和时间要求，以合理的价格和可靠的供货来源，获得所需的设备、材料及有关服务。</w:t>
      </w:r>
    </w:p>
    <w:p w14:paraId="1C6A0D21">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3）中标后选定材料设备的品牌、规格和生产厂商，一经发包人确认，承包人不得对此进行更改。如因特殊原因（如不可抗力、生产厂商破产）确需变更材料设备品牌/生产厂商时，承包人须按发包人关于乙供材料设备、工程变更及设计变更管理的相关规定向发包人申请变更材料设备的品牌、/生产厂商，经发包人审批同意后方可进行变更。承包人应优先在招标文件推荐品牌范围中选择变更后的品牌/生产厂商。同时，除不可抗力及生产厂商破产外，无论承包人基于其他何种原因更换材料设备的供应商（品牌），均应按合同专用条款第38.9款的相关约定承担违约责任，发包人主动要求更换的除外。</w:t>
      </w:r>
    </w:p>
    <w:bookmarkEnd w:id="10"/>
    <w:p w14:paraId="17F07CAC">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（4）材料设备采购的变更</w:t>
      </w:r>
    </w:p>
    <w:p w14:paraId="76FE0E92">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1）在工程施工过程中，根据工程的具体情况，从有利于保证工程质量、进度和投资控制角度考虑，发包人有权对相应材料设备的采购供应方式进行适当的变更（如甲供改乙供，或乙供改甲供，或乙供改甲招乙供），承包人在接到发包人的变更通知后，应无条件地接受发包人对材料设备采购供应方式的变更并予以积极配合。</w:t>
      </w:r>
    </w:p>
    <w:p w14:paraId="1177D08F">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2）</w:t>
      </w:r>
      <w:r>
        <w:rPr>
          <w:rFonts w:hAnsi="宋体"/>
          <w:snapToGrid w:val="0"/>
          <w:color w:val="auto"/>
          <w:spacing w:val="-4"/>
          <w:kern w:val="0"/>
          <w:sz w:val="24"/>
          <w:szCs w:val="24"/>
          <w:highlight w:val="none"/>
        </w:rPr>
        <w:t>出于为保证本工程的整体质量和效果等特殊原因，发包人决定将某种材料设备的供货方式由乙供改为甲供或甲招乙供时，承包人应提前做好材料到货及使用时间计划给发包人，发包人根据材料到货及使用时间计划确定购买时间后将书面通知承包人。发包人将以设计图纸结算用量（含定额规定的损耗）乘以合同中的相应材料设备价格后从合同总价款中扣除相应的材料设备价款及其相关取费。若实际供应的甲供材料设备数量超出按图纸计算用量（含定额规定的损耗）的差异部分则从承包人的工程结算款中扣除。如不由承包人安装，安装费也相应扣除。</w:t>
      </w:r>
    </w:p>
    <w:p w14:paraId="0F25C39E">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3）材料设备采购方式改变后，发包人将根据招标文件的相关约定调整甲供、甲招乙供材料设备管理费。材料设备采购方式由甲供改为乙供的，其主材费按合同换算综合单价及合同外新增项目综合单价的主材价格确定方式执行。</w:t>
      </w:r>
    </w:p>
    <w:p w14:paraId="5E556F16">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4）合同履行过程中出现中标品牌以外的乙供材料设备，其品牌的选用按招标文件推荐品牌、中国名牌、国家免检产品、省知名品牌的顺序确定。</w:t>
      </w:r>
    </w:p>
    <w:p w14:paraId="198E6A65">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5）对装饰、装修或景观效果可能产生影响的新增乙供材料设备（如开关插座面板、景观灯具及装饰灯具等）的品牌确定须同时按照发包人看样定板的相关规定执行。</w:t>
      </w:r>
    </w:p>
    <w:p w14:paraId="2CDA7B81">
      <w:pPr>
        <w:pStyle w:val="8"/>
        <w:adjustRightInd w:val="0"/>
        <w:snapToGrid w:val="0"/>
        <w:spacing w:line="360" w:lineRule="auto"/>
        <w:ind w:firstLine="480" w:firstLineChars="200"/>
        <w:outlineLvl w:val="4"/>
        <w:rPr>
          <w:rFonts w:hAnsi="宋体"/>
          <w:snapToGrid w:val="0"/>
          <w:color w:val="auto"/>
          <w:kern w:val="0"/>
          <w:sz w:val="24"/>
          <w:szCs w:val="24"/>
          <w:highlight w:val="none"/>
        </w:rPr>
      </w:pPr>
      <w:r>
        <w:rPr>
          <w:rFonts w:hAnsi="宋体"/>
          <w:snapToGrid w:val="0"/>
          <w:color w:val="auto"/>
          <w:kern w:val="0"/>
          <w:sz w:val="24"/>
          <w:szCs w:val="24"/>
          <w:highlight w:val="none"/>
        </w:rPr>
        <w:t>（</w:t>
      </w:r>
      <w:r>
        <w:rPr>
          <w:rFonts w:hint="default" w:hAnsi="宋体"/>
          <w:snapToGrid w:val="0"/>
          <w:color w:val="auto"/>
          <w:kern w:val="0"/>
          <w:sz w:val="24"/>
          <w:szCs w:val="24"/>
          <w:highlight w:val="none"/>
        </w:rPr>
        <w:t>5</w:t>
      </w:r>
      <w:r>
        <w:rPr>
          <w:rFonts w:hAnsi="宋体"/>
          <w:snapToGrid w:val="0"/>
          <w:color w:val="auto"/>
          <w:kern w:val="0"/>
          <w:sz w:val="24"/>
          <w:szCs w:val="24"/>
          <w:highlight w:val="none"/>
        </w:rPr>
        <w:t>）因承包人原因造成乙供材料看样定板工作滞后的，由此所产生的工期延误、费用增加等全部损失由承包人承担，且承包人应按照合同专用条款第38.8、38.9款的约定承担违约责任。</w:t>
      </w:r>
    </w:p>
    <w:p w14:paraId="7A443FAA">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八、工程变更</w:t>
      </w:r>
    </w:p>
    <w:p w14:paraId="5E98409B">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31、工程设计变更</w:t>
      </w:r>
    </w:p>
    <w:p w14:paraId="7012D3D0">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31.1</w:t>
      </w:r>
      <w:r>
        <w:rPr>
          <w:rFonts w:hint="eastAsia" w:ascii="宋体" w:hAnsi="宋体"/>
          <w:snapToGrid w:val="0"/>
          <w:color w:val="auto"/>
          <w:kern w:val="0"/>
          <w:sz w:val="24"/>
          <w:highlight w:val="none"/>
        </w:rPr>
        <w:t>工程设计变更是指对工程的性质、质量、种类、数量等要素的任何改变。</w:t>
      </w:r>
    </w:p>
    <w:p w14:paraId="66D12273">
      <w:pPr>
        <w:adjustRightInd w:val="0"/>
        <w:snapToGrid w:val="0"/>
        <w:spacing w:line="360" w:lineRule="auto"/>
        <w:ind w:right="11" w:firstLine="463" w:firstLineChars="192"/>
        <w:rPr>
          <w:rFonts w:hint="eastAsia" w:ascii="宋体" w:hAnsi="宋体"/>
          <w:bCs/>
          <w:snapToGrid w:val="0"/>
          <w:color w:val="auto"/>
          <w:kern w:val="0"/>
          <w:sz w:val="24"/>
          <w:highlight w:val="none"/>
        </w:rPr>
      </w:pPr>
      <w:r>
        <w:rPr>
          <w:rFonts w:hint="eastAsia" w:ascii="宋体" w:hAnsi="宋体"/>
          <w:b/>
          <w:snapToGrid w:val="0"/>
          <w:color w:val="auto"/>
          <w:kern w:val="0"/>
          <w:sz w:val="24"/>
          <w:highlight w:val="none"/>
        </w:rPr>
        <w:t>承包人和发包人一致同意增加31.4、31.5：</w:t>
      </w:r>
    </w:p>
    <w:p w14:paraId="3F74FC6B">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31</w:t>
      </w:r>
      <w:r>
        <w:rPr>
          <w:rFonts w:hint="eastAsia" w:ascii="宋体" w:hAnsi="宋体"/>
          <w:snapToGrid w:val="0"/>
          <w:color w:val="auto"/>
          <w:kern w:val="0"/>
          <w:sz w:val="24"/>
          <w:highlight w:val="none"/>
        </w:rPr>
        <w:t>.4如承包人在实施过程中发现设计上有错误或严重不合理，应以书面形式通知发包人，由发包人与设计单位商定修改或变更设计方案进行实施。</w:t>
      </w:r>
    </w:p>
    <w:p w14:paraId="463BA6C1">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31</w:t>
      </w:r>
      <w:r>
        <w:rPr>
          <w:rFonts w:hint="eastAsia" w:ascii="宋体" w:hAnsi="宋体"/>
          <w:snapToGrid w:val="0"/>
          <w:color w:val="auto"/>
          <w:kern w:val="0"/>
          <w:sz w:val="24"/>
          <w:highlight w:val="none"/>
        </w:rPr>
        <w:t>.5所有涉及工期的变更均应获得发包人正式批准才能生效。</w:t>
      </w:r>
    </w:p>
    <w:p w14:paraId="6B94FB25">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32、其他变更</w:t>
      </w:r>
    </w:p>
    <w:p w14:paraId="2CBFCE8E">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按合同专用条款相关约定和发包人的有关管理制度及实施细则执行。</w:t>
      </w:r>
    </w:p>
    <w:p w14:paraId="117BEAC7">
      <w:pPr>
        <w:adjustRightInd w:val="0"/>
        <w:snapToGrid w:val="0"/>
        <w:spacing w:line="360" w:lineRule="auto"/>
        <w:ind w:right="11" w:firstLine="482" w:firstLineChars="20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承包人和发包人一致同意不适用合同通用条款第33条的约定，代之以：</w:t>
      </w:r>
    </w:p>
    <w:p w14:paraId="7AB0DC2D">
      <w:pPr>
        <w:adjustRightInd w:val="0"/>
        <w:snapToGrid w:val="0"/>
        <w:spacing w:line="360" w:lineRule="auto"/>
        <w:ind w:right="11" w:firstLine="482" w:firstLineChars="200"/>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33、确定变更价款</w:t>
      </w:r>
    </w:p>
    <w:p w14:paraId="1C5F127B">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33</w:t>
      </w:r>
      <w:r>
        <w:rPr>
          <w:rFonts w:ascii="宋体" w:hAnsi="宋体"/>
          <w:snapToGrid w:val="0"/>
          <w:color w:val="auto"/>
          <w:kern w:val="0"/>
          <w:sz w:val="24"/>
          <w:highlight w:val="none"/>
        </w:rPr>
        <w:t>.</w:t>
      </w:r>
      <w:r>
        <w:rPr>
          <w:rFonts w:hint="eastAsia" w:ascii="宋体" w:hAnsi="宋体"/>
          <w:snapToGrid w:val="0"/>
          <w:color w:val="auto"/>
          <w:kern w:val="0"/>
          <w:sz w:val="24"/>
          <w:highlight w:val="none"/>
        </w:rPr>
        <w:t>1在发生合同专用条款第31条约定的工程设计变更后，承包人在收到发包人变更通知的7天内按合同约定的计价方式和内容编制出变更工程预算送交监理单位，监理单位在3天内审核并签署意见后报发包人，发包人收到后10天内答复。</w:t>
      </w:r>
    </w:p>
    <w:p w14:paraId="7B6CFCD3">
      <w:pPr>
        <w:adjustRightInd w:val="0"/>
        <w:snapToGrid w:val="0"/>
        <w:spacing w:line="360" w:lineRule="auto"/>
        <w:ind w:right="11" w:firstLine="460" w:firstLineChars="192"/>
        <w:outlineLvl w:val="3"/>
        <w:rPr>
          <w:rFonts w:hint="eastAsia" w:ascii="宋体" w:hAnsi="宋体"/>
          <w:color w:val="auto"/>
          <w:sz w:val="22"/>
          <w:highlight w:val="none"/>
        </w:rPr>
      </w:pPr>
      <w:r>
        <w:rPr>
          <w:rFonts w:hint="eastAsia" w:ascii="宋体" w:hAnsi="宋体"/>
          <w:snapToGrid w:val="0"/>
          <w:color w:val="auto"/>
          <w:kern w:val="0"/>
          <w:sz w:val="24"/>
          <w:highlight w:val="none"/>
        </w:rPr>
        <w:t>33.2</w:t>
      </w:r>
      <w:r>
        <w:rPr>
          <w:rFonts w:hint="eastAsia" w:ascii="宋体" w:hAnsi="宋体" w:cs="宋体"/>
          <w:color w:val="auto"/>
          <w:sz w:val="22"/>
          <w:highlight w:val="none"/>
          <w:lang w:bidi="ar"/>
        </w:rPr>
        <w:t>对于合同承包范围及内容发生变化的设计变更、工程签证、新增工程等，包括合同专用条款第31条所定义的工程设计变更和第32条所定义的其他变更，由于设计需要或项目建设实际需要，这些变化会导致合同承包范围内的工程量发生变化、或工程量清单内项目的局部内容发生变化、或新增了工程量清单内没有的项目、或招标工程量偏差。出现上述变化需计算工程价款时，承包人按如下方法提出变更价格，报监理单位和发包人批准：</w:t>
      </w:r>
    </w:p>
    <w:p w14:paraId="26339AE8">
      <w:pPr>
        <w:widowControl/>
        <w:numPr>
          <w:ilvl w:val="255"/>
          <w:numId w:val="0"/>
        </w:numPr>
        <w:adjustRightInd w:val="0"/>
        <w:snapToGrid w:val="0"/>
        <w:spacing w:line="360" w:lineRule="auto"/>
        <w:ind w:right="11" w:firstLine="422" w:firstLineChars="192"/>
        <w:jc w:val="left"/>
        <w:outlineLvl w:val="4"/>
        <w:rPr>
          <w:rFonts w:hint="eastAsia" w:ascii="宋体" w:hAnsi="宋体" w:cs="宋体"/>
          <w:color w:val="auto"/>
          <w:sz w:val="22"/>
          <w:highlight w:val="none"/>
          <w:lang w:bidi="ar"/>
        </w:rPr>
      </w:pPr>
      <w:r>
        <w:rPr>
          <w:rFonts w:hint="eastAsia" w:ascii="宋体" w:hAnsi="宋体" w:cs="宋体"/>
          <w:color w:val="auto"/>
          <w:sz w:val="22"/>
          <w:highlight w:val="none"/>
          <w:lang w:bidi="ar"/>
        </w:rPr>
        <w:t>33.2.1工程量确定方式（按以下先后顺序执行）</w:t>
      </w:r>
    </w:p>
    <w:p w14:paraId="6741D4F1">
      <w:pPr>
        <w:widowControl/>
        <w:numPr>
          <w:ilvl w:val="255"/>
          <w:numId w:val="0"/>
        </w:numPr>
        <w:adjustRightInd w:val="0"/>
        <w:snapToGrid w:val="0"/>
        <w:spacing w:line="360" w:lineRule="auto"/>
        <w:ind w:right="11" w:firstLine="422" w:firstLineChars="192"/>
        <w:jc w:val="left"/>
        <w:outlineLvl w:val="4"/>
        <w:rPr>
          <w:rFonts w:hint="eastAsia" w:ascii="宋体" w:hAnsi="宋体" w:cs="宋体"/>
          <w:color w:val="auto"/>
          <w:sz w:val="22"/>
          <w:highlight w:val="none"/>
          <w:lang w:bidi="ar"/>
        </w:rPr>
      </w:pPr>
      <w:r>
        <w:rPr>
          <w:rFonts w:hint="eastAsia" w:ascii="宋体" w:hAnsi="宋体" w:cs="宋体"/>
          <w:color w:val="auto"/>
          <w:sz w:val="22"/>
          <w:highlight w:val="none"/>
          <w:lang w:bidi="ar"/>
        </w:rPr>
        <w:t>（1）按本工程招标文件中的“工程量清单计价说明和补充规定”的相关规定执行；</w:t>
      </w:r>
    </w:p>
    <w:p w14:paraId="158B667E">
      <w:pPr>
        <w:widowControl/>
        <w:numPr>
          <w:ilvl w:val="255"/>
          <w:numId w:val="0"/>
        </w:numPr>
        <w:adjustRightInd w:val="0"/>
        <w:snapToGrid w:val="0"/>
        <w:spacing w:line="360" w:lineRule="auto"/>
        <w:ind w:right="11" w:firstLine="422" w:firstLineChars="192"/>
        <w:jc w:val="left"/>
        <w:outlineLvl w:val="4"/>
        <w:rPr>
          <w:rFonts w:hint="eastAsia" w:ascii="宋体" w:hAnsi="宋体" w:cs="宋体"/>
          <w:color w:val="auto"/>
          <w:sz w:val="22"/>
          <w:highlight w:val="none"/>
          <w:lang w:bidi="ar"/>
        </w:rPr>
      </w:pPr>
      <w:r>
        <w:rPr>
          <w:rFonts w:hint="eastAsia" w:ascii="宋体" w:hAnsi="宋体" w:cs="宋体"/>
          <w:color w:val="auto"/>
          <w:sz w:val="22"/>
          <w:highlight w:val="none"/>
          <w:lang w:bidi="ar"/>
        </w:rPr>
        <w:t>（2）按《园林绿化工程工程量计算规范（GB50858-</w:t>
      </w:r>
      <w:r>
        <w:rPr>
          <w:rFonts w:hint="eastAsia" w:ascii="宋体" w:hAnsi="宋体" w:cs="宋体"/>
          <w:color w:val="auto"/>
          <w:sz w:val="22"/>
          <w:highlight w:val="none"/>
          <w:lang w:val="en-US" w:eastAsia="zh-CN" w:bidi="ar"/>
        </w:rPr>
        <w:t>2024</w:t>
      </w:r>
      <w:r>
        <w:rPr>
          <w:rFonts w:hint="eastAsia" w:ascii="宋体" w:hAnsi="宋体" w:cs="宋体"/>
          <w:color w:val="auto"/>
          <w:sz w:val="22"/>
          <w:highlight w:val="none"/>
          <w:lang w:bidi="ar"/>
        </w:rPr>
        <w:t>）》《房屋建筑与装饰工程工程量计算规范（GB50854-</w:t>
      </w:r>
      <w:r>
        <w:rPr>
          <w:rFonts w:hint="eastAsia" w:ascii="宋体" w:hAnsi="宋体" w:cs="宋体"/>
          <w:color w:val="auto"/>
          <w:sz w:val="22"/>
          <w:highlight w:val="none"/>
          <w:lang w:val="en-US" w:eastAsia="zh-CN" w:bidi="ar"/>
        </w:rPr>
        <w:t>2024</w:t>
      </w:r>
      <w:r>
        <w:rPr>
          <w:rFonts w:hint="eastAsia" w:ascii="宋体" w:hAnsi="宋体" w:cs="宋体"/>
          <w:color w:val="auto"/>
          <w:sz w:val="22"/>
          <w:highlight w:val="none"/>
          <w:lang w:bidi="ar"/>
        </w:rPr>
        <w:t>）》《通用安装工程工程量计算规范（GB50856-</w:t>
      </w:r>
      <w:r>
        <w:rPr>
          <w:rFonts w:hint="eastAsia" w:ascii="宋体" w:hAnsi="宋体" w:cs="宋体"/>
          <w:color w:val="auto"/>
          <w:sz w:val="22"/>
          <w:highlight w:val="none"/>
          <w:lang w:val="en-US" w:eastAsia="zh-CN" w:bidi="ar"/>
        </w:rPr>
        <w:t>2024</w:t>
      </w:r>
      <w:r>
        <w:rPr>
          <w:rFonts w:hint="eastAsia" w:ascii="宋体" w:hAnsi="宋体" w:cs="宋体"/>
          <w:color w:val="auto"/>
          <w:sz w:val="22"/>
          <w:highlight w:val="none"/>
          <w:lang w:bidi="ar"/>
        </w:rPr>
        <w:t>）》《市政工程工程量计算规范（GB50857-</w:t>
      </w:r>
      <w:r>
        <w:rPr>
          <w:rFonts w:hint="eastAsia" w:ascii="宋体" w:hAnsi="宋体" w:cs="宋体"/>
          <w:color w:val="auto"/>
          <w:sz w:val="22"/>
          <w:highlight w:val="none"/>
          <w:lang w:val="en-US" w:eastAsia="zh-CN" w:bidi="ar"/>
        </w:rPr>
        <w:t>2024</w:t>
      </w:r>
      <w:r>
        <w:rPr>
          <w:rFonts w:hint="eastAsia" w:ascii="宋体" w:hAnsi="宋体" w:cs="宋体"/>
          <w:color w:val="auto"/>
          <w:sz w:val="22"/>
          <w:highlight w:val="none"/>
          <w:lang w:bidi="ar"/>
        </w:rPr>
        <w:t>）》等相关规定执行；</w:t>
      </w:r>
    </w:p>
    <w:p w14:paraId="33147723">
      <w:pPr>
        <w:widowControl/>
        <w:numPr>
          <w:ilvl w:val="255"/>
          <w:numId w:val="0"/>
        </w:numPr>
        <w:adjustRightInd w:val="0"/>
        <w:snapToGrid w:val="0"/>
        <w:spacing w:line="360" w:lineRule="auto"/>
        <w:ind w:right="11" w:firstLine="422" w:firstLineChars="192"/>
        <w:jc w:val="left"/>
        <w:outlineLvl w:val="4"/>
        <w:rPr>
          <w:rFonts w:hint="eastAsia" w:ascii="宋体" w:hAnsi="宋体" w:cs="宋体"/>
          <w:color w:val="auto"/>
          <w:sz w:val="22"/>
          <w:highlight w:val="none"/>
          <w:lang w:bidi="ar"/>
        </w:rPr>
      </w:pPr>
      <w:r>
        <w:rPr>
          <w:rFonts w:hint="eastAsia" w:ascii="宋体" w:hAnsi="宋体" w:cs="宋体"/>
          <w:color w:val="auto"/>
          <w:sz w:val="22"/>
          <w:highlight w:val="none"/>
          <w:lang w:bidi="ar"/>
        </w:rPr>
        <w:t>（3）按《广东省住房和城乡建设厅关于印发&lt;广东省建设工程计价依据（2018）&gt;的通知》（粤建市﹝2019﹞6号）的相关规定执行；</w:t>
      </w:r>
    </w:p>
    <w:p w14:paraId="0415C627">
      <w:pPr>
        <w:widowControl/>
        <w:numPr>
          <w:ilvl w:val="255"/>
          <w:numId w:val="0"/>
        </w:numPr>
        <w:adjustRightInd w:val="0"/>
        <w:snapToGrid w:val="0"/>
        <w:spacing w:line="360" w:lineRule="auto"/>
        <w:ind w:right="11" w:firstLine="422" w:firstLineChars="192"/>
        <w:jc w:val="left"/>
        <w:outlineLvl w:val="4"/>
        <w:rPr>
          <w:rFonts w:hint="eastAsia" w:ascii="宋体" w:hAnsi="宋体" w:cs="宋体"/>
          <w:color w:val="auto"/>
          <w:sz w:val="22"/>
          <w:highlight w:val="none"/>
          <w:lang w:bidi="ar"/>
        </w:rPr>
      </w:pPr>
      <w:r>
        <w:rPr>
          <w:rFonts w:hint="eastAsia" w:ascii="宋体" w:hAnsi="宋体" w:cs="宋体"/>
          <w:color w:val="auto"/>
          <w:sz w:val="22"/>
          <w:highlight w:val="none"/>
          <w:lang w:bidi="ar"/>
        </w:rPr>
        <w:t>（4）按发包人与承包人协商确定的计算办法执行。</w:t>
      </w:r>
    </w:p>
    <w:p w14:paraId="659C94B7">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cs="宋体"/>
          <w:color w:val="auto"/>
          <w:kern w:val="2"/>
          <w:sz w:val="22"/>
          <w:szCs w:val="22"/>
          <w:highlight w:val="none"/>
          <w:lang w:bidi="ar"/>
        </w:rPr>
        <w:t>33.2.</w:t>
      </w:r>
      <w:r>
        <w:rPr>
          <w:rFonts w:hint="eastAsia" w:cs="宋体"/>
          <w:color w:val="auto"/>
          <w:kern w:val="2"/>
          <w:sz w:val="22"/>
          <w:szCs w:val="22"/>
          <w:highlight w:val="none"/>
          <w:lang w:bidi="ar"/>
        </w:rPr>
        <w:t xml:space="preserve">2 </w:t>
      </w:r>
      <w:r>
        <w:rPr>
          <w:rFonts w:cs="宋体"/>
          <w:color w:val="auto"/>
          <w:kern w:val="2"/>
          <w:sz w:val="22"/>
          <w:szCs w:val="22"/>
          <w:highlight w:val="none"/>
          <w:lang w:bidi="ar"/>
        </w:rPr>
        <w:t>综合单价确定方式</w:t>
      </w:r>
    </w:p>
    <w:p w14:paraId="643C806B">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（1）合同中已有适用的综合单价项目，按合同已有的价格变更合同价款，合同另有约定的调整方式除外。</w:t>
      </w:r>
    </w:p>
    <w:p w14:paraId="6526CADA">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2）合同中已有类似项目的综合单价，可以参照类似综合单价确定相关工程的综合单价。对相应子目、消耗量、单价等进行调整换算，原管理费、利润水平不变。如合同文件工程量清单中类似项目的综合单价有两个及以上，则由发包人按消耗量最少、管理费和利润取费最低的优先顺序选择类似项目综合单价进行换算。</w:t>
      </w:r>
    </w:p>
    <w:p w14:paraId="085FA2F8">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由于发包人原因引起主要材料用料变化的，按下列办法计算：</w:t>
      </w:r>
    </w:p>
    <w:p w14:paraId="15AAAC40">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A、只是材料品牌改变（所有材料品牌的改变必须事前经监理公司、发包人的书面批准，否则一律不得变更），只计算主材价差，不调整单价，计算公式为：</w:t>
      </w:r>
    </w:p>
    <w:p w14:paraId="26C31742">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主材价差=（变更后的主材单价-原合同主材单价）×材料消耗量×（1+税率）</w:t>
      </w:r>
    </w:p>
    <w:p w14:paraId="69D9F8F4">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变更后的主材单价=工程施工实施当月《广州地区建设工程常用材料税前综合价格》、《广州地区建设工程材料（设备）厂商价格信息》对应品牌、规格及型号下浮计算，具体下浮额度按专用条款第 72.1（1）3）款规定。</w:t>
      </w:r>
    </w:p>
    <w:p w14:paraId="756E7D07">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注：首先执行《广州地区建设工程常用材料税前综合价格》，其次执行《广州地区建设工程材料（设备）厂商价格信息》，《广州地区建设工程材料（设备）厂商价格信息》没有对应的品牌、规格及型号的材料，由建设单位、监理单位、造价咨询单位通过市场询价。市场询价可采用书面函件来往、电子邮件传输、线上平台对接、现场实地考察的途径之一或多途径相结合，向线下材料供应商或者线上交易平台的材料供应商进行询价，作为询价所得结果定价的主要依据。</w:t>
      </w:r>
    </w:p>
    <w:p w14:paraId="5C893E48">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政府或企事业单位、行业协会发布的价格信息以及材料询价平台提供的厂家（供应商）报价信息可作为辅助依据。询价人应结合市场价格走势，将供应商报价与同时期类似项目的材料采购或中标价格数据、政府部门等发布的价格信息作对比分析，提出拟定价格的建议。</w:t>
      </w:r>
    </w:p>
    <w:p w14:paraId="432F0AD8">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市场询价坚持“货比三家，物有所值”的原则，除单一采购来源的材料或因新材料、新工艺、新技术、新产品等原因导致采购来源有限的材料之外，有效报价的供应商不得少于三家。</w:t>
      </w:r>
    </w:p>
    <w:p w14:paraId="5C21A9E1">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B、只是材料型号的改变时（如材料的等级、产品系列）仅调整主材价差，调整原则按第A点。</w:t>
      </w:r>
    </w:p>
    <w:p w14:paraId="2593FF07">
      <w:pPr>
        <w:pStyle w:val="13"/>
        <w:adjustRightInd w:val="0"/>
        <w:snapToGrid w:val="0"/>
        <w:spacing w:before="0" w:beforeAutospacing="0" w:after="0" w:afterAutospacing="0" w:line="360" w:lineRule="auto"/>
        <w:ind w:firstLine="440" w:firstLineChars="200"/>
        <w:outlineLvl w:val="3"/>
        <w:rPr>
          <w:rFonts w:hint="eastAsia"/>
          <w:snapToGrid w:val="0"/>
          <w:color w:val="auto"/>
          <w:highlight w:val="none"/>
        </w:rPr>
      </w:pPr>
      <w:r>
        <w:rPr>
          <w:rFonts w:hint="eastAsia" w:cs="宋体"/>
          <w:color w:val="auto"/>
          <w:kern w:val="2"/>
          <w:sz w:val="22"/>
          <w:szCs w:val="22"/>
          <w:highlight w:val="none"/>
          <w:lang w:bidi="ar"/>
        </w:rPr>
        <w:t>(3）若合同中既没有适用的综合单价项目，也不能按类似综合单价项目作换算处理，则作为合同外新增项目（是否为新增项目由发包人确定）。按照下列标准确定人工、材料和机械的消耗量及管理费：《建设工程工程量清单计价规范》（GB50500-</w:t>
      </w:r>
      <w:r>
        <w:rPr>
          <w:rFonts w:hint="eastAsia" w:cs="宋体"/>
          <w:color w:val="auto"/>
          <w:kern w:val="2"/>
          <w:sz w:val="22"/>
          <w:szCs w:val="22"/>
          <w:highlight w:val="none"/>
          <w:lang w:val="en-US" w:eastAsia="zh-CN" w:bidi="ar"/>
        </w:rPr>
        <w:t>2024</w:t>
      </w:r>
      <w:r>
        <w:rPr>
          <w:rFonts w:hint="eastAsia" w:cs="宋体"/>
          <w:color w:val="auto"/>
          <w:kern w:val="2"/>
          <w:sz w:val="22"/>
          <w:szCs w:val="22"/>
          <w:highlight w:val="none"/>
          <w:lang w:bidi="ar"/>
        </w:rPr>
        <w:t>）、《广东省建 筑与装饰工程综合定额2018》、《广东省通用安装工程综合定额2018》、《广东省市政工程综合定额 2018》、《广东省园林绿化工程综合定额 2018》计算，综合单价予以下浮，下浮</w:t>
      </w:r>
      <w:r>
        <w:rPr>
          <w:rFonts w:hint="eastAsia"/>
          <w:snapToGrid w:val="0"/>
          <w:color w:val="auto"/>
          <w:sz w:val="22"/>
          <w:szCs w:val="22"/>
          <w:highlight w:val="none"/>
        </w:rPr>
        <w:t>率计算公式为=（中标价-非竞争性费用）/（最高投标限价-非竞争性费用）×100%。</w:t>
      </w:r>
    </w:p>
    <w:p w14:paraId="5FF41DA8">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其中，人、材、机价格执行原合同文件工程量清单中最低价格。如出现原合同文件工程量清单中没有的材料，材料价格在《广州地区建设工程常用材料税前综合价格》表中有对应的材料，按施工期间的综合价格计算，材料价格在《广州地区建设工程常用材料税前综合价格》表中没有对应的材料按以下方法计算：</w:t>
      </w:r>
    </w:p>
    <w:p w14:paraId="319818D1">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A、建筑装饰、装修和市政工程材料按照《广州地区建设工程材料（设备）厂商价格信息》对应品牌、规格及型号下浮</w:t>
      </w:r>
      <w:r>
        <w:rPr>
          <w:rFonts w:hint="default" w:cs="宋体"/>
          <w:color w:val="auto"/>
          <w:kern w:val="2"/>
          <w:sz w:val="22"/>
          <w:szCs w:val="22"/>
          <w:highlight w:val="none"/>
          <w:lang w:val="en-US" w:bidi="ar"/>
        </w:rPr>
        <w:t>15</w:t>
      </w:r>
      <w:r>
        <w:rPr>
          <w:rFonts w:hint="eastAsia" w:cs="宋体"/>
          <w:color w:val="auto"/>
          <w:kern w:val="2"/>
          <w:sz w:val="22"/>
          <w:szCs w:val="22"/>
          <w:highlight w:val="none"/>
          <w:lang w:bidi="ar"/>
        </w:rPr>
        <w:t xml:space="preserve">%及市场询价的较低者计算。 </w:t>
      </w:r>
    </w:p>
    <w:p w14:paraId="17A2B7D9">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B、机电安装工程中的管、线材料按照《广州地区建设工程材料（设备）厂商价格信息》对应品牌、规格及型号下浮</w:t>
      </w:r>
      <w:r>
        <w:rPr>
          <w:rFonts w:hint="default" w:cs="宋体"/>
          <w:color w:val="auto"/>
          <w:kern w:val="2"/>
          <w:sz w:val="22"/>
          <w:szCs w:val="22"/>
          <w:highlight w:val="none"/>
          <w:lang w:val="en-US" w:bidi="ar"/>
        </w:rPr>
        <w:t>20</w:t>
      </w:r>
      <w:r>
        <w:rPr>
          <w:rFonts w:hint="eastAsia" w:cs="宋体"/>
          <w:color w:val="auto"/>
          <w:kern w:val="2"/>
          <w:sz w:val="22"/>
          <w:szCs w:val="22"/>
          <w:highlight w:val="none"/>
          <w:lang w:bidi="ar"/>
        </w:rPr>
        <w:t xml:space="preserve">%及市场询价的较低者计算。 </w:t>
      </w:r>
    </w:p>
    <w:p w14:paraId="6D7B77B3">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C、机电安装工程中的设备按照《广州地区建设工程材料（设备）厂商价格信息》对应品牌、规格及型号下浮</w:t>
      </w:r>
      <w:r>
        <w:rPr>
          <w:rFonts w:hint="default" w:cs="宋体"/>
          <w:color w:val="auto"/>
          <w:kern w:val="2"/>
          <w:sz w:val="22"/>
          <w:szCs w:val="22"/>
          <w:highlight w:val="none"/>
          <w:lang w:val="en-US" w:bidi="ar"/>
        </w:rPr>
        <w:t>30</w:t>
      </w:r>
      <w:r>
        <w:rPr>
          <w:rFonts w:hint="eastAsia" w:cs="宋体"/>
          <w:color w:val="auto"/>
          <w:kern w:val="2"/>
          <w:sz w:val="22"/>
          <w:szCs w:val="22"/>
          <w:highlight w:val="none"/>
          <w:lang w:bidi="ar"/>
        </w:rPr>
        <w:t>%计算及市场询价的较低者计算。</w:t>
      </w:r>
    </w:p>
    <w:p w14:paraId="31707AF1">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D、《广州地区建设工程材料（设备）厂商价格信息》没有对应的品牌、规格及型号的材料，由建设单位、监理单位、造价咨询通过市场询价（询价应为到工地价格）确定。取费标准按施工时期对应的广州市计费文件计算，措施项目费及预算包干费不另计算。变更部分综合单价执行投标下浮率。</w:t>
      </w:r>
    </w:p>
    <w:p w14:paraId="71008CDA">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（4）若发生技术要求的变更：</w:t>
      </w:r>
    </w:p>
    <w:p w14:paraId="7CA52BA4">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1）若发生技术要求的变更（经发包人同意后的变更），则按变更后的技术要求与招标文件的技术要求之差额进行调整，调整办法按新增工程计价办法确定。</w:t>
      </w:r>
    </w:p>
    <w:p w14:paraId="2A2CA2C6">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lang w:bidi="ar"/>
        </w:rPr>
      </w:pPr>
      <w:r>
        <w:rPr>
          <w:rFonts w:hint="eastAsia" w:cs="宋体"/>
          <w:color w:val="auto"/>
          <w:kern w:val="2"/>
          <w:sz w:val="22"/>
          <w:szCs w:val="22"/>
          <w:highlight w:val="none"/>
          <w:lang w:bidi="ar"/>
        </w:rPr>
        <w:t>2）因非发包人原因造成招标投标时所定设备、材料的品牌、规格、型号等发生变化的，所有设备、材料的调整必须经监理、造价咨询、发包人批准，如承包人未经审批擅自更换材料，该部分材料不予计价，且发包人有权要求承包人按合同要求更正并承担所有延误工期责任。</w:t>
      </w:r>
    </w:p>
    <w:p w14:paraId="3E1A9F9F">
      <w:pPr>
        <w:pStyle w:val="13"/>
        <w:adjustRightInd w:val="0"/>
        <w:snapToGrid w:val="0"/>
        <w:spacing w:before="0" w:beforeAutospacing="0" w:after="0" w:afterAutospacing="0" w:line="360" w:lineRule="auto"/>
        <w:ind w:left="-8" w:leftChars="-4" w:firstLine="440" w:firstLineChars="199"/>
        <w:outlineLvl w:val="4"/>
        <w:rPr>
          <w:rFonts w:hint="eastAsia" w:cs="宋体"/>
          <w:color w:val="auto"/>
          <w:sz w:val="22"/>
          <w:szCs w:val="22"/>
          <w:highlight w:val="none"/>
          <w:lang w:bidi="ar"/>
        </w:rPr>
      </w:pPr>
      <w:r>
        <w:rPr>
          <w:rFonts w:hint="eastAsia" w:cs="宋体"/>
          <w:b/>
          <w:color w:val="auto"/>
          <w:sz w:val="22"/>
          <w:szCs w:val="22"/>
          <w:highlight w:val="none"/>
          <w:lang w:bidi="ar"/>
        </w:rPr>
        <w:t>☑</w:t>
      </w:r>
      <w:r>
        <w:rPr>
          <w:rFonts w:cs="宋体"/>
          <w:color w:val="auto"/>
          <w:sz w:val="22"/>
          <w:szCs w:val="22"/>
          <w:highlight w:val="none"/>
          <w:lang w:bidi="ar"/>
        </w:rPr>
        <w:t>33.2.</w:t>
      </w:r>
      <w:r>
        <w:rPr>
          <w:rFonts w:hint="eastAsia" w:cs="宋体"/>
          <w:color w:val="auto"/>
          <w:sz w:val="22"/>
          <w:szCs w:val="22"/>
          <w:highlight w:val="none"/>
          <w:lang w:bidi="ar"/>
        </w:rPr>
        <w:t>3</w:t>
      </w:r>
      <w:r>
        <w:rPr>
          <w:rFonts w:cs="宋体"/>
          <w:color w:val="auto"/>
          <w:sz w:val="22"/>
          <w:szCs w:val="22"/>
          <w:highlight w:val="none"/>
          <w:lang w:bidi="ar"/>
        </w:rPr>
        <w:t>措施项目费的混凝土、钢筋混凝土模板及支架费的调整和结算方式</w:t>
      </w:r>
      <w:r>
        <w:rPr>
          <w:rFonts w:hint="eastAsia" w:cs="宋体"/>
          <w:color w:val="auto"/>
          <w:sz w:val="22"/>
          <w:szCs w:val="22"/>
          <w:highlight w:val="none"/>
          <w:lang w:bidi="ar"/>
        </w:rPr>
        <w:t>：</w:t>
      </w:r>
    </w:p>
    <w:p w14:paraId="6C0A767C">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rPr>
      </w:pPr>
      <w:r>
        <w:rPr>
          <w:rFonts w:hint="eastAsia" w:cs="宋体"/>
          <w:color w:val="auto"/>
          <w:kern w:val="2"/>
          <w:sz w:val="22"/>
          <w:szCs w:val="22"/>
          <w:highlight w:val="none"/>
        </w:rPr>
        <w:t>以经有权结算终审部门审定结算中的支模砼总量和合同工程量清单支模砼总量相比</w:t>
      </w:r>
    </w:p>
    <w:p w14:paraId="1CC7788D">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rPr>
      </w:pPr>
      <w:r>
        <w:rPr>
          <w:rFonts w:hint="eastAsia" w:cs="宋体"/>
          <w:color w:val="auto"/>
          <w:kern w:val="2"/>
          <w:sz w:val="22"/>
          <w:szCs w:val="22"/>
          <w:highlight w:val="none"/>
        </w:rPr>
        <w:t>1）若增减幅度在5％（含5%）以内，该项费用不予调整。</w:t>
      </w:r>
    </w:p>
    <w:p w14:paraId="5FD36567">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rPr>
      </w:pPr>
      <w:r>
        <w:rPr>
          <w:rFonts w:hint="eastAsia" w:cs="宋体"/>
          <w:color w:val="auto"/>
          <w:kern w:val="2"/>
          <w:sz w:val="22"/>
          <w:szCs w:val="22"/>
          <w:highlight w:val="none"/>
        </w:rPr>
        <w:t>2）若增减幅度在5％（不含5%）以上，则该项费用结算价为：</w:t>
      </w:r>
    </w:p>
    <w:p w14:paraId="112F8F82">
      <w:pPr>
        <w:pStyle w:val="13"/>
        <w:adjustRightInd w:val="0"/>
        <w:snapToGrid w:val="0"/>
        <w:spacing w:before="0" w:beforeAutospacing="0" w:after="0" w:afterAutospacing="0" w:line="360" w:lineRule="auto"/>
        <w:ind w:left="-8" w:leftChars="-4" w:firstLine="437" w:firstLineChars="199"/>
        <w:outlineLvl w:val="4"/>
        <w:rPr>
          <w:rFonts w:hint="eastAsia" w:cs="宋体"/>
          <w:color w:val="auto"/>
          <w:kern w:val="2"/>
          <w:sz w:val="22"/>
          <w:szCs w:val="22"/>
          <w:highlight w:val="none"/>
        </w:rPr>
      </w:pPr>
      <w:r>
        <w:rPr>
          <w:rFonts w:hint="eastAsia" w:cs="宋体"/>
          <w:color w:val="auto"/>
          <w:kern w:val="2"/>
          <w:sz w:val="22"/>
          <w:szCs w:val="22"/>
          <w:highlight w:val="none"/>
        </w:rPr>
        <w:t>①当增加幅度超过5％时，结算价＝（混凝土、钢筋混凝土模板及支架费合同清单合价）×（经有权结算终审部门审定结算中的支模砼总量/合同工程量清单支模砼总量-5％）；</w:t>
      </w:r>
    </w:p>
    <w:p w14:paraId="5CBA6CDB">
      <w:pPr>
        <w:pStyle w:val="13"/>
        <w:adjustRightInd w:val="0"/>
        <w:snapToGrid w:val="0"/>
        <w:spacing w:before="0" w:beforeAutospacing="0" w:after="0" w:afterAutospacing="0" w:line="360" w:lineRule="auto"/>
        <w:ind w:left="-8" w:leftChars="-4" w:firstLine="437" w:firstLineChars="199"/>
        <w:outlineLvl w:val="4"/>
        <w:rPr>
          <w:rFonts w:hint="eastAsia"/>
          <w:color w:val="auto"/>
          <w:sz w:val="22"/>
          <w:szCs w:val="22"/>
          <w:highlight w:val="none"/>
        </w:rPr>
      </w:pPr>
      <w:r>
        <w:rPr>
          <w:rFonts w:hint="eastAsia" w:cs="宋体"/>
          <w:color w:val="auto"/>
          <w:kern w:val="2"/>
          <w:sz w:val="22"/>
          <w:szCs w:val="22"/>
          <w:highlight w:val="none"/>
        </w:rPr>
        <w:t>②当减少幅度超过5％时，结算价＝（混凝土、钢筋混凝土模板及支架费合同清单合价）×（经有权结算终审部门审定结算中的支模砼总量/合同工程量清单支模砼总量+5％）。</w:t>
      </w:r>
    </w:p>
    <w:p w14:paraId="4E77479B">
      <w:pPr>
        <w:pStyle w:val="13"/>
        <w:adjustRightInd w:val="0"/>
        <w:snapToGrid w:val="0"/>
        <w:spacing w:beforeAutospacing="0" w:afterAutospacing="0" w:line="360" w:lineRule="auto"/>
        <w:ind w:firstLine="440" w:firstLineChars="200"/>
        <w:rPr>
          <w:rFonts w:hint="eastAsia"/>
          <w:color w:val="auto"/>
          <w:kern w:val="2"/>
          <w:sz w:val="22"/>
          <w:szCs w:val="22"/>
          <w:highlight w:val="none"/>
        </w:rPr>
      </w:pPr>
      <w:r>
        <w:rPr>
          <w:rFonts w:cs="宋体"/>
          <w:color w:val="auto"/>
          <w:kern w:val="2"/>
          <w:sz w:val="22"/>
          <w:szCs w:val="22"/>
          <w:highlight w:val="none"/>
          <w:lang w:bidi="ar"/>
        </w:rPr>
        <w:t>33.2.</w:t>
      </w:r>
      <w:r>
        <w:rPr>
          <w:rFonts w:hint="eastAsia" w:cs="宋体"/>
          <w:color w:val="auto"/>
          <w:kern w:val="2"/>
          <w:sz w:val="22"/>
          <w:szCs w:val="22"/>
          <w:highlight w:val="none"/>
          <w:lang w:bidi="ar"/>
        </w:rPr>
        <w:t>4</w:t>
      </w:r>
      <w:r>
        <w:rPr>
          <w:rFonts w:cs="宋体"/>
          <w:color w:val="auto"/>
          <w:kern w:val="2"/>
          <w:sz w:val="22"/>
          <w:szCs w:val="22"/>
          <w:highlight w:val="none"/>
          <w:lang w:bidi="ar"/>
        </w:rPr>
        <w:t xml:space="preserve"> </w:t>
      </w:r>
      <w:r>
        <w:rPr>
          <w:rFonts w:hint="eastAsia" w:cs="宋体"/>
          <w:b/>
          <w:color w:val="auto"/>
          <w:szCs w:val="21"/>
          <w:highlight w:val="none"/>
          <w:lang w:eastAsia="zh-CN"/>
        </w:rPr>
        <w:t>□</w:t>
      </w:r>
      <w:r>
        <w:rPr>
          <w:rFonts w:cs="宋体"/>
          <w:color w:val="auto"/>
          <w:kern w:val="2"/>
          <w:sz w:val="22"/>
          <w:szCs w:val="22"/>
          <w:highlight w:val="none"/>
          <w:lang w:bidi="ar"/>
        </w:rPr>
        <w:t>人工费</w:t>
      </w:r>
      <w:r>
        <w:rPr>
          <w:rFonts w:hint="eastAsia" w:cs="宋体"/>
          <w:b/>
          <w:color w:val="auto"/>
          <w:szCs w:val="21"/>
          <w:highlight w:val="none"/>
          <w:lang w:eastAsia="zh-CN"/>
        </w:rPr>
        <w:t>□</w:t>
      </w:r>
      <w:r>
        <w:rPr>
          <w:rFonts w:cs="宋体"/>
          <w:color w:val="auto"/>
          <w:kern w:val="2"/>
          <w:sz w:val="22"/>
          <w:szCs w:val="22"/>
          <w:highlight w:val="none"/>
          <w:lang w:bidi="ar"/>
        </w:rPr>
        <w:t>及材料价差的调整和结算方式</w:t>
      </w:r>
    </w:p>
    <w:p w14:paraId="53E55F86">
      <w:pPr>
        <w:adjustRightInd w:val="0"/>
        <w:snapToGrid w:val="0"/>
        <w:spacing w:line="360" w:lineRule="auto"/>
        <w:ind w:right="11" w:firstLine="422" w:firstLineChars="192"/>
        <w:rPr>
          <w:rFonts w:hint="eastAsia" w:ascii="宋体" w:hAnsi="宋体"/>
          <w:color w:val="auto"/>
          <w:sz w:val="22"/>
          <w:highlight w:val="none"/>
        </w:rPr>
      </w:pPr>
      <w:r>
        <w:rPr>
          <w:rFonts w:hint="eastAsia" w:ascii="宋体" w:hAnsi="宋体" w:cs="宋体"/>
          <w:color w:val="auto"/>
          <w:sz w:val="22"/>
          <w:highlight w:val="none"/>
          <w:lang w:bidi="ar"/>
        </w:rPr>
        <w:t>根据《中华人民共和国民法典》、《建筑工程施工发包与承包计价管理办法》（住房城乡建设部令第16号）、《广东省建设工程造价管理规定》（粤府令第205号）、《广东省住房和城乡建设厅关于加强建筑工程材料价格风险管控的指导意见》（粤建市函〔2018〕2058号）及有关法律、法规，按照承发包双方合理分担价格风险的原则，约定如下：</w:t>
      </w:r>
    </w:p>
    <w:p w14:paraId="06960806">
      <w:pPr>
        <w:adjustRightInd w:val="0"/>
        <w:snapToGrid w:val="0"/>
        <w:spacing w:line="360" w:lineRule="auto"/>
        <w:ind w:firstLine="422" w:firstLineChars="192"/>
        <w:outlineLvl w:val="5"/>
        <w:rPr>
          <w:rFonts w:hint="eastAsia" w:ascii="宋体" w:hAnsi="宋体"/>
          <w:color w:val="auto"/>
          <w:sz w:val="22"/>
          <w:highlight w:val="none"/>
        </w:rPr>
      </w:pPr>
      <w:r>
        <w:rPr>
          <w:rFonts w:hint="eastAsia" w:ascii="宋体" w:hAnsi="宋体" w:cs="宋体"/>
          <w:color w:val="auto"/>
          <w:sz w:val="22"/>
          <w:highlight w:val="none"/>
          <w:lang w:bidi="ar"/>
        </w:rPr>
        <w:t>除</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人工费及</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钢筋、合同规定可以调差的钢结构主要型钢构件、</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电线电缆、</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混凝土、</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砂浆、</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砌体、</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中砂、</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碎石、</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石屑、</w:t>
      </w:r>
      <w:r>
        <w:rPr>
          <w:rFonts w:hint="eastAsia" w:ascii="宋体" w:hAnsi="宋体" w:cs="宋体"/>
          <w:b/>
          <w:color w:val="auto"/>
          <w:sz w:val="22"/>
          <w:highlight w:val="none"/>
          <w:lang w:eastAsia="zh-CN"/>
        </w:rPr>
        <w:t>□</w:t>
      </w:r>
      <w:r>
        <w:rPr>
          <w:rFonts w:hint="eastAsia" w:ascii="宋体" w:hAnsi="宋体" w:cs="宋体"/>
          <w:color w:val="auto"/>
          <w:sz w:val="22"/>
          <w:highlight w:val="none"/>
          <w:lang w:bidi="ar"/>
        </w:rPr>
        <w:t>管桩</w:t>
      </w:r>
      <w:r>
        <w:rPr>
          <w:rFonts w:hint="eastAsia" w:ascii="宋体" w:hAnsi="宋体" w:cs="宋体"/>
          <w:color w:val="auto"/>
          <w:sz w:val="22"/>
          <w:highlight w:val="none"/>
          <w:u w:val="single"/>
          <w:lang w:bidi="ar"/>
        </w:rPr>
        <w:t>、</w:t>
      </w:r>
      <w:r>
        <w:rPr>
          <w:color w:val="auto"/>
          <w:szCs w:val="21"/>
          <w:highlight w:val="none"/>
          <w:lang w:bidi="ar"/>
        </w:rPr>
        <w:t>×</w:t>
      </w:r>
      <w:r>
        <w:rPr>
          <w:rFonts w:hint="eastAsia" w:ascii="宋体" w:hAnsi="宋体" w:cs="宋体"/>
          <w:color w:val="auto"/>
          <w:sz w:val="22"/>
          <w:highlight w:val="none"/>
          <w:u w:val="single"/>
          <w:lang w:bidi="ar"/>
        </w:rPr>
        <w:t>玻璃、</w:t>
      </w:r>
      <w:r>
        <w:rPr>
          <w:color w:val="auto"/>
          <w:szCs w:val="21"/>
          <w:highlight w:val="none"/>
          <w:lang w:bidi="ar"/>
        </w:rPr>
        <w:t>×</w:t>
      </w:r>
      <w:r>
        <w:rPr>
          <w:rFonts w:hint="eastAsia" w:ascii="宋体" w:hAnsi="宋体" w:cs="宋体"/>
          <w:color w:val="auto"/>
          <w:sz w:val="22"/>
          <w:highlight w:val="none"/>
          <w:u w:val="single"/>
          <w:lang w:bidi="ar"/>
        </w:rPr>
        <w:t>水泥、</w:t>
      </w:r>
      <w:r>
        <w:rPr>
          <w:rFonts w:hint="eastAsia" w:ascii="宋体" w:hAnsi="宋体" w:cs="宋体"/>
          <w:b/>
          <w:color w:val="auto"/>
          <w:sz w:val="22"/>
          <w:highlight w:val="none"/>
          <w:lang w:eastAsia="zh-CN" w:bidi="ar"/>
        </w:rPr>
        <w:t>□</w:t>
      </w:r>
      <w:r>
        <w:rPr>
          <w:rFonts w:hint="eastAsia" w:ascii="宋体" w:hAnsi="宋体" w:cs="宋体"/>
          <w:color w:val="auto"/>
          <w:sz w:val="22"/>
          <w:highlight w:val="none"/>
          <w:u w:val="single"/>
          <w:lang w:bidi="ar"/>
        </w:rPr>
        <w:t>直线段母线槽、</w:t>
      </w:r>
      <w:r>
        <w:rPr>
          <w:color w:val="auto"/>
          <w:szCs w:val="21"/>
          <w:highlight w:val="none"/>
          <w:lang w:bidi="ar"/>
        </w:rPr>
        <w:t>×</w:t>
      </w:r>
      <w:r>
        <w:rPr>
          <w:rFonts w:hint="eastAsia" w:ascii="宋体" w:hAnsi="宋体" w:cs="宋体"/>
          <w:color w:val="auto"/>
          <w:sz w:val="22"/>
          <w:highlight w:val="none"/>
          <w:u w:val="single"/>
          <w:lang w:bidi="ar"/>
        </w:rPr>
        <w:t>沥青混凝土、</w:t>
      </w:r>
      <w:r>
        <w:rPr>
          <w:rFonts w:hint="eastAsia" w:ascii="宋体" w:hAnsi="宋体" w:cs="宋体"/>
          <w:b/>
          <w:color w:val="auto"/>
          <w:sz w:val="22"/>
          <w:highlight w:val="none"/>
          <w:lang w:eastAsia="zh-CN" w:bidi="ar"/>
        </w:rPr>
        <w:t>□</w:t>
      </w:r>
      <w:r>
        <w:rPr>
          <w:rFonts w:hint="eastAsia" w:ascii="宋体" w:hAnsi="宋体" w:cs="宋体"/>
          <w:bCs/>
          <w:color w:val="auto"/>
          <w:sz w:val="22"/>
          <w:highlight w:val="none"/>
          <w:u w:val="single"/>
          <w:lang w:bidi="ar"/>
        </w:rPr>
        <w:t>幕墙</w:t>
      </w:r>
      <w:r>
        <w:rPr>
          <w:rFonts w:hint="eastAsia" w:ascii="宋体" w:hAnsi="宋体" w:cs="宋体"/>
          <w:color w:val="auto"/>
          <w:sz w:val="22"/>
          <w:highlight w:val="none"/>
          <w:u w:val="single"/>
          <w:lang w:bidi="ar"/>
        </w:rPr>
        <w:t>铝合</w:t>
      </w:r>
      <w:r>
        <w:rPr>
          <w:rFonts w:ascii="宋体" w:hAnsi="宋体" w:cs="宋体"/>
          <w:color w:val="auto"/>
          <w:sz w:val="22"/>
          <w:highlight w:val="none"/>
          <w:u w:val="single"/>
          <w:lang w:bidi="ar"/>
        </w:rPr>
        <w:t>金型材</w:t>
      </w:r>
      <w:r>
        <w:rPr>
          <w:rFonts w:hint="eastAsia" w:ascii="宋体" w:hAnsi="宋体" w:cs="宋体"/>
          <w:color w:val="auto"/>
          <w:sz w:val="22"/>
          <w:highlight w:val="none"/>
          <w:lang w:bidi="ar"/>
        </w:rPr>
        <w:t>材料费价差外，其他材料设备的价差均不予调整。调整、计量支付和结算原则如下:</w:t>
      </w:r>
    </w:p>
    <w:p w14:paraId="2DF37811">
      <w:pPr>
        <w:adjustRightInd w:val="0"/>
        <w:snapToGrid w:val="0"/>
        <w:spacing w:line="360" w:lineRule="auto"/>
        <w:ind w:right="11" w:firstLine="424" w:firstLineChars="192"/>
        <w:outlineLvl w:val="5"/>
        <w:rPr>
          <w:rFonts w:hint="eastAsia" w:ascii="宋体" w:hAnsi="宋体"/>
          <w:color w:val="auto"/>
          <w:sz w:val="22"/>
          <w:highlight w:val="none"/>
        </w:rPr>
      </w:pPr>
      <w:r>
        <w:rPr>
          <w:rFonts w:hint="eastAsia" w:ascii="宋体" w:hAnsi="宋体" w:cs="宋体"/>
          <w:b/>
          <w:color w:val="auto"/>
          <w:sz w:val="22"/>
          <w:highlight w:val="none"/>
        </w:rPr>
        <w:t>☑</w:t>
      </w:r>
      <w:r>
        <w:rPr>
          <w:rFonts w:hint="eastAsia" w:ascii="宋体" w:hAnsi="宋体"/>
          <w:color w:val="auto"/>
          <w:sz w:val="22"/>
          <w:highlight w:val="none"/>
          <w:lang w:bidi="ar"/>
        </w:rPr>
        <w:t xml:space="preserve"> </w:t>
      </w:r>
      <w:r>
        <w:rPr>
          <w:rFonts w:hint="eastAsia" w:ascii="宋体" w:hAnsi="宋体" w:cs="宋体"/>
          <w:color w:val="auto"/>
          <w:sz w:val="22"/>
          <w:highlight w:val="none"/>
          <w:lang w:bidi="ar"/>
        </w:rPr>
        <w:t>1）人工费的调整和结算方式：</w:t>
      </w:r>
    </w:p>
    <w:p w14:paraId="7D5E8D37">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招标文件工程量清单计价说明公布的分部分项人工费总额为本工程分部分项最高人工费总额，承包人在投标报价时不得超过此公布数。如承包人未按招标文件工程量清单计价说明要求填报分部分项人工费的，发包人有权按照招标文件工程量清单计价说明进行修正，承包人应无条件按修正后的分部分项人工费结果执行。</w:t>
      </w:r>
    </w:p>
    <w:p w14:paraId="4E84A631">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若计量当期人工价格指数（以广州市建设工程造价管理站发布的相应月份建设工程价格信息及有关计价办法中的人工价格指数为准，下同）与按招标当期人工价格指数相比超过10%的，则根据广州市建设工程造价管理站发布的人工价格指数调整超过10%以外的部分{例如：招标当期指数是108.76，计量当期指数是115，相比为105.74%，超过10.74%，只调0.74%[计算公式为(115/108.76)-1-10%=0.74%]}，调整和结算公式如下：</w:t>
      </w:r>
    </w:p>
    <w:p w14:paraId="6FC5AC59">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a）涨幅超过10%时：</w:t>
      </w:r>
    </w:p>
    <w:p w14:paraId="2D6148B1">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计量当期人工费调增价款=（计量当期人工价格指数/招标当期人工价格指数-1-10%）×（承包人投标分部分项工程人工费总额÷中标价中的分部分项工程量清单计价汇总合计）×当期各月发包人已确认分部分项工程进度款之和。</w:t>
      </w:r>
    </w:p>
    <w:p w14:paraId="3442EAC9">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b）跌幅超过10%时：</w:t>
      </w:r>
    </w:p>
    <w:p w14:paraId="57D07A7B">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计量当期人工费调减价款=（1-计量当期人工价格指数/招标当期人工价格指数-10%）×（承包人投标分部分项工程人工费总额÷中标价中的分部分项工程量清单计价汇总合计）×当期各月发包人已确认分部分项工程进度款之和。</w:t>
      </w:r>
    </w:p>
    <w:p w14:paraId="4D561546">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c）人工费结算增减额=施工期（自开工之日起至完工之日止）每期人工费调整价款之和+人工价格指数浮动调整系数×（承包人投标分部分项工程人工费总额÷中标价中的分部分项工程量清单计价汇总合计）×（有权结算终审部门审定结算价中的分部分项工程费-累计发包人已确认分部分项工程进度款），其中人工价格指数浮动调整系数在施工期每期人工价格指数浮动调整系数中按有利于发包人的原则取定。税金另行计列。</w:t>
      </w:r>
    </w:p>
    <w:p w14:paraId="20679223">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d）计量当期人工费达到上述调整条件时，由承包人按合同约定原则申报，经发包人审定后纳入下月进度款支付。</w:t>
      </w:r>
    </w:p>
    <w:p w14:paraId="4F13DAC5">
      <w:pPr>
        <w:adjustRightInd w:val="0"/>
        <w:snapToGrid w:val="0"/>
        <w:spacing w:line="360" w:lineRule="auto"/>
        <w:ind w:firstLine="440" w:firstLineChars="200"/>
        <w:rPr>
          <w:rFonts w:hint="eastAsia" w:ascii="宋体" w:hAnsi="宋体"/>
          <w:color w:val="auto"/>
          <w:sz w:val="22"/>
          <w:highlight w:val="none"/>
        </w:rPr>
      </w:pPr>
      <w:r>
        <w:rPr>
          <w:rFonts w:hint="eastAsia" w:ascii="宋体" w:hAnsi="宋体" w:cs="宋体"/>
          <w:color w:val="auto"/>
          <w:sz w:val="22"/>
          <w:highlight w:val="none"/>
          <w:lang w:bidi="ar"/>
        </w:rPr>
        <w:t>e）措施项目、其他项目不参与人工费的调整。</w:t>
      </w:r>
    </w:p>
    <w:p w14:paraId="5B830F4B">
      <w:pPr>
        <w:adjustRightInd w:val="0"/>
        <w:snapToGrid w:val="0"/>
        <w:spacing w:line="360" w:lineRule="auto"/>
        <w:ind w:right="11" w:firstLine="424" w:firstLineChars="192"/>
        <w:outlineLvl w:val="5"/>
        <w:rPr>
          <w:rFonts w:hint="eastAsia" w:ascii="宋体" w:hAnsi="宋体"/>
          <w:color w:val="auto"/>
          <w:kern w:val="0"/>
          <w:sz w:val="22"/>
          <w:highlight w:val="none"/>
        </w:rPr>
      </w:pPr>
      <w:r>
        <w:rPr>
          <w:rFonts w:hint="eastAsia" w:ascii="宋体" w:hAnsi="宋体" w:cs="宋体"/>
          <w:b/>
          <w:color w:val="auto"/>
          <w:sz w:val="22"/>
          <w:highlight w:val="none"/>
        </w:rPr>
        <w:t>☑</w:t>
      </w:r>
      <w:r>
        <w:rPr>
          <w:rFonts w:hint="eastAsia" w:ascii="宋体" w:hAnsi="宋体"/>
          <w:color w:val="auto"/>
          <w:sz w:val="22"/>
          <w:highlight w:val="none"/>
          <w:lang w:bidi="ar"/>
        </w:rPr>
        <w:t xml:space="preserve"> </w:t>
      </w:r>
      <w:r>
        <w:rPr>
          <w:rFonts w:hint="eastAsia" w:ascii="宋体" w:hAnsi="宋体" w:cs="宋体"/>
          <w:color w:val="auto"/>
          <w:sz w:val="22"/>
          <w:highlight w:val="none"/>
          <w:lang w:bidi="ar"/>
        </w:rPr>
        <w:t>2）</w:t>
      </w:r>
      <w:r>
        <w:rPr>
          <w:rFonts w:hint="eastAsia" w:ascii="宋体" w:hAnsi="宋体" w:cs="宋体"/>
          <w:color w:val="auto"/>
          <w:kern w:val="0"/>
          <w:sz w:val="22"/>
          <w:highlight w:val="none"/>
          <w:lang w:bidi="ar"/>
        </w:rPr>
        <w:t>钢筋</w:t>
      </w:r>
      <w:r>
        <w:rPr>
          <w:rFonts w:hint="eastAsia" w:ascii="宋体" w:hAnsi="宋体" w:cs="宋体"/>
          <w:color w:val="auto"/>
          <w:sz w:val="22"/>
          <w:highlight w:val="none"/>
          <w:lang w:bidi="ar"/>
        </w:rPr>
        <w:t>、合同规定可以调差的钢结构主要型钢构件</w:t>
      </w:r>
      <w:r>
        <w:rPr>
          <w:rFonts w:hint="eastAsia" w:ascii="宋体" w:hAnsi="宋体" w:cs="宋体"/>
          <w:color w:val="auto"/>
          <w:kern w:val="0"/>
          <w:sz w:val="22"/>
          <w:highlight w:val="none"/>
          <w:lang w:bidi="ar"/>
        </w:rPr>
        <w:t>材料费的调整和结算方式</w:t>
      </w:r>
    </w:p>
    <w:p w14:paraId="7F629BD1">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若计量当期钢筋、型钢材料基准单价（Ⅰ级钢筋基准单价为广州市建设工程造价管理站发布的</w:t>
      </w:r>
      <w:r>
        <w:rPr>
          <w:rFonts w:hint="eastAsia" w:ascii="宋体" w:hAnsi="宋体" w:cs="宋体"/>
          <w:color w:val="auto"/>
          <w:sz w:val="22"/>
          <w:highlight w:val="none"/>
          <w:lang w:bidi="ar"/>
        </w:rPr>
        <w:t>相应月份建设工程价格信息及有关计价办法</w:t>
      </w:r>
      <w:r>
        <w:rPr>
          <w:rFonts w:hint="eastAsia" w:ascii="宋体" w:hAnsi="宋体" w:cs="宋体"/>
          <w:color w:val="auto"/>
          <w:kern w:val="0"/>
          <w:sz w:val="22"/>
          <w:highlight w:val="none"/>
          <w:lang w:bidi="ar"/>
        </w:rPr>
        <w:t>所附《综合价格》钢筋综合价中圆钢Φ10内和Φ10外对应单价的平均值，Ⅱ级、III级钢筋基准单价为《综合价格》钢筋综合价中螺纹钢Φ10外和Φ12--25对应单价的平均值，型钢基准单价为《综合价格》中“＃18--24槽钢”的综合价格，下同）与招标当期对应钢筋、型钢基准单价对比涨跌幅度超过</w:t>
      </w:r>
      <w:r>
        <w:rPr>
          <w:rFonts w:hint="default" w:ascii="宋体" w:hAnsi="宋体" w:cs="宋体"/>
          <w:color w:val="auto"/>
          <w:kern w:val="0"/>
          <w:sz w:val="22"/>
          <w:highlight w:val="none"/>
          <w:lang w:val="en-US" w:bidi="ar"/>
        </w:rPr>
        <w:t>10</w:t>
      </w:r>
      <w:r>
        <w:rPr>
          <w:rFonts w:hint="eastAsia" w:ascii="宋体" w:hAnsi="宋体" w:cs="宋体"/>
          <w:color w:val="auto"/>
          <w:kern w:val="0"/>
          <w:sz w:val="22"/>
          <w:highlight w:val="none"/>
          <w:lang w:bidi="ar"/>
        </w:rPr>
        <w:t>%的，则调整超过</w:t>
      </w:r>
      <w:r>
        <w:rPr>
          <w:rFonts w:hint="default" w:ascii="宋体" w:hAnsi="宋体" w:cs="宋体"/>
          <w:color w:val="auto"/>
          <w:sz w:val="22"/>
          <w:highlight w:val="none"/>
          <w:lang w:val="en-US" w:bidi="ar"/>
        </w:rPr>
        <w:t>1</w:t>
      </w:r>
      <w:r>
        <w:rPr>
          <w:rFonts w:hint="eastAsia" w:ascii="宋体" w:hAnsi="宋体" w:cs="宋体"/>
          <w:color w:val="auto"/>
          <w:sz w:val="22"/>
          <w:highlight w:val="none"/>
          <w:lang w:bidi="ar"/>
        </w:rPr>
        <w:t>0</w:t>
      </w:r>
      <w:r>
        <w:rPr>
          <w:rFonts w:hint="eastAsia" w:ascii="宋体" w:hAnsi="宋体" w:cs="宋体"/>
          <w:color w:val="auto"/>
          <w:kern w:val="0"/>
          <w:sz w:val="22"/>
          <w:highlight w:val="none"/>
          <w:lang w:bidi="ar"/>
        </w:rPr>
        <w:t>%以外的部分（如：超过</w:t>
      </w:r>
      <w:r>
        <w:rPr>
          <w:rFonts w:hint="default" w:ascii="宋体" w:hAnsi="宋体" w:cs="宋体"/>
          <w:color w:val="auto"/>
          <w:sz w:val="22"/>
          <w:highlight w:val="none"/>
          <w:lang w:val="en-US" w:bidi="ar"/>
        </w:rPr>
        <w:t>11</w:t>
      </w:r>
      <w:r>
        <w:rPr>
          <w:rFonts w:hint="eastAsia" w:ascii="宋体" w:hAnsi="宋体" w:cs="宋体"/>
          <w:color w:val="auto"/>
          <w:kern w:val="0"/>
          <w:sz w:val="22"/>
          <w:highlight w:val="none"/>
          <w:lang w:bidi="ar"/>
        </w:rPr>
        <w:t>%，只调1%），调整和结算公式如下：</w:t>
      </w:r>
    </w:p>
    <w:p w14:paraId="16576F35">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a）涨幅超过</w:t>
      </w:r>
      <w:r>
        <w:rPr>
          <w:rFonts w:hint="default" w:ascii="宋体" w:hAnsi="宋体" w:cs="宋体"/>
          <w:color w:val="auto"/>
          <w:sz w:val="22"/>
          <w:highlight w:val="none"/>
          <w:lang w:val="en-US" w:bidi="ar"/>
        </w:rPr>
        <w:t>10</w:t>
      </w:r>
      <w:r>
        <w:rPr>
          <w:rFonts w:hint="eastAsia" w:ascii="宋体" w:hAnsi="宋体" w:cs="宋体"/>
          <w:color w:val="auto"/>
          <w:kern w:val="0"/>
          <w:sz w:val="22"/>
          <w:highlight w:val="none"/>
          <w:lang w:bidi="ar"/>
        </w:rPr>
        <w:t>%时：</w:t>
      </w:r>
    </w:p>
    <w:p w14:paraId="276C9501">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计量当期材料单价价差=（计量期当期相应钢筋、型钢基准单价-招标当期对应钢筋、型钢基准单价×1.</w:t>
      </w:r>
      <w:r>
        <w:rPr>
          <w:rFonts w:hint="default" w:ascii="宋体" w:hAnsi="宋体" w:cs="宋体"/>
          <w:color w:val="auto"/>
          <w:kern w:val="0"/>
          <w:sz w:val="22"/>
          <w:highlight w:val="none"/>
          <w:lang w:val="en-US" w:bidi="ar"/>
        </w:rPr>
        <w:t>1</w:t>
      </w:r>
      <w:r>
        <w:rPr>
          <w:rFonts w:hint="eastAsia" w:ascii="宋体" w:hAnsi="宋体" w:cs="宋体"/>
          <w:color w:val="auto"/>
          <w:kern w:val="0"/>
          <w:sz w:val="22"/>
          <w:highlight w:val="none"/>
          <w:lang w:bidi="ar"/>
        </w:rPr>
        <w:t>）。</w:t>
      </w:r>
    </w:p>
    <w:p w14:paraId="4812AC05">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计量当期钢筋、型钢材料费调增价款=计量当期钢筋、型钢单价价差×当期各月进度款中发包人已确认计量分部分项工程量清单中以“t”为计量单位的钢筋清单项目相应钢筋、型钢量之和（不含损耗量）。措施项目参与钢筋价差的调整，其他项目、外购预制构件、甲招乙供材料中所含的钢筋及钢筋损耗不参与钢筋价差的调整；除</w:t>
      </w:r>
      <w:r>
        <w:rPr>
          <w:rFonts w:hint="eastAsia" w:ascii="宋体" w:hAnsi="宋体" w:cs="宋体"/>
          <w:color w:val="auto"/>
          <w:sz w:val="22"/>
          <w:highlight w:val="none"/>
          <w:lang w:bidi="ar"/>
        </w:rPr>
        <w:t>合同规定可以调差的钢结构主要型钢构件</w:t>
      </w:r>
      <w:r>
        <w:rPr>
          <w:rFonts w:hint="eastAsia" w:ascii="宋体" w:hAnsi="宋体" w:cs="宋体"/>
          <w:color w:val="auto"/>
          <w:kern w:val="0"/>
          <w:sz w:val="22"/>
          <w:highlight w:val="none"/>
          <w:lang w:bidi="ar"/>
        </w:rPr>
        <w:t>外，其他构件、预埋件、其他项目中的型钢材及损耗均不参与钢材调差，措施项目中</w:t>
      </w:r>
      <w:r>
        <w:rPr>
          <w:rFonts w:hint="eastAsia" w:ascii="宋体" w:hAnsi="宋体" w:cs="宋体"/>
          <w:color w:val="auto"/>
          <w:sz w:val="22"/>
          <w:highlight w:val="none"/>
          <w:lang w:bidi="ar"/>
        </w:rPr>
        <w:t>合同规定可以调差的钢结构主要型钢构件</w:t>
      </w:r>
      <w:r>
        <w:rPr>
          <w:rFonts w:hint="eastAsia" w:ascii="宋体" w:hAnsi="宋体" w:cs="宋体"/>
          <w:color w:val="auto"/>
          <w:kern w:val="0"/>
          <w:sz w:val="22"/>
          <w:highlight w:val="none"/>
          <w:lang w:bidi="ar"/>
        </w:rPr>
        <w:t>参与钢材调差，下同。税金另行计列。</w:t>
      </w:r>
    </w:p>
    <w:p w14:paraId="649E58D3">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b）跌幅超过</w:t>
      </w:r>
      <w:r>
        <w:rPr>
          <w:rFonts w:hint="default" w:ascii="宋体" w:hAnsi="宋体" w:cs="宋体"/>
          <w:color w:val="auto"/>
          <w:kern w:val="0"/>
          <w:sz w:val="22"/>
          <w:highlight w:val="none"/>
          <w:lang w:val="en-US" w:bidi="ar"/>
        </w:rPr>
        <w:t>10</w:t>
      </w:r>
      <w:r>
        <w:rPr>
          <w:rFonts w:hint="eastAsia" w:ascii="宋体" w:hAnsi="宋体" w:cs="宋体"/>
          <w:color w:val="auto"/>
          <w:kern w:val="0"/>
          <w:sz w:val="22"/>
          <w:highlight w:val="none"/>
          <w:lang w:bidi="ar"/>
        </w:rPr>
        <w:t>%时：</w:t>
      </w:r>
    </w:p>
    <w:p w14:paraId="3BCCAE74">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计量当期材料单价价差=（招标当期相应钢筋、型钢基准单价×</w:t>
      </w:r>
      <w:r>
        <w:rPr>
          <w:rFonts w:hint="default" w:ascii="宋体" w:hAnsi="宋体" w:cs="宋体"/>
          <w:color w:val="auto"/>
          <w:kern w:val="0"/>
          <w:sz w:val="22"/>
          <w:highlight w:val="none"/>
          <w:lang w:val="en-US" w:bidi="ar"/>
        </w:rPr>
        <w:t>0.9</w:t>
      </w:r>
      <w:r>
        <w:rPr>
          <w:rFonts w:hint="eastAsia" w:ascii="宋体" w:hAnsi="宋体" w:cs="宋体"/>
          <w:color w:val="auto"/>
          <w:kern w:val="0"/>
          <w:sz w:val="22"/>
          <w:highlight w:val="none"/>
          <w:lang w:bidi="ar"/>
        </w:rPr>
        <w:t>-对应钢筋、型钢基准单价）。</w:t>
      </w:r>
    </w:p>
    <w:p w14:paraId="1C70C264">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计量当期钢筋材料、型钢费扣减额=计量当期钢筋、型钢单价价差×当期各月进度款中发包人已确认计量分部分项工程量清单中以“t”为计量单位的钢筋清单项目相应钢筋、型钢量之和（不含损耗量）。</w:t>
      </w:r>
    </w:p>
    <w:p w14:paraId="5CD14C71">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c）钢筋材料费结算增减额=施工期（自开工之日起至完工之日止）每季度钢筋材料费调整价款之和+钢筋单价价差×[有权结算终审部门审定的结算中分部分项工程量清单中以“t”为计量单位的钢筋清单项目相应钢筋量之和（不含损耗量）-累计工程进度款中发包人已确认计量分部分项工程量清单中以“t”为计量单位的钢筋清单项目相应钢筋量之和（不含损耗量）]，其中钢筋单价价差按施工期每季度钢筋单价价差的平均值取定。税金另行计列。</w:t>
      </w:r>
    </w:p>
    <w:p w14:paraId="63F3D7C1">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sz w:val="22"/>
          <w:highlight w:val="none"/>
          <w:lang w:bidi="ar"/>
        </w:rPr>
        <w:t>型钢材料费结算增减额计算方法与钢筋的计算方法一致。</w:t>
      </w:r>
    </w:p>
    <w:p w14:paraId="12EC856B">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d）计量当期钢筋、型钢材料费达到上述调整条件时，由承包人按合同约定原则申报，经发包人审定后纳入下月进度款支付。</w:t>
      </w:r>
    </w:p>
    <w:p w14:paraId="35B93E3C">
      <w:pPr>
        <w:adjustRightInd w:val="0"/>
        <w:snapToGrid w:val="0"/>
        <w:spacing w:line="360" w:lineRule="auto"/>
        <w:ind w:right="11" w:firstLine="424" w:firstLineChars="192"/>
        <w:outlineLvl w:val="5"/>
        <w:rPr>
          <w:rFonts w:hint="eastAsia" w:ascii="宋体" w:hAnsi="宋体"/>
          <w:color w:val="auto"/>
          <w:sz w:val="22"/>
          <w:highlight w:val="none"/>
        </w:rPr>
      </w:pPr>
      <w:r>
        <w:rPr>
          <w:rFonts w:hint="eastAsia" w:ascii="宋体" w:hAnsi="宋体" w:cs="宋体"/>
          <w:b/>
          <w:color w:val="auto"/>
          <w:sz w:val="22"/>
          <w:highlight w:val="none"/>
        </w:rPr>
        <w:t>☑</w:t>
      </w:r>
      <w:r>
        <w:rPr>
          <w:rFonts w:hint="eastAsia" w:ascii="宋体" w:hAnsi="宋体"/>
          <w:color w:val="auto"/>
          <w:sz w:val="22"/>
          <w:highlight w:val="none"/>
          <w:lang w:bidi="ar"/>
        </w:rPr>
        <w:t xml:space="preserve"> </w:t>
      </w:r>
      <w:r>
        <w:rPr>
          <w:rFonts w:hint="eastAsia" w:ascii="宋体" w:hAnsi="宋体" w:cs="宋体"/>
          <w:color w:val="auto"/>
          <w:sz w:val="22"/>
          <w:highlight w:val="none"/>
          <w:lang w:bidi="ar"/>
        </w:rPr>
        <w:t>3）电线电缆材料费的调整和结算方式</w:t>
      </w:r>
    </w:p>
    <w:p w14:paraId="078AEB3E">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sz w:val="22"/>
          <w:highlight w:val="none"/>
          <w:lang w:bidi="ar"/>
        </w:rPr>
        <w:t>a）</w:t>
      </w:r>
      <w:r>
        <w:rPr>
          <w:rFonts w:hint="eastAsia" w:ascii="宋体" w:hAnsi="宋体" w:cs="宋体"/>
          <w:color w:val="auto"/>
          <w:kern w:val="0"/>
          <w:sz w:val="22"/>
          <w:highlight w:val="none"/>
          <w:lang w:bidi="ar"/>
        </w:rPr>
        <w:t>电线电缆材料费调整参照铜价变化按电线电缆相应规格分别调整，且在本合同履行过程中只在本工程结算时调整一次。</w:t>
      </w:r>
    </w:p>
    <w:p w14:paraId="7D427DD1">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若电线电缆材料价格变化幅度（电线电缆材料价格变化幅度为：以上海期货交易所（www.shfe.com.cn - “首页/交易数据/月统计数据/月度参考价”发布的“铜当月”的“月度结算参考价”在投标截止之日前一个月直至工程完工日期前一个月的计算期内的价格平均值，与投标截止之日前一个月相应的“铜当月”的“月度结算参考价”的比值，减去100%得出；下同）即涨跌幅度超过</w:t>
      </w:r>
      <w:r>
        <w:rPr>
          <w:rFonts w:hint="default" w:ascii="宋体" w:hAnsi="宋体" w:cs="宋体"/>
          <w:color w:val="auto"/>
          <w:kern w:val="0"/>
          <w:sz w:val="22"/>
          <w:highlight w:val="none"/>
          <w:lang w:val="en-US" w:bidi="ar"/>
        </w:rPr>
        <w:t>10</w:t>
      </w:r>
      <w:r>
        <w:rPr>
          <w:rFonts w:hint="eastAsia" w:ascii="宋体" w:hAnsi="宋体" w:cs="宋体"/>
          <w:color w:val="auto"/>
          <w:kern w:val="0"/>
          <w:sz w:val="22"/>
          <w:highlight w:val="none"/>
          <w:lang w:bidi="ar"/>
        </w:rPr>
        <w:t>%的，则在本工程结算时一次性调整超过10%以外的部分（如：超过11%，只调1%）。</w:t>
      </w:r>
    </w:p>
    <w:p w14:paraId="53635A89">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当电线电缆材料价格变化幅度为正值，且涨幅超过10%时，按调增调整；当电线电缆材料价格变化幅度为负值，且跌幅超过</w:t>
      </w:r>
      <w:r>
        <w:rPr>
          <w:rFonts w:hint="default" w:ascii="宋体" w:hAnsi="宋体" w:cs="宋体"/>
          <w:color w:val="auto"/>
          <w:kern w:val="0"/>
          <w:sz w:val="22"/>
          <w:highlight w:val="none"/>
          <w:lang w:val="en-US" w:bidi="ar"/>
        </w:rPr>
        <w:t>10</w:t>
      </w:r>
      <w:r>
        <w:rPr>
          <w:rFonts w:hint="eastAsia" w:ascii="宋体" w:hAnsi="宋体" w:cs="宋体"/>
          <w:color w:val="auto"/>
          <w:kern w:val="0"/>
          <w:sz w:val="22"/>
          <w:highlight w:val="none"/>
          <w:lang w:bidi="ar"/>
        </w:rPr>
        <w:t>%时，按调减调整。电线电缆材料费调整（调增或调减）价款公式具体如下：</w:t>
      </w:r>
    </w:p>
    <w:p w14:paraId="10021B0A">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电线电缆材料费调整（调增或调减）价款=审定结算电线电缆工程量铜含量×铜单价价差。税金另行计列。</w:t>
      </w:r>
    </w:p>
    <w:p w14:paraId="5CD28C0E">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铜单价价差=本合同投标截止之日前一个月的“铜当月”的“月度结算参考价”×（|电线电缆材料价格变化幅度|-</w:t>
      </w:r>
      <w:r>
        <w:rPr>
          <w:rFonts w:hint="default" w:ascii="宋体" w:hAnsi="宋体" w:cs="宋体"/>
          <w:color w:val="auto"/>
          <w:kern w:val="0"/>
          <w:sz w:val="22"/>
          <w:highlight w:val="none"/>
          <w:lang w:val="en-US" w:bidi="ar"/>
        </w:rPr>
        <w:t>10</w:t>
      </w:r>
      <w:r>
        <w:rPr>
          <w:rFonts w:hint="eastAsia" w:ascii="宋体" w:hAnsi="宋体" w:cs="宋体"/>
          <w:color w:val="auto"/>
          <w:kern w:val="0"/>
          <w:sz w:val="22"/>
          <w:highlight w:val="none"/>
          <w:lang w:bidi="ar"/>
        </w:rPr>
        <w:t>%）。</w:t>
      </w:r>
    </w:p>
    <w:p w14:paraId="384F8481">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审定结算电线电缆工程量铜含量指根据结算电线电缆工程量（延长米）乘以电线电缆铜芯截面积再乘以铜比重（8900千克/立方米）计算得出的电线电缆结算工程量中所含铜的重量。</w:t>
      </w:r>
    </w:p>
    <w:p w14:paraId="60CA4950">
      <w:pPr>
        <w:adjustRightInd w:val="0"/>
        <w:snapToGrid w:val="0"/>
        <w:spacing w:line="360"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b）进行调价的材料量不含损耗量，损耗量计入相应分部分项工程量清单项目安装费中。</w:t>
      </w:r>
    </w:p>
    <w:p w14:paraId="060E7959">
      <w:pPr>
        <w:adjustRightInd w:val="0"/>
        <w:snapToGrid w:val="0"/>
        <w:spacing w:line="348" w:lineRule="auto"/>
        <w:ind w:right="11" w:firstLine="422" w:firstLineChars="192"/>
        <w:rPr>
          <w:rFonts w:hint="eastAsia" w:ascii="宋体" w:hAnsi="宋体"/>
          <w:strike/>
          <w:color w:val="auto"/>
          <w:kern w:val="0"/>
          <w:sz w:val="22"/>
          <w:highlight w:val="none"/>
        </w:rPr>
      </w:pPr>
      <w:r>
        <w:rPr>
          <w:rFonts w:hint="eastAsia" w:ascii="宋体" w:hAnsi="宋体" w:cs="宋体"/>
          <w:color w:val="auto"/>
          <w:kern w:val="0"/>
          <w:sz w:val="22"/>
          <w:highlight w:val="none"/>
          <w:lang w:bidi="ar"/>
        </w:rPr>
        <w:t>c）措施项目参与电线电缆材料费的调整，其他项目不参与电线电缆材料费的调整。</w:t>
      </w:r>
    </w:p>
    <w:p w14:paraId="26040AF4">
      <w:pPr>
        <w:adjustRightInd w:val="0"/>
        <w:snapToGrid w:val="0"/>
        <w:spacing w:line="348" w:lineRule="auto"/>
        <w:ind w:firstLine="424" w:firstLineChars="192"/>
        <w:rPr>
          <w:rFonts w:hint="eastAsia" w:ascii="宋体" w:hAnsi="宋体"/>
          <w:color w:val="auto"/>
          <w:sz w:val="22"/>
          <w:highlight w:val="none"/>
        </w:rPr>
      </w:pPr>
      <w:r>
        <w:rPr>
          <w:rFonts w:hint="eastAsia" w:ascii="宋体" w:hAnsi="宋体" w:cs="宋体"/>
          <w:b/>
          <w:color w:val="auto"/>
          <w:sz w:val="22"/>
          <w:highlight w:val="none"/>
        </w:rPr>
        <w:t>☑</w:t>
      </w:r>
      <w:r>
        <w:rPr>
          <w:rFonts w:hint="eastAsia" w:ascii="宋体" w:hAnsi="宋体"/>
          <w:color w:val="auto"/>
          <w:sz w:val="22"/>
          <w:highlight w:val="none"/>
          <w:lang w:bidi="ar"/>
        </w:rPr>
        <w:t xml:space="preserve"> </w:t>
      </w:r>
      <w:r>
        <w:rPr>
          <w:rFonts w:hint="eastAsia" w:ascii="宋体" w:hAnsi="宋体" w:cs="宋体"/>
          <w:color w:val="auto"/>
          <w:sz w:val="22"/>
          <w:highlight w:val="none"/>
          <w:lang w:bidi="ar"/>
        </w:rPr>
        <w:t>4）</w:t>
      </w:r>
      <w:r>
        <w:rPr>
          <w:rFonts w:hint="eastAsia" w:ascii="宋体" w:hAnsi="宋体" w:cs="宋体"/>
          <w:b/>
          <w:color w:val="auto"/>
          <w:sz w:val="22"/>
          <w:highlight w:val="none"/>
        </w:rPr>
        <w:t>☑</w:t>
      </w:r>
      <w:r>
        <w:rPr>
          <w:rFonts w:hint="eastAsia" w:ascii="宋体" w:hAnsi="宋体" w:cs="宋体"/>
          <w:color w:val="auto"/>
          <w:sz w:val="22"/>
          <w:highlight w:val="none"/>
          <w:lang w:bidi="ar"/>
        </w:rPr>
        <w:t>混凝土、</w:t>
      </w:r>
      <w:r>
        <w:rPr>
          <w:rFonts w:hint="eastAsia" w:ascii="宋体" w:hAnsi="宋体" w:cs="宋体"/>
          <w:b/>
          <w:color w:val="auto"/>
          <w:sz w:val="22"/>
          <w:highlight w:val="none"/>
        </w:rPr>
        <w:t>☑</w:t>
      </w:r>
      <w:r>
        <w:rPr>
          <w:rFonts w:hint="eastAsia" w:ascii="宋体" w:hAnsi="宋体" w:cs="宋体"/>
          <w:color w:val="auto"/>
          <w:sz w:val="22"/>
          <w:highlight w:val="none"/>
          <w:lang w:bidi="ar"/>
        </w:rPr>
        <w:t>砂浆、</w:t>
      </w:r>
      <w:r>
        <w:rPr>
          <w:rFonts w:hint="eastAsia" w:ascii="宋体" w:hAnsi="宋体" w:cs="宋体"/>
          <w:b/>
          <w:color w:val="auto"/>
          <w:sz w:val="22"/>
          <w:highlight w:val="none"/>
        </w:rPr>
        <w:t>☑</w:t>
      </w:r>
      <w:r>
        <w:rPr>
          <w:rFonts w:hint="eastAsia" w:ascii="宋体" w:hAnsi="宋体" w:cs="宋体"/>
          <w:color w:val="auto"/>
          <w:sz w:val="22"/>
          <w:highlight w:val="none"/>
          <w:lang w:bidi="ar"/>
        </w:rPr>
        <w:t>砌体、</w:t>
      </w:r>
      <w:r>
        <w:rPr>
          <w:rFonts w:hint="eastAsia" w:ascii="宋体" w:hAnsi="宋体" w:cs="宋体"/>
          <w:b/>
          <w:color w:val="auto"/>
          <w:sz w:val="22"/>
          <w:highlight w:val="none"/>
        </w:rPr>
        <w:t>☑</w:t>
      </w:r>
      <w:r>
        <w:rPr>
          <w:rFonts w:hint="eastAsia" w:ascii="宋体" w:hAnsi="宋体" w:cs="宋体"/>
          <w:color w:val="auto"/>
          <w:sz w:val="22"/>
          <w:highlight w:val="none"/>
          <w:lang w:bidi="ar"/>
        </w:rPr>
        <w:t>中砂、</w:t>
      </w:r>
      <w:r>
        <w:rPr>
          <w:rFonts w:hint="eastAsia" w:ascii="宋体" w:hAnsi="宋体" w:cs="宋体"/>
          <w:b/>
          <w:color w:val="auto"/>
          <w:sz w:val="22"/>
          <w:highlight w:val="none"/>
        </w:rPr>
        <w:t>☑</w:t>
      </w:r>
      <w:r>
        <w:rPr>
          <w:rFonts w:hint="eastAsia" w:ascii="宋体" w:hAnsi="宋体" w:cs="宋体"/>
          <w:color w:val="auto"/>
          <w:sz w:val="22"/>
          <w:highlight w:val="none"/>
          <w:lang w:bidi="ar"/>
        </w:rPr>
        <w:t>碎石、</w:t>
      </w:r>
      <w:r>
        <w:rPr>
          <w:rFonts w:hint="eastAsia" w:ascii="宋体" w:hAnsi="宋体" w:cs="宋体"/>
          <w:b/>
          <w:color w:val="auto"/>
          <w:sz w:val="22"/>
          <w:highlight w:val="none"/>
        </w:rPr>
        <w:t>☑</w:t>
      </w:r>
      <w:r>
        <w:rPr>
          <w:rFonts w:hint="eastAsia" w:ascii="宋体" w:hAnsi="宋体" w:cs="宋体"/>
          <w:color w:val="auto"/>
          <w:sz w:val="22"/>
          <w:highlight w:val="none"/>
          <w:lang w:bidi="ar"/>
        </w:rPr>
        <w:t>石屑、</w:t>
      </w:r>
      <w:r>
        <w:rPr>
          <w:rFonts w:hint="eastAsia" w:ascii="宋体" w:hAnsi="宋体" w:cs="宋体"/>
          <w:b/>
          <w:color w:val="auto"/>
          <w:sz w:val="22"/>
          <w:highlight w:val="none"/>
          <w:lang w:bidi="ar"/>
        </w:rPr>
        <w:t>☑</w:t>
      </w:r>
      <w:r>
        <w:rPr>
          <w:rFonts w:hint="eastAsia" w:ascii="宋体" w:hAnsi="宋体" w:cs="宋体"/>
          <w:color w:val="auto"/>
          <w:sz w:val="22"/>
          <w:highlight w:val="none"/>
          <w:u w:val="single"/>
          <w:lang w:bidi="ar"/>
        </w:rPr>
        <w:t>管桩、</w:t>
      </w:r>
      <w:r>
        <w:rPr>
          <w:color w:val="auto"/>
          <w:szCs w:val="21"/>
          <w:highlight w:val="none"/>
          <w:lang w:bidi="ar"/>
        </w:rPr>
        <w:t>×</w:t>
      </w:r>
      <w:r>
        <w:rPr>
          <w:rFonts w:hint="eastAsia" w:ascii="宋体" w:hAnsi="宋体" w:cs="宋体"/>
          <w:color w:val="auto"/>
          <w:sz w:val="22"/>
          <w:highlight w:val="none"/>
          <w:u w:val="single"/>
          <w:lang w:bidi="ar"/>
        </w:rPr>
        <w:t>玻璃、</w:t>
      </w:r>
      <w:r>
        <w:rPr>
          <w:color w:val="auto"/>
          <w:szCs w:val="21"/>
          <w:highlight w:val="none"/>
          <w:lang w:bidi="ar"/>
        </w:rPr>
        <w:t>×</w:t>
      </w:r>
      <w:r>
        <w:rPr>
          <w:rFonts w:hint="eastAsia" w:ascii="宋体" w:hAnsi="宋体" w:cs="宋体"/>
          <w:color w:val="auto"/>
          <w:sz w:val="22"/>
          <w:highlight w:val="none"/>
          <w:u w:val="single"/>
          <w:lang w:bidi="ar"/>
        </w:rPr>
        <w:t>水泥、</w:t>
      </w:r>
      <w:r>
        <w:rPr>
          <w:rFonts w:hint="eastAsia" w:ascii="宋体" w:hAnsi="宋体" w:cs="宋体"/>
          <w:b/>
          <w:color w:val="auto"/>
          <w:sz w:val="22"/>
          <w:highlight w:val="none"/>
          <w:lang w:bidi="ar"/>
        </w:rPr>
        <w:t>☑</w:t>
      </w:r>
      <w:r>
        <w:rPr>
          <w:rFonts w:hint="eastAsia" w:ascii="宋体" w:hAnsi="宋体" w:cs="宋体"/>
          <w:color w:val="auto"/>
          <w:sz w:val="22"/>
          <w:highlight w:val="none"/>
          <w:u w:val="single"/>
          <w:lang w:bidi="ar"/>
        </w:rPr>
        <w:t>直线段母线槽、</w:t>
      </w:r>
      <w:r>
        <w:rPr>
          <w:color w:val="auto"/>
          <w:szCs w:val="21"/>
          <w:highlight w:val="none"/>
          <w:lang w:bidi="ar"/>
        </w:rPr>
        <w:t>×</w:t>
      </w:r>
      <w:r>
        <w:rPr>
          <w:rFonts w:hint="eastAsia" w:ascii="宋体" w:hAnsi="宋体" w:cs="宋体"/>
          <w:color w:val="auto"/>
          <w:sz w:val="22"/>
          <w:highlight w:val="none"/>
          <w:u w:val="single"/>
          <w:lang w:bidi="ar"/>
        </w:rPr>
        <w:t>沥青混凝土、</w:t>
      </w:r>
      <w:r>
        <w:rPr>
          <w:rFonts w:hint="eastAsia" w:ascii="宋体" w:hAnsi="宋体" w:cs="宋体"/>
          <w:b/>
          <w:color w:val="auto"/>
          <w:sz w:val="22"/>
          <w:highlight w:val="none"/>
          <w:lang w:bidi="ar"/>
        </w:rPr>
        <w:t>☑</w:t>
      </w:r>
      <w:r>
        <w:rPr>
          <w:rFonts w:hint="eastAsia" w:ascii="宋体" w:hAnsi="宋体" w:cs="宋体"/>
          <w:bCs/>
          <w:color w:val="auto"/>
          <w:sz w:val="22"/>
          <w:highlight w:val="none"/>
          <w:u w:val="single"/>
          <w:lang w:bidi="ar"/>
        </w:rPr>
        <w:t>幕墙</w:t>
      </w:r>
      <w:r>
        <w:rPr>
          <w:rFonts w:hint="eastAsia" w:ascii="宋体" w:hAnsi="宋体" w:cs="宋体"/>
          <w:color w:val="auto"/>
          <w:sz w:val="22"/>
          <w:highlight w:val="none"/>
          <w:u w:val="single"/>
          <w:lang w:bidi="ar"/>
        </w:rPr>
        <w:t>铝合金型</w:t>
      </w:r>
      <w:r>
        <w:rPr>
          <w:rFonts w:ascii="宋体" w:hAnsi="宋体" w:cs="宋体"/>
          <w:color w:val="auto"/>
          <w:sz w:val="22"/>
          <w:highlight w:val="none"/>
          <w:u w:val="single"/>
          <w:lang w:bidi="ar"/>
        </w:rPr>
        <w:t>材</w:t>
      </w:r>
      <w:r>
        <w:rPr>
          <w:rFonts w:hint="eastAsia" w:ascii="宋体" w:hAnsi="宋体" w:cs="宋体"/>
          <w:color w:val="auto"/>
          <w:sz w:val="22"/>
          <w:highlight w:val="none"/>
          <w:lang w:bidi="ar"/>
        </w:rPr>
        <w:t>材料费的调整和结算方式</w:t>
      </w:r>
    </w:p>
    <w:p w14:paraId="5769C3E1">
      <w:pPr>
        <w:adjustRightInd w:val="0"/>
        <w:snapToGrid w:val="0"/>
        <w:spacing w:line="348" w:lineRule="auto"/>
        <w:ind w:right="11" w:firstLine="422" w:firstLineChars="192"/>
        <w:rPr>
          <w:rFonts w:hint="eastAsia" w:ascii="宋体" w:hAnsi="宋体"/>
          <w:color w:val="auto"/>
          <w:sz w:val="22"/>
          <w:highlight w:val="none"/>
        </w:rPr>
      </w:pPr>
      <w:r>
        <w:rPr>
          <w:rFonts w:hint="eastAsia" w:ascii="宋体" w:hAnsi="宋体" w:cs="宋体"/>
          <w:color w:val="auto"/>
          <w:sz w:val="22"/>
          <w:highlight w:val="none"/>
          <w:lang w:bidi="ar"/>
        </w:rPr>
        <w:t>若计量当期上述材料基准单价（基准单价为广州市建设工程造价管理站发布的相应月份建设工程价格信息及有关计价办法所附《综合价格》）与招标当期对应上述材料基准单价对比涨跌幅度超过</w:t>
      </w:r>
      <w:r>
        <w:rPr>
          <w:rFonts w:hint="default" w:ascii="宋体" w:hAnsi="宋体" w:cs="宋体"/>
          <w:color w:val="auto"/>
          <w:sz w:val="22"/>
          <w:highlight w:val="none"/>
          <w:lang w:val="en-US" w:bidi="ar"/>
        </w:rPr>
        <w:t>10</w:t>
      </w:r>
      <w:r>
        <w:rPr>
          <w:rFonts w:hint="eastAsia" w:ascii="宋体" w:hAnsi="宋体" w:cs="宋体"/>
          <w:color w:val="auto"/>
          <w:sz w:val="22"/>
          <w:highlight w:val="none"/>
          <w:lang w:bidi="ar"/>
        </w:rPr>
        <w:t>%的，则调整超过</w:t>
      </w:r>
      <w:r>
        <w:rPr>
          <w:rFonts w:hint="default" w:ascii="宋体" w:hAnsi="宋体" w:cs="宋体"/>
          <w:color w:val="auto"/>
          <w:sz w:val="22"/>
          <w:highlight w:val="none"/>
          <w:lang w:val="en-US" w:bidi="ar"/>
        </w:rPr>
        <w:t>10</w:t>
      </w:r>
      <w:r>
        <w:rPr>
          <w:rFonts w:hint="eastAsia" w:ascii="宋体" w:hAnsi="宋体" w:cs="宋体"/>
          <w:color w:val="auto"/>
          <w:sz w:val="22"/>
          <w:highlight w:val="none"/>
          <w:lang w:bidi="ar"/>
        </w:rPr>
        <w:t>%以外的部分（如：超过</w:t>
      </w:r>
      <w:r>
        <w:rPr>
          <w:rFonts w:hint="default" w:ascii="宋体" w:hAnsi="宋体" w:cs="宋体"/>
          <w:color w:val="auto"/>
          <w:sz w:val="22"/>
          <w:highlight w:val="none"/>
          <w:lang w:val="en-US" w:bidi="ar"/>
        </w:rPr>
        <w:t>11</w:t>
      </w:r>
      <w:r>
        <w:rPr>
          <w:rFonts w:hint="eastAsia" w:ascii="宋体" w:hAnsi="宋体" w:cs="宋体"/>
          <w:color w:val="auto"/>
          <w:sz w:val="22"/>
          <w:highlight w:val="none"/>
          <w:lang w:bidi="ar"/>
        </w:rPr>
        <w:t>%，只调1%），调整和结算公式如下：</w:t>
      </w:r>
    </w:p>
    <w:p w14:paraId="6D8A9AD6">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a）涨幅超过10%时：</w:t>
      </w:r>
    </w:p>
    <w:p w14:paraId="49ADBD8A">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计量当期上述材料单价价差=（计量期当期相应上述材料基准单价-招标当期对应上述材料基准单价×1.</w:t>
      </w:r>
      <w:r>
        <w:rPr>
          <w:rFonts w:hint="default" w:ascii="宋体" w:hAnsi="宋体" w:cs="宋体"/>
          <w:color w:val="auto"/>
          <w:kern w:val="0"/>
          <w:sz w:val="22"/>
          <w:highlight w:val="none"/>
          <w:lang w:val="en-US" w:bidi="ar"/>
        </w:rPr>
        <w:t>1</w:t>
      </w:r>
      <w:r>
        <w:rPr>
          <w:rFonts w:hint="eastAsia" w:ascii="宋体" w:hAnsi="宋体" w:cs="宋体"/>
          <w:color w:val="auto"/>
          <w:kern w:val="0"/>
          <w:sz w:val="22"/>
          <w:highlight w:val="none"/>
          <w:lang w:bidi="ar"/>
        </w:rPr>
        <w:t>）。</w:t>
      </w:r>
    </w:p>
    <w:p w14:paraId="6B2AB7B4">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计量当期上述材料材料费调增价款=计量当期上述材料单价价差×当期各月进度款中发包人已确认计量分部分项工程量清单中上述材料清单项目相应上述材料量之和（不含损耗量）。其他项目、外购预制构件、甲招乙供材料中所含的上述材料及其损耗不参与上述材料价差的调整，下同。</w:t>
      </w:r>
    </w:p>
    <w:p w14:paraId="026A9868">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b）跌幅超过</w:t>
      </w:r>
      <w:r>
        <w:rPr>
          <w:rFonts w:hint="default" w:ascii="宋体" w:hAnsi="宋体" w:cs="宋体"/>
          <w:color w:val="auto"/>
          <w:kern w:val="0"/>
          <w:sz w:val="22"/>
          <w:highlight w:val="none"/>
          <w:lang w:val="en-US" w:bidi="ar"/>
        </w:rPr>
        <w:t>10</w:t>
      </w:r>
      <w:r>
        <w:rPr>
          <w:rFonts w:hint="eastAsia" w:ascii="宋体" w:hAnsi="宋体" w:cs="宋体"/>
          <w:color w:val="auto"/>
          <w:kern w:val="0"/>
          <w:sz w:val="22"/>
          <w:highlight w:val="none"/>
          <w:lang w:bidi="ar"/>
        </w:rPr>
        <w:t>%时：</w:t>
      </w:r>
    </w:p>
    <w:p w14:paraId="10CEB0ED">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计量当期上述材料单价价差=（招标当期相应上述材料基准单价×0.</w:t>
      </w:r>
      <w:r>
        <w:rPr>
          <w:rFonts w:hint="default" w:ascii="宋体" w:hAnsi="宋体" w:cs="宋体"/>
          <w:color w:val="auto"/>
          <w:kern w:val="0"/>
          <w:sz w:val="22"/>
          <w:highlight w:val="none"/>
          <w:lang w:val="en-US" w:bidi="ar"/>
        </w:rPr>
        <w:t>9</w:t>
      </w:r>
      <w:r>
        <w:rPr>
          <w:rFonts w:hint="eastAsia" w:ascii="宋体" w:hAnsi="宋体" w:cs="宋体"/>
          <w:color w:val="auto"/>
          <w:kern w:val="0"/>
          <w:sz w:val="22"/>
          <w:highlight w:val="none"/>
          <w:lang w:bidi="ar"/>
        </w:rPr>
        <w:t>-对应上述材料基准单价）。</w:t>
      </w:r>
    </w:p>
    <w:p w14:paraId="631A024E">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计量当期上述材料材料费扣减额=计量当期上述材料单价价差×当期各月进度款中发包人已确认计量分部分项工程量清单中上述材料清单项目相应上述材料量之和（不含损耗量）。</w:t>
      </w:r>
    </w:p>
    <w:p w14:paraId="0B9A6EE6">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c）上述材料材料费结算增减额=施工期（自开工之日起至完工之日止）每季度上述材料材料费调整价款之和+上述材料单价价差×[有权结算终审部门审定的结算中分部分项工程量清单中上述材料清单项目相应上述材料量之和（不含损耗量）-累计工程进度款中发包人已确认计量分部分项工程量清单中上述材料清单项目相应上述材料量之和（不含损耗量）]，其中上述材料单价价差按施工期每季度上述材料单价价差的平均值取定。税金另行计列。</w:t>
      </w:r>
    </w:p>
    <w:p w14:paraId="27CC6FD6">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d）计量当期上述材料材料费达到上述调整条件时，由承包人按合同约定原则申报，经发包人审定后纳入下月进度款支付。</w:t>
      </w:r>
    </w:p>
    <w:p w14:paraId="06C08D16">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e）措施项目中的上述材料按上述约定参与调差，其他项目不参与调差。</w:t>
      </w:r>
    </w:p>
    <w:p w14:paraId="354351F6">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5）完工日期按竣工验收报告中明确的竣工验收时间确定。</w:t>
      </w:r>
    </w:p>
    <w:p w14:paraId="6316224E">
      <w:pPr>
        <w:pStyle w:val="13"/>
        <w:adjustRightInd w:val="0"/>
        <w:snapToGrid w:val="0"/>
        <w:spacing w:beforeAutospacing="0" w:afterAutospacing="0" w:line="336" w:lineRule="auto"/>
        <w:ind w:firstLine="440" w:firstLineChars="200"/>
        <w:rPr>
          <w:rFonts w:hint="eastAsia"/>
          <w:color w:val="auto"/>
          <w:kern w:val="2"/>
          <w:sz w:val="22"/>
          <w:szCs w:val="22"/>
          <w:highlight w:val="none"/>
        </w:rPr>
      </w:pPr>
      <w:r>
        <w:rPr>
          <w:rFonts w:cs="宋体"/>
          <w:color w:val="auto"/>
          <w:kern w:val="2"/>
          <w:sz w:val="22"/>
          <w:szCs w:val="22"/>
          <w:highlight w:val="none"/>
          <w:lang w:bidi="ar"/>
        </w:rPr>
        <w:t>6）因承包人原因造成工期延误的，延误期间发生的</w:t>
      </w:r>
      <w:r>
        <w:rPr>
          <w:rFonts w:cs="宋体"/>
          <w:color w:val="auto"/>
          <w:sz w:val="22"/>
          <w:szCs w:val="22"/>
          <w:highlight w:val="none"/>
          <w:lang w:bidi="ar"/>
        </w:rPr>
        <w:t>√</w:t>
      </w:r>
      <w:r>
        <w:rPr>
          <w:rFonts w:cs="宋体"/>
          <w:color w:val="auto"/>
          <w:kern w:val="2"/>
          <w:sz w:val="22"/>
          <w:szCs w:val="22"/>
          <w:highlight w:val="none"/>
          <w:lang w:bidi="ar"/>
        </w:rPr>
        <w:t>人工费</w:t>
      </w:r>
      <w:r>
        <w:rPr>
          <w:rFonts w:cs="宋体"/>
          <w:color w:val="auto"/>
          <w:sz w:val="22"/>
          <w:szCs w:val="22"/>
          <w:highlight w:val="none"/>
          <w:lang w:bidi="ar"/>
        </w:rPr>
        <w:t>√</w:t>
      </w:r>
      <w:r>
        <w:rPr>
          <w:rFonts w:cs="宋体"/>
          <w:color w:val="auto"/>
          <w:kern w:val="2"/>
          <w:sz w:val="22"/>
          <w:szCs w:val="22"/>
          <w:highlight w:val="none"/>
          <w:lang w:bidi="ar"/>
        </w:rPr>
        <w:t>及材料费价格差额由承包人承担。</w:t>
      </w:r>
    </w:p>
    <w:p w14:paraId="02343A49">
      <w:pPr>
        <w:adjustRightInd w:val="0"/>
        <w:snapToGrid w:val="0"/>
        <w:spacing w:line="336" w:lineRule="auto"/>
        <w:ind w:firstLine="422" w:firstLineChars="192"/>
        <w:rPr>
          <w:rFonts w:hint="eastAsia" w:ascii="宋体" w:hAnsi="宋体" w:cs="宋体"/>
          <w:color w:val="auto"/>
          <w:sz w:val="22"/>
          <w:highlight w:val="none"/>
          <w:lang w:bidi="ar"/>
        </w:rPr>
      </w:pPr>
      <w:r>
        <w:rPr>
          <w:rFonts w:hint="eastAsia" w:ascii="宋体" w:hAnsi="宋体" w:cs="宋体"/>
          <w:color w:val="auto"/>
          <w:kern w:val="0"/>
          <w:sz w:val="22"/>
          <w:highlight w:val="none"/>
          <w:lang w:bidi="ar"/>
        </w:rPr>
        <w:t>7）</w:t>
      </w:r>
      <w:r>
        <w:rPr>
          <w:rFonts w:hint="eastAsia" w:ascii="宋体" w:hAnsi="宋体" w:cs="宋体"/>
          <w:color w:val="auto"/>
          <w:sz w:val="22"/>
          <w:highlight w:val="none"/>
          <w:lang w:bidi="ar"/>
        </w:rPr>
        <w:t>《综合价格》按上、下半月发布的，取当期上、下半月的平均值计算；《综合价格》按区间价格发布的，其调差时计量当期的价格采用区间的下限值计算。</w:t>
      </w:r>
    </w:p>
    <w:p w14:paraId="7784E460">
      <w:pPr>
        <w:adjustRightInd w:val="0"/>
        <w:snapToGrid w:val="0"/>
        <w:spacing w:line="336" w:lineRule="auto"/>
        <w:ind w:right="11" w:firstLine="422" w:firstLineChars="192"/>
        <w:rPr>
          <w:rFonts w:hint="eastAsia" w:ascii="宋体" w:hAnsi="宋体"/>
          <w:color w:val="auto"/>
          <w:kern w:val="0"/>
          <w:sz w:val="22"/>
          <w:highlight w:val="none"/>
        </w:rPr>
      </w:pPr>
      <w:r>
        <w:rPr>
          <w:rFonts w:hint="eastAsia" w:ascii="宋体" w:hAnsi="宋体" w:cs="宋体"/>
          <w:color w:val="auto"/>
          <w:kern w:val="0"/>
          <w:sz w:val="22"/>
          <w:highlight w:val="none"/>
          <w:lang w:bidi="ar"/>
        </w:rPr>
        <w:t xml:space="preserve">33.2.5税金的调整和结算方式：招标当期根据《广东省住房和城乡建设厅关于调整广东省建设工程计价依据增值税税率的通知》（粤建标函〔2019〕819号）和广州地区税务部门有关规定计算，增值税销项税额按税前工程造价的9%计取。国家及广东省、广州市有最新规定的，从其规定。 </w:t>
      </w:r>
    </w:p>
    <w:p w14:paraId="3385F15A">
      <w:pPr>
        <w:pStyle w:val="13"/>
        <w:adjustRightInd w:val="0"/>
        <w:spacing w:line="360" w:lineRule="auto"/>
        <w:ind w:firstLine="480" w:firstLineChars="200"/>
        <w:rPr>
          <w:rFonts w:hint="eastAsia"/>
          <w:bCs/>
          <w:snapToGrid w:val="0"/>
          <w:color w:val="auto"/>
          <w:highlight w:val="none"/>
        </w:rPr>
      </w:pPr>
      <w:r>
        <w:rPr>
          <w:rFonts w:hint="eastAsia"/>
          <w:bCs/>
          <w:snapToGrid w:val="0"/>
          <w:color w:val="auto"/>
          <w:highlight w:val="none"/>
        </w:rPr>
        <w:t>33.3当发包人提出变更通知，承包人认为产生了增加费用，承包人应在发包人提出通知要求（发出指令）后7天内向发包人提交增加费用报告，报告内应说明变更原因、增加费用金额、增加费用计算书，若承包人不在规定的时间内提供增加费用报告，该类变更所涉及的增加费用视同已包含在合同价款中，不另行增加。</w:t>
      </w:r>
    </w:p>
    <w:p w14:paraId="04D44EB2">
      <w:pPr>
        <w:pStyle w:val="13"/>
        <w:adjustRightInd w:val="0"/>
        <w:snapToGrid w:val="0"/>
        <w:spacing w:before="0" w:beforeAutospacing="0" w:after="0" w:afterAutospacing="0" w:line="360" w:lineRule="auto"/>
        <w:ind w:firstLine="480" w:firstLineChars="200"/>
        <w:outlineLvl w:val="3"/>
        <w:rPr>
          <w:rFonts w:hint="eastAsia"/>
          <w:bCs/>
          <w:snapToGrid w:val="0"/>
          <w:color w:val="auto"/>
          <w:highlight w:val="none"/>
        </w:rPr>
      </w:pPr>
      <w:r>
        <w:rPr>
          <w:rFonts w:hint="eastAsia"/>
          <w:bCs/>
          <w:snapToGrid w:val="0"/>
          <w:color w:val="auto"/>
          <w:highlight w:val="none"/>
        </w:rPr>
        <w:t>33.4凡图纸会审记录涉及工程实体内容变化的，均须经发包人同意转变成设计变更后才能作为调整合同价款的依据。</w:t>
      </w:r>
    </w:p>
    <w:p w14:paraId="7CA37824">
      <w:pPr>
        <w:pStyle w:val="13"/>
        <w:adjustRightInd w:val="0"/>
        <w:snapToGrid w:val="0"/>
        <w:spacing w:before="0" w:beforeAutospacing="0" w:after="0" w:afterAutospacing="0" w:line="360" w:lineRule="auto"/>
        <w:ind w:firstLine="480" w:firstLineChars="200"/>
        <w:outlineLvl w:val="3"/>
        <w:rPr>
          <w:rFonts w:hint="eastAsia"/>
          <w:snapToGrid w:val="0"/>
          <w:color w:val="auto"/>
          <w:highlight w:val="none"/>
        </w:rPr>
      </w:pPr>
      <w:r>
        <w:rPr>
          <w:rFonts w:hint="eastAsia"/>
          <w:snapToGrid w:val="0"/>
          <w:color w:val="auto"/>
          <w:highlight w:val="none"/>
        </w:rPr>
        <w:t>33.5在变更实施过程中，承包人应在发生变更的必要工序提请总监理工程师确认实际发生的情况，以此作为将来费用结算的依据，否则总监理工程师有权拒绝计量，发包人无须支付相关费用，费用由承包人自负。</w:t>
      </w:r>
    </w:p>
    <w:p w14:paraId="09256182">
      <w:pPr>
        <w:pStyle w:val="13"/>
        <w:adjustRightInd w:val="0"/>
        <w:snapToGrid w:val="0"/>
        <w:spacing w:before="0" w:beforeAutospacing="0" w:after="0" w:afterAutospacing="0" w:line="360" w:lineRule="auto"/>
        <w:rPr>
          <w:rFonts w:hint="eastAsia"/>
          <w:b/>
          <w:snapToGrid w:val="0"/>
          <w:color w:val="auto"/>
          <w:highlight w:val="none"/>
        </w:rPr>
      </w:pPr>
    </w:p>
    <w:p w14:paraId="35360F4D">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九、竣工验收与结算</w:t>
      </w:r>
    </w:p>
    <w:p w14:paraId="01DC4319">
      <w:pPr>
        <w:adjustRightInd w:val="0"/>
        <w:snapToGrid w:val="0"/>
        <w:spacing w:line="360" w:lineRule="auto"/>
        <w:ind w:firstLine="48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承包人与发包人一致同意不适用合同通用条款第34条的约定，代之以：</w:t>
      </w:r>
    </w:p>
    <w:p w14:paraId="31C1521B">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34、竣工验收</w:t>
      </w:r>
    </w:p>
    <w:p w14:paraId="75200213">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34.1工程具备竣工验收条件，承包人按国家工程竣工验收有关规定，向发包人提供完整竣工资料（包含竣工图）及竣工验收报告。</w:t>
      </w:r>
    </w:p>
    <w:p w14:paraId="391A7370">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34.2发包人收到竣工验收报告并审核竣工文件后，如认为承包人竣工文件不能符合竣工要求，应书面通知承包人整改，承包人按要求整改后重新提出竣工验收报告。发包人收到竣工验收报告并审核竣工文件通过后28天内组织有关单位进行验收。</w:t>
      </w:r>
    </w:p>
    <w:p w14:paraId="36426FA7">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34.3发包人应在验收后14天内给予认可或提出修改意见。承包人按要求修改，并承担由自身原因造成修改的费用。</w:t>
      </w:r>
    </w:p>
    <w:p w14:paraId="47053A24">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34.4发包人收到承包人送交的竣工验收报告后28天内无故不组织验收，或验收后14天内不提出修改意见，视为竣工验收报告已被认可。</w:t>
      </w:r>
    </w:p>
    <w:p w14:paraId="4F805A5F">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34.5工程竣工验收通过，承包人送交竣工验收报告的日期为实际竣工日期。工程按发包人要求修改后通过竣工验收的，实际竣工日期为承包人修改后提请发包人验收的日期。</w:t>
      </w:r>
    </w:p>
    <w:p w14:paraId="4DC2CC5F">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34.6发包人收到承包人竣工验收报告后28天内无故不组织验收，从第29天起承担工程保管及一切意外责任。</w:t>
      </w:r>
    </w:p>
    <w:p w14:paraId="0F0B1760">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34.7中间交工工程的验收按合同专用条款第17条的约定办理。</w:t>
      </w:r>
    </w:p>
    <w:p w14:paraId="752FF449">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34.8因特殊原因，发包人要求部分单位工程或工程部位甩项竣工的，双方另行签订甩项竣工协议，明确双方责任和工程价款的支付方法。</w:t>
      </w:r>
    </w:p>
    <w:p w14:paraId="585A49A8">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w:t>
      </w:r>
      <w:r>
        <w:rPr>
          <w:rFonts w:ascii="宋体" w:hAnsi="宋体"/>
          <w:snapToGrid w:val="0"/>
          <w:color w:val="auto"/>
          <w:kern w:val="0"/>
          <w:sz w:val="24"/>
          <w:highlight w:val="none"/>
        </w:rPr>
        <w:t>.</w:t>
      </w:r>
      <w:r>
        <w:rPr>
          <w:rFonts w:hint="eastAsia" w:ascii="宋体" w:hAnsi="宋体"/>
          <w:snapToGrid w:val="0"/>
          <w:color w:val="auto"/>
          <w:kern w:val="0"/>
          <w:sz w:val="24"/>
          <w:highlight w:val="none"/>
        </w:rPr>
        <w:t>9经验收评定，工程质量及工程内容符合合同要求的，发包人、承包人、监理单位及设计单位均应在工程竣工验收证明书上盖章签字；工程质量不合格或工程内容有尚未完成者，由承包人在商定的期限内进行修补后，再进行竣工验收，直至达到完全符合合同要求为止，并按最后验收合格的日期作为竣工日期，由此产生的一切费用均由承包人负责。</w:t>
      </w:r>
    </w:p>
    <w:p w14:paraId="58164E9C">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34.10工程未经竣工验收或竣工验收未通过的，发包人不得使用。发包人强行使用时，由此发生的质量问题及其他问题，由发包人承担责任。</w:t>
      </w:r>
    </w:p>
    <w:p w14:paraId="4A118110">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34.11承包人应按如下程序进行竣工资料准备：</w:t>
      </w:r>
    </w:p>
    <w:p w14:paraId="0D26BCD8">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（1）承包人有责任根据竣工验收要求对分包单位所绘制的竣工图进行符合性审查。</w:t>
      </w:r>
    </w:p>
    <w:p w14:paraId="48C1BFE2">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有义务对专业管理、分包单位的工程资料按照国家《城市建设档案管理规定》、《建筑工程施工技术资料编制指南（2012年版）》（广州市建设工程质量监督站主编）、《广州市建设工程档案编制指南（2009版）》（广州市城市建设档案馆主编）和发包人的具体要求进行收集、整理、编制、汇总和管理。</w:t>
      </w:r>
    </w:p>
    <w:p w14:paraId="73EC7DCE">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w:t>
      </w:r>
      <w:r>
        <w:rPr>
          <w:rFonts w:ascii="宋体" w:hAnsi="宋体"/>
          <w:snapToGrid w:val="0"/>
          <w:color w:val="auto"/>
          <w:kern w:val="0"/>
          <w:sz w:val="24"/>
          <w:highlight w:val="none"/>
        </w:rPr>
        <w:t>.</w:t>
      </w:r>
      <w:r>
        <w:rPr>
          <w:rFonts w:hint="eastAsia" w:ascii="宋体" w:hAnsi="宋体"/>
          <w:snapToGrid w:val="0"/>
          <w:color w:val="auto"/>
          <w:kern w:val="0"/>
          <w:sz w:val="24"/>
          <w:highlight w:val="none"/>
        </w:rPr>
        <w:t>12验收依据和标准：施工图纸，图纸说明，设计变更资料和图纸，技术交底及会议纪要，国家颁布的施工验收规范、规定，以及本工程专家委员会根据国家有关标准、规范制订的针对本工程特殊子项的施工规范及验收标准。</w:t>
      </w:r>
    </w:p>
    <w:p w14:paraId="2844C9FC">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34.13专业分包工程需单独验收的，经承包人预验合格后，属专业分包项目的再报监理单位进行监理预验；不属专业分包项目的由房建施工监理单位进行监理预验，合格后由该分包单位与专业工程验收管理部门、监理单位、发包人协商确定验收时间，并及时通知承包人参与验收。</w:t>
      </w:r>
    </w:p>
    <w:p w14:paraId="67AF0D5C">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34.14专业分包工程不需要办理单独验收的，经承包人预验合格后，属专业分包项目的再报监理单位进行监理预验；不属专业分包项目的由房建施工监理单位进行监理预验，合格后由分包单位、承包人、施工监理单位、发包人协商验收。</w:t>
      </w:r>
    </w:p>
    <w:p w14:paraId="29C47FED">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34.15承包人必须全力配合发包人组织的专项验收工作，包括但不限于消防验收、规划验收、电梯验收、环保验收、人防验收、卫生防疫验收等。</w:t>
      </w:r>
    </w:p>
    <w:p w14:paraId="3721B234">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35、工程移交</w:t>
      </w:r>
    </w:p>
    <w:p w14:paraId="653C91B5">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.1</w:t>
      </w:r>
      <w:r>
        <w:rPr>
          <w:rFonts w:hint="eastAsia" w:ascii="宋体" w:hAnsi="宋体"/>
          <w:snapToGrid w:val="0"/>
          <w:color w:val="auto"/>
          <w:kern w:val="0"/>
          <w:sz w:val="24"/>
          <w:highlight w:val="none"/>
        </w:rPr>
        <w:t>承包人应在工程项目移交前将场地清理干净，将无关机械设备及材料撤离现场，保证移交的工程项目环境洁净、安全卫生。</w:t>
      </w:r>
    </w:p>
    <w:p w14:paraId="7FBBECDF">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2承包人应于</w:t>
      </w:r>
      <w:r>
        <w:rPr>
          <w:rFonts w:ascii="宋体" w:hAnsi="宋体"/>
          <w:snapToGrid w:val="0"/>
          <w:color w:val="auto"/>
          <w:kern w:val="0"/>
          <w:sz w:val="24"/>
          <w:highlight w:val="none"/>
        </w:rPr>
        <w:t>工程</w:t>
      </w:r>
      <w:r>
        <w:rPr>
          <w:rFonts w:hint="eastAsia" w:ascii="宋体" w:hAnsi="宋体"/>
          <w:snapToGrid w:val="0"/>
          <w:color w:val="auto"/>
          <w:kern w:val="0"/>
          <w:sz w:val="24"/>
          <w:highlight w:val="none"/>
        </w:rPr>
        <w:t>竣工验收合格后</w:t>
      </w:r>
      <w:r>
        <w:rPr>
          <w:rFonts w:ascii="宋体" w:hAnsi="宋体"/>
          <w:snapToGrid w:val="0"/>
          <w:color w:val="auto"/>
          <w:kern w:val="0"/>
          <w:sz w:val="24"/>
          <w:highlight w:val="none"/>
        </w:rPr>
        <w:t>1</w:t>
      </w:r>
      <w:r>
        <w:rPr>
          <w:rFonts w:hint="eastAsia" w:ascii="宋体" w:hAnsi="宋体"/>
          <w:snapToGrid w:val="0"/>
          <w:color w:val="auto"/>
          <w:kern w:val="0"/>
          <w:sz w:val="24"/>
          <w:highlight w:val="none"/>
        </w:rPr>
        <w:t>5天内按要求提供相关资料，整理汇编成工程移交手册，</w:t>
      </w:r>
      <w:r>
        <w:rPr>
          <w:rFonts w:ascii="宋体" w:hAnsi="宋体"/>
          <w:snapToGrid w:val="0"/>
          <w:color w:val="auto"/>
          <w:kern w:val="0"/>
          <w:sz w:val="24"/>
          <w:highlight w:val="none"/>
        </w:rPr>
        <w:t>协助项目产权管理单位尽快熟悉工程项目各部分（建筑单体、小区市政、周边</w:t>
      </w:r>
      <w:r>
        <w:rPr>
          <w:rFonts w:hint="eastAsia" w:ascii="宋体" w:hAnsi="宋体"/>
          <w:snapToGrid w:val="0"/>
          <w:color w:val="auto"/>
          <w:kern w:val="0"/>
          <w:sz w:val="24"/>
          <w:highlight w:val="none"/>
        </w:rPr>
        <w:t>管线</w:t>
      </w:r>
      <w:r>
        <w:rPr>
          <w:rFonts w:ascii="宋体" w:hAnsi="宋体"/>
          <w:snapToGrid w:val="0"/>
          <w:color w:val="auto"/>
          <w:kern w:val="0"/>
          <w:sz w:val="24"/>
          <w:highlight w:val="none"/>
        </w:rPr>
        <w:t>等）</w:t>
      </w:r>
      <w:r>
        <w:rPr>
          <w:rFonts w:hint="eastAsia" w:ascii="宋体" w:hAnsi="宋体"/>
          <w:snapToGrid w:val="0"/>
          <w:color w:val="auto"/>
          <w:kern w:val="0"/>
          <w:sz w:val="24"/>
          <w:highlight w:val="none"/>
        </w:rPr>
        <w:t>、</w:t>
      </w:r>
      <w:r>
        <w:rPr>
          <w:rFonts w:ascii="宋体" w:hAnsi="宋体"/>
          <w:snapToGrid w:val="0"/>
          <w:color w:val="auto"/>
          <w:kern w:val="0"/>
          <w:sz w:val="24"/>
          <w:highlight w:val="none"/>
        </w:rPr>
        <w:t>各系统（电梯、消防、空调、供水、供电、弱电等）的情况，为项目产权管理单位的接收、使用、维护、管理</w:t>
      </w:r>
      <w:r>
        <w:rPr>
          <w:rFonts w:hint="eastAsia" w:ascii="宋体" w:hAnsi="宋体"/>
          <w:snapToGrid w:val="0"/>
          <w:color w:val="auto"/>
          <w:kern w:val="0"/>
          <w:sz w:val="24"/>
          <w:highlight w:val="none"/>
        </w:rPr>
        <w:t>作</w:t>
      </w:r>
      <w:r>
        <w:rPr>
          <w:rFonts w:ascii="宋体" w:hAnsi="宋体"/>
          <w:snapToGrid w:val="0"/>
          <w:color w:val="auto"/>
          <w:kern w:val="0"/>
          <w:sz w:val="24"/>
          <w:highlight w:val="none"/>
        </w:rPr>
        <w:t>准备。移交手册包括</w:t>
      </w:r>
      <w:r>
        <w:rPr>
          <w:rFonts w:hint="eastAsia" w:ascii="宋体" w:hAnsi="宋体"/>
          <w:snapToGrid w:val="0"/>
          <w:color w:val="auto"/>
          <w:kern w:val="0"/>
          <w:sz w:val="24"/>
          <w:highlight w:val="none"/>
        </w:rPr>
        <w:t>但不限于以下内容</w:t>
      </w:r>
      <w:r>
        <w:rPr>
          <w:rFonts w:ascii="宋体" w:hAnsi="宋体"/>
          <w:snapToGrid w:val="0"/>
          <w:color w:val="auto"/>
          <w:kern w:val="0"/>
          <w:sz w:val="24"/>
          <w:highlight w:val="none"/>
        </w:rPr>
        <w:t>：</w:t>
      </w:r>
    </w:p>
    <w:p w14:paraId="2826F098">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w:t>
      </w:r>
      <w:r>
        <w:rPr>
          <w:rFonts w:ascii="宋体" w:hAnsi="宋体"/>
          <w:snapToGrid w:val="0"/>
          <w:color w:val="auto"/>
          <w:kern w:val="0"/>
          <w:sz w:val="24"/>
          <w:highlight w:val="none"/>
        </w:rPr>
        <w:t>工程项目各部分、各系统的工程概况；</w:t>
      </w:r>
    </w:p>
    <w:p w14:paraId="5B2765F7">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w:t>
      </w:r>
      <w:r>
        <w:rPr>
          <w:rFonts w:ascii="宋体" w:hAnsi="宋体"/>
          <w:snapToGrid w:val="0"/>
          <w:color w:val="auto"/>
          <w:kern w:val="0"/>
          <w:sz w:val="24"/>
          <w:highlight w:val="none"/>
        </w:rPr>
        <w:t>工程项目全部的图纸</w:t>
      </w:r>
      <w:r>
        <w:rPr>
          <w:rFonts w:hint="eastAsia" w:ascii="宋体" w:hAnsi="宋体"/>
          <w:snapToGrid w:val="0"/>
          <w:color w:val="auto"/>
          <w:kern w:val="0"/>
          <w:sz w:val="24"/>
          <w:highlight w:val="none"/>
        </w:rPr>
        <w:t>及</w:t>
      </w:r>
      <w:r>
        <w:rPr>
          <w:rFonts w:ascii="宋体" w:hAnsi="宋体"/>
          <w:snapToGrid w:val="0"/>
          <w:color w:val="auto"/>
          <w:kern w:val="0"/>
          <w:sz w:val="24"/>
          <w:highlight w:val="none"/>
        </w:rPr>
        <w:t>清单；</w:t>
      </w:r>
    </w:p>
    <w:p w14:paraId="7E112B25">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w:t>
      </w:r>
      <w:r>
        <w:rPr>
          <w:rFonts w:ascii="宋体" w:hAnsi="宋体"/>
          <w:snapToGrid w:val="0"/>
          <w:color w:val="auto"/>
          <w:kern w:val="0"/>
          <w:sz w:val="24"/>
          <w:highlight w:val="none"/>
        </w:rPr>
        <w:t>工程项目的承包人、主要材料设备供货商清单、联系人及电话；</w:t>
      </w:r>
    </w:p>
    <w:p w14:paraId="2F931A49">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w:t>
      </w:r>
      <w:r>
        <w:rPr>
          <w:rFonts w:ascii="宋体" w:hAnsi="宋体"/>
          <w:snapToGrid w:val="0"/>
          <w:color w:val="auto"/>
          <w:kern w:val="0"/>
          <w:sz w:val="24"/>
          <w:highlight w:val="none"/>
        </w:rPr>
        <w:t>各系统的设计功能、使用功能或使用说明；</w:t>
      </w:r>
    </w:p>
    <w:p w14:paraId="7BAFF51E">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w:t>
      </w:r>
      <w:r>
        <w:rPr>
          <w:rFonts w:ascii="宋体" w:hAnsi="宋体"/>
          <w:snapToGrid w:val="0"/>
          <w:color w:val="auto"/>
          <w:kern w:val="0"/>
          <w:sz w:val="24"/>
          <w:highlight w:val="none"/>
        </w:rPr>
        <w:t>电梯、空调、发电机等主要设备的运行参数；</w:t>
      </w:r>
    </w:p>
    <w:p w14:paraId="4670F5F2">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w:t>
      </w:r>
      <w:r>
        <w:rPr>
          <w:rFonts w:ascii="宋体" w:hAnsi="宋体"/>
          <w:snapToGrid w:val="0"/>
          <w:color w:val="auto"/>
          <w:kern w:val="0"/>
          <w:sz w:val="24"/>
          <w:highlight w:val="none"/>
        </w:rPr>
        <w:t>主要材料设备的数量；</w:t>
      </w:r>
    </w:p>
    <w:p w14:paraId="1A503CE6">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（7）工程、材料、设备的保修书（包括保修内容、期限、联系人、电话等）。</w:t>
      </w:r>
    </w:p>
    <w:p w14:paraId="3D6B60B0">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3承包人应在进行本条第</w:t>
      </w: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2款工作的同时</w:t>
      </w:r>
      <w:r>
        <w:rPr>
          <w:rFonts w:ascii="宋体" w:hAnsi="宋体"/>
          <w:snapToGrid w:val="0"/>
          <w:color w:val="auto"/>
          <w:kern w:val="0"/>
          <w:sz w:val="24"/>
          <w:highlight w:val="none"/>
        </w:rPr>
        <w:t>编写工程项目移交计划，</w:t>
      </w:r>
      <w:r>
        <w:rPr>
          <w:rFonts w:hint="eastAsia" w:ascii="宋体" w:hAnsi="宋体"/>
          <w:snapToGrid w:val="0"/>
          <w:color w:val="auto"/>
          <w:kern w:val="0"/>
          <w:sz w:val="24"/>
          <w:highlight w:val="none"/>
        </w:rPr>
        <w:t>并于本条第</w:t>
      </w: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2款工作完成后3天内</w:t>
      </w:r>
      <w:r>
        <w:rPr>
          <w:rFonts w:ascii="宋体" w:hAnsi="宋体"/>
          <w:snapToGrid w:val="0"/>
          <w:color w:val="auto"/>
          <w:kern w:val="0"/>
          <w:sz w:val="24"/>
          <w:highlight w:val="none"/>
        </w:rPr>
        <w:t>组织发包人、承包人、项目产权管理单位</w:t>
      </w:r>
      <w:r>
        <w:rPr>
          <w:rFonts w:hint="eastAsia" w:ascii="宋体" w:hAnsi="宋体"/>
          <w:snapToGrid w:val="0"/>
          <w:color w:val="auto"/>
          <w:kern w:val="0"/>
          <w:sz w:val="24"/>
          <w:highlight w:val="none"/>
        </w:rPr>
        <w:t>按如下程序</w:t>
      </w:r>
      <w:r>
        <w:rPr>
          <w:rFonts w:ascii="宋体" w:hAnsi="宋体"/>
          <w:snapToGrid w:val="0"/>
          <w:color w:val="auto"/>
          <w:kern w:val="0"/>
          <w:sz w:val="24"/>
          <w:highlight w:val="none"/>
        </w:rPr>
        <w:t>进行</w:t>
      </w:r>
      <w:r>
        <w:rPr>
          <w:rFonts w:hint="eastAsia" w:ascii="宋体" w:hAnsi="宋体"/>
          <w:snapToGrid w:val="0"/>
          <w:color w:val="auto"/>
          <w:kern w:val="0"/>
          <w:sz w:val="24"/>
          <w:highlight w:val="none"/>
        </w:rPr>
        <w:t>工程</w:t>
      </w:r>
      <w:r>
        <w:rPr>
          <w:rFonts w:ascii="宋体" w:hAnsi="宋体"/>
          <w:snapToGrid w:val="0"/>
          <w:color w:val="auto"/>
          <w:kern w:val="0"/>
          <w:sz w:val="24"/>
          <w:highlight w:val="none"/>
        </w:rPr>
        <w:t>项目移交：</w:t>
      </w:r>
    </w:p>
    <w:p w14:paraId="5DC1B74A">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w:t>
      </w:r>
      <w:r>
        <w:rPr>
          <w:rFonts w:ascii="宋体" w:hAnsi="宋体"/>
          <w:snapToGrid w:val="0"/>
          <w:color w:val="auto"/>
          <w:kern w:val="0"/>
          <w:sz w:val="24"/>
          <w:highlight w:val="none"/>
        </w:rPr>
        <w:t>按移交手册的资料清单移交图纸、资料；</w:t>
      </w:r>
    </w:p>
    <w:p w14:paraId="02637762">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w:t>
      </w:r>
      <w:r>
        <w:rPr>
          <w:rFonts w:ascii="宋体" w:hAnsi="宋体"/>
          <w:snapToGrid w:val="0"/>
          <w:color w:val="auto"/>
          <w:kern w:val="0"/>
          <w:sz w:val="24"/>
          <w:highlight w:val="none"/>
        </w:rPr>
        <w:t>按移交手册的数量清单清点主要材料设备的数量；</w:t>
      </w:r>
    </w:p>
    <w:p w14:paraId="0904DDF3">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w:t>
      </w:r>
      <w:r>
        <w:rPr>
          <w:rFonts w:ascii="宋体" w:hAnsi="宋体"/>
          <w:snapToGrid w:val="0"/>
          <w:color w:val="auto"/>
          <w:kern w:val="0"/>
          <w:sz w:val="24"/>
          <w:highlight w:val="none"/>
        </w:rPr>
        <w:t>按移交手册的设计、使用功能说明进行必要的功能性试验</w:t>
      </w:r>
      <w:r>
        <w:rPr>
          <w:rFonts w:hint="eastAsia" w:ascii="宋体" w:hAnsi="宋体"/>
          <w:snapToGrid w:val="0"/>
          <w:color w:val="auto"/>
          <w:kern w:val="0"/>
          <w:sz w:val="24"/>
          <w:highlight w:val="none"/>
        </w:rPr>
        <w:t>（或组织各方参加政府指定机构、第三方检测机构进行的功能性试验）</w:t>
      </w:r>
      <w:r>
        <w:rPr>
          <w:rFonts w:ascii="宋体" w:hAnsi="宋体"/>
          <w:snapToGrid w:val="0"/>
          <w:color w:val="auto"/>
          <w:kern w:val="0"/>
          <w:sz w:val="24"/>
          <w:highlight w:val="none"/>
        </w:rPr>
        <w:t>；</w:t>
      </w:r>
    </w:p>
    <w:p w14:paraId="66D1C203">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w:t>
      </w:r>
      <w:r>
        <w:rPr>
          <w:rFonts w:ascii="宋体" w:hAnsi="宋体"/>
          <w:snapToGrid w:val="0"/>
          <w:color w:val="auto"/>
          <w:kern w:val="0"/>
          <w:sz w:val="24"/>
          <w:highlight w:val="none"/>
        </w:rPr>
        <w:t>按移交手册的说明进行系统的试运行</w:t>
      </w:r>
      <w:r>
        <w:rPr>
          <w:rFonts w:hint="eastAsia" w:ascii="宋体" w:hAnsi="宋体"/>
          <w:snapToGrid w:val="0"/>
          <w:color w:val="auto"/>
          <w:kern w:val="0"/>
          <w:sz w:val="24"/>
          <w:highlight w:val="none"/>
        </w:rPr>
        <w:t>（或组织各方参加政府指定机构、第三方检测机构进行的功能性试验）</w:t>
      </w:r>
      <w:r>
        <w:rPr>
          <w:rFonts w:ascii="宋体" w:hAnsi="宋体"/>
          <w:snapToGrid w:val="0"/>
          <w:color w:val="auto"/>
          <w:kern w:val="0"/>
          <w:sz w:val="24"/>
          <w:highlight w:val="none"/>
        </w:rPr>
        <w:t>，测试主要设备的运行参数；</w:t>
      </w:r>
    </w:p>
    <w:p w14:paraId="3C23A24F">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w:t>
      </w:r>
      <w:r>
        <w:rPr>
          <w:rFonts w:ascii="宋体" w:hAnsi="宋体"/>
          <w:snapToGrid w:val="0"/>
          <w:color w:val="auto"/>
          <w:kern w:val="0"/>
          <w:sz w:val="24"/>
          <w:highlight w:val="none"/>
        </w:rPr>
        <w:t>组织发包人、承包人、项目产权管理单位各方对上述移交过程进行签认；</w:t>
      </w:r>
    </w:p>
    <w:p w14:paraId="60074BB5">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w:t>
      </w:r>
      <w:r>
        <w:rPr>
          <w:rFonts w:ascii="宋体" w:hAnsi="宋体"/>
          <w:snapToGrid w:val="0"/>
          <w:color w:val="auto"/>
          <w:kern w:val="0"/>
          <w:sz w:val="24"/>
          <w:highlight w:val="none"/>
        </w:rPr>
        <w:t>对移交过程中发现的质量问题进行记录并及时组织责任方进行维修，验收合格后重新组织移交；</w:t>
      </w:r>
    </w:p>
    <w:p w14:paraId="0B39328C">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（7）对于某些在操作上有专门要求的机电系统（如消防、智能化等）编制培训计划，并按合同要求对</w:t>
      </w:r>
      <w:r>
        <w:rPr>
          <w:rFonts w:ascii="宋体" w:hAnsi="宋体"/>
          <w:snapToGrid w:val="0"/>
          <w:color w:val="auto"/>
          <w:kern w:val="0"/>
          <w:sz w:val="24"/>
          <w:highlight w:val="none"/>
        </w:rPr>
        <w:t>项目产权管理单位</w:t>
      </w:r>
      <w:r>
        <w:rPr>
          <w:rFonts w:hint="eastAsia" w:ascii="宋体" w:hAnsi="宋体"/>
          <w:snapToGrid w:val="0"/>
          <w:color w:val="auto"/>
          <w:kern w:val="0"/>
          <w:sz w:val="24"/>
          <w:highlight w:val="none"/>
        </w:rPr>
        <w:t>人员进行培训。</w:t>
      </w:r>
    </w:p>
    <w:p w14:paraId="5674D980">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4承包人应按照国家《城市建设档案管理规定》、《广州市城市建设档案管理办法》和发包人有关整理工程档案的要求，在工程施工期间及时收集、汇总、整理、编制竣工档案，包括：</w:t>
      </w:r>
    </w:p>
    <w:p w14:paraId="19A59BEF">
      <w:pPr>
        <w:adjustRightInd w:val="0"/>
        <w:snapToGrid w:val="0"/>
        <w:spacing w:line="360" w:lineRule="auto"/>
        <w:ind w:left="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（1）竣工文件资料、竣工图档案（原件）各一式四份；</w:t>
      </w:r>
    </w:p>
    <w:p w14:paraId="512E82AB">
      <w:pPr>
        <w:adjustRightInd w:val="0"/>
        <w:snapToGrid w:val="0"/>
        <w:spacing w:line="360" w:lineRule="auto"/>
        <w:ind w:left="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（2）与本款（1）项内容相同的电子版档案一式二份；</w:t>
      </w:r>
    </w:p>
    <w:p w14:paraId="3754E6EE">
      <w:pPr>
        <w:adjustRightInd w:val="0"/>
        <w:snapToGrid w:val="0"/>
        <w:spacing w:line="360" w:lineRule="auto"/>
        <w:ind w:left="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（3）声像档案一式二份。</w:t>
      </w:r>
    </w:p>
    <w:p w14:paraId="40AF7986">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5承包人移交竣工档案的时限：承包人应于工程竣工验收后15天内将竣工档案提交工程监理单位审查。经工程监理单位审查合格后，承包人应及时将竣工档案移交给发包人归档并同时移交有关归档的证明文件。发包人经审查合格的，应在收到竣工档案后</w:t>
      </w:r>
      <w:r>
        <w:rPr>
          <w:rFonts w:ascii="宋体" w:hAnsi="宋体"/>
          <w:snapToGrid w:val="0"/>
          <w:color w:val="auto"/>
          <w:kern w:val="0"/>
          <w:sz w:val="24"/>
          <w:highlight w:val="none"/>
        </w:rPr>
        <w:t>10</w:t>
      </w:r>
      <w:r>
        <w:rPr>
          <w:rFonts w:hint="eastAsia" w:ascii="宋体" w:hAnsi="宋体"/>
          <w:snapToGrid w:val="0"/>
          <w:color w:val="auto"/>
          <w:kern w:val="0"/>
          <w:sz w:val="24"/>
          <w:highlight w:val="none"/>
        </w:rPr>
        <w:t>天内签署档案验收意见；不合格的，要求承包人限期补正，直至合格为止。</w:t>
      </w:r>
    </w:p>
    <w:p w14:paraId="26E6EC79">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6电子版竣工图的编制，以发包人提供的电子版施工图为基础。承包人在移交竣工档案时，应一并移交发包人提供的电子版施工图。</w:t>
      </w:r>
    </w:p>
    <w:p w14:paraId="0A835727">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7电子版施工图和电子版竣工图的知识产权归属发包人所有，非经发包人许可，承包人不得以任何方式复制、备份、转让和利用，否则由此引起的任何纠纷和责任由承包人承担。</w:t>
      </w:r>
    </w:p>
    <w:p w14:paraId="53BB5A21">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8承包人应督促其工程分包单位及时做好竣工资料整理工作，于分包工程竣工验收后</w:t>
      </w:r>
      <w:r>
        <w:rPr>
          <w:rFonts w:ascii="宋体" w:hAnsi="宋体"/>
          <w:snapToGrid w:val="0"/>
          <w:color w:val="auto"/>
          <w:kern w:val="0"/>
          <w:sz w:val="24"/>
          <w:highlight w:val="none"/>
        </w:rPr>
        <w:t>25</w:t>
      </w:r>
      <w:r>
        <w:rPr>
          <w:rFonts w:hint="eastAsia" w:ascii="宋体" w:hAnsi="宋体"/>
          <w:snapToGrid w:val="0"/>
          <w:color w:val="auto"/>
          <w:kern w:val="0"/>
          <w:sz w:val="24"/>
          <w:highlight w:val="none"/>
        </w:rPr>
        <w:t>天内将全部档案资料移交给承包人，由承包人汇总、归档，并在承包人移交竣工档案时一并移交。</w:t>
      </w:r>
    </w:p>
    <w:p w14:paraId="4C75641C">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9承包人不按时移交竣工档案，或者移交的竣工档案不完整且在发包人规定的期限内不补充完整的，发包人有权按照合同专用条款28.1约定的工程进度款支付原则暂停支付余下工程款，同时，并不免除承包人完整移交竣工档案的义务。</w:t>
      </w:r>
    </w:p>
    <w:p w14:paraId="025F0960">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10因承包人的原因致使发包人未能按照国家规定向政府有关部门移交工程竣工档案而受到经济处罚的，由承包人承担全额赔偿责任。</w:t>
      </w:r>
    </w:p>
    <w:p w14:paraId="3FDA5353">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11由承包人先移交给发包人、然后再由发包人移交给</w:t>
      </w:r>
      <w:r>
        <w:rPr>
          <w:rFonts w:ascii="宋体" w:hAnsi="宋体"/>
          <w:snapToGrid w:val="0"/>
          <w:color w:val="auto"/>
          <w:kern w:val="0"/>
          <w:sz w:val="24"/>
          <w:highlight w:val="none"/>
        </w:rPr>
        <w:t>项目产权管理单位</w:t>
      </w:r>
      <w:r>
        <w:rPr>
          <w:rFonts w:hint="eastAsia" w:ascii="宋体" w:hAnsi="宋体"/>
          <w:snapToGrid w:val="0"/>
          <w:color w:val="auto"/>
          <w:kern w:val="0"/>
          <w:sz w:val="24"/>
          <w:highlight w:val="none"/>
        </w:rPr>
        <w:t>的工程项目，承包人仍应按发包人的要求及上述约定予以协助。</w:t>
      </w:r>
    </w:p>
    <w:p w14:paraId="2191C15E">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12工程项目移交给</w:t>
      </w:r>
      <w:r>
        <w:rPr>
          <w:rFonts w:ascii="宋体" w:hAnsi="宋体"/>
          <w:snapToGrid w:val="0"/>
          <w:color w:val="auto"/>
          <w:kern w:val="0"/>
          <w:sz w:val="24"/>
          <w:highlight w:val="none"/>
        </w:rPr>
        <w:t>项目产权管理单位</w:t>
      </w:r>
      <w:r>
        <w:rPr>
          <w:rFonts w:hint="eastAsia" w:ascii="宋体" w:hAnsi="宋体"/>
          <w:snapToGrid w:val="0"/>
          <w:color w:val="auto"/>
          <w:kern w:val="0"/>
          <w:sz w:val="24"/>
          <w:highlight w:val="none"/>
        </w:rPr>
        <w:t>后，由</w:t>
      </w:r>
      <w:r>
        <w:rPr>
          <w:rFonts w:ascii="宋体" w:hAnsi="宋体"/>
          <w:snapToGrid w:val="0"/>
          <w:color w:val="auto"/>
          <w:kern w:val="0"/>
          <w:sz w:val="24"/>
          <w:highlight w:val="none"/>
        </w:rPr>
        <w:t>项目产权管理单位</w:t>
      </w:r>
      <w:r>
        <w:rPr>
          <w:rFonts w:hint="eastAsia" w:ascii="宋体" w:hAnsi="宋体"/>
          <w:snapToGrid w:val="0"/>
          <w:color w:val="auto"/>
          <w:kern w:val="0"/>
          <w:sz w:val="24"/>
          <w:highlight w:val="none"/>
        </w:rPr>
        <w:t>替代发包人在本合同中的地位，承继发包人的权利和义务。</w:t>
      </w:r>
    </w:p>
    <w:p w14:paraId="74D20E43">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ascii="宋体" w:hAnsi="宋体"/>
          <w:snapToGrid w:val="0"/>
          <w:color w:val="auto"/>
          <w:kern w:val="0"/>
          <w:sz w:val="24"/>
          <w:highlight w:val="none"/>
        </w:rPr>
        <w:t>3</w:t>
      </w:r>
      <w:r>
        <w:rPr>
          <w:rFonts w:hint="eastAsia" w:ascii="宋体" w:hAnsi="宋体"/>
          <w:snapToGrid w:val="0"/>
          <w:color w:val="auto"/>
          <w:kern w:val="0"/>
          <w:sz w:val="24"/>
          <w:highlight w:val="none"/>
        </w:rPr>
        <w:t>5</w:t>
      </w:r>
      <w:r>
        <w:rPr>
          <w:rFonts w:ascii="宋体" w:hAnsi="宋体"/>
          <w:snapToGrid w:val="0"/>
          <w:color w:val="auto"/>
          <w:kern w:val="0"/>
          <w:sz w:val="24"/>
          <w:highlight w:val="none"/>
        </w:rPr>
        <w:t>.</w:t>
      </w:r>
      <w:r>
        <w:rPr>
          <w:rFonts w:hint="eastAsia" w:ascii="宋体" w:hAnsi="宋体"/>
          <w:snapToGrid w:val="0"/>
          <w:color w:val="auto"/>
          <w:kern w:val="0"/>
          <w:sz w:val="24"/>
          <w:highlight w:val="none"/>
        </w:rPr>
        <w:t>13承包人参与移交或协助移交的所有费用均已包含在合同价款之内。</w:t>
      </w:r>
    </w:p>
    <w:p w14:paraId="6F8CB932">
      <w:pPr>
        <w:adjustRightInd w:val="0"/>
        <w:snapToGrid w:val="0"/>
        <w:spacing w:line="360" w:lineRule="auto"/>
        <w:ind w:firstLine="48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承包人与发包人一致同意不适用合同通用条款第36条的约定，代之以：</w:t>
      </w:r>
    </w:p>
    <w:p w14:paraId="334BC109">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36、竣工结算</w:t>
      </w:r>
    </w:p>
    <w:p w14:paraId="1BF69D26">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36.1结算方式：按招标文件及本合同有关规定办理，承包人按发包人提供的《竣工结算编制办法》的具体要求编制结算书，并提交分段结算及竣工结算资料。</w:t>
      </w:r>
    </w:p>
    <w:p w14:paraId="5E6D1E0D">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36.2承包人提交结算报告的时间</w:t>
      </w:r>
    </w:p>
    <w:p w14:paraId="17EA678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（1）承包人提交分段结算报告的时间：</w:t>
      </w:r>
      <w:r>
        <w:rPr>
          <w:rFonts w:hint="eastAsia"/>
          <w:color w:val="auto"/>
          <w:highlight w:val="none"/>
        </w:rPr>
        <w:t>本项目不涉及</w:t>
      </w:r>
      <w:bookmarkStart w:id="11" w:name="OLE_LINK93"/>
      <w:r>
        <w:rPr>
          <w:rFonts w:hint="eastAsia"/>
          <w:color w:val="auto"/>
          <w:highlight w:val="none"/>
        </w:rPr>
        <w:t>分段结算</w:t>
      </w:r>
      <w:bookmarkEnd w:id="11"/>
      <w:r>
        <w:rPr>
          <w:rFonts w:hint="eastAsia"/>
          <w:color w:val="auto"/>
          <w:highlight w:val="none"/>
        </w:rPr>
        <w:t>。</w:t>
      </w:r>
    </w:p>
    <w:p w14:paraId="0BF04632">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（2）承包人提交竣工结算报告的时间：竣工验收完成后40天内。</w:t>
      </w:r>
    </w:p>
    <w:p w14:paraId="5337C343">
      <w:pPr>
        <w:pStyle w:val="13"/>
        <w:adjustRightInd w:val="0"/>
        <w:snapToGrid w:val="0"/>
        <w:ind w:right="11" w:firstLine="460" w:firstLineChars="192"/>
        <w:outlineLvl w:val="3"/>
        <w:rPr>
          <w:rFonts w:hint="eastAsia"/>
          <w:b/>
          <w:snapToGrid w:val="0"/>
          <w:color w:val="auto"/>
          <w:highlight w:val="none"/>
        </w:rPr>
      </w:pPr>
      <w:r>
        <w:rPr>
          <w:rFonts w:hint="eastAsia"/>
          <w:snapToGrid w:val="0"/>
          <w:color w:val="auto"/>
          <w:highlight w:val="none"/>
        </w:rPr>
        <w:t>36.3发包人审核结算报告的时间：发包人收到承包人提交的结算报告后90天内出具初审意见，并及时报有关部门对结算进行终审（承包人不配合提交资料、没有明确理由不确认初审意见除外）。</w:t>
      </w:r>
    </w:p>
    <w:p w14:paraId="20A70546">
      <w:pPr>
        <w:suppressAutoHyphens/>
        <w:adjustRightInd w:val="0"/>
        <w:snapToGrid w:val="0"/>
        <w:spacing w:line="360" w:lineRule="auto"/>
        <w:ind w:firstLine="360" w:firstLineChars="150"/>
        <w:outlineLvl w:val="3"/>
        <w:rPr>
          <w:rFonts w:hint="eastAsia" w:ascii="宋体" w:hAnsi="宋体"/>
          <w:bCs/>
          <w:snapToGrid w:val="0"/>
          <w:color w:val="auto"/>
          <w:kern w:val="0"/>
          <w:sz w:val="24"/>
          <w:highlight w:val="none"/>
        </w:rPr>
      </w:pPr>
      <w:r>
        <w:rPr>
          <w:rFonts w:hint="eastAsia" w:ascii="宋体" w:hAnsi="宋体"/>
          <w:iCs/>
          <w:snapToGrid w:val="0"/>
          <w:color w:val="auto"/>
          <w:kern w:val="0"/>
          <w:sz w:val="24"/>
          <w:highlight w:val="none"/>
        </w:rPr>
        <w:t>36.4</w:t>
      </w:r>
      <w:r>
        <w:rPr>
          <w:rFonts w:hint="eastAsia" w:ascii="宋体" w:hAnsi="宋体"/>
          <w:snapToGrid w:val="0"/>
          <w:color w:val="auto"/>
          <w:kern w:val="0"/>
          <w:sz w:val="24"/>
          <w:highlight w:val="none"/>
        </w:rPr>
        <w:t>承包人应当向</w:t>
      </w:r>
      <w:r>
        <w:rPr>
          <w:rFonts w:hint="eastAsia" w:ascii="宋体" w:hAnsi="宋体"/>
          <w:iCs/>
          <w:snapToGrid w:val="0"/>
          <w:color w:val="auto"/>
          <w:kern w:val="0"/>
          <w:sz w:val="24"/>
          <w:highlight w:val="none"/>
        </w:rPr>
        <w:t>发包人</w:t>
      </w:r>
      <w:r>
        <w:rPr>
          <w:rFonts w:hint="eastAsia" w:ascii="宋体" w:hAnsi="宋体"/>
          <w:bCs/>
          <w:snapToGrid w:val="0"/>
          <w:color w:val="auto"/>
          <w:kern w:val="0"/>
          <w:sz w:val="24"/>
          <w:highlight w:val="none"/>
        </w:rPr>
        <w:t>提供如下竣工结算资料（包括但不限于以下，具体以发包人要求为准）：</w:t>
      </w:r>
    </w:p>
    <w:p w14:paraId="5B260189">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（1）工程结算书；</w:t>
      </w:r>
    </w:p>
    <w:p w14:paraId="6D18763F">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（2）工程量计算书（即计算底稿）；</w:t>
      </w:r>
    </w:p>
    <w:p w14:paraId="7AD95D70">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（3）钢筋抽料表（建筑、市政、园林景观等工程适用）；</w:t>
      </w:r>
    </w:p>
    <w:p w14:paraId="174C1190">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（4）合同文件；</w:t>
      </w:r>
    </w:p>
    <w:p w14:paraId="0B88CE23">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（5）工程竣工图（必要时提供电子版）；</w:t>
      </w:r>
    </w:p>
    <w:p w14:paraId="6D01AFBA">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（6）工程竣工资料（必要时提供电子版）；</w:t>
      </w:r>
    </w:p>
    <w:p w14:paraId="098E0B16">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（7）图纸会审记录；</w:t>
      </w:r>
    </w:p>
    <w:p w14:paraId="49B1174B">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（8）设计变更单；</w:t>
      </w:r>
    </w:p>
    <w:p w14:paraId="16C02BAB">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（9）工程洽商记录；</w:t>
      </w:r>
    </w:p>
    <w:p w14:paraId="7C2A8857">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（10）总监理工程师通知或发包人施工指令；</w:t>
      </w:r>
    </w:p>
    <w:p w14:paraId="1F501214">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（11）会议纪要；</w:t>
      </w:r>
    </w:p>
    <w:p w14:paraId="3F935EAE">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（12）工程签证；</w:t>
      </w:r>
    </w:p>
    <w:p w14:paraId="7CF2CAEB">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（13）材料设备单价呈批审核单；</w:t>
      </w:r>
    </w:p>
    <w:p w14:paraId="338747A7">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（14）综合单价呈批审核单；</w:t>
      </w:r>
    </w:p>
    <w:p w14:paraId="580C328A">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（15）发包人供应材料收货验收签收单；</w:t>
      </w:r>
    </w:p>
    <w:p w14:paraId="4FA71457">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（16）其他结算资料；</w:t>
      </w:r>
    </w:p>
    <w:p w14:paraId="3E497C29">
      <w:pPr>
        <w:suppressAutoHyphens/>
        <w:adjustRightInd w:val="0"/>
        <w:snapToGrid w:val="0"/>
        <w:spacing w:line="360" w:lineRule="auto"/>
        <w:ind w:firstLine="360" w:firstLineChars="15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（17）移交资料签收表。</w:t>
      </w:r>
    </w:p>
    <w:p w14:paraId="7DD694A2">
      <w:pPr>
        <w:suppressAutoHyphens/>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iCs/>
          <w:snapToGrid w:val="0"/>
          <w:color w:val="auto"/>
          <w:kern w:val="0"/>
          <w:sz w:val="24"/>
          <w:highlight w:val="none"/>
        </w:rPr>
        <w:t>36.5</w:t>
      </w:r>
      <w:r>
        <w:rPr>
          <w:rFonts w:hint="eastAsia" w:ascii="宋体" w:hAnsi="宋体"/>
          <w:bCs/>
          <w:snapToGrid w:val="0"/>
          <w:color w:val="auto"/>
          <w:kern w:val="0"/>
          <w:sz w:val="24"/>
          <w:highlight w:val="none"/>
        </w:rPr>
        <w:t>发包人对送审结算资料的具体要求（具体以发包人要求为准）：</w:t>
      </w:r>
    </w:p>
    <w:p w14:paraId="61DE308F">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结算书：每项工程的结算书要求分两部分编制：第一部分以竣工图为依据编制，包括竣工图、图纸会审记录、设计变更等内容；第二部分为工程签证及其他有关费用等。上述两部分不应有重复列项的内容，结算书须提供相应的电子文件。</w:t>
      </w:r>
    </w:p>
    <w:p w14:paraId="12ECD046">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（2）工程量计算书（即计算底稿）：工程量计算书由工程量汇总表和详细的工程量计算表达式组成，结算书须提供相应的电子文件。</w:t>
      </w:r>
    </w:p>
    <w:p w14:paraId="01747CD4">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钢筋抽料表（建筑、市政、园林景观等工程适用）：用电脑抽料的钢筋用量表要求提供相应的拷贝磁盘，用手工抽料的钢筋用量表要求提供详细的抽料表和明细汇总表，详细的抽料表应注明钢筋所在构件名称、施工部位、钢筋编号等。</w:t>
      </w:r>
    </w:p>
    <w:p w14:paraId="0C83C084">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（4）合同文件：包括发包人与承包人签订的合同文件、经发包人确认的承包人与第三方签订的分包合同、各类补充合同、合同附件等，要求将上述合同文件列出总目录按顺序整理装订成册。</w:t>
      </w:r>
    </w:p>
    <w:p w14:paraId="72A9AC9B">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竣工图：用于结算的竣工图必须有承包人图纸专用章、设计院章及其相关人员签字，并须有监理单位盖章确认。经发包人、设计、监理等单位确认的图纸会审记录、设计变更、工程洽商记录等内容均应反映在相应的竣工图上。</w:t>
      </w:r>
    </w:p>
    <w:p w14:paraId="6ED7D7FA">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等。整理装订成册的竣工资料需编制总目录，并在每一页的下方统一编号，以便于查找。以上资料以国家规范或竣工图编制指南为准。</w:t>
      </w:r>
    </w:p>
    <w:p w14:paraId="30661527">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（7）图纸会审记录：要求按图纸会审的时间先后整理装订成册，图纸会审记录须有各单位参加会审人员签字及会审单位盖章确认。</w:t>
      </w:r>
    </w:p>
    <w:p w14:paraId="22E690F4">
      <w:pPr>
        <w:tabs>
          <w:tab w:val="left" w:pos="1875"/>
        </w:tabs>
        <w:suppressAutoHyphens/>
        <w:adjustRightInd w:val="0"/>
        <w:snapToGrid w:val="0"/>
        <w:spacing w:line="360" w:lineRule="auto"/>
        <w:ind w:firstLine="480" w:firstLineChars="200"/>
        <w:rPr>
          <w:rFonts w:hint="eastAsia" w:ascii="宋体" w:hAnsi="宋体"/>
          <w:b/>
          <w:snapToGrid w:val="0"/>
          <w:color w:val="auto"/>
          <w:kern w:val="0"/>
          <w:sz w:val="24"/>
          <w:highlight w:val="none"/>
        </w:rPr>
      </w:pPr>
      <w:r>
        <w:rPr>
          <w:rFonts w:hint="eastAsia" w:ascii="宋体" w:hAnsi="宋体"/>
          <w:snapToGrid w:val="0"/>
          <w:color w:val="auto"/>
          <w:kern w:val="0"/>
          <w:sz w:val="24"/>
          <w:highlight w:val="none"/>
        </w:rPr>
        <w:t>（8）设计变更单：要求按设计变更的时间先后整理（安装工程要分专业）装订成册。</w:t>
      </w:r>
    </w:p>
    <w:p w14:paraId="691591A4">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（9）工程洽商记录：要求根据工程洽商记录的时间先后整理装订成册，然后在每一页的下方统一编号，以便于查找。工程洽商记录须符合发包人制定的有关规定。</w:t>
      </w:r>
    </w:p>
    <w:p w14:paraId="6B776BF5">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10）总监理工程师通知或发包人施工指令：要求根据总监理工程师通知或发包人施工指令的时间先后整理装订成册，然后在每一页的下方统一编号。总监理工程师通知或发包人施工指令须符合发包人制定的有关规定。</w:t>
      </w:r>
    </w:p>
    <w:p w14:paraId="75C53CBB">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（11）会议纪要：指工程质量、安全、技术、经济等现场协调会会议纪要等。要求根据会议纪要的时间先后整理装订成册，然后在每一页的下方统一编号。会议纪要须符合发包人制定的有关规定。</w:t>
      </w:r>
    </w:p>
    <w:p w14:paraId="5D04C8E8">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（12）工程签证：要求根据工程签证的时间先后整理装订成册，然后在每一页的下方统一编号，工程签证单上应有工程数量的计算过程和施工简图。</w:t>
      </w:r>
    </w:p>
    <w:p w14:paraId="7FC09E76">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13）材料设备单价呈批审核单：凡在工程招标文件或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纪要、材料发票、购买合同等有效材料设备价格凭证等。</w:t>
      </w:r>
    </w:p>
    <w:p w14:paraId="0DC498BC">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综合单价呈批审核单：在招投标文件工程量清单中未列但在施工过程中发生的项目，应由承包人编制单价分析表，盖章确认后报监理单位和发包人审核综合单价。在结算资料送审时，要求按综合单价呈批审核单的编号顺序整理装订成册。每项审核单应附有相关的资料或注明相关资料在送审结算资料的哪一部分和哪一页位置上，如材料设备专题会议纪要、设计变更、工程洽商记录、总监理工程师通知等。每份综合单价呈批审核单手续必需完备，要求有监理单位和发包人相关人员的签字和单位盖章确认，并且有上述单位的造价工程师对综合单价进行审核的签字和盖章。</w:t>
      </w:r>
    </w:p>
    <w:p w14:paraId="511C007D">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（15）发包人供应材料收货验收签收单：按发包人供应材料收货验收签收单的编号顺序及不同材料分类整理装订成册。</w:t>
      </w:r>
    </w:p>
    <w:p w14:paraId="19CF9605">
      <w:pPr>
        <w:tabs>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其他结算资料：凡上述未提及而在结算时需要的资料均需提供，例如：施工日记、地质勘察报告、非常用的标准图集、应由承包人承担而由发包人代为支付的费用证明（如：发包人代缴的施工水电费票据、余泥排放费证明）等。</w:t>
      </w:r>
    </w:p>
    <w:p w14:paraId="61D8C74D">
      <w:pPr>
        <w:tabs>
          <w:tab w:val="left" w:pos="1378"/>
          <w:tab w:val="left" w:pos="1875"/>
        </w:tabs>
        <w:suppressAutoHyphen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17）资料签收表：按送审结算资料的内容列表，以便资料的移交和管理。资料签收表上应注明资料内容、份数和页数（标注页码），并且对所有复印资料的真实性进行确认。资料签收表一式两份，由资料移交人和接收人分别签名，必要时加盖单位的印章。</w:t>
      </w:r>
    </w:p>
    <w:p w14:paraId="41352823">
      <w:pPr>
        <w:adjustRightInd w:val="0"/>
        <w:snapToGrid w:val="0"/>
        <w:spacing w:line="360" w:lineRule="auto"/>
        <w:ind w:right="11" w:firstLine="480" w:firstLineChars="200"/>
        <w:outlineLvl w:val="3"/>
        <w:rPr>
          <w:rFonts w:hint="eastAsia" w:ascii="宋体" w:hAnsi="宋体"/>
          <w:iCs/>
          <w:snapToGrid w:val="0"/>
          <w:color w:val="auto"/>
          <w:kern w:val="0"/>
          <w:sz w:val="24"/>
          <w:highlight w:val="none"/>
        </w:rPr>
      </w:pPr>
      <w:r>
        <w:rPr>
          <w:rFonts w:hint="eastAsia" w:ascii="宋体" w:hAnsi="宋体"/>
          <w:iCs/>
          <w:snapToGrid w:val="0"/>
          <w:color w:val="auto"/>
          <w:kern w:val="0"/>
          <w:sz w:val="24"/>
          <w:highlight w:val="none"/>
        </w:rPr>
        <w:t>36.6承包人迟延提交竣工</w:t>
      </w:r>
      <w:r>
        <w:rPr>
          <w:rFonts w:hint="eastAsia" w:ascii="宋体" w:hAnsi="宋体"/>
          <w:snapToGrid w:val="0"/>
          <w:color w:val="auto"/>
          <w:kern w:val="0"/>
          <w:sz w:val="24"/>
          <w:highlight w:val="none"/>
        </w:rPr>
        <w:t>结算报告的，</w:t>
      </w:r>
      <w:r>
        <w:rPr>
          <w:rFonts w:hint="eastAsia" w:ascii="宋体" w:hAnsi="宋体"/>
          <w:iCs/>
          <w:snapToGrid w:val="0"/>
          <w:color w:val="auto"/>
          <w:kern w:val="0"/>
          <w:sz w:val="24"/>
          <w:highlight w:val="none"/>
        </w:rPr>
        <w:t>发包人完成审核相应结算报告的时间相应顺延。由于</w:t>
      </w:r>
      <w:r>
        <w:rPr>
          <w:rFonts w:hint="eastAsia" w:ascii="宋体" w:hAnsi="宋体"/>
          <w:snapToGrid w:val="0"/>
          <w:color w:val="auto"/>
          <w:kern w:val="0"/>
          <w:sz w:val="24"/>
          <w:highlight w:val="none"/>
        </w:rPr>
        <w:t>结算报告存在错误或不完整而退回承包人修改或补充的，</w:t>
      </w:r>
      <w:r>
        <w:rPr>
          <w:rFonts w:hint="eastAsia" w:ascii="宋体" w:hAnsi="宋体"/>
          <w:iCs/>
          <w:snapToGrid w:val="0"/>
          <w:color w:val="auto"/>
          <w:kern w:val="0"/>
          <w:sz w:val="24"/>
          <w:highlight w:val="none"/>
        </w:rPr>
        <w:t>发包人完成审核相应结算报告的时间从收到</w:t>
      </w:r>
      <w:r>
        <w:rPr>
          <w:rFonts w:hint="eastAsia" w:ascii="宋体" w:hAnsi="宋体"/>
          <w:snapToGrid w:val="0"/>
          <w:color w:val="auto"/>
          <w:kern w:val="0"/>
          <w:sz w:val="24"/>
          <w:highlight w:val="none"/>
        </w:rPr>
        <w:t>修改或补充的结算报告后重新计算。</w:t>
      </w:r>
    </w:p>
    <w:p w14:paraId="2776849E">
      <w:pPr>
        <w:adjustRightInd w:val="0"/>
        <w:snapToGrid w:val="0"/>
        <w:spacing w:line="360" w:lineRule="auto"/>
        <w:ind w:right="11" w:firstLine="480" w:firstLineChars="200"/>
        <w:outlineLvl w:val="3"/>
        <w:rPr>
          <w:rFonts w:hint="eastAsia" w:ascii="宋体" w:hAnsi="宋体"/>
          <w:iCs/>
          <w:snapToGrid w:val="0"/>
          <w:color w:val="auto"/>
          <w:kern w:val="0"/>
          <w:sz w:val="24"/>
          <w:highlight w:val="none"/>
        </w:rPr>
      </w:pPr>
      <w:r>
        <w:rPr>
          <w:rFonts w:hint="eastAsia" w:ascii="宋体" w:hAnsi="宋体"/>
          <w:iCs/>
          <w:snapToGrid w:val="0"/>
          <w:color w:val="auto"/>
          <w:kern w:val="0"/>
          <w:sz w:val="24"/>
          <w:highlight w:val="none"/>
        </w:rPr>
        <w:t>36.7承包人提交的竣工</w:t>
      </w:r>
      <w:r>
        <w:rPr>
          <w:rFonts w:hint="eastAsia" w:ascii="宋体" w:hAnsi="宋体"/>
          <w:snapToGrid w:val="0"/>
          <w:color w:val="auto"/>
          <w:kern w:val="0"/>
          <w:sz w:val="24"/>
          <w:highlight w:val="none"/>
        </w:rPr>
        <w:t>结算报告虽有错误或不完整，但其中有部分手续齐全并可以单独结算的，发包人可就该部分先行审核。</w:t>
      </w:r>
    </w:p>
    <w:p w14:paraId="03994F73">
      <w:pPr>
        <w:adjustRightInd w:val="0"/>
        <w:snapToGrid w:val="0"/>
        <w:spacing w:line="360" w:lineRule="auto"/>
        <w:ind w:right="11" w:firstLine="480" w:firstLineChars="200"/>
        <w:outlineLvl w:val="3"/>
        <w:rPr>
          <w:rFonts w:hint="eastAsia" w:ascii="宋体" w:hAnsi="宋体" w:cs="宋体"/>
          <w:snapToGrid w:val="0"/>
          <w:color w:val="auto"/>
          <w:kern w:val="0"/>
          <w:sz w:val="24"/>
          <w:highlight w:val="none"/>
        </w:rPr>
      </w:pPr>
      <w:r>
        <w:rPr>
          <w:rFonts w:hint="eastAsia" w:ascii="宋体" w:hAnsi="宋体"/>
          <w:iCs/>
          <w:snapToGrid w:val="0"/>
          <w:color w:val="auto"/>
          <w:kern w:val="0"/>
          <w:sz w:val="24"/>
          <w:highlight w:val="none"/>
        </w:rPr>
        <w:t>36.8</w:t>
      </w:r>
      <w:r>
        <w:rPr>
          <w:rFonts w:hint="eastAsia" w:ascii="宋体" w:hAnsi="宋体" w:cs="宋体"/>
          <w:snapToGrid w:val="0"/>
          <w:color w:val="auto"/>
          <w:kern w:val="0"/>
          <w:sz w:val="24"/>
          <w:highlight w:val="none"/>
        </w:rPr>
        <w:t>由于承包人未按发包人要求及时报送</w:t>
      </w:r>
      <w:r>
        <w:rPr>
          <w:rFonts w:hint="eastAsia" w:ascii="宋体" w:hAnsi="宋体"/>
          <w:iCs/>
          <w:snapToGrid w:val="0"/>
          <w:color w:val="auto"/>
          <w:kern w:val="0"/>
          <w:sz w:val="24"/>
          <w:highlight w:val="none"/>
        </w:rPr>
        <w:t>竣工</w:t>
      </w:r>
      <w:r>
        <w:rPr>
          <w:rFonts w:hint="eastAsia" w:ascii="宋体" w:hAnsi="宋体" w:cs="宋体"/>
          <w:snapToGrid w:val="0"/>
          <w:color w:val="auto"/>
          <w:kern w:val="0"/>
          <w:sz w:val="24"/>
          <w:highlight w:val="none"/>
        </w:rPr>
        <w:t>结算资料或报送资料不齐全、不完整引起的相应结算滞后或影响支付，应由承包人负责，承包人所主张的材料款、人工工资等申请将不被接受，应由承包人承担责任。</w:t>
      </w:r>
    </w:p>
    <w:p w14:paraId="4A882F15">
      <w:pPr>
        <w:adjustRightInd w:val="0"/>
        <w:snapToGrid w:val="0"/>
        <w:spacing w:line="360" w:lineRule="auto"/>
        <w:ind w:right="11" w:firstLine="480" w:firstLineChars="200"/>
        <w:outlineLvl w:val="3"/>
        <w:rPr>
          <w:rFonts w:hint="eastAsia" w:ascii="宋体" w:hAnsi="宋体" w:cs="宋体"/>
          <w:snapToGrid w:val="0"/>
          <w:color w:val="auto"/>
          <w:kern w:val="0"/>
          <w:sz w:val="24"/>
          <w:highlight w:val="none"/>
        </w:rPr>
      </w:pPr>
      <w:r>
        <w:rPr>
          <w:rFonts w:hint="eastAsia" w:ascii="宋体" w:hAnsi="宋体"/>
          <w:iCs/>
          <w:snapToGrid w:val="0"/>
          <w:color w:val="auto"/>
          <w:kern w:val="0"/>
          <w:sz w:val="24"/>
          <w:highlight w:val="none"/>
        </w:rPr>
        <w:t>36.9</w:t>
      </w:r>
      <w:r>
        <w:rPr>
          <w:rFonts w:hint="eastAsia" w:ascii="宋体" w:hAnsi="宋体" w:cs="宋体"/>
          <w:snapToGrid w:val="0"/>
          <w:color w:val="auto"/>
          <w:kern w:val="0"/>
          <w:sz w:val="24"/>
          <w:highlight w:val="none"/>
        </w:rPr>
        <w:t>根据项目建设的实际需要，发包人有权要求与承包人按招标文件提供的格式签订工程结算工作协议书，双方严格按照工程结算工作协议书的约定进行工程结算，承包人必须无条件服从。</w:t>
      </w:r>
    </w:p>
    <w:p w14:paraId="0CA7F3FE">
      <w:pPr>
        <w:adjustRightInd w:val="0"/>
        <w:snapToGrid w:val="0"/>
        <w:spacing w:line="360" w:lineRule="auto"/>
        <w:ind w:right="11" w:firstLine="480" w:firstLineChars="200"/>
        <w:outlineLvl w:val="3"/>
        <w:rPr>
          <w:rFonts w:hint="eastAsia" w:ascii="宋体" w:hAnsi="宋体" w:cs="宋体"/>
          <w:snapToGrid w:val="0"/>
          <w:color w:val="auto"/>
          <w:kern w:val="0"/>
          <w:sz w:val="24"/>
          <w:highlight w:val="none"/>
        </w:rPr>
      </w:pPr>
      <w:r>
        <w:rPr>
          <w:rFonts w:hint="eastAsia" w:ascii="宋体" w:hAnsi="宋体" w:cs="宋体"/>
          <w:snapToGrid w:val="0"/>
          <w:color w:val="auto"/>
          <w:kern w:val="0"/>
          <w:sz w:val="24"/>
          <w:highlight w:val="none"/>
        </w:rPr>
        <w:t>36.10若承包人不按工程结算工作协议书的约定配合</w:t>
      </w:r>
      <w:r>
        <w:rPr>
          <w:rFonts w:hint="eastAsia" w:ascii="宋体" w:hAnsi="宋体"/>
          <w:iCs/>
          <w:snapToGrid w:val="0"/>
          <w:color w:val="auto"/>
          <w:kern w:val="0"/>
          <w:sz w:val="24"/>
          <w:highlight w:val="none"/>
        </w:rPr>
        <w:t>竣工</w:t>
      </w:r>
      <w:r>
        <w:rPr>
          <w:rFonts w:hint="eastAsia" w:ascii="宋体" w:hAnsi="宋体" w:cs="宋体"/>
          <w:snapToGrid w:val="0"/>
          <w:color w:val="auto"/>
          <w:kern w:val="0"/>
          <w:sz w:val="24"/>
          <w:highlight w:val="none"/>
        </w:rPr>
        <w:t>结算审核工作以至工程结算迟迟不能定案或承包人对有权结算终审部门的审核结果拒不确认，在规定时间内又提不出正当理由的，则最终的审核结果由发包人与有权结算终审部门共同盖章确认。</w:t>
      </w:r>
    </w:p>
    <w:p w14:paraId="2E497A9B">
      <w:pPr>
        <w:adjustRightInd w:val="0"/>
        <w:snapToGrid w:val="0"/>
        <w:spacing w:line="360" w:lineRule="auto"/>
        <w:ind w:right="11" w:firstLine="480" w:firstLineChars="200"/>
        <w:outlineLvl w:val="3"/>
        <w:rPr>
          <w:rFonts w:hint="eastAsia" w:ascii="宋体" w:hAnsi="宋体" w:cs="宋体"/>
          <w:snapToGrid w:val="0"/>
          <w:color w:val="auto"/>
          <w:kern w:val="0"/>
          <w:sz w:val="24"/>
          <w:highlight w:val="none"/>
        </w:rPr>
      </w:pPr>
      <w:r>
        <w:rPr>
          <w:rFonts w:hint="eastAsia" w:ascii="宋体" w:hAnsi="宋体" w:cs="宋体"/>
          <w:snapToGrid w:val="0"/>
          <w:color w:val="auto"/>
          <w:kern w:val="0"/>
          <w:sz w:val="24"/>
          <w:highlight w:val="none"/>
        </w:rPr>
        <w:t>36.11若承包人送审结算价与有权结算终审部门审定价的净核减率大于或等于8%，则发包人有权要求承包人按粤价函[2011]742号文规定的竣工结算审核咨询费标准向发包人承担违约责任。</w:t>
      </w:r>
    </w:p>
    <w:p w14:paraId="32F796A4">
      <w:pPr>
        <w:adjustRightInd w:val="0"/>
        <w:snapToGrid w:val="0"/>
        <w:spacing w:line="360" w:lineRule="auto"/>
        <w:ind w:right="11"/>
        <w:rPr>
          <w:rFonts w:hint="eastAsia" w:ascii="宋体" w:hAnsi="宋体"/>
          <w:b/>
          <w:bCs/>
          <w:snapToGrid w:val="0"/>
          <w:color w:val="auto"/>
          <w:kern w:val="0"/>
          <w:sz w:val="28"/>
          <w:szCs w:val="28"/>
          <w:highlight w:val="none"/>
        </w:rPr>
      </w:pPr>
    </w:p>
    <w:p w14:paraId="12DAA988">
      <w:pPr>
        <w:adjustRightInd w:val="0"/>
        <w:snapToGrid w:val="0"/>
        <w:spacing w:line="360" w:lineRule="auto"/>
        <w:ind w:right="11"/>
        <w:outlineLvl w:val="1"/>
        <w:rPr>
          <w:rFonts w:hint="eastAsia" w:ascii="宋体" w:hAnsi="宋体"/>
          <w:b/>
          <w:bCs/>
          <w:snapToGrid w:val="0"/>
          <w:color w:val="auto"/>
          <w:kern w:val="0"/>
          <w:sz w:val="28"/>
          <w:szCs w:val="28"/>
          <w:highlight w:val="none"/>
        </w:rPr>
      </w:pPr>
      <w:r>
        <w:rPr>
          <w:rFonts w:hint="eastAsia" w:ascii="宋体" w:hAnsi="宋体"/>
          <w:b/>
          <w:bCs/>
          <w:snapToGrid w:val="0"/>
          <w:color w:val="auto"/>
          <w:kern w:val="0"/>
          <w:sz w:val="28"/>
          <w:szCs w:val="28"/>
          <w:highlight w:val="none"/>
        </w:rPr>
        <w:t>十、违约、索赔和争议</w:t>
      </w:r>
    </w:p>
    <w:p w14:paraId="3600471F">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38、违约</w:t>
      </w:r>
    </w:p>
    <w:p w14:paraId="44FD77B8">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承包人与发包人一致同意不适用合同通用条款第38.1款的约定，代之以：</w:t>
      </w:r>
    </w:p>
    <w:p w14:paraId="428F9056">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38.1</w:t>
      </w:r>
      <w:r>
        <w:rPr>
          <w:rFonts w:hint="eastAsia" w:ascii="宋体" w:hAnsi="宋体"/>
          <w:snapToGrid w:val="0"/>
          <w:color w:val="auto"/>
          <w:kern w:val="0"/>
          <w:sz w:val="24"/>
          <w:highlight w:val="none"/>
        </w:rPr>
        <w:t>发包人的违约责任</w:t>
      </w:r>
    </w:p>
    <w:p w14:paraId="2934B964">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（1）发包人无正当理由不按合同约定支付工程预付款、进度款和竣工结算款的，除应继续支付本合同约定的工程预付款、进度款和竣工结算款外，还应按同期银行活期存款利率向承包人计付拖欠期间的利息。</w:t>
      </w:r>
    </w:p>
    <w:p w14:paraId="645A7C33">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（2）因发包人违约或者过错给承包人造成损失的，在承包人提交足够证据并经查证属实的情况下，发包人应赔偿其直接经济损失。</w:t>
      </w:r>
    </w:p>
    <w:p w14:paraId="61E8BDD1">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承包人与发包人一致同意增加38.4至38.16：</w:t>
      </w:r>
    </w:p>
    <w:p w14:paraId="76238E0B">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38.4承包人承担违约责任的方式包括但不限于：</w:t>
      </w:r>
    </w:p>
    <w:p w14:paraId="040A84FA">
      <w:pPr>
        <w:tabs>
          <w:tab w:val="left" w:pos="1125"/>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书面警告。承包人不履行或不完全履行合同约定的义务及责任，或者不执行总监理工程师或发包人（含主管人员）的指令时，发包人有权向承包人发出书面警告。承包人必须在书面警告限定的时间内改正，逾期未改正的，发包人有权要求其</w:t>
      </w:r>
      <w:r>
        <w:rPr>
          <w:rFonts w:hint="eastAsia" w:ascii="宋体" w:hAnsi="宋体"/>
          <w:bCs/>
          <w:snapToGrid w:val="0"/>
          <w:color w:val="auto"/>
          <w:kern w:val="0"/>
          <w:sz w:val="24"/>
          <w:highlight w:val="none"/>
          <w:lang w:val="en-US" w:eastAsia="zh-CN"/>
        </w:rPr>
        <w:t>项目经理</w:t>
      </w:r>
      <w:r>
        <w:rPr>
          <w:rFonts w:hint="eastAsia" w:ascii="宋体" w:hAnsi="宋体"/>
          <w:bCs/>
          <w:snapToGrid w:val="0"/>
          <w:color w:val="auto"/>
          <w:kern w:val="0"/>
          <w:sz w:val="24"/>
          <w:highlight w:val="none"/>
        </w:rPr>
        <w:t>驻场办公，直至改正为止。</w:t>
      </w:r>
    </w:p>
    <w:p w14:paraId="26953C62">
      <w:pPr>
        <w:tabs>
          <w:tab w:val="left" w:pos="1125"/>
        </w:tab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bCs/>
          <w:snapToGrid w:val="0"/>
          <w:color w:val="auto"/>
          <w:kern w:val="0"/>
          <w:sz w:val="24"/>
          <w:highlight w:val="none"/>
        </w:rPr>
        <w:t>（2）一般违约责任。承包人违反本合同的约定须承担一般违约责任时，必须向发包人交纳违约金</w:t>
      </w:r>
      <w:r>
        <w:rPr>
          <w:rFonts w:hint="eastAsia" w:ascii="宋体" w:hAnsi="宋体"/>
          <w:snapToGrid w:val="0"/>
          <w:color w:val="auto"/>
          <w:kern w:val="0"/>
          <w:sz w:val="24"/>
          <w:highlight w:val="none"/>
        </w:rPr>
        <w:t>（</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 xml:space="preserve"> 10000元、</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20000元、</w:t>
      </w:r>
      <w:r>
        <w:rPr>
          <w:rFonts w:hint="eastAsia" w:ascii="宋体" w:hAnsi="宋体"/>
          <w:b/>
          <w:snapToGrid w:val="0"/>
          <w:color w:val="auto"/>
          <w:kern w:val="0"/>
          <w:sz w:val="24"/>
          <w:highlight w:val="none"/>
        </w:rPr>
        <w:sym w:font="Wingdings 2" w:char="0052"/>
      </w:r>
      <w:r>
        <w:rPr>
          <w:rFonts w:hint="eastAsia" w:ascii="宋体" w:hAnsi="宋体"/>
          <w:snapToGrid w:val="0"/>
          <w:color w:val="auto"/>
          <w:kern w:val="0"/>
          <w:sz w:val="24"/>
          <w:highlight w:val="none"/>
        </w:rPr>
        <w:t xml:space="preserve"> 50000元）</w:t>
      </w:r>
      <w:r>
        <w:rPr>
          <w:rFonts w:hint="eastAsia" w:ascii="宋体" w:hAnsi="宋体"/>
          <w:bCs/>
          <w:snapToGrid w:val="0"/>
          <w:color w:val="auto"/>
          <w:kern w:val="0"/>
          <w:sz w:val="24"/>
          <w:highlight w:val="none"/>
        </w:rPr>
        <w:t>/次</w:t>
      </w:r>
      <w:r>
        <w:rPr>
          <w:rFonts w:hint="eastAsia" w:ascii="宋体" w:hAnsi="宋体"/>
          <w:snapToGrid w:val="0"/>
          <w:color w:val="auto"/>
          <w:kern w:val="0"/>
          <w:sz w:val="24"/>
          <w:highlight w:val="none"/>
        </w:rPr>
        <w:t>。</w:t>
      </w:r>
    </w:p>
    <w:p w14:paraId="6724FE94">
      <w:pPr>
        <w:tabs>
          <w:tab w:val="left" w:pos="1125"/>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（3）严重违约责任。承包人违反本合同的约定须承担严重违约责任时，必须向发包人交纳违约金</w:t>
      </w:r>
      <w:r>
        <w:rPr>
          <w:rFonts w:hint="eastAsia" w:ascii="宋体" w:hAnsi="宋体"/>
          <w:snapToGrid w:val="0"/>
          <w:color w:val="auto"/>
          <w:kern w:val="0"/>
          <w:sz w:val="24"/>
          <w:highlight w:val="none"/>
        </w:rPr>
        <w:t>（</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 xml:space="preserve"> 50000元、</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highlight w:val="none"/>
        </w:rPr>
        <w:t xml:space="preserve"> 100000元、</w:t>
      </w:r>
      <w:r>
        <w:rPr>
          <w:rFonts w:hint="eastAsia" w:ascii="宋体" w:hAnsi="宋体"/>
          <w:b/>
          <w:snapToGrid w:val="0"/>
          <w:color w:val="auto"/>
          <w:kern w:val="0"/>
          <w:sz w:val="24"/>
          <w:highlight w:val="none"/>
        </w:rPr>
        <w:sym w:font="Wingdings 2" w:char="0052"/>
      </w:r>
      <w:r>
        <w:rPr>
          <w:rFonts w:hint="eastAsia" w:ascii="宋体" w:hAnsi="宋体"/>
          <w:snapToGrid w:val="0"/>
          <w:color w:val="auto"/>
          <w:kern w:val="0"/>
          <w:sz w:val="24"/>
          <w:highlight w:val="none"/>
        </w:rPr>
        <w:t xml:space="preserve"> 150000元）</w:t>
      </w:r>
      <w:r>
        <w:rPr>
          <w:rFonts w:hint="eastAsia" w:ascii="宋体" w:hAnsi="宋体"/>
          <w:bCs/>
          <w:snapToGrid w:val="0"/>
          <w:color w:val="auto"/>
          <w:kern w:val="0"/>
          <w:sz w:val="24"/>
          <w:highlight w:val="none"/>
        </w:rPr>
        <w:t>/次。</w:t>
      </w:r>
    </w:p>
    <w:p w14:paraId="2CBAEA48">
      <w:pPr>
        <w:tabs>
          <w:tab w:val="left" w:pos="1125"/>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w:t>
      </w:r>
      <w:r>
        <w:rPr>
          <w:rFonts w:hint="eastAsia" w:ascii="宋体" w:hAnsi="宋体"/>
          <w:snapToGrid w:val="0"/>
          <w:color w:val="auto"/>
          <w:kern w:val="0"/>
          <w:sz w:val="24"/>
          <w:highlight w:val="none"/>
        </w:rPr>
        <w:t>承包人应在部分解除合同之日起七日内向发包人支付</w:t>
      </w:r>
      <w:r>
        <w:rPr>
          <w:rFonts w:hint="eastAsia" w:ascii="宋体" w:hAnsi="宋体"/>
          <w:bCs/>
          <w:snapToGrid w:val="0"/>
          <w:color w:val="auto"/>
          <w:kern w:val="0"/>
          <w:sz w:val="24"/>
          <w:highlight w:val="none"/>
        </w:rPr>
        <w:t>被解除部分工程</w:t>
      </w:r>
      <w:r>
        <w:rPr>
          <w:rFonts w:hint="eastAsia" w:ascii="宋体" w:hAnsi="宋体"/>
          <w:snapToGrid w:val="0"/>
          <w:color w:val="auto"/>
          <w:kern w:val="0"/>
          <w:sz w:val="24"/>
          <w:highlight w:val="none"/>
        </w:rPr>
        <w:t>合同价款20%的违约金并赔偿发包人的实际损失</w:t>
      </w:r>
      <w:r>
        <w:rPr>
          <w:rFonts w:hint="eastAsia" w:ascii="宋体" w:hAnsi="宋体"/>
          <w:bCs/>
          <w:snapToGrid w:val="0"/>
          <w:color w:val="auto"/>
          <w:kern w:val="0"/>
          <w:sz w:val="24"/>
          <w:highlight w:val="none"/>
        </w:rPr>
        <w:t>。</w:t>
      </w:r>
    </w:p>
    <w:p w14:paraId="325AADCE">
      <w:pPr>
        <w:tabs>
          <w:tab w:val="left" w:pos="1125"/>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（5）解除合同。当承包人违反本合同的约定符合解除合同的条件时，发包人有权向承包人发出书面解除合同的通知，该通知在送达承包人时即生效，</w:t>
      </w:r>
      <w:r>
        <w:rPr>
          <w:rFonts w:hint="eastAsia" w:ascii="宋体" w:hAnsi="宋体"/>
          <w:snapToGrid w:val="0"/>
          <w:color w:val="auto"/>
          <w:kern w:val="0"/>
          <w:sz w:val="24"/>
          <w:highlight w:val="none"/>
        </w:rPr>
        <w:t>承包人应在解除合同之日起七日内向发包人支付本合同价款20%的违约金并赔偿发包人的实际损失</w:t>
      </w:r>
      <w:r>
        <w:rPr>
          <w:rFonts w:hint="eastAsia" w:ascii="宋体" w:hAnsi="宋体"/>
          <w:bCs/>
          <w:snapToGrid w:val="0"/>
          <w:color w:val="auto"/>
          <w:kern w:val="0"/>
          <w:sz w:val="24"/>
          <w:highlight w:val="none"/>
        </w:rPr>
        <w:t>。</w:t>
      </w:r>
    </w:p>
    <w:p w14:paraId="64230E0A">
      <w:pPr>
        <w:tabs>
          <w:tab w:val="left" w:pos="1125"/>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（6）赔偿损失。因承包人原因造成发包人经济损失的，承包人应赔偿发包人的经济损失。</w:t>
      </w:r>
    </w:p>
    <w:p w14:paraId="672540D2">
      <w:pPr>
        <w:tabs>
          <w:tab w:val="left" w:pos="1125"/>
        </w:tabs>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38.5在本合同有效期内，承包人累计承担三次严重违约责任的，发包人有权单方面部分或全部解除合同。</w:t>
      </w:r>
    </w:p>
    <w:p w14:paraId="09595B76">
      <w:pPr>
        <w:tabs>
          <w:tab w:val="left" w:pos="1125"/>
        </w:tabs>
        <w:adjustRightInd w:val="0"/>
        <w:snapToGrid w:val="0"/>
        <w:spacing w:line="360" w:lineRule="auto"/>
        <w:ind w:firstLine="480" w:firstLineChars="200"/>
        <w:outlineLvl w:val="3"/>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38.6</w:t>
      </w:r>
      <w:r>
        <w:rPr>
          <w:rFonts w:hint="eastAsia" w:ascii="宋体" w:hAnsi="宋体"/>
          <w:bCs/>
          <w:snapToGrid w:val="0"/>
          <w:color w:val="auto"/>
          <w:kern w:val="0"/>
          <w:sz w:val="24"/>
          <w:highlight w:val="none"/>
        </w:rPr>
        <w:t>承包人按本合同约定应交纳的违约金和赔偿金属于合同专用条款第38.10款“工程质量方面的违约责任”、第38.11款“安全生产方面的违约责任”的，承包人应当按违约处罚决定确定的时间向发包人交纳，否则，发包人有权从应支付给承包人的工程款中直接扣除。</w:t>
      </w:r>
    </w:p>
    <w:p w14:paraId="4FBE3A9E">
      <w:pPr>
        <w:tabs>
          <w:tab w:val="left" w:pos="1125"/>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按本合同约定应交纳的违约金和赔偿金属于合同专用条款第38.10款、第38.11款约定以外的其他违约责任的，发包人可决定暂不收取违约金和赔偿金，作为对承包人享有的应收款项债权，发包人将根据承包人履行合同的实际情况随时通知承包人交纳或在工程结算时予以扣除。若相关违约责任非承包人原因引起的，或相关违约责任对合同的履行未造成实质性影响的，或承包人在合同后续履行过程中已采取足够措施来弥补违约责任造成的损失的，由承包人提出申请，经监理单位、发包人批准后，可予以免除</w:t>
      </w:r>
      <w:r>
        <w:rPr>
          <w:rFonts w:hint="eastAsia" w:ascii="宋体" w:hAnsi="宋体"/>
          <w:snapToGrid w:val="0"/>
          <w:color w:val="auto"/>
          <w:kern w:val="0"/>
          <w:sz w:val="24"/>
          <w:highlight w:val="none"/>
        </w:rPr>
        <w:t>。</w:t>
      </w:r>
    </w:p>
    <w:p w14:paraId="6A64161E">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38.7工程组织管理方面的违约责任</w:t>
      </w:r>
    </w:p>
    <w:p w14:paraId="636A225C">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承包人违反合同专用条款总则第2条、第5条的约定，不服从发包人及监理单位的管理，对发包人、监理单位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r>
        <w:rPr>
          <w:rFonts w:hint="eastAsia" w:ascii="宋体" w:hAnsi="宋体"/>
          <w:snapToGrid w:val="0"/>
          <w:color w:val="auto"/>
          <w:kern w:val="0"/>
          <w:sz w:val="24"/>
          <w:highlight w:val="none"/>
        </w:rPr>
        <w:t>。</w:t>
      </w:r>
    </w:p>
    <w:p w14:paraId="7EE11D70">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（2）承包人不遵守发包人依据合同专用条款总则第6条约定所制定的各项制度、规定的，由承包人按所触犯制度、规定的有关规定承担违约责任。所触犯制度、规定没有明确规定的，由发包人参照</w:t>
      </w:r>
      <w:r>
        <w:rPr>
          <w:rFonts w:hint="eastAsia" w:ascii="宋体" w:hAnsi="宋体"/>
          <w:snapToGrid w:val="0"/>
          <w:color w:val="auto"/>
          <w:kern w:val="0"/>
          <w:sz w:val="24"/>
          <w:highlight w:val="none"/>
        </w:rPr>
        <w:t>合同专用条款第38.7（1）款</w:t>
      </w:r>
      <w:r>
        <w:rPr>
          <w:rFonts w:hint="eastAsia" w:ascii="宋体" w:hAnsi="宋体"/>
          <w:bCs/>
          <w:snapToGrid w:val="0"/>
          <w:color w:val="auto"/>
          <w:kern w:val="0"/>
          <w:sz w:val="24"/>
          <w:highlight w:val="none"/>
        </w:rPr>
        <w:t>的约定处理。</w:t>
      </w:r>
    </w:p>
    <w:p w14:paraId="5753055C">
      <w:pPr>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宋体" w:hAnsi="宋体"/>
          <w:bCs/>
          <w:snapToGrid w:val="0"/>
          <w:color w:val="auto"/>
          <w:kern w:val="0"/>
          <w:sz w:val="24"/>
          <w:highlight w:val="none"/>
        </w:rPr>
        <w:t>（3）</w:t>
      </w:r>
      <w:r>
        <w:rPr>
          <w:rFonts w:hint="eastAsia" w:asciiTheme="minorEastAsia" w:hAnsiTheme="minorEastAsia" w:eastAsiaTheme="minorEastAsia" w:cstheme="minorEastAsia"/>
          <w:color w:val="auto"/>
          <w:sz w:val="24"/>
          <w:szCs w:val="24"/>
          <w:highlight w:val="none"/>
        </w:rPr>
        <w:t>承包人不按合同专用条款第</w:t>
      </w:r>
      <w:r>
        <w:rPr>
          <w:rFonts w:asciiTheme="minorEastAsia" w:hAnsiTheme="minorEastAsia" w:eastAsiaTheme="minorEastAsia" w:cstheme="minorEastAsia"/>
          <w:color w:val="auto"/>
          <w:sz w:val="24"/>
          <w:szCs w:val="24"/>
          <w:highlight w:val="none"/>
        </w:rPr>
        <w:t>7</w:t>
      </w:r>
      <w:r>
        <w:rPr>
          <w:rFonts w:hint="eastAsia" w:asciiTheme="minorEastAsia" w:hAnsiTheme="minorEastAsia" w:eastAsiaTheme="minorEastAsia" w:cstheme="minorEastAsia"/>
          <w:color w:val="auto"/>
          <w:sz w:val="24"/>
          <w:szCs w:val="24"/>
          <w:highlight w:val="none"/>
        </w:rPr>
        <w:t>条、第</w:t>
      </w:r>
      <w:r>
        <w:rPr>
          <w:rFonts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rPr>
        <w:t>条的有关约定投入现场组织管理人员、施工作业人员、施工机械设备，或者擅自变更资源投入计划或者擅自对已投入的资源进行调整的，承包人必须按照总监理工程师或者发包人的指令限期改正；承包人拒不限期改正或未及时完成整改的，发包人有权要求其承担</w:t>
      </w:r>
      <w:r>
        <w:rPr>
          <w:rFonts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t>次一般违约责任或者</w:t>
      </w:r>
      <w:r>
        <w:rPr>
          <w:rFonts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t>次严重违约责任。情节较轻的，可给予书面警告；情节特别严重的，发包人有权单方面部分解除合同或解除合同。</w:t>
      </w:r>
    </w:p>
    <w:p w14:paraId="7B3B5DC8">
      <w:pPr>
        <w:adjustRightInd w:val="0"/>
        <w:snapToGrid w:val="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经发包人或总监理工程师考核，承包人投入的现场组织管理人员不能满足本工程建设要求的，承包人必须无条件按发包人的要求更换，直至满足本工程建设要求为止。而且，不能满足本工程建设要求的现场组织管理人员按缺勤处理。现场管理机构各部主要组织管理人员应与投标文件保持一致，除特殊情况（该人员因死亡或重大疾病或离职无法继续履职，或其他经监理单位、发包人认可的属承包人无法预见、无法控制的合理事由）外，无论承包人主动申请更换还是被发包人要求更换，若累计更换次数超过一次，则自第二次起，承包人需按以下约定承担违约责任。</w:t>
      </w:r>
    </w:p>
    <w:tbl>
      <w:tblPr>
        <w:tblStyle w:val="16"/>
        <w:tblW w:w="7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705"/>
        <w:gridCol w:w="1758"/>
        <w:gridCol w:w="145"/>
        <w:gridCol w:w="1095"/>
        <w:gridCol w:w="141"/>
        <w:gridCol w:w="1099"/>
        <w:gridCol w:w="1322"/>
      </w:tblGrid>
      <w:tr w14:paraId="331D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14:paraId="7D520656">
            <w:pPr>
              <w:adjustRightInd w:val="0"/>
              <w:snapToGrid w:val="0"/>
              <w:spacing w:line="300" w:lineRule="auto"/>
              <w:jc w:val="center"/>
              <w:rPr>
                <w:rFonts w:ascii="宋体"/>
                <w:color w:val="auto"/>
                <w:kern w:val="0"/>
                <w:szCs w:val="21"/>
                <w:highlight w:val="none"/>
              </w:rPr>
            </w:pPr>
            <w:r>
              <w:rPr>
                <w:rFonts w:hint="eastAsia" w:ascii="宋体" w:hAnsi="宋体" w:cs="宋体"/>
                <w:color w:val="auto"/>
                <w:kern w:val="0"/>
                <w:szCs w:val="21"/>
                <w:highlight w:val="none"/>
              </w:rPr>
              <w:t>序号</w:t>
            </w:r>
          </w:p>
        </w:tc>
        <w:tc>
          <w:tcPr>
            <w:tcW w:w="1705" w:type="dxa"/>
            <w:tcBorders>
              <w:top w:val="single" w:color="auto" w:sz="4" w:space="0"/>
              <w:left w:val="single" w:color="auto" w:sz="4" w:space="0"/>
              <w:bottom w:val="single" w:color="auto" w:sz="4" w:space="0"/>
              <w:right w:val="single" w:color="auto" w:sz="4" w:space="0"/>
            </w:tcBorders>
            <w:noWrap/>
            <w:vAlign w:val="center"/>
          </w:tcPr>
          <w:p w14:paraId="25CA27BC">
            <w:pPr>
              <w:adjustRightInd w:val="0"/>
              <w:snapToGrid w:val="0"/>
              <w:spacing w:line="300" w:lineRule="auto"/>
              <w:jc w:val="center"/>
              <w:rPr>
                <w:rFonts w:ascii="宋体"/>
                <w:color w:val="auto"/>
                <w:kern w:val="0"/>
                <w:szCs w:val="21"/>
                <w:highlight w:val="none"/>
              </w:rPr>
            </w:pPr>
            <w:r>
              <w:rPr>
                <w:rFonts w:hint="eastAsia" w:ascii="宋体" w:hAnsi="宋体" w:cs="宋体"/>
                <w:color w:val="auto"/>
                <w:kern w:val="0"/>
                <w:szCs w:val="21"/>
                <w:highlight w:val="none"/>
              </w:rPr>
              <w:t>承诺项目</w:t>
            </w:r>
          </w:p>
        </w:tc>
        <w:tc>
          <w:tcPr>
            <w:tcW w:w="1758" w:type="dxa"/>
            <w:tcBorders>
              <w:top w:val="single" w:color="auto" w:sz="4" w:space="0"/>
              <w:left w:val="single" w:color="auto" w:sz="4" w:space="0"/>
              <w:bottom w:val="single" w:color="auto" w:sz="4" w:space="0"/>
              <w:right w:val="single" w:color="auto" w:sz="4" w:space="0"/>
            </w:tcBorders>
            <w:noWrap/>
            <w:vAlign w:val="center"/>
          </w:tcPr>
          <w:p w14:paraId="46D60956">
            <w:pPr>
              <w:adjustRightInd w:val="0"/>
              <w:snapToGrid w:val="0"/>
              <w:spacing w:line="300" w:lineRule="auto"/>
              <w:jc w:val="center"/>
              <w:rPr>
                <w:rFonts w:ascii="宋体"/>
                <w:color w:val="auto"/>
                <w:kern w:val="0"/>
                <w:szCs w:val="21"/>
                <w:highlight w:val="none"/>
              </w:rPr>
            </w:pPr>
            <w:r>
              <w:rPr>
                <w:rFonts w:hint="eastAsia" w:ascii="宋体" w:hAnsi="宋体" w:cs="宋体"/>
                <w:color w:val="auto"/>
                <w:kern w:val="0"/>
                <w:szCs w:val="21"/>
                <w:highlight w:val="none"/>
              </w:rPr>
              <w:t>违约说明</w:t>
            </w:r>
          </w:p>
        </w:tc>
        <w:tc>
          <w:tcPr>
            <w:tcW w:w="3802" w:type="dxa"/>
            <w:gridSpan w:val="5"/>
            <w:tcBorders>
              <w:top w:val="single" w:color="auto" w:sz="4" w:space="0"/>
              <w:left w:val="single" w:color="auto" w:sz="4" w:space="0"/>
              <w:bottom w:val="single" w:color="auto" w:sz="4" w:space="0"/>
              <w:right w:val="single" w:color="auto" w:sz="4" w:space="0"/>
            </w:tcBorders>
            <w:noWrap/>
            <w:vAlign w:val="center"/>
          </w:tcPr>
          <w:p w14:paraId="61D86660">
            <w:pPr>
              <w:adjustRightInd w:val="0"/>
              <w:snapToGrid w:val="0"/>
              <w:spacing w:line="300" w:lineRule="auto"/>
              <w:jc w:val="center"/>
              <w:rPr>
                <w:rFonts w:ascii="宋体"/>
                <w:color w:val="auto"/>
                <w:kern w:val="0"/>
                <w:szCs w:val="21"/>
                <w:highlight w:val="none"/>
              </w:rPr>
            </w:pPr>
            <w:r>
              <w:rPr>
                <w:rFonts w:hint="eastAsia" w:ascii="宋体" w:hAnsi="宋体" w:cs="宋体"/>
                <w:color w:val="auto"/>
                <w:kern w:val="0"/>
                <w:szCs w:val="21"/>
                <w:highlight w:val="none"/>
              </w:rPr>
              <w:t>违约金（元</w:t>
            </w:r>
            <w:r>
              <w:rPr>
                <w:rFonts w:ascii="宋体" w:hAnsi="宋体" w:cs="宋体"/>
                <w:color w:val="auto"/>
                <w:kern w:val="0"/>
                <w:szCs w:val="21"/>
                <w:highlight w:val="none"/>
              </w:rPr>
              <w:t>/</w:t>
            </w:r>
            <w:r>
              <w:rPr>
                <w:rFonts w:hint="eastAsia" w:ascii="宋体" w:hAnsi="宋体" w:cs="宋体"/>
                <w:color w:val="auto"/>
                <w:kern w:val="0"/>
                <w:szCs w:val="21"/>
                <w:highlight w:val="none"/>
              </w:rPr>
              <w:t>人）</w:t>
            </w:r>
          </w:p>
        </w:tc>
      </w:tr>
      <w:tr w14:paraId="4958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477" w:type="dxa"/>
            <w:vMerge w:val="restart"/>
            <w:tcBorders>
              <w:top w:val="single" w:color="auto" w:sz="4" w:space="0"/>
              <w:left w:val="single" w:color="auto" w:sz="4" w:space="0"/>
              <w:bottom w:val="single" w:color="auto" w:sz="4" w:space="0"/>
              <w:right w:val="single" w:color="auto" w:sz="4" w:space="0"/>
            </w:tcBorders>
            <w:noWrap/>
            <w:vAlign w:val="center"/>
          </w:tcPr>
          <w:p w14:paraId="65002008">
            <w:pPr>
              <w:adjustRightInd w:val="0"/>
              <w:snapToGrid w:val="0"/>
              <w:spacing w:line="300" w:lineRule="auto"/>
              <w:jc w:val="center"/>
              <w:rPr>
                <w:rFonts w:ascii="宋体"/>
                <w:color w:val="auto"/>
                <w:kern w:val="0"/>
                <w:szCs w:val="21"/>
                <w:highlight w:val="none"/>
              </w:rPr>
            </w:pPr>
            <w:r>
              <w:rPr>
                <w:rFonts w:ascii="宋体" w:hAnsi="宋体" w:cs="宋体"/>
                <w:color w:val="auto"/>
                <w:kern w:val="0"/>
                <w:szCs w:val="21"/>
                <w:highlight w:val="none"/>
              </w:rPr>
              <w:t>1</w:t>
            </w:r>
          </w:p>
        </w:tc>
        <w:tc>
          <w:tcPr>
            <w:tcW w:w="1705" w:type="dxa"/>
            <w:vMerge w:val="restart"/>
            <w:tcBorders>
              <w:top w:val="single" w:color="auto" w:sz="4" w:space="0"/>
              <w:left w:val="single" w:color="auto" w:sz="4" w:space="0"/>
              <w:bottom w:val="single" w:color="auto" w:sz="4" w:space="0"/>
              <w:right w:val="single" w:color="auto" w:sz="4" w:space="0"/>
            </w:tcBorders>
            <w:noWrap/>
            <w:vAlign w:val="center"/>
          </w:tcPr>
          <w:p w14:paraId="4163050A">
            <w:pPr>
              <w:adjustRightInd w:val="0"/>
              <w:snapToGrid w:val="0"/>
              <w:spacing w:line="300" w:lineRule="auto"/>
              <w:ind w:left="361" w:hanging="361" w:hangingChars="150"/>
              <w:jc w:val="center"/>
              <w:rPr>
                <w:rFonts w:ascii="宋体"/>
                <w:color w:val="auto"/>
                <w:kern w:val="0"/>
                <w:szCs w:val="21"/>
                <w:highlight w:val="none"/>
              </w:rPr>
            </w:pPr>
            <w:r>
              <w:rPr>
                <w:rFonts w:hint="eastAsia" w:ascii="宋体" w:hAnsi="宋体" w:cs="宋体"/>
                <w:b/>
                <w:color w:val="auto"/>
                <w:sz w:val="24"/>
                <w:szCs w:val="24"/>
                <w:highlight w:val="none"/>
                <w:lang w:bidi="ar"/>
              </w:rPr>
              <w:t xml:space="preserve">☑ </w:t>
            </w:r>
            <w:r>
              <w:rPr>
                <w:rFonts w:hint="eastAsia" w:ascii="宋体" w:hAnsi="宋体" w:cs="宋体"/>
                <w:color w:val="auto"/>
                <w:kern w:val="0"/>
                <w:szCs w:val="21"/>
                <w:highlight w:val="none"/>
              </w:rPr>
              <w:t>施工总承包管理部</w:t>
            </w:r>
          </w:p>
        </w:tc>
        <w:tc>
          <w:tcPr>
            <w:tcW w:w="1758" w:type="dxa"/>
            <w:tcBorders>
              <w:top w:val="single" w:color="auto" w:sz="4" w:space="0"/>
              <w:left w:val="single" w:color="auto" w:sz="4" w:space="0"/>
              <w:bottom w:val="single" w:color="auto" w:sz="4" w:space="0"/>
              <w:right w:val="single" w:color="auto" w:sz="4" w:space="0"/>
            </w:tcBorders>
            <w:noWrap/>
            <w:vAlign w:val="center"/>
          </w:tcPr>
          <w:p w14:paraId="1517D131">
            <w:pPr>
              <w:adjustRightInd w:val="0"/>
              <w:snapToGrid w:val="0"/>
              <w:jc w:val="left"/>
              <w:rPr>
                <w:rFonts w:ascii="宋体"/>
                <w:color w:val="auto"/>
                <w:kern w:val="0"/>
                <w:szCs w:val="21"/>
                <w:highlight w:val="none"/>
              </w:rPr>
            </w:pPr>
            <w:r>
              <w:rPr>
                <w:rFonts w:hint="eastAsia" w:ascii="宋体" w:hAnsi="宋体" w:cs="宋体"/>
                <w:color w:val="auto"/>
                <w:kern w:val="0"/>
                <w:szCs w:val="21"/>
                <w:highlight w:val="none"/>
              </w:rPr>
              <w:t>更换项目指挥长或项目经理</w:t>
            </w:r>
          </w:p>
        </w:tc>
        <w:tc>
          <w:tcPr>
            <w:tcW w:w="1240" w:type="dxa"/>
            <w:gridSpan w:val="2"/>
            <w:tcBorders>
              <w:top w:val="single" w:color="auto" w:sz="4" w:space="0"/>
              <w:left w:val="single" w:color="auto" w:sz="4" w:space="0"/>
              <w:bottom w:val="single" w:color="auto" w:sz="4" w:space="0"/>
              <w:right w:val="single" w:color="auto" w:sz="4" w:space="0"/>
            </w:tcBorders>
            <w:noWrap/>
            <w:vAlign w:val="center"/>
          </w:tcPr>
          <w:p w14:paraId="72EBD633">
            <w:pPr>
              <w:adjustRightInd w:val="0"/>
              <w:snapToGrid w:val="0"/>
              <w:spacing w:line="300" w:lineRule="auto"/>
              <w:rPr>
                <w:rFonts w:ascii="宋体"/>
                <w:color w:val="auto"/>
                <w:kern w:val="0"/>
                <w:szCs w:val="21"/>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cs="宋体"/>
                <w:b/>
                <w:iCs/>
                <w:color w:val="auto"/>
                <w:kern w:val="0"/>
                <w:szCs w:val="21"/>
                <w:highlight w:val="none"/>
                <w:lang w:bidi="ar"/>
              </w:rPr>
              <w:t xml:space="preserve"> </w:t>
            </w:r>
            <w:r>
              <w:rPr>
                <w:rFonts w:ascii="宋体" w:hAnsi="宋体" w:cs="宋体"/>
                <w:color w:val="auto"/>
                <w:kern w:val="0"/>
                <w:szCs w:val="21"/>
                <w:highlight w:val="none"/>
              </w:rPr>
              <w:t>50000</w:t>
            </w:r>
          </w:p>
        </w:tc>
        <w:tc>
          <w:tcPr>
            <w:tcW w:w="1240" w:type="dxa"/>
            <w:gridSpan w:val="2"/>
            <w:tcBorders>
              <w:top w:val="single" w:color="auto" w:sz="4" w:space="0"/>
              <w:left w:val="single" w:color="auto" w:sz="4" w:space="0"/>
              <w:bottom w:val="single" w:color="auto" w:sz="4" w:space="0"/>
              <w:right w:val="single" w:color="auto" w:sz="4" w:space="0"/>
            </w:tcBorders>
            <w:noWrap/>
            <w:vAlign w:val="center"/>
          </w:tcPr>
          <w:p w14:paraId="65B4A00E">
            <w:pPr>
              <w:adjustRightInd w:val="0"/>
              <w:snapToGrid w:val="0"/>
              <w:spacing w:line="300" w:lineRule="auto"/>
              <w:rPr>
                <w:rFonts w:ascii="宋体"/>
                <w:color w:val="auto"/>
                <w:kern w:val="0"/>
                <w:szCs w:val="21"/>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cs="宋体"/>
                <w:b/>
                <w:iCs/>
                <w:color w:val="auto"/>
                <w:kern w:val="0"/>
                <w:szCs w:val="21"/>
                <w:highlight w:val="none"/>
                <w:lang w:bidi="ar"/>
              </w:rPr>
              <w:t xml:space="preserve"> </w:t>
            </w:r>
            <w:r>
              <w:rPr>
                <w:rFonts w:ascii="宋体" w:hAnsi="宋体" w:cs="宋体"/>
                <w:color w:val="auto"/>
                <w:kern w:val="0"/>
                <w:szCs w:val="21"/>
                <w:highlight w:val="none"/>
              </w:rPr>
              <w:t>100000</w:t>
            </w:r>
          </w:p>
        </w:tc>
        <w:tc>
          <w:tcPr>
            <w:tcW w:w="1322" w:type="dxa"/>
            <w:tcBorders>
              <w:top w:val="single" w:color="auto" w:sz="4" w:space="0"/>
              <w:left w:val="single" w:color="auto" w:sz="4" w:space="0"/>
              <w:bottom w:val="single" w:color="auto" w:sz="4" w:space="0"/>
              <w:right w:val="single" w:color="auto" w:sz="4" w:space="0"/>
            </w:tcBorders>
            <w:noWrap/>
            <w:vAlign w:val="center"/>
          </w:tcPr>
          <w:p w14:paraId="5E6F7436">
            <w:pPr>
              <w:adjustRightInd w:val="0"/>
              <w:snapToGrid w:val="0"/>
              <w:spacing w:line="300" w:lineRule="auto"/>
              <w:rPr>
                <w:rFonts w:ascii="宋体"/>
                <w:color w:val="auto"/>
                <w:kern w:val="0"/>
                <w:szCs w:val="21"/>
                <w:highlight w:val="none"/>
              </w:rPr>
            </w:pPr>
            <w:r>
              <w:rPr>
                <w:rFonts w:hint="eastAsia" w:ascii="宋体" w:hAnsi="宋体" w:cs="宋体"/>
                <w:b/>
                <w:color w:val="auto"/>
                <w:sz w:val="24"/>
                <w:szCs w:val="24"/>
                <w:highlight w:val="none"/>
                <w:lang w:bidi="ar"/>
              </w:rPr>
              <w:t xml:space="preserve">☑ </w:t>
            </w:r>
            <w:r>
              <w:rPr>
                <w:rFonts w:ascii="宋体" w:hAnsi="宋体" w:cs="宋体"/>
                <w:color w:val="auto"/>
                <w:kern w:val="0"/>
                <w:szCs w:val="21"/>
                <w:highlight w:val="none"/>
              </w:rPr>
              <w:t>200000</w:t>
            </w:r>
          </w:p>
        </w:tc>
      </w:tr>
      <w:tr w14:paraId="2453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477" w:type="dxa"/>
            <w:vMerge w:val="continue"/>
            <w:tcBorders>
              <w:top w:val="single" w:color="auto" w:sz="4" w:space="0"/>
              <w:left w:val="single" w:color="auto" w:sz="4" w:space="0"/>
              <w:bottom w:val="single" w:color="auto" w:sz="4" w:space="0"/>
              <w:right w:val="single" w:color="auto" w:sz="4" w:space="0"/>
            </w:tcBorders>
            <w:noWrap/>
            <w:vAlign w:val="center"/>
          </w:tcPr>
          <w:p w14:paraId="0E6EDD66">
            <w:pPr>
              <w:rPr>
                <w:color w:val="auto"/>
                <w:szCs w:val="21"/>
                <w:highlight w:val="none"/>
              </w:rPr>
            </w:pPr>
          </w:p>
        </w:tc>
        <w:tc>
          <w:tcPr>
            <w:tcW w:w="1705" w:type="dxa"/>
            <w:vMerge w:val="continue"/>
            <w:tcBorders>
              <w:top w:val="single" w:color="auto" w:sz="4" w:space="0"/>
              <w:left w:val="single" w:color="auto" w:sz="4" w:space="0"/>
              <w:bottom w:val="single" w:color="auto" w:sz="4" w:space="0"/>
              <w:right w:val="single" w:color="auto" w:sz="4" w:space="0"/>
            </w:tcBorders>
            <w:noWrap/>
            <w:vAlign w:val="center"/>
          </w:tcPr>
          <w:p w14:paraId="1FED3E6F">
            <w:pPr>
              <w:rPr>
                <w:color w:val="auto"/>
                <w:szCs w:val="21"/>
                <w:highlight w:val="none"/>
              </w:rPr>
            </w:pPr>
          </w:p>
        </w:tc>
        <w:tc>
          <w:tcPr>
            <w:tcW w:w="1758" w:type="dxa"/>
            <w:tcBorders>
              <w:top w:val="single" w:color="auto" w:sz="4" w:space="0"/>
              <w:left w:val="single" w:color="auto" w:sz="4" w:space="0"/>
              <w:bottom w:val="single" w:color="auto" w:sz="4" w:space="0"/>
              <w:right w:val="single" w:color="auto" w:sz="4" w:space="0"/>
            </w:tcBorders>
            <w:noWrap/>
            <w:vAlign w:val="center"/>
          </w:tcPr>
          <w:p w14:paraId="0536C99E">
            <w:pPr>
              <w:adjustRightInd w:val="0"/>
              <w:snapToGrid w:val="0"/>
              <w:jc w:val="left"/>
              <w:rPr>
                <w:rFonts w:ascii="宋体"/>
                <w:color w:val="auto"/>
                <w:kern w:val="0"/>
                <w:szCs w:val="21"/>
                <w:highlight w:val="none"/>
              </w:rPr>
            </w:pPr>
            <w:r>
              <w:rPr>
                <w:rFonts w:hint="eastAsia" w:ascii="宋体" w:hAnsi="宋体" w:cs="宋体"/>
                <w:color w:val="auto"/>
                <w:kern w:val="0"/>
                <w:szCs w:val="21"/>
                <w:highlight w:val="none"/>
              </w:rPr>
              <w:t>更换项目技术负责人</w:t>
            </w:r>
          </w:p>
        </w:tc>
        <w:tc>
          <w:tcPr>
            <w:tcW w:w="1240" w:type="dxa"/>
            <w:gridSpan w:val="2"/>
            <w:tcBorders>
              <w:top w:val="single" w:color="auto" w:sz="4" w:space="0"/>
              <w:left w:val="single" w:color="auto" w:sz="4" w:space="0"/>
              <w:bottom w:val="single" w:color="auto" w:sz="4" w:space="0"/>
              <w:right w:val="single" w:color="auto" w:sz="4" w:space="0"/>
            </w:tcBorders>
            <w:noWrap/>
            <w:vAlign w:val="center"/>
          </w:tcPr>
          <w:p w14:paraId="5E033ECE">
            <w:pPr>
              <w:adjustRightInd w:val="0"/>
              <w:snapToGrid w:val="0"/>
              <w:spacing w:line="300" w:lineRule="auto"/>
              <w:rPr>
                <w:rFonts w:ascii="宋体"/>
                <w:color w:val="auto"/>
                <w:kern w:val="0"/>
                <w:szCs w:val="21"/>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cs="宋体"/>
                <w:b/>
                <w:iCs/>
                <w:color w:val="auto"/>
                <w:kern w:val="0"/>
                <w:szCs w:val="21"/>
                <w:highlight w:val="none"/>
                <w:lang w:bidi="ar"/>
              </w:rPr>
              <w:t xml:space="preserve"> </w:t>
            </w:r>
            <w:r>
              <w:rPr>
                <w:rFonts w:ascii="宋体" w:hAnsi="宋体" w:cs="宋体"/>
                <w:color w:val="auto"/>
                <w:kern w:val="0"/>
                <w:szCs w:val="21"/>
                <w:highlight w:val="none"/>
              </w:rPr>
              <w:t>30000</w:t>
            </w:r>
          </w:p>
        </w:tc>
        <w:tc>
          <w:tcPr>
            <w:tcW w:w="1240" w:type="dxa"/>
            <w:gridSpan w:val="2"/>
            <w:tcBorders>
              <w:top w:val="single" w:color="auto" w:sz="4" w:space="0"/>
              <w:left w:val="single" w:color="auto" w:sz="4" w:space="0"/>
              <w:bottom w:val="single" w:color="auto" w:sz="4" w:space="0"/>
              <w:right w:val="single" w:color="auto" w:sz="4" w:space="0"/>
            </w:tcBorders>
            <w:noWrap/>
            <w:vAlign w:val="center"/>
          </w:tcPr>
          <w:p w14:paraId="20693AB1">
            <w:pPr>
              <w:adjustRightInd w:val="0"/>
              <w:snapToGrid w:val="0"/>
              <w:spacing w:line="300" w:lineRule="auto"/>
              <w:rPr>
                <w:rFonts w:ascii="宋体"/>
                <w:color w:val="auto"/>
                <w:kern w:val="0"/>
                <w:szCs w:val="21"/>
                <w:highlight w:val="none"/>
              </w:rPr>
            </w:pPr>
            <w:r>
              <w:rPr>
                <w:rFonts w:hint="eastAsia" w:ascii="宋体" w:hAnsi="宋体" w:cs="宋体"/>
                <w:b/>
                <w:iCs/>
                <w:color w:val="auto"/>
                <w:kern w:val="0"/>
                <w:szCs w:val="21"/>
                <w:highlight w:val="none"/>
                <w:lang w:bidi="ar"/>
              </w:rPr>
              <w:fldChar w:fldCharType="begin"/>
            </w:r>
            <w:r>
              <w:rPr>
                <w:rFonts w:hint="eastAsia" w:ascii="宋体" w:hAnsi="宋体" w:cs="宋体"/>
                <w:b/>
                <w:iCs/>
                <w:color w:val="auto"/>
                <w:kern w:val="0"/>
                <w:szCs w:val="21"/>
                <w:highlight w:val="none"/>
                <w:lang w:bidi="ar"/>
              </w:rPr>
              <w:instrText xml:space="preserve"> EQ \o\ac(□,×)</w:instrText>
            </w:r>
            <w:r>
              <w:rPr>
                <w:rFonts w:hint="eastAsia" w:ascii="宋体" w:hAnsi="宋体" w:cs="宋体"/>
                <w:b/>
                <w:iCs/>
                <w:color w:val="auto"/>
                <w:kern w:val="0"/>
                <w:szCs w:val="21"/>
                <w:highlight w:val="none"/>
                <w:lang w:bidi="ar"/>
              </w:rPr>
              <w:fldChar w:fldCharType="end"/>
            </w:r>
            <w:r>
              <w:rPr>
                <w:rFonts w:ascii="宋体" w:hAnsi="宋体" w:cs="宋体"/>
                <w:color w:val="auto"/>
                <w:kern w:val="0"/>
                <w:szCs w:val="21"/>
                <w:highlight w:val="none"/>
              </w:rPr>
              <w:t>80000</w:t>
            </w:r>
          </w:p>
        </w:tc>
        <w:tc>
          <w:tcPr>
            <w:tcW w:w="1322" w:type="dxa"/>
            <w:tcBorders>
              <w:top w:val="single" w:color="auto" w:sz="4" w:space="0"/>
              <w:left w:val="single" w:color="auto" w:sz="4" w:space="0"/>
              <w:bottom w:val="single" w:color="auto" w:sz="4" w:space="0"/>
              <w:right w:val="single" w:color="auto" w:sz="4" w:space="0"/>
            </w:tcBorders>
            <w:noWrap/>
            <w:vAlign w:val="center"/>
          </w:tcPr>
          <w:p w14:paraId="792798E7">
            <w:pPr>
              <w:adjustRightInd w:val="0"/>
              <w:snapToGrid w:val="0"/>
              <w:spacing w:line="300" w:lineRule="auto"/>
              <w:rPr>
                <w:rFonts w:ascii="宋体"/>
                <w:color w:val="auto"/>
                <w:kern w:val="0"/>
                <w:szCs w:val="21"/>
                <w:highlight w:val="none"/>
              </w:rPr>
            </w:pPr>
            <w:r>
              <w:rPr>
                <w:rFonts w:hint="eastAsia" w:ascii="宋体" w:hAnsi="宋体" w:cs="宋体"/>
                <w:b/>
                <w:color w:val="auto"/>
                <w:sz w:val="24"/>
                <w:szCs w:val="24"/>
                <w:highlight w:val="none"/>
                <w:lang w:bidi="ar"/>
              </w:rPr>
              <w:t xml:space="preserve">☑ </w:t>
            </w:r>
            <w:r>
              <w:rPr>
                <w:rFonts w:ascii="宋体" w:hAnsi="宋体" w:cs="宋体"/>
                <w:color w:val="auto"/>
                <w:kern w:val="0"/>
                <w:szCs w:val="21"/>
                <w:highlight w:val="none"/>
              </w:rPr>
              <w:t>150000</w:t>
            </w:r>
          </w:p>
        </w:tc>
      </w:tr>
      <w:tr w14:paraId="0FBC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477" w:type="dxa"/>
            <w:vMerge w:val="continue"/>
            <w:tcBorders>
              <w:top w:val="single" w:color="auto" w:sz="4" w:space="0"/>
              <w:left w:val="single" w:color="auto" w:sz="4" w:space="0"/>
              <w:bottom w:val="single" w:color="auto" w:sz="4" w:space="0"/>
              <w:right w:val="single" w:color="auto" w:sz="4" w:space="0"/>
            </w:tcBorders>
            <w:noWrap/>
            <w:vAlign w:val="center"/>
          </w:tcPr>
          <w:p w14:paraId="674AF063">
            <w:pPr>
              <w:rPr>
                <w:color w:val="auto"/>
                <w:szCs w:val="21"/>
                <w:highlight w:val="none"/>
              </w:rPr>
            </w:pPr>
          </w:p>
        </w:tc>
        <w:tc>
          <w:tcPr>
            <w:tcW w:w="1705" w:type="dxa"/>
            <w:vMerge w:val="continue"/>
            <w:tcBorders>
              <w:top w:val="single" w:color="auto" w:sz="4" w:space="0"/>
              <w:left w:val="single" w:color="auto" w:sz="4" w:space="0"/>
              <w:bottom w:val="single" w:color="auto" w:sz="4" w:space="0"/>
              <w:right w:val="single" w:color="auto" w:sz="4" w:space="0"/>
            </w:tcBorders>
            <w:noWrap/>
            <w:vAlign w:val="center"/>
          </w:tcPr>
          <w:p w14:paraId="105AFE16">
            <w:pPr>
              <w:rPr>
                <w:color w:val="auto"/>
                <w:szCs w:val="21"/>
                <w:highlight w:val="none"/>
              </w:rPr>
            </w:pPr>
          </w:p>
        </w:tc>
        <w:tc>
          <w:tcPr>
            <w:tcW w:w="1758" w:type="dxa"/>
            <w:tcBorders>
              <w:top w:val="single" w:color="auto" w:sz="4" w:space="0"/>
              <w:left w:val="single" w:color="auto" w:sz="4" w:space="0"/>
              <w:bottom w:val="single" w:color="auto" w:sz="4" w:space="0"/>
              <w:right w:val="single" w:color="auto" w:sz="4" w:space="0"/>
            </w:tcBorders>
            <w:noWrap/>
            <w:vAlign w:val="center"/>
          </w:tcPr>
          <w:p w14:paraId="430F6AF0">
            <w:pPr>
              <w:adjustRightInd w:val="0"/>
              <w:snapToGrid w:val="0"/>
              <w:jc w:val="left"/>
              <w:rPr>
                <w:rFonts w:ascii="宋体"/>
                <w:color w:val="auto"/>
                <w:kern w:val="0"/>
                <w:szCs w:val="21"/>
                <w:highlight w:val="none"/>
              </w:rPr>
            </w:pPr>
            <w:r>
              <w:rPr>
                <w:rFonts w:hint="eastAsia" w:ascii="宋体" w:hAnsi="宋体" w:cs="宋体"/>
                <w:color w:val="auto"/>
                <w:kern w:val="0"/>
                <w:szCs w:val="21"/>
                <w:highlight w:val="none"/>
              </w:rPr>
              <w:t>更换专职安全员或其他人</w:t>
            </w:r>
          </w:p>
        </w:tc>
        <w:tc>
          <w:tcPr>
            <w:tcW w:w="1240" w:type="dxa"/>
            <w:gridSpan w:val="2"/>
            <w:tcBorders>
              <w:top w:val="single" w:color="auto" w:sz="4" w:space="0"/>
              <w:left w:val="single" w:color="auto" w:sz="4" w:space="0"/>
              <w:bottom w:val="single" w:color="auto" w:sz="4" w:space="0"/>
              <w:right w:val="single" w:color="auto" w:sz="4" w:space="0"/>
            </w:tcBorders>
            <w:noWrap/>
            <w:vAlign w:val="center"/>
          </w:tcPr>
          <w:p w14:paraId="2DF756BD">
            <w:pPr>
              <w:adjustRightInd w:val="0"/>
              <w:snapToGrid w:val="0"/>
              <w:spacing w:line="300" w:lineRule="auto"/>
              <w:rPr>
                <w:rFonts w:ascii="宋体"/>
                <w:color w:val="auto"/>
                <w:kern w:val="0"/>
                <w:szCs w:val="21"/>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cs="宋体"/>
                <w:b/>
                <w:iCs/>
                <w:color w:val="auto"/>
                <w:kern w:val="0"/>
                <w:szCs w:val="21"/>
                <w:highlight w:val="none"/>
                <w:lang w:bidi="ar"/>
              </w:rPr>
              <w:t xml:space="preserve"> </w:t>
            </w:r>
            <w:r>
              <w:rPr>
                <w:rFonts w:ascii="宋体" w:hAnsi="宋体" w:cs="宋体"/>
                <w:color w:val="auto"/>
                <w:kern w:val="0"/>
                <w:szCs w:val="21"/>
                <w:highlight w:val="none"/>
              </w:rPr>
              <w:t>10000</w:t>
            </w:r>
          </w:p>
        </w:tc>
        <w:tc>
          <w:tcPr>
            <w:tcW w:w="1240" w:type="dxa"/>
            <w:gridSpan w:val="2"/>
            <w:tcBorders>
              <w:top w:val="single" w:color="auto" w:sz="4" w:space="0"/>
              <w:left w:val="single" w:color="auto" w:sz="4" w:space="0"/>
              <w:bottom w:val="single" w:color="auto" w:sz="4" w:space="0"/>
              <w:right w:val="single" w:color="auto" w:sz="4" w:space="0"/>
            </w:tcBorders>
            <w:noWrap/>
            <w:vAlign w:val="center"/>
          </w:tcPr>
          <w:p w14:paraId="5DB5A8ED">
            <w:pPr>
              <w:adjustRightInd w:val="0"/>
              <w:snapToGrid w:val="0"/>
              <w:spacing w:line="300" w:lineRule="auto"/>
              <w:rPr>
                <w:rFonts w:ascii="宋体"/>
                <w:color w:val="auto"/>
                <w:kern w:val="0"/>
                <w:szCs w:val="21"/>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cs="宋体"/>
                <w:b/>
                <w:iCs/>
                <w:color w:val="auto"/>
                <w:kern w:val="0"/>
                <w:szCs w:val="21"/>
                <w:highlight w:val="none"/>
                <w:lang w:bidi="ar"/>
              </w:rPr>
              <w:t xml:space="preserve"> </w:t>
            </w:r>
            <w:r>
              <w:rPr>
                <w:rFonts w:ascii="宋体" w:hAnsi="宋体" w:cs="宋体"/>
                <w:color w:val="auto"/>
                <w:kern w:val="0"/>
                <w:szCs w:val="21"/>
                <w:highlight w:val="none"/>
              </w:rPr>
              <w:t>50000</w:t>
            </w:r>
          </w:p>
        </w:tc>
        <w:tc>
          <w:tcPr>
            <w:tcW w:w="1322" w:type="dxa"/>
            <w:tcBorders>
              <w:top w:val="single" w:color="auto" w:sz="4" w:space="0"/>
              <w:left w:val="single" w:color="auto" w:sz="4" w:space="0"/>
              <w:bottom w:val="single" w:color="auto" w:sz="4" w:space="0"/>
              <w:right w:val="single" w:color="auto" w:sz="4" w:space="0"/>
            </w:tcBorders>
            <w:noWrap/>
            <w:vAlign w:val="center"/>
          </w:tcPr>
          <w:p w14:paraId="0346BB89">
            <w:pPr>
              <w:adjustRightInd w:val="0"/>
              <w:snapToGrid w:val="0"/>
              <w:spacing w:line="300" w:lineRule="auto"/>
              <w:rPr>
                <w:rFonts w:ascii="宋体"/>
                <w:color w:val="auto"/>
                <w:kern w:val="0"/>
                <w:szCs w:val="21"/>
                <w:highlight w:val="none"/>
              </w:rPr>
            </w:pPr>
            <w:r>
              <w:rPr>
                <w:rFonts w:hint="eastAsia" w:ascii="宋体" w:hAnsi="宋体" w:cs="宋体"/>
                <w:b/>
                <w:color w:val="auto"/>
                <w:sz w:val="24"/>
                <w:szCs w:val="24"/>
                <w:highlight w:val="none"/>
                <w:lang w:bidi="ar"/>
              </w:rPr>
              <w:t xml:space="preserve">☑ </w:t>
            </w:r>
            <w:r>
              <w:rPr>
                <w:rFonts w:ascii="宋体" w:hAnsi="宋体" w:cs="宋体"/>
                <w:color w:val="auto"/>
                <w:kern w:val="0"/>
                <w:szCs w:val="21"/>
                <w:highlight w:val="none"/>
              </w:rPr>
              <w:t>100000</w:t>
            </w:r>
          </w:p>
        </w:tc>
      </w:tr>
      <w:tr w14:paraId="6884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14:paraId="4A4B32F0">
            <w:pPr>
              <w:adjustRightInd w:val="0"/>
              <w:snapToGrid w:val="0"/>
              <w:jc w:val="center"/>
              <w:rPr>
                <w:rFonts w:ascii="宋体"/>
                <w:color w:val="auto"/>
                <w:kern w:val="0"/>
                <w:szCs w:val="21"/>
                <w:highlight w:val="none"/>
              </w:rPr>
            </w:pPr>
            <w:r>
              <w:rPr>
                <w:rFonts w:hint="eastAsia" w:ascii="宋体" w:hAnsi="宋体" w:cs="宋体"/>
                <w:color w:val="auto"/>
                <w:kern w:val="0"/>
                <w:szCs w:val="21"/>
                <w:highlight w:val="none"/>
              </w:rPr>
              <w:t>2</w:t>
            </w:r>
          </w:p>
        </w:tc>
        <w:tc>
          <w:tcPr>
            <w:tcW w:w="1705" w:type="dxa"/>
            <w:tcBorders>
              <w:top w:val="single" w:color="auto" w:sz="4" w:space="0"/>
              <w:left w:val="single" w:color="auto" w:sz="4" w:space="0"/>
              <w:bottom w:val="single" w:color="auto" w:sz="4" w:space="0"/>
              <w:right w:val="single" w:color="auto" w:sz="4" w:space="0"/>
            </w:tcBorders>
            <w:noWrap/>
            <w:vAlign w:val="center"/>
          </w:tcPr>
          <w:p w14:paraId="095150D6">
            <w:pPr>
              <w:adjustRightInd w:val="0"/>
              <w:snapToGrid w:val="0"/>
              <w:rPr>
                <w:rFonts w:ascii="宋体"/>
                <w:color w:val="auto"/>
                <w:kern w:val="0"/>
                <w:szCs w:val="21"/>
                <w:highlight w:val="none"/>
              </w:rPr>
            </w:pPr>
            <w:r>
              <w:rPr>
                <w:rFonts w:hint="eastAsia" w:ascii="宋体" w:hAnsi="宋体" w:cs="宋体"/>
                <w:color w:val="auto"/>
                <w:kern w:val="0"/>
                <w:szCs w:val="21"/>
                <w:highlight w:val="none"/>
              </w:rPr>
              <w:t>各阶段投入劳动力</w:t>
            </w:r>
          </w:p>
        </w:tc>
        <w:tc>
          <w:tcPr>
            <w:tcW w:w="1903" w:type="dxa"/>
            <w:gridSpan w:val="2"/>
            <w:tcBorders>
              <w:top w:val="single" w:color="auto" w:sz="4" w:space="0"/>
              <w:left w:val="single" w:color="auto" w:sz="4" w:space="0"/>
              <w:bottom w:val="single" w:color="auto" w:sz="4" w:space="0"/>
              <w:right w:val="single" w:color="auto" w:sz="4" w:space="0"/>
            </w:tcBorders>
            <w:noWrap/>
            <w:vAlign w:val="center"/>
          </w:tcPr>
          <w:p w14:paraId="2F472A39">
            <w:pPr>
              <w:adjustRightInd w:val="0"/>
              <w:snapToGrid w:val="0"/>
              <w:rPr>
                <w:rFonts w:ascii="宋体"/>
                <w:color w:val="auto"/>
                <w:kern w:val="0"/>
                <w:szCs w:val="21"/>
                <w:highlight w:val="none"/>
              </w:rPr>
            </w:pPr>
            <w:r>
              <w:rPr>
                <w:rFonts w:hint="eastAsia" w:ascii="宋体" w:hAnsi="宋体" w:cs="宋体"/>
                <w:color w:val="auto"/>
                <w:kern w:val="0"/>
                <w:szCs w:val="21"/>
                <w:highlight w:val="none"/>
              </w:rPr>
              <w:t>每少</w:t>
            </w:r>
            <w:r>
              <w:rPr>
                <w:rFonts w:ascii="宋体" w:hAnsi="宋体" w:cs="宋体"/>
                <w:color w:val="auto"/>
                <w:kern w:val="0"/>
                <w:szCs w:val="21"/>
                <w:highlight w:val="none"/>
              </w:rPr>
              <w:t>1</w:t>
            </w:r>
            <w:r>
              <w:rPr>
                <w:rFonts w:hint="eastAsia" w:ascii="宋体" w:hAnsi="宋体" w:cs="宋体"/>
                <w:color w:val="auto"/>
                <w:kern w:val="0"/>
                <w:szCs w:val="21"/>
                <w:highlight w:val="none"/>
              </w:rPr>
              <w:t>人</w:t>
            </w:r>
          </w:p>
        </w:tc>
        <w:tc>
          <w:tcPr>
            <w:tcW w:w="3657" w:type="dxa"/>
            <w:gridSpan w:val="4"/>
            <w:tcBorders>
              <w:top w:val="single" w:color="auto" w:sz="4" w:space="0"/>
              <w:left w:val="single" w:color="auto" w:sz="4" w:space="0"/>
              <w:bottom w:val="single" w:color="auto" w:sz="4" w:space="0"/>
              <w:right w:val="single" w:color="auto" w:sz="4" w:space="0"/>
            </w:tcBorders>
            <w:noWrap/>
            <w:vAlign w:val="center"/>
          </w:tcPr>
          <w:p w14:paraId="1BCD4713">
            <w:pPr>
              <w:adjustRightInd w:val="0"/>
              <w:snapToGrid w:val="0"/>
              <w:jc w:val="center"/>
              <w:rPr>
                <w:rFonts w:ascii="宋体"/>
                <w:color w:val="auto"/>
                <w:kern w:val="0"/>
                <w:szCs w:val="21"/>
                <w:highlight w:val="none"/>
              </w:rPr>
            </w:pPr>
            <w:r>
              <w:rPr>
                <w:rFonts w:ascii="宋体" w:hAnsi="宋体" w:cs="宋体"/>
                <w:color w:val="auto"/>
                <w:kern w:val="0"/>
                <w:szCs w:val="21"/>
                <w:highlight w:val="none"/>
              </w:rPr>
              <w:t>1000</w:t>
            </w:r>
          </w:p>
        </w:tc>
      </w:tr>
      <w:tr w14:paraId="49FD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477" w:type="dxa"/>
            <w:tcBorders>
              <w:top w:val="single" w:color="auto" w:sz="4" w:space="0"/>
              <w:left w:val="single" w:color="auto" w:sz="4" w:space="0"/>
              <w:bottom w:val="single" w:color="auto" w:sz="4" w:space="0"/>
              <w:right w:val="single" w:color="auto" w:sz="4" w:space="0"/>
            </w:tcBorders>
            <w:noWrap/>
            <w:vAlign w:val="center"/>
          </w:tcPr>
          <w:p w14:paraId="43D58D92">
            <w:pPr>
              <w:adjustRightInd w:val="0"/>
              <w:snapToGrid w:val="0"/>
              <w:jc w:val="center"/>
              <w:rPr>
                <w:rFonts w:ascii="宋体"/>
                <w:color w:val="auto"/>
                <w:kern w:val="0"/>
                <w:szCs w:val="21"/>
                <w:highlight w:val="none"/>
              </w:rPr>
            </w:pPr>
            <w:r>
              <w:rPr>
                <w:rFonts w:hint="eastAsia" w:ascii="宋体" w:hAnsi="宋体" w:cs="宋体"/>
                <w:color w:val="auto"/>
                <w:kern w:val="0"/>
                <w:szCs w:val="21"/>
                <w:highlight w:val="none"/>
              </w:rPr>
              <w:t>3</w:t>
            </w:r>
          </w:p>
        </w:tc>
        <w:tc>
          <w:tcPr>
            <w:tcW w:w="1705" w:type="dxa"/>
            <w:tcBorders>
              <w:top w:val="single" w:color="auto" w:sz="4" w:space="0"/>
              <w:left w:val="single" w:color="auto" w:sz="4" w:space="0"/>
              <w:bottom w:val="single" w:color="auto" w:sz="4" w:space="0"/>
              <w:right w:val="single" w:color="auto" w:sz="4" w:space="0"/>
            </w:tcBorders>
            <w:noWrap/>
            <w:vAlign w:val="center"/>
          </w:tcPr>
          <w:p w14:paraId="75EE55B9">
            <w:pPr>
              <w:adjustRightInd w:val="0"/>
              <w:snapToGrid w:val="0"/>
              <w:rPr>
                <w:rFonts w:ascii="宋体"/>
                <w:color w:val="auto"/>
                <w:kern w:val="0"/>
                <w:szCs w:val="21"/>
                <w:highlight w:val="none"/>
              </w:rPr>
            </w:pPr>
            <w:r>
              <w:rPr>
                <w:rFonts w:hint="eastAsia" w:ascii="宋体" w:hAnsi="宋体" w:cs="宋体"/>
                <w:color w:val="auto"/>
                <w:kern w:val="0"/>
                <w:szCs w:val="21"/>
                <w:highlight w:val="none"/>
              </w:rPr>
              <w:t>各阶段投入主要材料</w:t>
            </w:r>
          </w:p>
        </w:tc>
        <w:tc>
          <w:tcPr>
            <w:tcW w:w="1903" w:type="dxa"/>
            <w:gridSpan w:val="2"/>
            <w:tcBorders>
              <w:top w:val="single" w:color="auto" w:sz="4" w:space="0"/>
              <w:left w:val="single" w:color="auto" w:sz="4" w:space="0"/>
              <w:bottom w:val="single" w:color="auto" w:sz="4" w:space="0"/>
              <w:right w:val="single" w:color="auto" w:sz="4" w:space="0"/>
            </w:tcBorders>
            <w:noWrap/>
            <w:vAlign w:val="center"/>
          </w:tcPr>
          <w:p w14:paraId="47B5469A">
            <w:pPr>
              <w:adjustRightInd w:val="0"/>
              <w:snapToGrid w:val="0"/>
              <w:rPr>
                <w:rFonts w:ascii="宋体"/>
                <w:color w:val="auto"/>
                <w:kern w:val="0"/>
                <w:szCs w:val="21"/>
                <w:highlight w:val="none"/>
              </w:rPr>
            </w:pPr>
            <w:r>
              <w:rPr>
                <w:rFonts w:hint="eastAsia" w:ascii="宋体" w:hAnsi="宋体" w:cs="宋体"/>
                <w:color w:val="auto"/>
                <w:kern w:val="0"/>
                <w:szCs w:val="21"/>
                <w:highlight w:val="none"/>
              </w:rPr>
              <w:t>没有按发包人审定的总控或阶段计划投入，每少</w:t>
            </w:r>
            <w:r>
              <w:rPr>
                <w:rFonts w:ascii="宋体" w:hAnsi="宋体" w:cs="宋体"/>
                <w:color w:val="auto"/>
                <w:kern w:val="0"/>
                <w:szCs w:val="21"/>
                <w:highlight w:val="none"/>
              </w:rPr>
              <w:t>10%</w:t>
            </w:r>
          </w:p>
        </w:tc>
        <w:tc>
          <w:tcPr>
            <w:tcW w:w="1236" w:type="dxa"/>
            <w:gridSpan w:val="2"/>
            <w:tcBorders>
              <w:top w:val="single" w:color="auto" w:sz="4" w:space="0"/>
              <w:left w:val="single" w:color="auto" w:sz="4" w:space="0"/>
              <w:bottom w:val="single" w:color="auto" w:sz="4" w:space="0"/>
              <w:right w:val="single" w:color="auto" w:sz="4" w:space="0"/>
            </w:tcBorders>
            <w:noWrap/>
            <w:vAlign w:val="center"/>
          </w:tcPr>
          <w:p w14:paraId="0F5EB92F">
            <w:pPr>
              <w:adjustRightInd w:val="0"/>
              <w:snapToGrid w:val="0"/>
              <w:rPr>
                <w:rFonts w:ascii="宋体"/>
                <w:color w:val="auto"/>
                <w:kern w:val="0"/>
                <w:szCs w:val="21"/>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ascii="宋体" w:hAnsi="宋体" w:cs="宋体"/>
                <w:color w:val="auto"/>
                <w:kern w:val="0"/>
                <w:szCs w:val="21"/>
                <w:highlight w:val="none"/>
              </w:rPr>
              <w:t>100000</w:t>
            </w:r>
          </w:p>
        </w:tc>
        <w:tc>
          <w:tcPr>
            <w:tcW w:w="1099" w:type="dxa"/>
            <w:tcBorders>
              <w:top w:val="single" w:color="auto" w:sz="4" w:space="0"/>
              <w:left w:val="single" w:color="auto" w:sz="4" w:space="0"/>
              <w:bottom w:val="single" w:color="auto" w:sz="4" w:space="0"/>
              <w:right w:val="single" w:color="auto" w:sz="4" w:space="0"/>
            </w:tcBorders>
            <w:noWrap/>
            <w:vAlign w:val="center"/>
          </w:tcPr>
          <w:p w14:paraId="4A97879C">
            <w:pPr>
              <w:adjustRightInd w:val="0"/>
              <w:snapToGrid w:val="0"/>
              <w:rPr>
                <w:rFonts w:ascii="宋体"/>
                <w:color w:val="auto"/>
                <w:kern w:val="0"/>
                <w:szCs w:val="21"/>
                <w:highlight w:val="none"/>
              </w:rPr>
            </w:pP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ascii="宋体" w:hAnsi="宋体" w:cs="宋体"/>
                <w:color w:val="auto"/>
                <w:kern w:val="0"/>
                <w:szCs w:val="21"/>
                <w:highlight w:val="none"/>
              </w:rPr>
              <w:t>300000</w:t>
            </w:r>
          </w:p>
        </w:tc>
        <w:tc>
          <w:tcPr>
            <w:tcW w:w="1322" w:type="dxa"/>
            <w:tcBorders>
              <w:top w:val="single" w:color="auto" w:sz="4" w:space="0"/>
              <w:left w:val="single" w:color="auto" w:sz="4" w:space="0"/>
              <w:bottom w:val="single" w:color="auto" w:sz="4" w:space="0"/>
              <w:right w:val="single" w:color="auto" w:sz="4" w:space="0"/>
            </w:tcBorders>
            <w:noWrap/>
            <w:vAlign w:val="center"/>
          </w:tcPr>
          <w:p w14:paraId="10D26DDF">
            <w:pPr>
              <w:adjustRightInd w:val="0"/>
              <w:snapToGrid w:val="0"/>
              <w:rPr>
                <w:rFonts w:ascii="宋体"/>
                <w:color w:val="auto"/>
                <w:kern w:val="0"/>
                <w:szCs w:val="21"/>
                <w:highlight w:val="none"/>
              </w:rPr>
            </w:pPr>
            <w:r>
              <w:rPr>
                <w:rFonts w:hint="eastAsia" w:ascii="宋体" w:hAnsi="宋体" w:cs="宋体"/>
                <w:b/>
                <w:color w:val="auto"/>
                <w:sz w:val="24"/>
                <w:szCs w:val="24"/>
                <w:highlight w:val="none"/>
                <w:lang w:bidi="ar"/>
              </w:rPr>
              <w:t xml:space="preserve">☑ </w:t>
            </w:r>
            <w:r>
              <w:rPr>
                <w:rFonts w:ascii="宋体" w:hAnsi="宋体" w:cs="宋体"/>
                <w:color w:val="auto"/>
                <w:kern w:val="0"/>
                <w:szCs w:val="21"/>
                <w:highlight w:val="none"/>
              </w:rPr>
              <w:t>500000</w:t>
            </w:r>
          </w:p>
        </w:tc>
      </w:tr>
      <w:tr w14:paraId="41BA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477" w:type="dxa"/>
            <w:vMerge w:val="restart"/>
            <w:tcBorders>
              <w:top w:val="single" w:color="auto" w:sz="4" w:space="0"/>
              <w:left w:val="single" w:color="auto" w:sz="4" w:space="0"/>
              <w:bottom w:val="single" w:color="auto" w:sz="4" w:space="0"/>
              <w:right w:val="single" w:color="auto" w:sz="4" w:space="0"/>
            </w:tcBorders>
            <w:noWrap/>
            <w:vAlign w:val="center"/>
          </w:tcPr>
          <w:p w14:paraId="27FBD9FA">
            <w:pPr>
              <w:adjustRightInd w:val="0"/>
              <w:snapToGrid w:val="0"/>
              <w:jc w:val="center"/>
              <w:rPr>
                <w:rFonts w:ascii="宋体"/>
                <w:color w:val="auto"/>
                <w:kern w:val="0"/>
                <w:szCs w:val="21"/>
                <w:highlight w:val="none"/>
              </w:rPr>
            </w:pPr>
            <w:r>
              <w:rPr>
                <w:rFonts w:hint="eastAsia" w:ascii="宋体" w:hAnsi="宋体" w:cs="宋体"/>
                <w:color w:val="auto"/>
                <w:kern w:val="0"/>
                <w:szCs w:val="21"/>
                <w:highlight w:val="none"/>
              </w:rPr>
              <w:t>4</w:t>
            </w:r>
          </w:p>
        </w:tc>
        <w:tc>
          <w:tcPr>
            <w:tcW w:w="1705" w:type="dxa"/>
            <w:vMerge w:val="restart"/>
            <w:tcBorders>
              <w:top w:val="single" w:color="auto" w:sz="4" w:space="0"/>
              <w:left w:val="single" w:color="auto" w:sz="4" w:space="0"/>
              <w:bottom w:val="single" w:color="auto" w:sz="4" w:space="0"/>
              <w:right w:val="single" w:color="auto" w:sz="4" w:space="0"/>
            </w:tcBorders>
            <w:noWrap/>
            <w:vAlign w:val="center"/>
          </w:tcPr>
          <w:p w14:paraId="2D59C232">
            <w:pPr>
              <w:adjustRightInd w:val="0"/>
              <w:snapToGrid w:val="0"/>
              <w:rPr>
                <w:rFonts w:ascii="宋体"/>
                <w:color w:val="auto"/>
                <w:kern w:val="0"/>
                <w:szCs w:val="21"/>
                <w:highlight w:val="none"/>
              </w:rPr>
            </w:pPr>
            <w:r>
              <w:rPr>
                <w:rFonts w:hint="eastAsia" w:ascii="宋体" w:hAnsi="宋体" w:cs="宋体"/>
                <w:color w:val="auto"/>
                <w:kern w:val="0"/>
                <w:szCs w:val="21"/>
                <w:highlight w:val="none"/>
              </w:rPr>
              <w:t>各阶段投入施工设备</w:t>
            </w:r>
          </w:p>
        </w:tc>
        <w:tc>
          <w:tcPr>
            <w:tcW w:w="1903" w:type="dxa"/>
            <w:gridSpan w:val="2"/>
            <w:tcBorders>
              <w:top w:val="single" w:color="auto" w:sz="4" w:space="0"/>
              <w:left w:val="single" w:color="auto" w:sz="4" w:space="0"/>
              <w:bottom w:val="single" w:color="auto" w:sz="4" w:space="0"/>
              <w:right w:val="single" w:color="auto" w:sz="4" w:space="0"/>
            </w:tcBorders>
            <w:noWrap/>
            <w:vAlign w:val="center"/>
          </w:tcPr>
          <w:p w14:paraId="6C0D9A44">
            <w:pPr>
              <w:adjustRightInd w:val="0"/>
              <w:snapToGrid w:val="0"/>
              <w:rPr>
                <w:rFonts w:ascii="宋体"/>
                <w:color w:val="auto"/>
                <w:kern w:val="0"/>
                <w:szCs w:val="21"/>
                <w:highlight w:val="none"/>
              </w:rPr>
            </w:pPr>
            <w:r>
              <w:rPr>
                <w:rFonts w:hint="eastAsia" w:ascii="宋体" w:hAnsi="宋体" w:cs="宋体"/>
                <w:color w:val="auto"/>
                <w:kern w:val="0"/>
                <w:szCs w:val="21"/>
                <w:highlight w:val="none"/>
              </w:rPr>
              <w:t>没有按发包人审定的总控或阶段计划投入，主要设备每少</w:t>
            </w:r>
            <w:r>
              <w:rPr>
                <w:rFonts w:ascii="宋体" w:hAnsi="宋体" w:cs="宋体"/>
                <w:color w:val="auto"/>
                <w:kern w:val="0"/>
                <w:szCs w:val="21"/>
                <w:highlight w:val="none"/>
              </w:rPr>
              <w:t>1</w:t>
            </w:r>
            <w:r>
              <w:rPr>
                <w:rFonts w:hint="eastAsia" w:ascii="宋体" w:hAnsi="宋体" w:cs="宋体"/>
                <w:color w:val="auto"/>
                <w:kern w:val="0"/>
                <w:szCs w:val="21"/>
                <w:highlight w:val="none"/>
              </w:rPr>
              <w:t>台</w:t>
            </w:r>
          </w:p>
        </w:tc>
        <w:tc>
          <w:tcPr>
            <w:tcW w:w="3657" w:type="dxa"/>
            <w:gridSpan w:val="4"/>
            <w:tcBorders>
              <w:top w:val="single" w:color="auto" w:sz="4" w:space="0"/>
              <w:left w:val="single" w:color="auto" w:sz="4" w:space="0"/>
              <w:bottom w:val="single" w:color="auto" w:sz="4" w:space="0"/>
              <w:right w:val="single" w:color="auto" w:sz="4" w:space="0"/>
            </w:tcBorders>
            <w:noWrap/>
            <w:vAlign w:val="center"/>
          </w:tcPr>
          <w:p w14:paraId="18302C8E">
            <w:pPr>
              <w:adjustRightInd w:val="0"/>
              <w:snapToGrid w:val="0"/>
              <w:jc w:val="center"/>
              <w:rPr>
                <w:rFonts w:ascii="宋体"/>
                <w:color w:val="auto"/>
                <w:kern w:val="0"/>
                <w:szCs w:val="21"/>
                <w:highlight w:val="none"/>
              </w:rPr>
            </w:pPr>
            <w:r>
              <w:rPr>
                <w:rFonts w:ascii="宋体" w:hAnsi="宋体" w:cs="宋体"/>
                <w:color w:val="auto"/>
                <w:kern w:val="0"/>
                <w:szCs w:val="21"/>
                <w:highlight w:val="none"/>
              </w:rPr>
              <w:t>50000</w:t>
            </w:r>
          </w:p>
        </w:tc>
      </w:tr>
      <w:tr w14:paraId="5C9F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477" w:type="dxa"/>
            <w:vMerge w:val="continue"/>
            <w:tcBorders>
              <w:top w:val="single" w:color="auto" w:sz="4" w:space="0"/>
              <w:left w:val="single" w:color="auto" w:sz="4" w:space="0"/>
              <w:bottom w:val="single" w:color="auto" w:sz="4" w:space="0"/>
              <w:right w:val="single" w:color="auto" w:sz="4" w:space="0"/>
            </w:tcBorders>
            <w:noWrap/>
            <w:vAlign w:val="center"/>
          </w:tcPr>
          <w:p w14:paraId="29986EC1">
            <w:pPr>
              <w:rPr>
                <w:color w:val="auto"/>
                <w:szCs w:val="21"/>
                <w:highlight w:val="none"/>
              </w:rPr>
            </w:pPr>
          </w:p>
        </w:tc>
        <w:tc>
          <w:tcPr>
            <w:tcW w:w="1705" w:type="dxa"/>
            <w:vMerge w:val="continue"/>
            <w:tcBorders>
              <w:top w:val="single" w:color="auto" w:sz="4" w:space="0"/>
              <w:left w:val="single" w:color="auto" w:sz="4" w:space="0"/>
              <w:bottom w:val="single" w:color="auto" w:sz="4" w:space="0"/>
              <w:right w:val="single" w:color="auto" w:sz="4" w:space="0"/>
            </w:tcBorders>
            <w:noWrap/>
            <w:vAlign w:val="center"/>
          </w:tcPr>
          <w:p w14:paraId="7120AB1E">
            <w:pPr>
              <w:rPr>
                <w:color w:val="auto"/>
                <w:szCs w:val="21"/>
                <w:highlight w:val="none"/>
              </w:rPr>
            </w:pPr>
          </w:p>
        </w:tc>
        <w:tc>
          <w:tcPr>
            <w:tcW w:w="1903" w:type="dxa"/>
            <w:gridSpan w:val="2"/>
            <w:tcBorders>
              <w:top w:val="single" w:color="auto" w:sz="4" w:space="0"/>
              <w:left w:val="single" w:color="auto" w:sz="4" w:space="0"/>
              <w:bottom w:val="single" w:color="auto" w:sz="4" w:space="0"/>
              <w:right w:val="single" w:color="auto" w:sz="4" w:space="0"/>
            </w:tcBorders>
            <w:noWrap/>
            <w:vAlign w:val="center"/>
          </w:tcPr>
          <w:p w14:paraId="271CAD70">
            <w:pPr>
              <w:adjustRightInd w:val="0"/>
              <w:snapToGrid w:val="0"/>
              <w:rPr>
                <w:rFonts w:ascii="宋体"/>
                <w:color w:val="auto"/>
                <w:kern w:val="0"/>
                <w:szCs w:val="21"/>
                <w:highlight w:val="none"/>
              </w:rPr>
            </w:pPr>
            <w:r>
              <w:rPr>
                <w:rFonts w:hint="eastAsia" w:ascii="宋体" w:hAnsi="宋体" w:cs="宋体"/>
                <w:color w:val="auto"/>
                <w:kern w:val="0"/>
                <w:szCs w:val="21"/>
                <w:highlight w:val="none"/>
              </w:rPr>
              <w:t>没有按发包人审定的总控或阶段计划投入，一般设备每少</w:t>
            </w:r>
            <w:r>
              <w:rPr>
                <w:rFonts w:ascii="宋体" w:hAnsi="宋体" w:cs="宋体"/>
                <w:color w:val="auto"/>
                <w:kern w:val="0"/>
                <w:szCs w:val="21"/>
                <w:highlight w:val="none"/>
              </w:rPr>
              <w:t>1</w:t>
            </w:r>
            <w:r>
              <w:rPr>
                <w:rFonts w:hint="eastAsia" w:ascii="宋体" w:hAnsi="宋体" w:cs="宋体"/>
                <w:color w:val="auto"/>
                <w:kern w:val="0"/>
                <w:szCs w:val="21"/>
                <w:highlight w:val="none"/>
              </w:rPr>
              <w:t>台</w:t>
            </w:r>
          </w:p>
        </w:tc>
        <w:tc>
          <w:tcPr>
            <w:tcW w:w="3657" w:type="dxa"/>
            <w:gridSpan w:val="4"/>
            <w:tcBorders>
              <w:top w:val="single" w:color="auto" w:sz="4" w:space="0"/>
              <w:left w:val="single" w:color="auto" w:sz="4" w:space="0"/>
              <w:bottom w:val="single" w:color="auto" w:sz="4" w:space="0"/>
              <w:right w:val="single" w:color="auto" w:sz="4" w:space="0"/>
            </w:tcBorders>
            <w:noWrap/>
            <w:vAlign w:val="center"/>
          </w:tcPr>
          <w:p w14:paraId="40AFCF8D">
            <w:pPr>
              <w:adjustRightInd w:val="0"/>
              <w:snapToGrid w:val="0"/>
              <w:jc w:val="center"/>
              <w:rPr>
                <w:rFonts w:ascii="宋体"/>
                <w:color w:val="auto"/>
                <w:kern w:val="0"/>
                <w:szCs w:val="21"/>
                <w:highlight w:val="none"/>
              </w:rPr>
            </w:pPr>
            <w:r>
              <w:rPr>
                <w:rFonts w:ascii="宋体" w:hAnsi="宋体" w:cs="宋体"/>
                <w:color w:val="auto"/>
                <w:kern w:val="0"/>
                <w:szCs w:val="21"/>
                <w:highlight w:val="none"/>
              </w:rPr>
              <w:t>10000</w:t>
            </w:r>
          </w:p>
        </w:tc>
      </w:tr>
    </w:tbl>
    <w:p w14:paraId="7EC091DB">
      <w:pPr>
        <w:adjustRightInd w:val="0"/>
        <w:snapToGrid w:val="0"/>
        <w:spacing w:line="360" w:lineRule="auto"/>
        <w:ind w:firstLine="480" w:firstLineChars="200"/>
        <w:rPr>
          <w:rFonts w:hint="eastAsia" w:ascii="宋体" w:hAnsi="宋体"/>
          <w:bCs/>
          <w:snapToGrid w:val="0"/>
          <w:color w:val="auto"/>
          <w:kern w:val="0"/>
          <w:sz w:val="24"/>
          <w:highlight w:val="none"/>
        </w:rPr>
      </w:pPr>
    </w:p>
    <w:p w14:paraId="4F3A41E4">
      <w:pPr>
        <w:adjustRightInd w:val="0"/>
        <w:snapToGrid w:val="0"/>
        <w:spacing w:line="360" w:lineRule="auto"/>
        <w:ind w:right="11" w:firstLine="463" w:firstLineChars="192"/>
        <w:rPr>
          <w:rFonts w:hint="eastAsia" w:ascii="宋体" w:hAnsi="宋体"/>
          <w:snapToGrid w:val="0"/>
          <w:color w:val="auto"/>
          <w:kern w:val="0"/>
          <w:sz w:val="24"/>
          <w:highlight w:val="none"/>
        </w:rPr>
      </w:pPr>
      <w:r>
        <w:rPr>
          <w:rFonts w:hint="eastAsia" w:ascii="宋体" w:hAnsi="宋体"/>
          <w:b/>
          <w:snapToGrid w:val="0"/>
          <w:color w:val="auto"/>
          <w:kern w:val="0"/>
          <w:sz w:val="24"/>
          <w:szCs w:val="24"/>
          <w:highlight w:val="none"/>
        </w:rPr>
        <w:sym w:font="Wingdings 2" w:char="0052"/>
      </w:r>
      <w:r>
        <w:rPr>
          <w:rFonts w:hint="eastAsia" w:ascii="宋体" w:hAnsi="宋体"/>
          <w:snapToGrid w:val="0"/>
          <w:color w:val="auto"/>
          <w:kern w:val="0"/>
          <w:sz w:val="24"/>
          <w:highlight w:val="none"/>
        </w:rPr>
        <w:t>（4）承包人不按本合同约定做好施工总承包管理或配合工作，经总监理工程师或发包人发出限期改正通知后3天内，承包人仍未能整改至令总监理工程师或发包人满意的，由承包人参</w:t>
      </w:r>
      <w:r>
        <w:rPr>
          <w:rFonts w:hint="eastAsia" w:ascii="宋体" w:hAnsi="宋体"/>
          <w:bCs/>
          <w:snapToGrid w:val="0"/>
          <w:color w:val="auto"/>
          <w:kern w:val="0"/>
          <w:sz w:val="24"/>
          <w:highlight w:val="none"/>
        </w:rPr>
        <w:t>照</w:t>
      </w:r>
      <w:r>
        <w:rPr>
          <w:rFonts w:hint="eastAsia" w:ascii="宋体" w:hAnsi="宋体"/>
          <w:snapToGrid w:val="0"/>
          <w:color w:val="auto"/>
          <w:kern w:val="0"/>
          <w:sz w:val="24"/>
          <w:highlight w:val="none"/>
        </w:rPr>
        <w:t>合同专用条款第38.7（1）款</w:t>
      </w:r>
      <w:r>
        <w:rPr>
          <w:rFonts w:hint="eastAsia" w:ascii="宋体" w:hAnsi="宋体"/>
          <w:bCs/>
          <w:snapToGrid w:val="0"/>
          <w:color w:val="auto"/>
          <w:kern w:val="0"/>
          <w:sz w:val="24"/>
          <w:highlight w:val="none"/>
        </w:rPr>
        <w:t>的约定向发包人承担违约责任。</w:t>
      </w:r>
    </w:p>
    <w:p w14:paraId="06EFB0E7">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承包人在发包人组织的考评中不合格的，必须按照考评通报的要求限期改正，并承担1次一般违约责任；承包人拒不限期改正或整改效果不明显的，承包人必须承担1次严重违约责任。若连续2次或累计3次考评不合格，承包人必须承担1次严重违约责任，并必须按照总监理工程师或者发包人的指令限期改正；承包人拒不限期改正或整改效果不明显的，发包人有权单方面部分解除合同或解除合同。若连续3次或累计5次考评不合格，发包人有权解除合同。（本项目不涉及）</w:t>
      </w:r>
    </w:p>
    <w:p w14:paraId="651DA830">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（7）承包人不按合同约定或发包人要求提交竣工结算资料的，每发生1次，承担1次一般违约责任。</w:t>
      </w:r>
    </w:p>
    <w:p w14:paraId="42ECCB6B">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（8）承包人单方面擅自终止或解除本合同</w:t>
      </w:r>
      <w:r>
        <w:rPr>
          <w:rFonts w:hint="eastAsia" w:ascii="宋体" w:hAnsi="宋体"/>
          <w:snapToGrid w:val="0"/>
          <w:color w:val="auto"/>
          <w:kern w:val="0"/>
          <w:sz w:val="24"/>
          <w:highlight w:val="none"/>
        </w:rPr>
        <w:t>的，应按合同专用条款第38.4（5）款约定的标准向发包人支付违约金及赔偿损失</w:t>
      </w:r>
      <w:r>
        <w:rPr>
          <w:rFonts w:hint="eastAsia" w:ascii="宋体" w:hAnsi="宋体"/>
          <w:bCs/>
          <w:snapToGrid w:val="0"/>
          <w:color w:val="auto"/>
          <w:kern w:val="0"/>
          <w:sz w:val="24"/>
          <w:highlight w:val="none"/>
        </w:rPr>
        <w:t>。</w:t>
      </w:r>
    </w:p>
    <w:p w14:paraId="42AD8A8B">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（9）承包人单方面擅自部分终止或者部分解除本合同的，</w:t>
      </w:r>
      <w:r>
        <w:rPr>
          <w:rFonts w:hint="eastAsia" w:ascii="宋体" w:hAnsi="宋体"/>
          <w:snapToGrid w:val="0"/>
          <w:color w:val="auto"/>
          <w:kern w:val="0"/>
          <w:sz w:val="24"/>
          <w:highlight w:val="none"/>
        </w:rPr>
        <w:t>应按合同专用条款第38.4（4）款约定的标准向发包人支付违约金及赔偿损失</w:t>
      </w:r>
      <w:r>
        <w:rPr>
          <w:rFonts w:hint="eastAsia" w:ascii="宋体" w:hAnsi="宋体"/>
          <w:bCs/>
          <w:snapToGrid w:val="0"/>
          <w:color w:val="auto"/>
          <w:kern w:val="0"/>
          <w:sz w:val="24"/>
          <w:highlight w:val="none"/>
        </w:rPr>
        <w:t>。</w:t>
      </w:r>
    </w:p>
    <w:p w14:paraId="013163DF">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（10）如承包人违反合同协议书第9条、第10条的约定，未在相关信息发生变化时及时将变更情况书面通知发包人的，经发包人每确认1次，承包人承担1次一般违约责任。</w:t>
      </w:r>
    </w:p>
    <w:p w14:paraId="4B648C13">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38.8工期延误方面的违约责任</w:t>
      </w:r>
    </w:p>
    <w:p w14:paraId="5EC061AD">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（1）承包人违反合同协议书第3.1款约定延期开工的，每迟延开工1天，应向发包人支付本合同价款1‰的违约金；迟延开工超过10天的，发包人有权单方面解除合同</w:t>
      </w:r>
      <w:r>
        <w:rPr>
          <w:rFonts w:hint="eastAsia" w:ascii="宋体" w:hAnsi="宋体"/>
          <w:bCs/>
          <w:snapToGrid w:val="0"/>
          <w:color w:val="auto"/>
          <w:kern w:val="0"/>
          <w:sz w:val="24"/>
          <w:highlight w:val="none"/>
        </w:rPr>
        <w:t>。</w:t>
      </w:r>
    </w:p>
    <w:p w14:paraId="12C11715">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（2）承包人违反合同专用条款第12.1款约定单方面停工的，每停工1天，应向发包人支付本合同价款1‰的违约金；连续停工超过5天或累计停工超过10天的，发包人有权单方面解除合同</w:t>
      </w:r>
      <w:r>
        <w:rPr>
          <w:rFonts w:hint="eastAsia" w:ascii="宋体" w:hAnsi="宋体"/>
          <w:bCs/>
          <w:snapToGrid w:val="0"/>
          <w:color w:val="auto"/>
          <w:kern w:val="0"/>
          <w:sz w:val="24"/>
          <w:highlight w:val="none"/>
        </w:rPr>
        <w:t>。</w:t>
      </w:r>
    </w:p>
    <w:p w14:paraId="5BA6668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承包人违反合同专用条款第10.1款的约定，延期交付施工组织设计，延期3天以内的（含3天），发包人给予书面警告；延期4～7天的，承包人应承担1次一般违约责任；延期8～10天的，承包人应承担1次严重违约责任；延期11天以上的（含11天），发包人有权单方面解除合同</w:t>
      </w:r>
      <w:r>
        <w:rPr>
          <w:rFonts w:hint="eastAsia" w:ascii="宋体" w:hAnsi="宋体"/>
          <w:bCs/>
          <w:snapToGrid w:val="0"/>
          <w:color w:val="auto"/>
          <w:kern w:val="0"/>
          <w:sz w:val="24"/>
          <w:highlight w:val="none"/>
        </w:rPr>
        <w:t>。</w:t>
      </w:r>
    </w:p>
    <w:p w14:paraId="2EF24697">
      <w:pPr>
        <w:tabs>
          <w:tab w:val="left" w:pos="1846"/>
        </w:tab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承包人违反合同专用条款第13条约定造成本工程关键节点工期延误的，每延误1天，应向发包人支付本合同价款1‰的违约金；延误超过5天的，发包人有权停止支付当月的工程进度款；延误10天以上的，承包人应在2天内制定出具体可行的自行赶工措施，报总监理工程师和发包人批准。如发包人认为承包人的赶工计划不可行，则发包人有权解除合同</w:t>
      </w:r>
      <w:r>
        <w:rPr>
          <w:rFonts w:hint="eastAsia" w:ascii="宋体" w:hAnsi="宋体"/>
          <w:bCs/>
          <w:snapToGrid w:val="0"/>
          <w:color w:val="auto"/>
          <w:kern w:val="0"/>
          <w:sz w:val="24"/>
          <w:highlight w:val="none"/>
        </w:rPr>
        <w:t>。</w:t>
      </w:r>
    </w:p>
    <w:p w14:paraId="62B047C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（5）承包人违反合同通用条款第14条约定造成本工程不能按照合同协议书第3条约定的竣工日期竣工的，每逾期1天，承包人必须按本合同价款的3‰向发包人支付违约金，同时由</w:t>
      </w:r>
      <w:r>
        <w:rPr>
          <w:rFonts w:hint="eastAsia" w:ascii="宋体" w:hAnsi="宋体"/>
          <w:bCs/>
          <w:snapToGrid w:val="0"/>
          <w:color w:val="auto"/>
          <w:kern w:val="0"/>
          <w:sz w:val="24"/>
          <w:highlight w:val="none"/>
        </w:rPr>
        <w:t>发包人按照对本工程最有利的原则，按如下约定选择处理：</w:t>
      </w:r>
    </w:p>
    <w:p w14:paraId="1949C4D4">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1）</w:t>
      </w:r>
      <w:r>
        <w:rPr>
          <w:rFonts w:hint="eastAsia" w:ascii="宋体" w:hAnsi="宋体"/>
          <w:bCs/>
          <w:snapToGrid w:val="0"/>
          <w:color w:val="auto"/>
          <w:kern w:val="0"/>
          <w:sz w:val="24"/>
          <w:highlight w:val="none"/>
        </w:rPr>
        <w:t>承包人按上述约定向发包人支付违约金并在发包人限定的时间内竣工；如承包人仍不能在发包人限定的时间内竣工，承包人除按上述约定支付违约金外（直至本工程全部竣工为止），还在工程结算时按本合同结算总价款下浮2%作为本合同的最终结算价款，同时承包人还应据实赔偿发包人的实际损失。</w:t>
      </w:r>
    </w:p>
    <w:p w14:paraId="6461B20C">
      <w:pPr>
        <w:adjustRightInd w:val="0"/>
        <w:snapToGrid w:val="0"/>
        <w:spacing w:line="360" w:lineRule="auto"/>
        <w:ind w:right="11"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2）</w:t>
      </w:r>
      <w:r>
        <w:rPr>
          <w:rFonts w:hint="eastAsia" w:ascii="宋体" w:hAnsi="宋体"/>
          <w:bCs/>
          <w:snapToGrid w:val="0"/>
          <w:color w:val="auto"/>
          <w:kern w:val="0"/>
          <w:sz w:val="24"/>
          <w:highlight w:val="none"/>
        </w:rPr>
        <w:t>由发包人将未完工程量从本合同中分割，交由第三方完成，由此发生的费用全部从本合同价款中支付，同时</w:t>
      </w:r>
      <w:r>
        <w:rPr>
          <w:rFonts w:hint="eastAsia" w:ascii="宋体" w:hAnsi="宋体"/>
          <w:snapToGrid w:val="0"/>
          <w:color w:val="auto"/>
          <w:kern w:val="0"/>
          <w:sz w:val="24"/>
          <w:highlight w:val="none"/>
        </w:rPr>
        <w:t>由承包人向发包人支付</w:t>
      </w:r>
      <w:r>
        <w:rPr>
          <w:rFonts w:hint="eastAsia" w:ascii="宋体" w:hAnsi="宋体"/>
          <w:bCs/>
          <w:snapToGrid w:val="0"/>
          <w:color w:val="auto"/>
          <w:kern w:val="0"/>
          <w:sz w:val="24"/>
          <w:highlight w:val="none"/>
        </w:rPr>
        <w:t>未完工程量</w:t>
      </w:r>
      <w:r>
        <w:rPr>
          <w:rFonts w:hint="eastAsia" w:ascii="宋体" w:hAnsi="宋体"/>
          <w:snapToGrid w:val="0"/>
          <w:color w:val="auto"/>
          <w:kern w:val="0"/>
          <w:sz w:val="24"/>
          <w:highlight w:val="none"/>
        </w:rPr>
        <w:t>价款20%的违约金并赔偿发包人的实际损失</w:t>
      </w:r>
      <w:r>
        <w:rPr>
          <w:rFonts w:hint="eastAsia" w:ascii="宋体" w:hAnsi="宋体"/>
          <w:bCs/>
          <w:snapToGrid w:val="0"/>
          <w:color w:val="auto"/>
          <w:kern w:val="0"/>
          <w:sz w:val="24"/>
          <w:highlight w:val="none"/>
        </w:rPr>
        <w:t>。</w:t>
      </w:r>
    </w:p>
    <w:p w14:paraId="68D11A1C">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38.9材料设备管理方面的违约责任</w:t>
      </w:r>
    </w:p>
    <w:p w14:paraId="3A00AF6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szCs w:val="24"/>
          <w:highlight w:val="none"/>
        </w:rPr>
        <w:t>（1）发包人（包括发包人委托的材料设备检验机构）或总监理工程师抽查承包人的工程材料设备（主要为：</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snapToGrid w:val="0"/>
          <w:color w:val="auto"/>
          <w:kern w:val="0"/>
          <w:sz w:val="24"/>
          <w:szCs w:val="24"/>
          <w:highlight w:val="none"/>
        </w:rPr>
        <w:t xml:space="preserve">甲招乙供材料设备  </w:t>
      </w:r>
      <w:r>
        <w:rPr>
          <w:rFonts w:hint="eastAsia" w:ascii="宋体" w:hAnsi="宋体" w:cs="宋体"/>
          <w:color w:val="auto"/>
          <w:kern w:val="0"/>
          <w:sz w:val="24"/>
          <w:szCs w:val="24"/>
          <w:highlight w:val="none"/>
          <w:lang w:bidi="ar"/>
        </w:rPr>
        <w:fldChar w:fldCharType="begin"/>
      </w:r>
      <w:r>
        <w:rPr>
          <w:rFonts w:hint="eastAsia" w:ascii="宋体" w:hAnsi="宋体" w:cs="宋体"/>
          <w:color w:val="auto"/>
          <w:kern w:val="0"/>
          <w:sz w:val="24"/>
          <w:szCs w:val="24"/>
          <w:highlight w:val="none"/>
          <w:lang w:bidi="ar"/>
        </w:rPr>
        <w:instrText xml:space="preserve"> EQ \o\ac(□,×)</w:instrText>
      </w:r>
      <w:r>
        <w:rPr>
          <w:rFonts w:hint="eastAsia" w:ascii="宋体" w:hAnsi="宋体" w:cs="宋体"/>
          <w:color w:val="auto"/>
          <w:kern w:val="0"/>
          <w:sz w:val="24"/>
          <w:szCs w:val="24"/>
          <w:highlight w:val="none"/>
          <w:lang w:bidi="ar"/>
        </w:rPr>
        <w:fldChar w:fldCharType="end"/>
      </w:r>
      <w:r>
        <w:rPr>
          <w:rFonts w:hint="eastAsia" w:ascii="宋体" w:hAnsi="宋体"/>
          <w:b/>
          <w:snapToGrid w:val="0"/>
          <w:color w:val="auto"/>
          <w:kern w:val="0"/>
          <w:sz w:val="24"/>
          <w:szCs w:val="24"/>
          <w:highlight w:val="none"/>
        </w:rPr>
        <w:t xml:space="preserve"> </w:t>
      </w:r>
      <w:r>
        <w:rPr>
          <w:rFonts w:hint="eastAsia" w:ascii="宋体" w:hAnsi="宋体"/>
          <w:snapToGrid w:val="0"/>
          <w:color w:val="auto"/>
          <w:kern w:val="0"/>
          <w:sz w:val="24"/>
          <w:szCs w:val="24"/>
          <w:highlight w:val="none"/>
        </w:rPr>
        <w:t>甲管乙供材料设备、乙供材料设备），发现所检查的材料与合同约定标准的任何一项不符合时，或与经发包人审批的材料不一致时，承包人除必须全部退货、返工，并赔偿发包人由此遭受的实际损失外，还应当根据该批次材料的价值，按照如下约定承担违约责任：</w:t>
      </w:r>
    </w:p>
    <w:p w14:paraId="0D244FF9">
      <w:pPr>
        <w:tabs>
          <w:tab w:val="left" w:pos="1276"/>
        </w:tab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A、单宗或批次价值不到5万元的材料设备抽检不合格的，每发生3例，由承包人承担1次一般违约责任。</w:t>
      </w:r>
    </w:p>
    <w:p w14:paraId="220C0798">
      <w:pPr>
        <w:tabs>
          <w:tab w:val="left" w:pos="1276"/>
        </w:tab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B、单宗或批次价值达到5万元不到10万元的材料设备抽检不合格的，每发生1例，由承包人承担1次一般违约责任。</w:t>
      </w:r>
    </w:p>
    <w:p w14:paraId="02B4381E">
      <w:pPr>
        <w:tabs>
          <w:tab w:val="left" w:pos="1276"/>
        </w:tabs>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C、单宗或批次价值达到10万元不到50万元的材料设备抽检不合格的，每发生1例，由承包人承担1次严重违约责任。</w:t>
      </w:r>
    </w:p>
    <w:p w14:paraId="3020618F">
      <w:pPr>
        <w:tabs>
          <w:tab w:val="left" w:pos="1276"/>
        </w:tabs>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D、单宗或批次价值达到50万元以上的材料设备抽检不合格的，每发生1例，发包人有权单方面部分解除合同或解除合同。</w:t>
      </w:r>
    </w:p>
    <w:p w14:paraId="53B4BCB9">
      <w:pPr>
        <w:adjustRightInd w:val="0"/>
        <w:snapToGrid w:val="0"/>
        <w:spacing w:line="360" w:lineRule="auto"/>
        <w:ind w:firstLine="480" w:firstLineChars="20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2）承包人必须保证用于本工程所有的材料设备的品牌、型号、规格、质量等符合本合同及招投标文件或公开择优竞价文件的要求。如发生不符合上述要求的情况（属于不可抗力或不可归责于承包人事由造成的除外），承包人必须无条件在发包人限定的时间内全部更换为符合要求的产品，并由承包人按所需更换的符合要求的货物价款的20%向发包人支付违约金，因此给发包人造成损失的，由承包人负责赔偿；同时，发包人有权将承包人的上述行为通过媒体公开披露，并移送有关主管部门依法处理。如因此致使发包人需要另行采购符合本合同及招投标文件或公开择优竞价文件要求的货物的，由承包人按另行采购的货物总价款的120%向发包人支付违约金。</w:t>
      </w:r>
    </w:p>
    <w:p w14:paraId="0EC17487">
      <w:pPr>
        <w:pStyle w:val="8"/>
        <w:adjustRightInd w:val="0"/>
        <w:snapToGrid w:val="0"/>
        <w:spacing w:line="360" w:lineRule="auto"/>
        <w:ind w:firstLine="480" w:firstLineChars="200"/>
        <w:rPr>
          <w:rFonts w:hAnsi="宋体"/>
          <w:snapToGrid w:val="0"/>
          <w:color w:val="auto"/>
          <w:kern w:val="0"/>
          <w:sz w:val="24"/>
          <w:szCs w:val="24"/>
          <w:highlight w:val="none"/>
        </w:rPr>
      </w:pPr>
      <w:r>
        <w:rPr>
          <w:rFonts w:hAnsi="宋体"/>
          <w:snapToGrid w:val="0"/>
          <w:color w:val="auto"/>
          <w:kern w:val="0"/>
          <w:sz w:val="24"/>
          <w:szCs w:val="24"/>
          <w:highlight w:val="none"/>
        </w:rPr>
        <w:t>（3）承包人不按合同专用条款第七章的约定对用于本工程的材料设备进行管理的，视同不服从发包人及监理单位管理，应按合同专用条款第38.7（1）款的约定承担违约责任；同时发包人有权暂停支付本工程进度款，直到承包人完成相关工作为止。</w:t>
      </w:r>
    </w:p>
    <w:p w14:paraId="49613898">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38.10工程质量方面的违约责任</w:t>
      </w:r>
    </w:p>
    <w:p w14:paraId="22BDAEE6">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（1）承包人必须对各工序报验核查质量控制点。承包人申请报验后，经总监理工程师或发包人检查发现存在较大质量问题（存在质量问题的部分超过检查部分工程的10%）的，则该工序质量为不合格，承包人必须</w:t>
      </w:r>
      <w:r>
        <w:rPr>
          <w:rFonts w:hint="eastAsia" w:ascii="宋体" w:hAnsi="宋体"/>
          <w:bCs/>
          <w:snapToGrid w:val="0"/>
          <w:color w:val="auto"/>
          <w:kern w:val="0"/>
          <w:sz w:val="24"/>
          <w:highlight w:val="none"/>
        </w:rPr>
        <w:t>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有权部分解除合同，将该分项工程另行发包，且不免除承包人应承担的违约赔偿责任。</w:t>
      </w:r>
    </w:p>
    <w:p w14:paraId="25377AED">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工程竣工验收不符合国家强制性标准及规范要求或者未能实现一次验收合格的，承包人除应向发包人支付本工程合同价款的20%作为违约金并无偿采取补救措施及赔偿发包人的实际损失外，还应承担由此引起的一切责任。</w:t>
      </w:r>
    </w:p>
    <w:p w14:paraId="56ABF467">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在本工程质量保修期内发现有重大质量问题的（该重大质量问题应界定为达不到要求的质量标准，属质量保修的问题除外），承包人必须在规定的期限内返工达到合同约定的质量等级并赔偿由此给发包人造成的损失，同时按所在工程合同价款的5%向发包人支付违约金。</w:t>
      </w:r>
    </w:p>
    <w:p w14:paraId="34CE100F">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（4）由于承包人的原因发生工程质量事故的，承包人应全额赔偿发包人的损失并承担相关法律责任。</w:t>
      </w:r>
    </w:p>
    <w:p w14:paraId="382EEB14">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（5）若工程未取得本合同约定的必须取得的工程质量奖，承包人应向发包人支付所在工程合同金额（不含暂列金及暂估价）1.5％的违约金。</w:t>
      </w:r>
    </w:p>
    <w:p w14:paraId="0CF6BA29">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38.11安全生产方面的违约责任</w:t>
      </w:r>
    </w:p>
    <w:p w14:paraId="6BA122C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在政府行政主管部门组织的安全生产检查中，被发现存在严重的安全隐患，被通报批评，或被新闻媒体曝光造成不良影响的，被通报或被曝光一次，承包人必须承担1次严重违约责任；造成严重社会影响或累计被通报或被曝光3次以上（含本数）的，发包人有权解除合同</w:t>
      </w:r>
      <w:r>
        <w:rPr>
          <w:rFonts w:hint="eastAsia" w:ascii="宋体" w:hAnsi="宋体"/>
          <w:bCs/>
          <w:snapToGrid w:val="0"/>
          <w:color w:val="auto"/>
          <w:kern w:val="0"/>
          <w:sz w:val="24"/>
          <w:highlight w:val="none"/>
        </w:rPr>
        <w:t>。</w:t>
      </w:r>
    </w:p>
    <w:p w14:paraId="108EB75B">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2）承包人在发包人、总监理工程师进行的日常安全生产检查中，被发现存在安全隐患的，承包人应限期改正。若同样问题被发现2次或累计类似问题被发现3次的，承包人必须承担1次一般违约责任。此类问题的认定，以发包人、总监理工程师书面通知、指令、通报或会议纪要为准。</w:t>
      </w:r>
    </w:p>
    <w:p w14:paraId="68D7F5D4">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（3）承包人因自身原因造成安全事故的，除按国家规定由主管部门处罚外，承包人必须依照下列约定承担违约责任：</w:t>
      </w:r>
    </w:p>
    <w:p w14:paraId="197D5035">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1）发生特别重大事故，承包人按事故所造成损失金额的15%向发包人支付违约金，同时违约金的数额不得低于40万元；</w:t>
      </w:r>
    </w:p>
    <w:p w14:paraId="3F3B6321">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2）发生重大事故，承包人按事故所造成损失金额的12%向发包人支付违约金，同时违约金的数额不得低于30万元；</w:t>
      </w:r>
    </w:p>
    <w:p w14:paraId="6AE4F301">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3）发生较大事故，承包人按事故所造成损失金额的10%向发包人支付违约金，同时违约金数额不得低于20万元；</w:t>
      </w:r>
    </w:p>
    <w:p w14:paraId="146CEDE3">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4）发生一般事故，承包人按事故所造成损失金额的8%向发包人支付违约金，同时违约金数额不得低于10万元。</w:t>
      </w:r>
    </w:p>
    <w:p w14:paraId="1EAF5D43">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发生上述安全事故，发包人给予承包人1次严重违约处罚，直至部分或全部解除合同。情节较轻的，给予1次一般违约处罚。</w:t>
      </w:r>
    </w:p>
    <w:p w14:paraId="6F5FC87E">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承包人依照上述约定支付违约金后，所支付的违约金不足以弥补由此给发包人造成的损失的，承包人还须补偿发包人的其他损失。</w:t>
      </w:r>
    </w:p>
    <w:p w14:paraId="2FD06009">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38.12文明施工、环境保护方面的违约责任</w:t>
      </w:r>
    </w:p>
    <w:p w14:paraId="42C313F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发包人、总监理工程师按照合同专用条款第24.1款的约定，对承包人文明施工措施进行对照检查。经检查发现承包人因自身原因未能落实的，承包人必须承担1次一般违约责任，并限期改正；如限期届满未改正的，承包人须承担1次严重违约责任。</w:t>
      </w:r>
    </w:p>
    <w:p w14:paraId="3D07D30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在行业主管部门的检查中，承包人的施工场地被评为不合格工地或者被通报批评或者被新闻媒体曝光的，承包人必须承担1次严重违约责任，并立即采取切实有效措施予以整改；拒不采取切实有效措施整改或整改效果不明显的，发包人有权部分或全部解除合同。</w:t>
      </w:r>
    </w:p>
    <w:p w14:paraId="3EC5BBF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承包人在施工过程中因其自身原因造成周围环境卫生状况较差，被其他施工单位或周围居民投诉的，承包人必须在当天内整改。若故意拖延或类似问题累计被投诉2次以上且经查实的，承包人必须承担1次严重违约责任。</w:t>
      </w:r>
    </w:p>
    <w:p w14:paraId="245E4E60">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38.13工程转包、分包方面的违约责任</w:t>
      </w:r>
    </w:p>
    <w:p w14:paraId="5D432185">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未按经发包人审批的资金使用计划等合同约定用途使用合同价款、未按要求提供已支付分包及材料设备供货单位价款凭证、拖欠分包单位合同款项及工人工资、或出现其他资金流向异常情形的，承包人应按总监理工程师或者发包人的指令限期改正。承包人拒不改正或未及时完成整改的，发包人有权视情节要求承包人承担一般违约责任或严重违约责任，同时前述违约情形与承包人履约评价考核挂钩。承包人若因此承担一般违约责任累计达3次，发包人有权另行追加严重违约责任1次；承担严重违约责任累计达3次，发包人有权单方面部分或全部解除合同。</w:t>
      </w:r>
    </w:p>
    <w:p w14:paraId="7E51431B">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转包工程或者违法分包工程，经建设行政主管部门调查核实并作出处理决定的，发包人将严格服从建设行政主管部门的处理决定，并有权要求承包人承担严重违约责任，同时发包人有权决定是否解除合同。因承包人转包工程或者违法分包工程给发包人造成损失的，发包人有权要求赔偿。</w:t>
      </w:r>
    </w:p>
    <w:p w14:paraId="49F3E2D1">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 （适用总承包）（3）承包人管理的专业分包单位不符合要求的，承包人应按总监理工程师或者发包人的指令限期撤换及整改，同时发包人有权要求承包人承担1次严重违约责任；前述违约情形与承包人履约评价考核挂钩。承包人拒不撤换、整改或未及时完成撤换、整改的，发包人有权单方面部分或全部解除合同。</w:t>
      </w:r>
    </w:p>
    <w:p w14:paraId="09B948E0">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38.14施工人员工资支付方面的违约责任</w:t>
      </w:r>
    </w:p>
    <w:p w14:paraId="3C3E07BC">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（1）承包人违反合同专用条款第9.5（2）款的约定，被施工人员投诉</w:t>
      </w:r>
      <w:r>
        <w:rPr>
          <w:rFonts w:ascii="宋体" w:hAnsi="宋体"/>
          <w:snapToGrid w:val="0"/>
          <w:color w:val="auto"/>
          <w:kern w:val="0"/>
          <w:sz w:val="24"/>
          <w:highlight w:val="none"/>
        </w:rPr>
        <w:t>或上访</w:t>
      </w:r>
      <w:r>
        <w:rPr>
          <w:rFonts w:hint="eastAsia" w:ascii="宋体" w:hAnsi="宋体"/>
          <w:snapToGrid w:val="0"/>
          <w:color w:val="auto"/>
          <w:kern w:val="0"/>
          <w:sz w:val="24"/>
          <w:highlight w:val="none"/>
        </w:rPr>
        <w:t>属实的，承包人必须在3天内发放拖欠的款项。若继续拖延被投诉2次及以上，经查实，承包人必须承担1次一般违约责任。若仍然不予整改并发放拖欠的款项，使施工人员采取停工、集聚围阻发包人办公地点甚至政府办公部门、阻塞交通要道、围堵或破坏、拆除已移交发包人的工程等过激行动的，承包人必须承担1次严重违约责任，并立即采取切实有效措施予以整改；拒不采取切实有效措施整改或整改效果不明显的，发包人有权部分或全部解除合同。</w:t>
      </w:r>
    </w:p>
    <w:p w14:paraId="4EDB9CDB">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由于承包人或其管理的分包单位（包括施工专业分包、供货分包及劳务分包单位等）拖欠施工人员工资致使发包人被投诉或起诉并被判令先行垫付施工人员工资的，承包人除承担1次严重违约责任外，还应向发包人支付发包人先行垫付的施工人员工资金额的120%作为补偿。</w:t>
      </w:r>
    </w:p>
    <w:p w14:paraId="4CD9DD90">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（3）因承包人违约导致发包人暂停支付工程款时，承包人不得以此为理由拖欠施工人员工资，在发包人和承包人就暂停支付工程款问题解决之前，承包人有义务先行支付其所属工人工资。</w:t>
      </w:r>
    </w:p>
    <w:p w14:paraId="5A178D4C">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（4）承包人</w:t>
      </w:r>
      <w:r>
        <w:rPr>
          <w:rFonts w:ascii="宋体" w:hAnsi="宋体"/>
          <w:snapToGrid w:val="0"/>
          <w:color w:val="auto"/>
          <w:kern w:val="0"/>
          <w:sz w:val="24"/>
          <w:highlight w:val="none"/>
        </w:rPr>
        <w:t>不按合同及有关规定按时</w:t>
      </w:r>
      <w:r>
        <w:rPr>
          <w:rFonts w:hint="eastAsia" w:ascii="宋体" w:hAnsi="宋体"/>
          <w:snapToGrid w:val="0"/>
          <w:color w:val="auto"/>
          <w:kern w:val="0"/>
          <w:sz w:val="24"/>
          <w:highlight w:val="none"/>
        </w:rPr>
        <w:t>、</w:t>
      </w:r>
      <w:r>
        <w:rPr>
          <w:rFonts w:ascii="宋体" w:hAnsi="宋体"/>
          <w:snapToGrid w:val="0"/>
          <w:color w:val="auto"/>
          <w:kern w:val="0"/>
          <w:sz w:val="24"/>
          <w:highlight w:val="none"/>
        </w:rPr>
        <w:t>足额支付分包单位合同价款及施工人员工资致使施工人员集体上访、集聚围阻</w:t>
      </w:r>
      <w:r>
        <w:rPr>
          <w:rFonts w:hint="eastAsia" w:ascii="宋体" w:hAnsi="宋体"/>
          <w:snapToGrid w:val="0"/>
          <w:color w:val="auto"/>
          <w:kern w:val="0"/>
          <w:sz w:val="24"/>
          <w:highlight w:val="none"/>
        </w:rPr>
        <w:t>而</w:t>
      </w:r>
      <w:r>
        <w:rPr>
          <w:rFonts w:ascii="宋体" w:hAnsi="宋体"/>
          <w:snapToGrid w:val="0"/>
          <w:color w:val="auto"/>
          <w:kern w:val="0"/>
          <w:sz w:val="24"/>
          <w:highlight w:val="none"/>
        </w:rPr>
        <w:t>造成</w:t>
      </w:r>
      <w:r>
        <w:rPr>
          <w:rFonts w:hint="eastAsia" w:ascii="宋体" w:hAnsi="宋体"/>
          <w:snapToGrid w:val="0"/>
          <w:color w:val="auto"/>
          <w:kern w:val="0"/>
          <w:sz w:val="24"/>
          <w:highlight w:val="none"/>
        </w:rPr>
        <w:t>社会</w:t>
      </w:r>
      <w:r>
        <w:rPr>
          <w:rFonts w:ascii="宋体" w:hAnsi="宋体"/>
          <w:snapToGrid w:val="0"/>
          <w:color w:val="auto"/>
          <w:kern w:val="0"/>
          <w:sz w:val="24"/>
          <w:highlight w:val="none"/>
        </w:rPr>
        <w:t>不良影响的，</w:t>
      </w:r>
      <w:r>
        <w:rPr>
          <w:rFonts w:hint="eastAsia" w:ascii="宋体" w:hAnsi="宋体"/>
          <w:snapToGrid w:val="0"/>
          <w:color w:val="auto"/>
          <w:kern w:val="0"/>
          <w:sz w:val="24"/>
          <w:highlight w:val="none"/>
        </w:rPr>
        <w:t>发包人</w:t>
      </w:r>
      <w:r>
        <w:rPr>
          <w:rFonts w:ascii="宋体" w:hAnsi="宋体"/>
          <w:snapToGrid w:val="0"/>
          <w:color w:val="auto"/>
          <w:kern w:val="0"/>
          <w:sz w:val="24"/>
          <w:highlight w:val="none"/>
        </w:rPr>
        <w:t>将立即终止与</w:t>
      </w:r>
      <w:r>
        <w:rPr>
          <w:rFonts w:hint="eastAsia" w:ascii="宋体" w:hAnsi="宋体"/>
          <w:snapToGrid w:val="0"/>
          <w:color w:val="auto"/>
          <w:kern w:val="0"/>
          <w:sz w:val="24"/>
          <w:highlight w:val="none"/>
        </w:rPr>
        <w:t>承包人</w:t>
      </w:r>
      <w:r>
        <w:rPr>
          <w:rFonts w:ascii="宋体" w:hAnsi="宋体"/>
          <w:snapToGrid w:val="0"/>
          <w:color w:val="auto"/>
          <w:kern w:val="0"/>
          <w:sz w:val="24"/>
          <w:highlight w:val="none"/>
        </w:rPr>
        <w:t>的合同，并上报省、市主管部门建议取消其参加广州地区省、市重大项目的投标资格并予以公告。如属恶意煽动并造成</w:t>
      </w:r>
      <w:r>
        <w:rPr>
          <w:rFonts w:hint="eastAsia" w:ascii="宋体" w:hAnsi="宋体"/>
          <w:snapToGrid w:val="0"/>
          <w:color w:val="auto"/>
          <w:kern w:val="0"/>
          <w:sz w:val="24"/>
          <w:highlight w:val="none"/>
        </w:rPr>
        <w:t>社会</w:t>
      </w:r>
      <w:r>
        <w:rPr>
          <w:rFonts w:ascii="宋体" w:hAnsi="宋体"/>
          <w:snapToGrid w:val="0"/>
          <w:color w:val="auto"/>
          <w:kern w:val="0"/>
          <w:sz w:val="24"/>
          <w:highlight w:val="none"/>
        </w:rPr>
        <w:t>不良影响的，</w:t>
      </w:r>
      <w:r>
        <w:rPr>
          <w:rFonts w:hint="eastAsia" w:ascii="宋体" w:hAnsi="宋体"/>
          <w:snapToGrid w:val="0"/>
          <w:color w:val="auto"/>
          <w:kern w:val="0"/>
          <w:sz w:val="24"/>
          <w:highlight w:val="none"/>
        </w:rPr>
        <w:t>发包人</w:t>
      </w:r>
      <w:r>
        <w:rPr>
          <w:rFonts w:ascii="宋体" w:hAnsi="宋体"/>
          <w:snapToGrid w:val="0"/>
          <w:color w:val="auto"/>
          <w:kern w:val="0"/>
          <w:sz w:val="24"/>
          <w:highlight w:val="none"/>
        </w:rPr>
        <w:t>将提请司法部门追究其法律责任。</w:t>
      </w:r>
    </w:p>
    <w:p w14:paraId="5D1A0184">
      <w:pPr>
        <w:adjustRightInd w:val="0"/>
        <w:snapToGrid w:val="0"/>
        <w:spacing w:line="360" w:lineRule="auto"/>
        <w:ind w:right="11" w:firstLine="480" w:firstLineChars="200"/>
        <w:outlineLvl w:val="3"/>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38.15除上述约定之外，承包人不履行或不完全履行合同其他义务的，均构成违约，应当承担1次一般违约责任。情节较轻的，可给予书面警告；情节较重的，应当承担1次严重违约责任。</w:t>
      </w:r>
    </w:p>
    <w:p w14:paraId="47569490">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38.16承包人违约责任的认定方式、送达程序及违约金的处理</w:t>
      </w:r>
    </w:p>
    <w:p w14:paraId="47F0A86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（1）认定方式：以发包人发出的通知、通报、会议纪要等书面文件确定的内容为准。</w:t>
      </w:r>
    </w:p>
    <w:p w14:paraId="30FCB4A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（2）送达程序：发包人以下列方式之一将书面违约处理决定送达承包人：</w:t>
      </w:r>
    </w:p>
    <w:p w14:paraId="3FEC1C7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1）承包人现场管理机构工作人员签收。</w:t>
      </w:r>
    </w:p>
    <w:p w14:paraId="5A1CBF2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2）承包人其他工作人员签收。</w:t>
      </w:r>
    </w:p>
    <w:p w14:paraId="46A834B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3）发包人邮寄送达。</w:t>
      </w:r>
    </w:p>
    <w:p w14:paraId="35D94F6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发包人以书面形式作出的违约处理决定一经送达承包人立即生效。承包人如有足够证据证明不应由其承担违约责任的，属不需支付违约金的，应在收到违约处理决定后3天内以书面形式向发包人提出异议并附上有关证据；属需要支付违约金的，应在工程结算报告送达监理单位前以书面形式向发包人提出异议并附上有关证据。发包人在收到承包人的异议后15个工作日内审核完毕且作出书面决定并通知承包人。在异议审核期间，承包人须正常施工，不得以审核未确定为由拖延或者中止工程施工。</w:t>
      </w:r>
    </w:p>
    <w:p w14:paraId="50588641">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39、索赔</w:t>
      </w:r>
    </w:p>
    <w:p w14:paraId="782A5DB1">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承包人与发包人一致同意不适用合同通用条款第39.2、39.3款的约定，代之以：</w:t>
      </w:r>
    </w:p>
    <w:p w14:paraId="6C11064C">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39</w:t>
      </w:r>
      <w:r>
        <w:rPr>
          <w:rFonts w:ascii="宋体" w:hAnsi="宋体"/>
          <w:snapToGrid w:val="0"/>
          <w:color w:val="auto"/>
          <w:kern w:val="0"/>
          <w:sz w:val="24"/>
          <w:highlight w:val="none"/>
        </w:rPr>
        <w:t>.2</w:t>
      </w:r>
      <w:r>
        <w:rPr>
          <w:rFonts w:hint="eastAsia" w:ascii="宋体" w:hAnsi="宋体"/>
          <w:snapToGrid w:val="0"/>
          <w:color w:val="auto"/>
          <w:kern w:val="0"/>
          <w:sz w:val="24"/>
          <w:highlight w:val="none"/>
        </w:rPr>
        <w:t>承包人向发包人索赔的程序</w:t>
      </w:r>
    </w:p>
    <w:p w14:paraId="3DF81789">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当索赔事件首次发生后的14天内，承包人将自己的索赔意向书面通知监理单位，并呈交给发包人一份副本。若索赔事件首次发生后的14天内，承包人未提出索赔意向书，则从第15天起，监理单位及发包人有权拒绝承包人的索赔要求。</w:t>
      </w:r>
    </w:p>
    <w:p w14:paraId="056ED9DC">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2）承包人应保持索赔事件同期记录，以便合理地证明承包人后来要申请的索赔。监理单位在收到承包人的索赔意向通知时，应先检查这些同期记录，并可指定承包人进一步做好同期记录，承包人应允许监理单位检查全部记录，并在监理单位发出指令时提供记录的副本。</w:t>
      </w:r>
    </w:p>
    <w:p w14:paraId="2F1B9F27">
      <w:pPr>
        <w:adjustRightInd w:val="0"/>
        <w:snapToGrid w:val="0"/>
        <w:spacing w:line="360" w:lineRule="auto"/>
        <w:ind w:right="11" w:firstLine="460" w:firstLineChars="192"/>
        <w:rPr>
          <w:rFonts w:hint="eastAsia" w:ascii="宋体" w:hAnsi="宋体"/>
          <w:bCs/>
          <w:snapToGrid w:val="0"/>
          <w:color w:val="auto"/>
          <w:kern w:val="0"/>
          <w:sz w:val="24"/>
          <w:highlight w:val="none"/>
        </w:rPr>
      </w:pPr>
      <w:r>
        <w:rPr>
          <w:rFonts w:hint="eastAsia" w:ascii="宋体" w:hAnsi="宋体"/>
          <w:snapToGrid w:val="0"/>
          <w:color w:val="auto"/>
          <w:kern w:val="0"/>
          <w:sz w:val="24"/>
          <w:highlight w:val="none"/>
        </w:rPr>
        <w:t>（3）承包人应在发出索赔意向通知后的14天内，向监理单位报送一份说明索赔所依据的理由和索赔款额的具体细节帐目的索赔报告。如果索赔事件尚未结束，承包人在索赔事件结束后的14天内，再报一份最终索赔报告给监理单位。</w:t>
      </w:r>
    </w:p>
    <w:p w14:paraId="705D60E9">
      <w:pPr>
        <w:adjustRightInd w:val="0"/>
        <w:snapToGrid w:val="0"/>
        <w:spacing w:line="360" w:lineRule="auto"/>
        <w:ind w:right="11" w:firstLine="460" w:firstLineChars="19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监理单位在收到承包人索赔报告或最终索赔报告后14天内，将处理意见书面通知发包人、承包人双方。若双方接受，此索赔事件结束；若任何一方不接受，经再次协商仍达不成一致的，则按合同专用条款第40条的约定处理。</w:t>
      </w:r>
    </w:p>
    <w:p w14:paraId="3AEC55B9">
      <w:pPr>
        <w:adjustRightInd w:val="0"/>
        <w:snapToGrid w:val="0"/>
        <w:spacing w:line="360" w:lineRule="auto"/>
        <w:ind w:right="11" w:firstLine="460" w:firstLineChars="192"/>
        <w:rPr>
          <w:rFonts w:hint="eastAsia" w:ascii="宋体" w:hAnsi="宋体" w:cs="宋体"/>
          <w:snapToGrid w:val="0"/>
          <w:color w:val="auto"/>
          <w:kern w:val="0"/>
          <w:sz w:val="24"/>
          <w:highlight w:val="none"/>
          <w:lang w:val="zh-CN"/>
        </w:rPr>
      </w:pPr>
      <w:r>
        <w:rPr>
          <w:rFonts w:ascii="宋体" w:hAnsi="宋体" w:cs="宋体"/>
          <w:snapToGrid w:val="0"/>
          <w:color w:val="auto"/>
          <w:kern w:val="0"/>
          <w:sz w:val="24"/>
          <w:highlight w:val="none"/>
          <w:lang w:val="zh-CN"/>
        </w:rPr>
        <w:t>3</w:t>
      </w:r>
      <w:r>
        <w:rPr>
          <w:rFonts w:hint="eastAsia" w:ascii="宋体" w:hAnsi="宋体" w:cs="宋体"/>
          <w:snapToGrid w:val="0"/>
          <w:color w:val="auto"/>
          <w:kern w:val="0"/>
          <w:sz w:val="24"/>
          <w:highlight w:val="none"/>
          <w:lang w:val="zh-CN"/>
        </w:rPr>
        <w:t>9</w:t>
      </w:r>
      <w:r>
        <w:rPr>
          <w:rFonts w:ascii="宋体" w:hAnsi="宋体" w:cs="宋体"/>
          <w:snapToGrid w:val="0"/>
          <w:color w:val="auto"/>
          <w:kern w:val="0"/>
          <w:sz w:val="24"/>
          <w:highlight w:val="none"/>
          <w:lang w:val="zh-CN"/>
        </w:rPr>
        <w:t>.</w:t>
      </w:r>
      <w:r>
        <w:rPr>
          <w:rFonts w:hint="eastAsia" w:ascii="宋体" w:hAnsi="宋体" w:cs="宋体"/>
          <w:snapToGrid w:val="0"/>
          <w:color w:val="auto"/>
          <w:kern w:val="0"/>
          <w:sz w:val="24"/>
          <w:highlight w:val="none"/>
          <w:lang w:val="zh-CN"/>
        </w:rPr>
        <w:t>3承包人未能按合同约定履行自己的各项义务或发生错误，发包人按如下约定向承包人索赔：</w:t>
      </w:r>
    </w:p>
    <w:p w14:paraId="5FA5220A">
      <w:pPr>
        <w:adjustRightInd w:val="0"/>
        <w:snapToGrid w:val="0"/>
        <w:spacing w:line="360" w:lineRule="auto"/>
        <w:ind w:right="11" w:firstLine="460" w:firstLineChars="192"/>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（1）发包人将自己的索赔意向书面通知承包人（同时抄送其保证人），要求承包人在限期内纠正其违约行为，否则发包人将考虑按合同约定作出相关处理决定。</w:t>
      </w:r>
    </w:p>
    <w:p w14:paraId="7903E518">
      <w:pPr>
        <w:adjustRightInd w:val="0"/>
        <w:snapToGrid w:val="0"/>
        <w:spacing w:line="360" w:lineRule="auto"/>
        <w:ind w:right="11" w:firstLine="460" w:firstLineChars="192"/>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2）限期届满，承包人没有用实际行动纠正自己的违约行为或者纠正行为不能使发包人满意或者纠正行为无法弥补发包人的损失的，则发包人直接按合同约定作出相关处理决定并向保证人发出正式书面索赔通知。</w:t>
      </w:r>
    </w:p>
    <w:p w14:paraId="20421999">
      <w:pPr>
        <w:adjustRightInd w:val="0"/>
        <w:snapToGrid w:val="0"/>
        <w:spacing w:line="360" w:lineRule="auto"/>
        <w:ind w:right="11" w:firstLine="460" w:firstLineChars="192"/>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3）如果通过向保证人索赔的方式依然不能完全弥补发包人的损失，则发包人有权在应支付给承包人的工程款中直接扣取。同时发包人有权要求承包人在规定时间内按合同专用条款第44.5款的约定向发包人补充提交履约担保。</w:t>
      </w:r>
    </w:p>
    <w:p w14:paraId="03E830DF">
      <w:pPr>
        <w:adjustRightInd w:val="0"/>
        <w:snapToGrid w:val="0"/>
        <w:spacing w:line="360" w:lineRule="auto"/>
        <w:ind w:right="11" w:firstLine="460" w:firstLineChars="192"/>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（4）如果通过向保证人索赔以及直接扣取工程款等方式依然不能完全弥补发包人损失的，承包人必须在发包人规定的时间内以现金形式支付剩余索赔额，否则发包人将按合同专用条款第40条的约定处理。</w:t>
      </w:r>
    </w:p>
    <w:p w14:paraId="014B34F5">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承包人与发包人一致同意增加39.4：</w:t>
      </w:r>
    </w:p>
    <w:p w14:paraId="70CB4A06">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39.4在任何索赔期间，不论索赔是否有据，均不能免除承包人按合同约定履行合同义务。承包人不得以此为借口，拒不履行或拖延合同的履行，否则发包人有权单方面终止合同，并要求承包人赔偿由此导致的发包人的损失。</w:t>
      </w:r>
    </w:p>
    <w:p w14:paraId="2BC98A6F">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40、争议</w:t>
      </w:r>
    </w:p>
    <w:p w14:paraId="09D3BE01">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40.1因本合同或者履行本合同所产生的争议</w:t>
      </w:r>
      <w:r>
        <w:rPr>
          <w:rFonts w:ascii="宋体" w:hAnsi="宋体"/>
          <w:snapToGrid w:val="0"/>
          <w:color w:val="auto"/>
          <w:kern w:val="0"/>
          <w:sz w:val="24"/>
          <w:highlight w:val="none"/>
        </w:rPr>
        <w:t>，</w:t>
      </w:r>
      <w:r>
        <w:rPr>
          <w:rFonts w:hint="eastAsia" w:ascii="宋体" w:hAnsi="宋体"/>
          <w:snapToGrid w:val="0"/>
          <w:color w:val="auto"/>
          <w:kern w:val="0"/>
          <w:sz w:val="24"/>
          <w:highlight w:val="none"/>
        </w:rPr>
        <w:t>由发包人与承包人双方协商解决，经协商达成一致意见的，应签订书面协议；协商不成的，可向工程所在地有关主管部门申请调解；调解不成的，双方均可向工程所在地人民法院提起诉讼。</w:t>
      </w:r>
    </w:p>
    <w:p w14:paraId="251AA9E2">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承包人与发包人一致同意增加40.3：</w:t>
      </w:r>
    </w:p>
    <w:p w14:paraId="5FEA903C">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40.3承包人无条件承诺：争议发生后，承包人必须在做好现场证据保全后继续按照合同要求施工，不得以解决争议为由单方面停工，或者以争议解决需要时日为由拖延施工；否则，发包人有权先行解除与承包人的合同，承包人必须在7天内撤场。承包人的撤场不影响发包人另行解决争议和索赔的权利。</w:t>
      </w:r>
    </w:p>
    <w:p w14:paraId="294ADF80">
      <w:pPr>
        <w:adjustRightInd w:val="0"/>
        <w:snapToGrid w:val="0"/>
        <w:spacing w:line="360" w:lineRule="auto"/>
        <w:ind w:right="11"/>
        <w:rPr>
          <w:rFonts w:hint="eastAsia" w:ascii="宋体" w:hAnsi="宋体"/>
          <w:snapToGrid w:val="0"/>
          <w:color w:val="auto"/>
          <w:kern w:val="0"/>
          <w:sz w:val="24"/>
          <w:highlight w:val="none"/>
        </w:rPr>
      </w:pPr>
    </w:p>
    <w:p w14:paraId="01929197">
      <w:pPr>
        <w:adjustRightInd w:val="0"/>
        <w:snapToGrid w:val="0"/>
        <w:spacing w:line="360" w:lineRule="auto"/>
        <w:ind w:right="11"/>
        <w:outlineLvl w:val="1"/>
        <w:rPr>
          <w:rFonts w:hint="eastAsia" w:ascii="宋体" w:hAnsi="宋体"/>
          <w:b/>
          <w:snapToGrid w:val="0"/>
          <w:color w:val="auto"/>
          <w:kern w:val="0"/>
          <w:sz w:val="28"/>
          <w:szCs w:val="28"/>
          <w:highlight w:val="none"/>
        </w:rPr>
      </w:pPr>
      <w:r>
        <w:rPr>
          <w:rFonts w:hint="eastAsia" w:ascii="宋体" w:hAnsi="宋体"/>
          <w:b/>
          <w:snapToGrid w:val="0"/>
          <w:color w:val="auto"/>
          <w:kern w:val="0"/>
          <w:sz w:val="28"/>
          <w:szCs w:val="28"/>
          <w:highlight w:val="none"/>
        </w:rPr>
        <w:t>十一、其他</w:t>
      </w:r>
    </w:p>
    <w:p w14:paraId="67B25A7B">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41、工程分包</w:t>
      </w:r>
    </w:p>
    <w:p w14:paraId="60F33C9E">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41.1本工程的主体及关键性工作必须由承包人自行完成，不得分包。非主体、非关键性工作的分包应在招投标文件中已有载明或者经发包人书面同意后方可实施。【☒（适用于部门预算立项项目）分包项目份额按本条第41.13款约定执行】。</w:t>
      </w:r>
    </w:p>
    <w:p w14:paraId="3E64EB68">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如招标文件中要求填报分包范围和/或分包单位而承包人未填报，或承包人未按发包人现行分包管理办法规定及时申报投标时填报的分包范围相应的分包单位，且承包人具备相应资质的，则应由承包人自行实施，不得分包。承包人投标时漏报又确须分包的，除应按发包人要求的时限提交书面分包申请外，还应承担严重违约责任一次。承包人自行实施的专业工程，应满足合同约定要求或工程进度、安全、质量、人员投入等项目实施要求。否则，发包人有权参照合同专用条款第38.13款等约定要求承包人承担违约责任。</w:t>
      </w:r>
    </w:p>
    <w:p w14:paraId="6092C1EF">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承包人应严格按照招投标文件的约定或发包人限定的时间与分包单位签订分包合同。</w:t>
      </w:r>
    </w:p>
    <w:p w14:paraId="2714EEE6">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41.2承包人应严格按照《房屋建筑和市政基础设施工程施工分包管理办法》(2014年住房和城乡建设部令第19号修改)、《建筑工程施工发包与承包违法行为认定查处管理办法》（建市规〔2019〕1号）等相关规定、发包人现行分包管理办法和本合同的约定做好分包管理工作，禁止将承包的工程进行转包或违法分包，禁止转让、出借企业资质证书或者以其他方式允许他人以本企业名义承揽工程，严禁个人承揽分包工程业务</w:t>
      </w:r>
      <w:r>
        <w:rPr>
          <w:rFonts w:ascii="宋体" w:hAnsi="宋体"/>
          <w:snapToGrid w:val="0"/>
          <w:color w:val="auto"/>
          <w:kern w:val="0"/>
          <w:sz w:val="24"/>
          <w:highlight w:val="none"/>
        </w:rPr>
        <w:t>。</w:t>
      </w:r>
    </w:p>
    <w:p w14:paraId="69A444ED">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承包人与发包人一致同意增加41.5至41.12：</w:t>
      </w:r>
    </w:p>
    <w:p w14:paraId="386A06CC">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41.5承包人</w:t>
      </w:r>
      <w:r>
        <w:rPr>
          <w:rFonts w:ascii="宋体" w:hAnsi="宋体"/>
          <w:snapToGrid w:val="0"/>
          <w:color w:val="auto"/>
          <w:kern w:val="0"/>
          <w:sz w:val="24"/>
          <w:highlight w:val="none"/>
        </w:rPr>
        <w:t>不履行合同约定，将其承包的全部工程发包给他人，或者将其承包的全部工程肢解后以分包的名义分别发包给他人的，属于转包行为</w:t>
      </w:r>
      <w:r>
        <w:rPr>
          <w:rFonts w:hint="eastAsia" w:ascii="宋体" w:hAnsi="宋体"/>
          <w:snapToGrid w:val="0"/>
          <w:color w:val="auto"/>
          <w:kern w:val="0"/>
          <w:sz w:val="24"/>
          <w:highlight w:val="none"/>
        </w:rPr>
        <w:t>；</w:t>
      </w:r>
      <w:r>
        <w:rPr>
          <w:rFonts w:ascii="宋体" w:hAnsi="宋体"/>
          <w:snapToGrid w:val="0"/>
          <w:color w:val="auto"/>
          <w:kern w:val="0"/>
          <w:sz w:val="24"/>
          <w:highlight w:val="none"/>
        </w:rPr>
        <w:t>将工程分包后，未在施工现场设立项目管理机构和派驻相应人员，未对该工程的施工活动进行组织管理的，视同转包行为。</w:t>
      </w:r>
    </w:p>
    <w:p w14:paraId="0201A9F2">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41.6</w:t>
      </w:r>
      <w:r>
        <w:rPr>
          <w:rFonts w:ascii="宋体" w:hAnsi="宋体"/>
          <w:snapToGrid w:val="0"/>
          <w:color w:val="auto"/>
          <w:kern w:val="0"/>
          <w:sz w:val="24"/>
          <w:highlight w:val="none"/>
        </w:rPr>
        <w:t>下列行为，属于违法分包：</w:t>
      </w:r>
    </w:p>
    <w:p w14:paraId="0A556D6B">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（1）承包人</w:t>
      </w:r>
      <w:r>
        <w:rPr>
          <w:rFonts w:ascii="宋体" w:hAnsi="宋体"/>
          <w:snapToGrid w:val="0"/>
          <w:color w:val="auto"/>
          <w:kern w:val="0"/>
          <w:sz w:val="24"/>
          <w:highlight w:val="none"/>
        </w:rPr>
        <w:t>将专业工程或者劳务作业分包给不具备相应资质条件的分包</w:t>
      </w:r>
      <w:r>
        <w:rPr>
          <w:rFonts w:hint="eastAsia" w:ascii="宋体" w:hAnsi="宋体"/>
          <w:snapToGrid w:val="0"/>
          <w:color w:val="auto"/>
          <w:kern w:val="0"/>
          <w:sz w:val="24"/>
          <w:highlight w:val="none"/>
        </w:rPr>
        <w:t>人</w:t>
      </w:r>
      <w:r>
        <w:rPr>
          <w:rFonts w:ascii="宋体" w:hAnsi="宋体"/>
          <w:snapToGrid w:val="0"/>
          <w:color w:val="auto"/>
          <w:kern w:val="0"/>
          <w:sz w:val="24"/>
          <w:highlight w:val="none"/>
        </w:rPr>
        <w:t>的；</w:t>
      </w:r>
    </w:p>
    <w:p w14:paraId="7E2C1417">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（2）本</w:t>
      </w:r>
      <w:r>
        <w:rPr>
          <w:rFonts w:ascii="宋体" w:hAnsi="宋体"/>
          <w:snapToGrid w:val="0"/>
          <w:color w:val="auto"/>
          <w:kern w:val="0"/>
          <w:sz w:val="24"/>
          <w:highlight w:val="none"/>
        </w:rPr>
        <w:t>合同中未有约定，又未经</w:t>
      </w:r>
      <w:r>
        <w:rPr>
          <w:rFonts w:hint="eastAsia" w:ascii="宋体" w:hAnsi="宋体"/>
          <w:snapToGrid w:val="0"/>
          <w:color w:val="auto"/>
          <w:kern w:val="0"/>
          <w:sz w:val="24"/>
          <w:highlight w:val="none"/>
        </w:rPr>
        <w:t>发包人</w:t>
      </w:r>
      <w:r>
        <w:rPr>
          <w:rFonts w:ascii="宋体" w:hAnsi="宋体"/>
          <w:snapToGrid w:val="0"/>
          <w:color w:val="auto"/>
          <w:kern w:val="0"/>
          <w:sz w:val="24"/>
          <w:highlight w:val="none"/>
        </w:rPr>
        <w:t>认可，</w:t>
      </w:r>
      <w:r>
        <w:rPr>
          <w:rFonts w:hint="eastAsia" w:ascii="宋体" w:hAnsi="宋体"/>
          <w:snapToGrid w:val="0"/>
          <w:color w:val="auto"/>
          <w:kern w:val="0"/>
          <w:sz w:val="24"/>
          <w:highlight w:val="none"/>
        </w:rPr>
        <w:t>承</w:t>
      </w:r>
      <w:r>
        <w:rPr>
          <w:rFonts w:ascii="宋体" w:hAnsi="宋体"/>
          <w:snapToGrid w:val="0"/>
          <w:color w:val="auto"/>
          <w:kern w:val="0"/>
          <w:sz w:val="24"/>
          <w:highlight w:val="none"/>
        </w:rPr>
        <w:t>包人将承包工程中的部分专业工程分包给他人的。</w:t>
      </w:r>
    </w:p>
    <w:p w14:paraId="7D9C573A">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41.7承</w:t>
      </w:r>
      <w:r>
        <w:rPr>
          <w:rFonts w:ascii="宋体" w:hAnsi="宋体"/>
          <w:snapToGrid w:val="0"/>
          <w:color w:val="auto"/>
          <w:kern w:val="0"/>
          <w:sz w:val="24"/>
          <w:highlight w:val="none"/>
        </w:rPr>
        <w:t>包人</w:t>
      </w:r>
      <w:r>
        <w:rPr>
          <w:rFonts w:hint="eastAsia" w:ascii="宋体" w:hAnsi="宋体"/>
          <w:snapToGrid w:val="0"/>
          <w:color w:val="auto"/>
          <w:kern w:val="0"/>
          <w:sz w:val="24"/>
          <w:highlight w:val="none"/>
        </w:rPr>
        <w:t>虽然</w:t>
      </w:r>
      <w:r>
        <w:rPr>
          <w:rFonts w:ascii="宋体" w:hAnsi="宋体"/>
          <w:snapToGrid w:val="0"/>
          <w:color w:val="auto"/>
          <w:kern w:val="0"/>
          <w:sz w:val="24"/>
          <w:highlight w:val="none"/>
        </w:rPr>
        <w:t>没有将其承包的工程进行分包，</w:t>
      </w:r>
      <w:r>
        <w:rPr>
          <w:rFonts w:hint="eastAsia" w:ascii="宋体" w:hAnsi="宋体"/>
          <w:snapToGrid w:val="0"/>
          <w:color w:val="auto"/>
          <w:kern w:val="0"/>
          <w:sz w:val="24"/>
          <w:highlight w:val="none"/>
        </w:rPr>
        <w:t>但</w:t>
      </w:r>
      <w:r>
        <w:rPr>
          <w:rFonts w:ascii="宋体" w:hAnsi="宋体"/>
          <w:snapToGrid w:val="0"/>
          <w:color w:val="auto"/>
          <w:kern w:val="0"/>
          <w:sz w:val="24"/>
          <w:highlight w:val="none"/>
        </w:rPr>
        <w:t>在施工现场所设项目管理机构的</w:t>
      </w:r>
      <w:r>
        <w:rPr>
          <w:rFonts w:hint="eastAsia" w:ascii="宋体" w:hAnsi="宋体"/>
          <w:snapToGrid w:val="0"/>
          <w:color w:val="auto"/>
          <w:kern w:val="0"/>
          <w:sz w:val="24"/>
          <w:highlight w:val="none"/>
        </w:rPr>
        <w:t>项目经理</w:t>
      </w:r>
      <w:r>
        <w:rPr>
          <w:rFonts w:ascii="宋体" w:hAnsi="宋体"/>
          <w:snapToGrid w:val="0"/>
          <w:color w:val="auto"/>
          <w:kern w:val="0"/>
          <w:sz w:val="24"/>
          <w:highlight w:val="none"/>
        </w:rPr>
        <w:t>、技术管理人员、核算管理人员、质量管理人员、安全管理人员不是承包人本单位人员的，视同允许他人以本企业名义承揽工程。</w:t>
      </w:r>
    </w:p>
    <w:p w14:paraId="0740394A">
      <w:pPr>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41.8承包人应参照合同专用条款第7条、第9条的有关约定，在发包人批准分包后5天内将分包单位工程现场组织管理人员名单及劳动力、施工机械设备投入计划报送发包人且负责落实到位，并接受总监理工程师和发包人代表的查验。</w:t>
      </w:r>
    </w:p>
    <w:p w14:paraId="4E131956">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41.9分包工程价款由承包人与发包人结算。承包人应按本合同及分包合同的有关约定及时审核、申请支付各种工程、劳务及材料设备款项，并向发包人提交下列资料：</w:t>
      </w:r>
    </w:p>
    <w:p w14:paraId="4C21FB07">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（1）属专业工程分包的，应向发包人提交分包人提交给承包人的履约担保文件复印件（应同时携带原件供发包人复核），具体按招标文件或发包人要求执行。</w:t>
      </w:r>
    </w:p>
    <w:p w14:paraId="14A019E8">
      <w:pPr>
        <w:adjustRightInd w:val="0"/>
        <w:snapToGrid w:val="0"/>
        <w:spacing w:line="360" w:lineRule="auto"/>
        <w:ind w:firstLine="48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（2）属材料设备供货的，应向发包人提交供货商提交给承包人的履约担保文件复印件（应同时携带原件供发包人复核），具体按招标文件或发包人要求执行。</w:t>
      </w:r>
    </w:p>
    <w:p w14:paraId="284951C5">
      <w:pPr>
        <w:adjustRightInd w:val="0"/>
        <w:snapToGrid w:val="0"/>
        <w:spacing w:line="360" w:lineRule="auto"/>
        <w:ind w:right="11" w:firstLine="480" w:firstLineChars="200"/>
        <w:outlineLvl w:val="3"/>
        <w:rPr>
          <w:rFonts w:hint="eastAsia" w:ascii="宋体" w:hAnsi="宋体"/>
          <w:bCs/>
          <w:iCs/>
          <w:snapToGrid w:val="0"/>
          <w:color w:val="auto"/>
          <w:kern w:val="0"/>
          <w:sz w:val="24"/>
          <w:highlight w:val="none"/>
        </w:rPr>
      </w:pPr>
      <w:r>
        <w:rPr>
          <w:rFonts w:hint="eastAsia" w:ascii="宋体" w:hAnsi="宋体"/>
          <w:snapToGrid w:val="0"/>
          <w:color w:val="auto"/>
          <w:kern w:val="0"/>
          <w:sz w:val="24"/>
          <w:highlight w:val="none"/>
        </w:rPr>
        <w:t>41.10承包人与发包人一致同意，本工程的所有分包单位（含材料设备供货单位）全部纳入发包人统一组织的考评，并按合同约定和发包人的有关管理规定承担相应义务，享有相应权利。考评结果中涉及对本合同价款的转付或扣取的，承包人承诺无条件服从。</w:t>
      </w:r>
    </w:p>
    <w:p w14:paraId="0FB1F6C7">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41.11承包人擅自更换投标时填报或经发包人审核后认可的专业分包单位，承包人承担50万元/次的违约赔偿责任；如果承包人投标时填报或经发包人审核的专业分包单位不能满足合同约定的要求或工程进度、安全、质量、人员投入等项目实施要求，承包人必须按指令限期撤换为符合要求的专业分包单位并对不符合实施要求的事项进行整改补救，同时按合同专用条款第38.13款承担违约责任。更换的专业分包单位经发包人审核确认后承担专业工程任务（发包人的审核确认并不免除承包人的相关责任及义务）。</w:t>
      </w:r>
    </w:p>
    <w:p w14:paraId="63AC1826">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41.12如发现承包人有转包、违法分包及挂靠等违法行为相关线索，发包人将约谈承包人。承包人若无法作出合理解释，无法提供或提供的材料不能证明其不存在线索所示违法行为的，发包人将上报行业行政主管部门，相应的法律后果及由此产生的一切损失由承包人承担。</w:t>
      </w:r>
    </w:p>
    <w:p w14:paraId="54B01B5E">
      <w:pPr>
        <w:adjustRightInd w:val="0"/>
        <w:snapToGrid w:val="0"/>
        <w:spacing w:line="360" w:lineRule="auto"/>
        <w:ind w:firstLine="480"/>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42、不可抗力</w:t>
      </w:r>
    </w:p>
    <w:p w14:paraId="1BAF80E7">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42.1不可抗力，是指不能预见、不能避免并不能克服，对本工程的施工造成重大实质性影响的自然灾害和战争、动乱（不包括承包人内部的任何纠纷和纷争）等事件。政府对本工程的政策变化、计划的调整，导致本工程不能如期进行，也属不可抗力的范围。</w:t>
      </w:r>
    </w:p>
    <w:p w14:paraId="4791E124">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自然灾害的范围及其认定方式，按如下约定执行：</w:t>
      </w:r>
    </w:p>
    <w:p w14:paraId="3CEF2451">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1）异常天气：仅指50年（含50年）一遇以上的洪水或10级（含10级）以上的台风。因异常天气袭击工地为确保安全而停工的，承包人应于台风、洪水天气结束之日起七日内，向当地气象部门索取工程所在地台风、暴雨天气资料或报告（含气象实况及对此分析的内容），连同</w:t>
      </w:r>
      <w:r>
        <w:rPr>
          <w:rFonts w:hint="eastAsia" w:ascii="宋体" w:hAnsi="宋体"/>
          <w:snapToGrid w:val="0"/>
          <w:color w:val="auto"/>
          <w:kern w:val="0"/>
          <w:sz w:val="24"/>
          <w:highlight w:val="none"/>
        </w:rPr>
        <w:t>施工</w:t>
      </w:r>
      <w:r>
        <w:rPr>
          <w:rFonts w:hint="eastAsia" w:ascii="宋体" w:hAnsi="宋体"/>
          <w:bCs/>
          <w:snapToGrid w:val="0"/>
          <w:color w:val="auto"/>
          <w:kern w:val="0"/>
          <w:sz w:val="24"/>
          <w:highlight w:val="none"/>
        </w:rPr>
        <w:t>日志、现场照片办理证据保全公证，方可认定为是不可抗力。</w:t>
      </w:r>
    </w:p>
    <w:p w14:paraId="688DCBA1">
      <w:pPr>
        <w:adjustRightInd w:val="0"/>
        <w:snapToGrid w:val="0"/>
        <w:spacing w:line="360" w:lineRule="auto"/>
        <w:ind w:firstLine="480" w:firstLineChars="20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（2）里氏5级（含5级）以上的地震。</w:t>
      </w:r>
    </w:p>
    <w:p w14:paraId="0B3F8A0A">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42.3因不可抗力引起工程停工的，工期按合同专用条款第13条的有关约定执行，费用承担按如下约定执行：</w:t>
      </w:r>
    </w:p>
    <w:p w14:paraId="746A1B7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（1）工程本身的损害，由发包人承担。</w:t>
      </w:r>
    </w:p>
    <w:p w14:paraId="29B841A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（2）因工程损害导致第三方人员伤亡和财产损失，如系在工程竣工验收合格移交给发包人使用前造成的，费用由承包人承担；如系在工程竣工验收合格移交给发包人使用后发生的，费用由发包人承担。</w:t>
      </w:r>
    </w:p>
    <w:p w14:paraId="61CBCBC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（3）运至施工场地用于施工的材料和待安装的设备的损害，属发包人供应的由发包人承担；属承包人采购的由承包人承担。</w:t>
      </w:r>
    </w:p>
    <w:p w14:paraId="5081B4A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（4）发包人、承包人的人员伤亡由其所在单位负责，并承担相应费用。</w:t>
      </w:r>
    </w:p>
    <w:p w14:paraId="3F2F2C2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（5）承包人机械设备损坏及停工损失，由承包人承担。</w:t>
      </w:r>
    </w:p>
    <w:p w14:paraId="4568E48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（6）停工期间，承包人应总监理工程师要求留在施工场地的必要的管理人员及保卫人员的费用由承包人承担。</w:t>
      </w:r>
    </w:p>
    <w:p w14:paraId="1CBD993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（7）工程所需清理、修复费用，由承包人承担。</w:t>
      </w:r>
    </w:p>
    <w:p w14:paraId="28E2457F">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43、保险</w:t>
      </w:r>
    </w:p>
    <w:p w14:paraId="0BC8C4AF">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43.6双方同意按照以下约定购买工程保险：</w:t>
      </w:r>
    </w:p>
    <w:p w14:paraId="6CA023CE">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本工程项目购买建筑（安装）工程一切险、安全生产责任险中第三者人身伤亡和财产损失赔偿等保险、其他保险（为运至施工场地内用于工程的材料和待安装工程设备办理）委托承包人进行购买，承包人应当在开工前向具备相应资格的保险人投保，该保险费已包含在本合同价款中，具体支付和结算方式按照合同专用条款28.2的约定执行。</w:t>
      </w:r>
    </w:p>
    <w:p w14:paraId="57F62813">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A：保险责任</w:t>
      </w:r>
    </w:p>
    <w:p w14:paraId="16BEB964">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建筑（安装）工程一切险保险责任：保险人负责赔偿在工程项目所在工地和中华人民共和国境内地域范围内其它地方，属于被保险人或其负有责任的永久性工程、临时工程、辅助工程和与此有关的设备、材料等（包括场地外堆放和任何形式的运输），包括在保险期限终止前由工程所有人（或发包人）签发完工验收证书或验收合格或实际占有或使用或接收的部分，因自然灾害及意外事故导致的损失，包括因此而产生的施救费用、清理场地费用及其他费用项目。</w:t>
      </w:r>
    </w:p>
    <w:p w14:paraId="5B5BC1A5">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安全生产责任险中的第三者人身伤亡和财产损失赔偿等保险责任：保险人负责赔偿因发生与保险工程（包括在保险期限终止前由工程所有人（或发包人）签发完工验收证书或验收合格或实际占有或使用或接收的部分）直接相关的包括但不限于施工所致意外事故引起工地内及邻近区域的第三者人身伤亡和财产损失赔偿以及因此造成的事故抢险救援、医疗救护、事故鉴定、法律服务和诉讼等费用。</w:t>
      </w:r>
    </w:p>
    <w:p w14:paraId="38F711E6">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B：保险人资格</w:t>
      </w:r>
    </w:p>
    <w:p w14:paraId="079659AB">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安全生产责任险保险人应在中华人民共和国境内依法注册并具有相应承保服务能力，遵照法律法规开展安责险业务。同属一家公司的保险机构应向上级公司申请授权在广州市注册唯一地市级分支机构统筹开展房屋建筑工程相关的安责险业务，并告知广州市安全生产委员会办公室（广州市应急管理局）、广州市住房和城乡建设局。其他保险人应为在中华人民共和国境内注册具有独立法人资格的保险公司总公司或经其唯一授权的省/市级分支机构。上述分支机构必须获得保险公司总公司法定代表人授权其参加本次承保的授权书；</w:t>
      </w:r>
    </w:p>
    <w:p w14:paraId="75D134F2">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保险人必须为经中国银行保险监督管理委员会批准在中华人民共和国境内设立和营业，且自身依法持有中国银行保险监督管理委员会或其派出机构颁发的包含本项目承保范围的保险业务许可证（业务范围包括财产保险和责任保险）。</w:t>
      </w:r>
    </w:p>
    <w:p w14:paraId="6FE908B5">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C：保险期限</w:t>
      </w:r>
    </w:p>
    <w:p w14:paraId="3A42BB21">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自保单生效之日起至合同约定项目工程竣工验收且完成竣工联合验收取得批复意见之日止，且保单生效之日必须不迟于工程开工之日。</w:t>
      </w:r>
    </w:p>
    <w:p w14:paraId="371FE163">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（2）承包人应当购买的保险包括：</w:t>
      </w:r>
    </w:p>
    <w:p w14:paraId="1CCECAFB">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1）建筑职工意外伤害险（足额购买）；</w:t>
      </w:r>
    </w:p>
    <w:p w14:paraId="7060E78C">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2）安全生产责任险中施工单位从业人员（含劳务派遣人员）人身伤亡和损害、赔偿以及因此造成的事故抢险救援、医疗救护、事故鉴定、法律服务和诉讼等相关保险（足额购买）；</w:t>
      </w:r>
    </w:p>
    <w:p w14:paraId="0CD17E4F">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3）承包人雇主责任险；</w:t>
      </w:r>
    </w:p>
    <w:p w14:paraId="45C1CE88">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4）施工机械设备保险；</w:t>
      </w:r>
    </w:p>
    <w:p w14:paraId="55FC9EF9">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5）建筑业职工工伤保险[按《广东省人力资源和社会保障厅 广东省财政厅 国家税务总局广东省税务局关于印发广东省工伤保险基金省级统筹实施方案的通知》（粤人社规[2019]20号）和《关于进一步做好我省建筑业工伤保险工作的实施意见》（粤人社规﹝2015﹞5号）的规定购买]。</w:t>
      </w:r>
    </w:p>
    <w:p w14:paraId="7C5DD6CC">
      <w:pPr>
        <w:adjustRightInd w:val="0"/>
        <w:snapToGrid w:val="0"/>
        <w:spacing w:line="360" w:lineRule="auto"/>
        <w:ind w:right="11" w:firstLine="460" w:firstLineChars="192"/>
        <w:outlineLvl w:val="2"/>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（3）承包人不按上述约定购买保险或保险购买不足额所产生的一切后果，由承包人自行承担。</w:t>
      </w:r>
    </w:p>
    <w:p w14:paraId="63717ECD">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44、担保</w:t>
      </w:r>
    </w:p>
    <w:p w14:paraId="2E6CA0ED">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44.3双方同意，承包人按如下约定向发包人提供履约担保</w:t>
      </w:r>
      <w:r>
        <w:rPr>
          <w:rFonts w:hint="eastAsia" w:ascii="宋体" w:hAnsi="宋体"/>
          <w:snapToGrid w:val="0"/>
          <w:color w:val="auto"/>
          <w:kern w:val="0"/>
          <w:sz w:val="24"/>
          <w:highlight w:val="none"/>
          <w:lang w:eastAsia="zh-CN"/>
        </w:rPr>
        <w:t>（</w:t>
      </w:r>
      <w:r>
        <w:rPr>
          <w:rFonts w:hint="eastAsia" w:ascii="宋体" w:hAnsi="宋体" w:eastAsia="宋体" w:cs="Times New Roman"/>
          <w:color w:val="auto"/>
          <w:sz w:val="24"/>
          <w:szCs w:val="24"/>
          <w:highlight w:val="none"/>
        </w:rPr>
        <w:t>履约保证金</w:t>
      </w:r>
      <w:r>
        <w:rPr>
          <w:rFonts w:hint="eastAsia" w:ascii="宋体" w:hAnsi="宋体"/>
          <w:snapToGrid w:val="0"/>
          <w:color w:val="auto"/>
          <w:kern w:val="0"/>
          <w:sz w:val="24"/>
          <w:highlight w:val="none"/>
          <w:lang w:eastAsia="zh-CN"/>
        </w:rPr>
        <w:t>）</w:t>
      </w:r>
      <w:r>
        <w:rPr>
          <w:rFonts w:hint="eastAsia" w:ascii="宋体" w:hAnsi="宋体"/>
          <w:snapToGrid w:val="0"/>
          <w:color w:val="auto"/>
          <w:kern w:val="0"/>
          <w:sz w:val="24"/>
          <w:highlight w:val="none"/>
        </w:rPr>
        <w:t>：</w:t>
      </w:r>
    </w:p>
    <w:p w14:paraId="1FD95621">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1.本合同签订后30日内，承包人按合同附件载明的格式向发包人提交由在中华人民共和国注册且营业地点在广州市行政辖区内的银行开出的担保金额为合同价款</w:t>
      </w:r>
      <w:r>
        <w:rPr>
          <w:rFonts w:hint="default" w:ascii="宋体" w:hAnsi="宋体"/>
          <w:snapToGrid w:val="0"/>
          <w:color w:val="auto"/>
          <w:kern w:val="0"/>
          <w:sz w:val="24"/>
          <w:highlight w:val="none"/>
          <w:lang w:val="en-US"/>
        </w:rPr>
        <w:t>10</w:t>
      </w:r>
      <w:r>
        <w:rPr>
          <w:rFonts w:hint="eastAsia" w:ascii="宋体" w:hAnsi="宋体"/>
          <w:snapToGrid w:val="0"/>
          <w:color w:val="auto"/>
          <w:kern w:val="0"/>
          <w:sz w:val="24"/>
          <w:highlight w:val="none"/>
        </w:rPr>
        <w:t>%的《履约银行保函》（以下简称“保函”）原件。</w:t>
      </w:r>
    </w:p>
    <w:p w14:paraId="27E8FFDB">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承包人如未能在上述约定的时间内提交履约担保的，发包人有权取消承包人中标资格并解除合同，给发包人造成损失的，发包人有权要求承包人承担赔偿责任。</w:t>
      </w:r>
    </w:p>
    <w:p w14:paraId="42EBB6B8">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需保证履约担保在本合同整个履行期间的有效性；若因工程延期或因其他原因导致担保期限未涵盖本合同整个有效期的，承包人应在担保有效期届满前45天办理履约担保续期手续，并于原担保有效期届满前10天向发包人提交同样格式且更新日期后的有效履约担保，以替代原履约担保。关于新履约担保担保金额：</w:t>
      </w:r>
    </w:p>
    <w:p w14:paraId="68805A02">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（1）若承包人已完成实体工程并无欠付发包人相关费用的，则无论原履约担保是否到期，承包人均可申请提交担保金额为原担保金额30%的新履约担保替换原履约担保。经监理单位及发包人审核同意后方可执行。</w:t>
      </w:r>
    </w:p>
    <w:p w14:paraId="37647A9C">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（2）若承包人未完成实体工程的，则须按原担保金额办理履约担保续期手续。</w:t>
      </w:r>
    </w:p>
    <w:p w14:paraId="087B83E1">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若履约担保到期，承包人未按合同约定更新履约担保的，应按以下约定承担违约责任，且发包人有权以不超过原担保金额为限暂停支付余下的合同价款，直至承包人提交新履约担保或提供本项目所需全部分部（子分部）工程质量验收记录及竣工图。</w:t>
      </w:r>
    </w:p>
    <w:p w14:paraId="26CFB88E">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（1）自原担保期限届满之日起5日内未提交新履约担保的，给予书面警告并限期整改。</w:t>
      </w:r>
    </w:p>
    <w:p w14:paraId="7F07AB30">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（2）若原担保过期达10天（含）仍未提交新履约担保的，则承包人承担一般违约责任；若原担保过期达30天（含）仍未提交新履约担保的，则承包人须再承担严重违约责任。</w:t>
      </w:r>
    </w:p>
    <w:p w14:paraId="7B6DA559">
      <w:pPr>
        <w:adjustRightInd w:val="0"/>
        <w:snapToGrid w:val="0"/>
        <w:spacing w:line="360" w:lineRule="auto"/>
        <w:ind w:right="11" w:firstLine="480" w:firstLineChars="200"/>
        <w:rPr>
          <w:rFonts w:hint="eastAsia" w:ascii="宋体" w:hAnsi="宋体"/>
          <w:snapToGrid w:val="0"/>
          <w:color w:val="auto"/>
          <w:kern w:val="0"/>
          <w:sz w:val="24"/>
          <w:highlight w:val="none"/>
          <w:u w:val="single"/>
        </w:rPr>
      </w:pPr>
      <w:r>
        <w:rPr>
          <w:rFonts w:hint="eastAsia" w:ascii="宋体" w:hAnsi="宋体"/>
          <w:snapToGrid w:val="0"/>
          <w:color w:val="auto"/>
          <w:kern w:val="0"/>
          <w:sz w:val="24"/>
          <w:highlight w:val="none"/>
        </w:rPr>
        <w:t>（3）若原担保过期达60天（含）仍未提交新履约担保的，则承包人除按上述约定承担违约责任外，自原担保届满第60天起，承包人应向发包人支付违约金×</w:t>
      </w:r>
      <w:r>
        <w:rPr>
          <w:rFonts w:hint="eastAsia" w:ascii="宋体" w:hAnsi="宋体"/>
          <w:snapToGrid w:val="0"/>
          <w:color w:val="auto"/>
          <w:kern w:val="0"/>
          <w:sz w:val="24"/>
          <w:highlight w:val="none"/>
        </w:rPr>
        <w:fldChar w:fldCharType="begin"/>
      </w:r>
      <w:r>
        <w:rPr>
          <w:rFonts w:hint="eastAsia" w:ascii="宋体" w:hAnsi="宋体"/>
          <w:snapToGrid w:val="0"/>
          <w:color w:val="auto"/>
          <w:kern w:val="0"/>
          <w:sz w:val="24"/>
          <w:highlight w:val="none"/>
        </w:rPr>
        <w:instrText xml:space="preserve"> EQ \o\ac(□,×)</w:instrText>
      </w:r>
      <w:r>
        <w:rPr>
          <w:rFonts w:hint="eastAsia" w:ascii="宋体" w:hAnsi="宋体"/>
          <w:snapToGrid w:val="0"/>
          <w:color w:val="auto"/>
          <w:kern w:val="0"/>
          <w:sz w:val="24"/>
          <w:highlight w:val="none"/>
        </w:rPr>
        <w:fldChar w:fldCharType="end"/>
      </w:r>
      <w:r>
        <w:rPr>
          <w:rFonts w:hint="eastAsia" w:ascii="宋体" w:hAnsi="宋体"/>
          <w:snapToGrid w:val="0"/>
          <w:color w:val="auto"/>
          <w:kern w:val="0"/>
          <w:sz w:val="24"/>
          <w:highlight w:val="none"/>
        </w:rPr>
        <w:t>20000元/天、×</w:t>
      </w:r>
      <w:r>
        <w:rPr>
          <w:rFonts w:hint="eastAsia" w:ascii="宋体" w:hAnsi="宋体"/>
          <w:snapToGrid w:val="0"/>
          <w:color w:val="auto"/>
          <w:kern w:val="0"/>
          <w:sz w:val="24"/>
          <w:highlight w:val="none"/>
        </w:rPr>
        <w:fldChar w:fldCharType="begin"/>
      </w:r>
      <w:r>
        <w:rPr>
          <w:rFonts w:hint="eastAsia" w:ascii="宋体" w:hAnsi="宋体"/>
          <w:snapToGrid w:val="0"/>
          <w:color w:val="auto"/>
          <w:kern w:val="0"/>
          <w:sz w:val="24"/>
          <w:highlight w:val="none"/>
        </w:rPr>
        <w:instrText xml:space="preserve"> EQ \o\ac(□,×)</w:instrText>
      </w:r>
      <w:r>
        <w:rPr>
          <w:rFonts w:hint="eastAsia" w:ascii="宋体" w:hAnsi="宋体"/>
          <w:snapToGrid w:val="0"/>
          <w:color w:val="auto"/>
          <w:kern w:val="0"/>
          <w:sz w:val="24"/>
          <w:highlight w:val="none"/>
        </w:rPr>
        <w:fldChar w:fldCharType="end"/>
      </w:r>
      <w:r>
        <w:rPr>
          <w:rFonts w:hint="eastAsia" w:ascii="宋体" w:hAnsi="宋体"/>
          <w:snapToGrid w:val="0"/>
          <w:color w:val="auto"/>
          <w:kern w:val="0"/>
          <w:sz w:val="24"/>
          <w:highlight w:val="none"/>
        </w:rPr>
        <w:t>50000元/天、☑100000元/天，直至承包人提交新履约担保或提供本项目所需全部分部（子分部）工程质量验收记录及竣工图。。</w:t>
      </w:r>
    </w:p>
    <w:p w14:paraId="0F8A036C">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承包人与发包人一致同意增加44.4至44.7：</w:t>
      </w:r>
    </w:p>
    <w:p w14:paraId="03F56784">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44.4承包人提交的履约担保是对本合同约定的承包人的全部义务（包括但不限于承包人违约后应支付的违约金和赔偿金）的担保，承包人的任何一次不履行或不完全履行合同义务的行为，发包人均有权向保证人提出索赔。。</w:t>
      </w:r>
    </w:p>
    <w:p w14:paraId="2E3414CF">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44.5承包人不履行或不完全履行合同义务的行为导致发包人依据履约担保向保证人索赔担保金额的一部分或者全部的，承包人必须在发包人规定的时间内补充提交履约担保，使得本合同履行期间有效的担保金额等于承包人第一次提交的担保金额。</w:t>
      </w:r>
    </w:p>
    <w:p w14:paraId="219A2888">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44.6如果承包人不按发包人的要求及时补充提交履约担保，则发包人有权单方面部分解除或解除本合同，并按合同专用条款第38.4（4）、（5）及47.9、47.10、47.11款的有关约定执行。</w:t>
      </w:r>
    </w:p>
    <w:p w14:paraId="46ECD008">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44.7承包人提供本项目所需全部分部（子分部）工程质量验收记录（☑地基与基础，☑主体结构，☑建筑装饰装修，☑屋面工程，☑建筑给水、排水及采暖，☑通风与空调，☑建筑电气，☑建筑智能化，☑建筑节能，☑电梯，☑室外设施，☑附属建筑及室外环境，☑室外安装, ☑其他）及竣工图后，可以向发包人申请退还履约担保。</w:t>
      </w:r>
      <w:r>
        <w:rPr>
          <w:rFonts w:hint="eastAsia" w:ascii="宋体" w:hAnsi="宋体"/>
          <w:snapToGrid w:val="0"/>
          <w:color w:val="auto"/>
          <w:kern w:val="0"/>
          <w:sz w:val="24"/>
          <w:szCs w:val="24"/>
          <w:highlight w:val="none"/>
        </w:rPr>
        <w:t>。</w:t>
      </w:r>
    </w:p>
    <w:p w14:paraId="22B37A93">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ascii="宋体" w:hAnsi="宋体"/>
          <w:b/>
          <w:bCs/>
          <w:snapToGrid w:val="0"/>
          <w:color w:val="auto"/>
          <w:kern w:val="0"/>
          <w:sz w:val="24"/>
          <w:highlight w:val="none"/>
        </w:rPr>
        <w:t>4</w:t>
      </w:r>
      <w:r>
        <w:rPr>
          <w:rFonts w:hint="eastAsia" w:ascii="宋体" w:hAnsi="宋体"/>
          <w:b/>
          <w:bCs/>
          <w:snapToGrid w:val="0"/>
          <w:color w:val="auto"/>
          <w:kern w:val="0"/>
          <w:sz w:val="24"/>
          <w:highlight w:val="none"/>
        </w:rPr>
        <w:t>7、合同解除</w:t>
      </w:r>
    </w:p>
    <w:p w14:paraId="4F2AA30F">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w:t>
      </w:r>
      <w:r>
        <w:rPr>
          <w:rFonts w:ascii="宋体" w:hAnsi="宋体"/>
          <w:snapToGrid w:val="0"/>
          <w:color w:val="auto"/>
          <w:kern w:val="0"/>
          <w:sz w:val="24"/>
          <w:highlight w:val="none"/>
        </w:rPr>
        <w:t>.</w:t>
      </w:r>
      <w:r>
        <w:rPr>
          <w:rFonts w:hint="eastAsia" w:ascii="宋体" w:hAnsi="宋体"/>
          <w:snapToGrid w:val="0"/>
          <w:color w:val="auto"/>
          <w:kern w:val="0"/>
          <w:sz w:val="24"/>
          <w:highlight w:val="none"/>
        </w:rPr>
        <w:t>7合同解除后，不影响双方在合同中约定的结算和清理条款的效力，亦不能免除承包人对已完工项目的保修责任。</w:t>
      </w:r>
    </w:p>
    <w:p w14:paraId="73D912AA">
      <w:pPr>
        <w:adjustRightInd w:val="0"/>
        <w:snapToGrid w:val="0"/>
        <w:spacing w:line="360" w:lineRule="auto"/>
        <w:ind w:right="11" w:firstLine="463" w:firstLineChars="19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承包人与发包人一致同意增加47.8至47.11：</w:t>
      </w:r>
    </w:p>
    <w:p w14:paraId="6BB1012C">
      <w:pPr>
        <w:adjustRightInd w:val="0"/>
        <w:snapToGrid w:val="0"/>
        <w:spacing w:line="360" w:lineRule="auto"/>
        <w:ind w:right="11" w:firstLine="460" w:firstLineChars="192"/>
        <w:outlineLvl w:val="3"/>
        <w:rPr>
          <w:rFonts w:hint="eastAsia" w:ascii="宋体" w:hAnsi="宋体"/>
          <w:b/>
          <w:bCs/>
          <w:snapToGrid w:val="0"/>
          <w:color w:val="auto"/>
          <w:kern w:val="0"/>
          <w:sz w:val="24"/>
          <w:highlight w:val="none"/>
        </w:rPr>
      </w:pPr>
      <w:r>
        <w:rPr>
          <w:rFonts w:hint="eastAsia" w:ascii="宋体" w:hAnsi="宋体"/>
          <w:snapToGrid w:val="0"/>
          <w:color w:val="auto"/>
          <w:kern w:val="0"/>
          <w:sz w:val="24"/>
          <w:highlight w:val="none"/>
        </w:rPr>
        <w:t>47.8发包人有权依据本合同有关条款的约定部分解除合同或解除合同。</w:t>
      </w:r>
    </w:p>
    <w:p w14:paraId="3F009304">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47.9部分解除合同</w:t>
      </w:r>
    </w:p>
    <w:p w14:paraId="25B1C95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承包人违约致部分解除合同的条件成就时，承包人在此承诺：</w:t>
      </w:r>
    </w:p>
    <w:p w14:paraId="577F99B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（1）因承包人违约致部分解除合同的条件成就时，发包人有权向承包人发出部分解除合同的通知，该通知送达承包人时部分解除合同即生效，并立即按照合同专用条款第38.4（4）款的约定执行。</w:t>
      </w:r>
    </w:p>
    <w:p w14:paraId="0D94CC1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（2）承包人在接到部分解除合同的通知后，在2天内停止该部分工程的施工，并将机械、材料、物件、人员从该部分工程的施工场地撤离。</w:t>
      </w:r>
    </w:p>
    <w:p w14:paraId="0DCFAC4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停工3天内，发包人、监理单位会同承包人对已完成工程量进行清点。发包人只承认已发生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4FC560A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（4）承包人在收到部分解除合同的通知后，若不按上述约定执行，发包人有权自行处理承包人滞留在施工现场的物品，处理费用及因此所造成的损失由承包人承担。</w:t>
      </w:r>
    </w:p>
    <w:p w14:paraId="751CFAF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（5）部分解除合同的通知送达承包人后，发包人就该部分解除合同的工程即可另行与其他单位签订施工合同，承包人不得阻碍新的单位进场施工。</w:t>
      </w:r>
    </w:p>
    <w:p w14:paraId="0427B67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（6）当部分解除合同的工程额达到本合同价款的50%时，发包人有权解除合同。</w:t>
      </w:r>
    </w:p>
    <w:p w14:paraId="3302842B">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47.10解除合同</w:t>
      </w:r>
    </w:p>
    <w:p w14:paraId="404ECCE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承包人违约致解除合同的条件成就时，承包人在此承诺：</w:t>
      </w:r>
    </w:p>
    <w:p w14:paraId="13F69D6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（1）因承包人违约致解除合同的条件成就时，发包人有权向承包人发出解除合同的通知，该通知送达承包人时解除合同即生效，并立即按照合同专用条款第38.4（5）款的约定执行。</w:t>
      </w:r>
    </w:p>
    <w:p w14:paraId="69B7F99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接到解除合同的通知后，必须在2天内停止工程施工，并在10天内将机械、材料、物件、人员从施工现场撤离。停工3天内，发包人、监理单位将会同承包人对已完成工程量进行清点，清点规则比照部分解除合同的情形处理。</w:t>
      </w:r>
    </w:p>
    <w:p w14:paraId="5AD12D0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承包人未在规定期限内离场的，发包人有权将其留在现场的材料、设备和其他物件临时转运到其他堆放处，由此产生的搬运、保管费用由承包人负责，在此过程中出现的任何非发包人主观故意引起的损坏、遗失及因此所造成的其他损失全部由承包人自行负责，处理费用由承包人承担。</w:t>
      </w:r>
    </w:p>
    <w:p w14:paraId="28F6695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（4）解除合同的通知送达承包人后，发包人就该解除合同的工程即可另行与其他单位签订施工合同，承包人不得阻碍新的单位进场施工。</w:t>
      </w:r>
    </w:p>
    <w:p w14:paraId="50704EB3">
      <w:pPr>
        <w:adjustRightInd w:val="0"/>
        <w:snapToGrid w:val="0"/>
        <w:spacing w:line="360" w:lineRule="auto"/>
        <w:ind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47.11承包人在部分解除合同或解除合同后，还必须在规定期限内作好已施工项目技术资料和实物的交底、移交工作。承包人因未履行上述义务而给发包人带来工期延误和其他损失的，应赔偿发包人的实际损失。</w:t>
      </w:r>
    </w:p>
    <w:p w14:paraId="3CFFF308">
      <w:pPr>
        <w:adjustRightInd w:val="0"/>
        <w:snapToGrid w:val="0"/>
        <w:spacing w:line="360" w:lineRule="auto"/>
        <w:ind w:right="11" w:firstLine="463" w:firstLineChars="192"/>
        <w:outlineLvl w:val="2"/>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50、补充条款</w:t>
      </w:r>
    </w:p>
    <w:p w14:paraId="000171AE">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50.1施工水电费（包括承包人本身及其总承包管理范围内的专业单位、分包单位的水电费）由承包人向有关部门缴纳，发包人协助办理相关手续。该类费用视为已含在合同总价中，发包人不再另行支付。</w:t>
      </w:r>
    </w:p>
    <w:p w14:paraId="754D8815">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50.2承包人承诺：</w:t>
      </w:r>
    </w:p>
    <w:p w14:paraId="35858C07">
      <w:pPr>
        <w:adjustRightInd w:val="0"/>
        <w:snapToGrid w:val="0"/>
        <w:spacing w:line="360" w:lineRule="auto"/>
        <w:ind w:right="11" w:firstLine="460" w:firstLineChars="192"/>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严格按照合同和招投标文件规定履行义务，并同意发包人将其履行合同、招投标文件义务的履约情况和不诚信行为（包括但不限于由发包人作出的违约责任处理决定等）在发包人网站及其他媒体上公开披露，由此造成的一切损失和不利后果均由承包人自行承担。。</w:t>
      </w:r>
    </w:p>
    <w:p w14:paraId="5609A10E">
      <w:pPr>
        <w:adjustRightInd w:val="0"/>
        <w:snapToGrid w:val="0"/>
        <w:spacing w:line="360" w:lineRule="auto"/>
        <w:ind w:right="11" w:firstLine="460" w:firstLineChars="192"/>
        <w:outlineLvl w:val="3"/>
        <w:rPr>
          <w:snapToGrid w:val="0"/>
          <w:color w:val="auto"/>
          <w:sz w:val="24"/>
          <w:szCs w:val="24"/>
          <w:highlight w:val="none"/>
        </w:rPr>
      </w:pPr>
      <w:r>
        <w:rPr>
          <w:rFonts w:hint="eastAsia"/>
          <w:snapToGrid w:val="0"/>
          <w:color w:val="auto"/>
          <w:sz w:val="24"/>
          <w:szCs w:val="24"/>
          <w:highlight w:val="none"/>
        </w:rPr>
        <w:t>（2）因承包人原因导致发包人参与诉讼、仲裁事项的，应赔偿发包人的经济损失，以及承担由此支出的所有诉讼费、仲裁费、律师费及其他费用，并且在收到发包人赔付通知后立即支付，否则，每逾期1日应按逾付款项总额的5‰向发包人承担违约责任。</w:t>
      </w:r>
    </w:p>
    <w:p w14:paraId="75B91FC7">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50</w:t>
      </w:r>
      <w:r>
        <w:rPr>
          <w:rFonts w:ascii="宋体" w:hAnsi="宋体"/>
          <w:snapToGrid w:val="0"/>
          <w:color w:val="auto"/>
          <w:kern w:val="0"/>
          <w:sz w:val="24"/>
          <w:highlight w:val="none"/>
        </w:rPr>
        <w:t>.</w:t>
      </w:r>
      <w:r>
        <w:rPr>
          <w:rFonts w:hint="eastAsia" w:ascii="宋体" w:hAnsi="宋体"/>
          <w:snapToGrid w:val="0"/>
          <w:color w:val="auto"/>
          <w:kern w:val="0"/>
          <w:sz w:val="24"/>
          <w:highlight w:val="none"/>
        </w:rPr>
        <w:t>3双方一致同意，在工程未竣工验收移交前所有工程资料均归发包人所有，并必须在现场存放保管，发包人委托监理单位负责看管，在未得到发包人同意前，上述资料不得移出工地现场。</w:t>
      </w:r>
    </w:p>
    <w:p w14:paraId="32F175D6">
      <w:pPr>
        <w:adjustRightInd w:val="0"/>
        <w:snapToGrid w:val="0"/>
        <w:spacing w:line="360" w:lineRule="auto"/>
        <w:ind w:right="11" w:firstLine="480" w:firstLineChars="20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50.4当发生下列情况之一时，双方应在事件发生后三个月内签订补充合同（协议），双方另有约定的除外：</w:t>
      </w:r>
    </w:p>
    <w:p w14:paraId="1EA84FAF">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（1）发包人根据合同协议书第3.3款的约定调整合同工期；</w:t>
      </w:r>
    </w:p>
    <w:p w14:paraId="434DC01C">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（2）发包人根据合同协议书第2.4款的约定调整承包范围、或发生设计变更、工程签证等情况导致本合同承包范围内的总金额超过本合同价款</w:t>
      </w:r>
    </w:p>
    <w:p w14:paraId="29590FB2">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（3）发包人根据合同专用条款总则第6条约定制订的制度、规定涉及双方经济利益变动；</w:t>
      </w:r>
    </w:p>
    <w:p w14:paraId="33529D47">
      <w:pPr>
        <w:adjustRightInd w:val="0"/>
        <w:snapToGrid w:val="0"/>
        <w:spacing w:line="360" w:lineRule="auto"/>
        <w:ind w:right="11"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（4）原合同条款欠完善或存在歧义；</w:t>
      </w:r>
    </w:p>
    <w:p w14:paraId="4557755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（5）发包人、承包人双方认为需要签订补充合同（协议）的其他情形。</w:t>
      </w:r>
    </w:p>
    <w:p w14:paraId="5D7EAD6E">
      <w:pPr>
        <w:autoSpaceDE w:val="0"/>
        <w:autoSpaceDN w:val="0"/>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50.5承包人必须接受政府有关部门对本工程的监督，并无条件配合政府指定的审计机构的审计。</w:t>
      </w:r>
    </w:p>
    <w:p w14:paraId="56368D35">
      <w:pPr>
        <w:autoSpaceDE w:val="0"/>
        <w:autoSpaceDN w:val="0"/>
        <w:adjustRightInd w:val="0"/>
        <w:snapToGrid w:val="0"/>
        <w:spacing w:line="360" w:lineRule="auto"/>
        <w:ind w:firstLine="480"/>
        <w:outlineLvl w:val="3"/>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50.6综合考评（本项目不涉及）</w:t>
      </w:r>
    </w:p>
    <w:p w14:paraId="0EF304E7">
      <w:pPr>
        <w:autoSpaceDE w:val="0"/>
        <w:autoSpaceDN w:val="0"/>
        <w:adjustRightInd w:val="0"/>
        <w:snapToGrid w:val="0"/>
        <w:spacing w:line="360" w:lineRule="auto"/>
        <w:rPr>
          <w:rFonts w:hint="eastAsia" w:ascii="宋体" w:hAnsi="宋体"/>
          <w:b/>
          <w:bCs/>
          <w:snapToGrid w:val="0"/>
          <w:color w:val="auto"/>
          <w:kern w:val="0"/>
          <w:sz w:val="24"/>
          <w:highlight w:val="none"/>
        </w:rPr>
      </w:pPr>
    </w:p>
    <w:p w14:paraId="61818450">
      <w:pPr>
        <w:adjustRightInd w:val="0"/>
        <w:snapToGrid w:val="0"/>
        <w:spacing w:line="360" w:lineRule="auto"/>
        <w:rPr>
          <w:rFonts w:hint="eastAsia" w:ascii="宋体" w:hAnsi="宋体"/>
          <w:snapToGrid w:val="0"/>
          <w:color w:val="auto"/>
          <w:kern w:val="0"/>
          <w:sz w:val="24"/>
          <w:highlight w:val="none"/>
        </w:rPr>
      </w:pPr>
      <w:r>
        <w:rPr>
          <w:rFonts w:ascii="宋体" w:hAnsi="宋体"/>
          <w:b/>
          <w:bCs/>
          <w:snapToGrid w:val="0"/>
          <w:color w:val="auto"/>
          <w:kern w:val="0"/>
          <w:sz w:val="24"/>
          <w:highlight w:val="none"/>
        </w:rPr>
        <w:br w:type="page"/>
      </w:r>
    </w:p>
    <w:p w14:paraId="4A3F5DF3">
      <w:pPr>
        <w:adjustRightInd w:val="0"/>
        <w:snapToGrid w:val="0"/>
        <w:spacing w:line="360" w:lineRule="auto"/>
        <w:ind w:right="11"/>
        <w:jc w:val="center"/>
        <w:outlineLvl w:val="0"/>
        <w:rPr>
          <w:rFonts w:hint="eastAsia" w:ascii="宋体" w:hAnsi="宋体"/>
          <w:b/>
          <w:bCs/>
          <w:snapToGrid w:val="0"/>
          <w:color w:val="auto"/>
          <w:kern w:val="0"/>
          <w:sz w:val="44"/>
          <w:szCs w:val="44"/>
          <w:highlight w:val="none"/>
        </w:rPr>
      </w:pPr>
      <w:r>
        <w:rPr>
          <w:rFonts w:hint="eastAsia" w:ascii="宋体" w:hAnsi="宋体"/>
          <w:b/>
          <w:bCs/>
          <w:snapToGrid w:val="0"/>
          <w:color w:val="auto"/>
          <w:kern w:val="0"/>
          <w:sz w:val="44"/>
          <w:szCs w:val="44"/>
          <w:highlight w:val="none"/>
        </w:rPr>
        <w:t>第三篇  合同通用条款</w:t>
      </w:r>
    </w:p>
    <w:p w14:paraId="3100A861">
      <w:pPr>
        <w:pStyle w:val="9"/>
        <w:adjustRightInd w:val="0"/>
        <w:snapToGrid w:val="0"/>
        <w:spacing w:line="360" w:lineRule="auto"/>
        <w:jc w:val="center"/>
        <w:rPr>
          <w:rFonts w:hint="eastAsia" w:ascii="楷体_GB2312" w:hAnsi="宋体" w:eastAsia="楷体_GB2312"/>
          <w:snapToGrid w:val="0"/>
          <w:color w:val="auto"/>
          <w:kern w:val="0"/>
          <w:sz w:val="24"/>
          <w:highlight w:val="none"/>
        </w:rPr>
      </w:pPr>
      <w:r>
        <w:rPr>
          <w:rFonts w:hint="eastAsia" w:ascii="楷体_GB2312" w:hAnsi="宋体" w:eastAsia="楷体_GB2312"/>
          <w:snapToGrid w:val="0"/>
          <w:color w:val="auto"/>
          <w:kern w:val="0"/>
          <w:sz w:val="24"/>
          <w:highlight w:val="none"/>
        </w:rPr>
        <w:t>（适用于各类公用建筑、民用住宅、工业厂房、</w:t>
      </w:r>
    </w:p>
    <w:p w14:paraId="063ABE23">
      <w:pPr>
        <w:pStyle w:val="9"/>
        <w:adjustRightInd w:val="0"/>
        <w:snapToGrid w:val="0"/>
        <w:spacing w:line="360" w:lineRule="auto"/>
        <w:jc w:val="center"/>
        <w:rPr>
          <w:rFonts w:hint="eastAsia" w:ascii="楷体_GB2312" w:hAnsi="宋体" w:eastAsia="楷体_GB2312"/>
          <w:snapToGrid w:val="0"/>
          <w:color w:val="auto"/>
          <w:kern w:val="0"/>
          <w:sz w:val="24"/>
          <w:highlight w:val="none"/>
        </w:rPr>
      </w:pPr>
      <w:r>
        <w:rPr>
          <w:rFonts w:hint="eastAsia" w:ascii="楷体_GB2312" w:hAnsi="宋体" w:eastAsia="楷体_GB2312"/>
          <w:snapToGrid w:val="0"/>
          <w:color w:val="auto"/>
          <w:kern w:val="0"/>
          <w:sz w:val="24"/>
          <w:highlight w:val="none"/>
        </w:rPr>
        <w:t>交通设施及线路管道的施工和设备安装）</w:t>
      </w:r>
    </w:p>
    <w:p w14:paraId="40C5CE15">
      <w:pPr>
        <w:adjustRightInd w:val="0"/>
        <w:snapToGrid w:val="0"/>
        <w:spacing w:line="360" w:lineRule="auto"/>
        <w:rPr>
          <w:rFonts w:hint="eastAsia" w:ascii="宋体" w:hAnsi="宋体"/>
          <w:snapToGrid w:val="0"/>
          <w:color w:val="auto"/>
          <w:kern w:val="0"/>
          <w:sz w:val="24"/>
          <w:highlight w:val="none"/>
        </w:rPr>
      </w:pPr>
    </w:p>
    <w:p w14:paraId="2AE95408">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一、词语定义及合同文件</w:t>
      </w:r>
    </w:p>
    <w:p w14:paraId="084A9438">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1、词语定义</w:t>
      </w:r>
    </w:p>
    <w:p w14:paraId="53EA58B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下列词语除合同专用条款另有约定外，应具有本条所赋予的定义：</w:t>
      </w:r>
    </w:p>
    <w:p w14:paraId="71F0E1B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1.1合同通用条款：是根据法律、行政法规规定及建设工程施工的需要订立，通用于建设工程施工的条款。</w:t>
      </w:r>
    </w:p>
    <w:p w14:paraId="3EB4A67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1.2合同专用条款：是发包人与承包人根据法律、行政法规规定，结合具体工程实际，经协商达成一致意见的条款，是对合同通用条款的具体化、补充或修改。</w:t>
      </w:r>
    </w:p>
    <w:p w14:paraId="74C7062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1.3发包人：指在合同协议书中约定，具有工程发包主体资格和支付工程价款能力的当事人以及取得该当事人资格的合法继承人。</w:t>
      </w:r>
    </w:p>
    <w:p w14:paraId="21DA09E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1.4承包人：指在合同协议书中约定，被发包人接受的具有工程施工承包主体资格的当事人以及取得该当事人资格的合法继承人。</w:t>
      </w:r>
    </w:p>
    <w:p w14:paraId="155C78F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1.5项目经理：指承包人在合同专用条款中指定的负责施工管理和合同履行的代表。</w:t>
      </w:r>
    </w:p>
    <w:p w14:paraId="1C89DC9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1.6设计单位：指发包人委托的负责本工程设计并取得相应工程设计资质等级证书的单位。</w:t>
      </w:r>
    </w:p>
    <w:p w14:paraId="2FED33D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1.7监理单位：指发包人委托的负责本工程监理并取得相应工程监理资质等级证书的单位。</w:t>
      </w:r>
    </w:p>
    <w:p w14:paraId="41EF86B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1.8工程师：指本工程监理单位委派的总监理工程师或发包人指定的履行本合同的代表，其具体身份和职权由发包人、承包人在合同专用条款中约定。</w:t>
      </w:r>
    </w:p>
    <w:p w14:paraId="37EC47F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1.9工程造价管理部门：指国务院有关部门、县级以上人民政府建设行政主管部门或其委托的工程造价管理机构。</w:t>
      </w:r>
    </w:p>
    <w:p w14:paraId="48F4979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1.10工程：指发包人、承包人在合同协议书中约定的承包范围内的工程。</w:t>
      </w:r>
    </w:p>
    <w:p w14:paraId="07C19CC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1.11合同价款：指发包人、承包人在合同协议书中约定，发包人用以支付承包人按照合同约定完成承包范围内全部工程并承担质量保修责任的款项。</w:t>
      </w:r>
    </w:p>
    <w:p w14:paraId="5627D8B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1.12追加合同价款：指在合同履行中发生需要增加合同价款的情况，经发包人确认后按计算合同价款的方法增加的合同价款。</w:t>
      </w:r>
    </w:p>
    <w:p w14:paraId="576A4E5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1.13费用：指不包含在合同价款之内的应当由发包人或承包人承担的经济支出。</w:t>
      </w:r>
    </w:p>
    <w:p w14:paraId="1A8D482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1.14工期：指发包人、承包人在合同协议书中约定，按总日历天数（包括法定节假日）计算的承包天数。</w:t>
      </w:r>
    </w:p>
    <w:p w14:paraId="2FB26AF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1.15开工日期：指发包人、承包人在合同协议书中约定，承包人开始施工的绝对或相对的日期。</w:t>
      </w:r>
    </w:p>
    <w:p w14:paraId="5ABEC45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1.16竣工日期：指发包人、承包人在合同协议书中约定，承包人完成承包范围内工程的绝对或相对的日期。</w:t>
      </w:r>
    </w:p>
    <w:p w14:paraId="12FE467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1.17图纸：指由发包人提供或由承包人提供并经发包人批准，满足承包人施工需要的所有图纸（包括配套说明和有关资料）。</w:t>
      </w:r>
    </w:p>
    <w:p w14:paraId="7999AE5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1.18施工场地：指由发包人提供的用于工程施工的场所以及发包人在图纸中具体指定的供施工使用的任何其他场所。</w:t>
      </w:r>
    </w:p>
    <w:p w14:paraId="42BD763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1.19书面形式：指合同书、信件和数据电文（包括电报、电传、传真、电子数据交换和电子邮件）等可以有形地表现所载内容的形式。</w:t>
      </w:r>
    </w:p>
    <w:p w14:paraId="1BDBA2F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1.20违约责任：指合同一方不履行合同义务或履行合同义务不符合约定所应承担的责任。</w:t>
      </w:r>
    </w:p>
    <w:p w14:paraId="56C1DC5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1.21索赔：指在合同履行过程中，对于并非自己的过错，而是应由对方承担责任的情况造成的实际损失，向对方提出经济补偿和（或）工期顺延的要求。</w:t>
      </w:r>
    </w:p>
    <w:p w14:paraId="624CBF7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1.22不可抗力：指不能预见、不能避免并不能克服的客观情况。</w:t>
      </w:r>
    </w:p>
    <w:p w14:paraId="6E8C8FD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1.23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14:paraId="0855E49C">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2、合同文件及解释顺序</w:t>
      </w:r>
    </w:p>
    <w:p w14:paraId="24802A5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2.1合同文件应能相互解释，互为说明。除合同专用条款另有约定外，组成本合同的文件及优先解释顺序如下：</w:t>
      </w:r>
    </w:p>
    <w:p w14:paraId="7B25BD7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（1）合同协议书</w:t>
      </w:r>
    </w:p>
    <w:p w14:paraId="644FF88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（2）中标通知书</w:t>
      </w:r>
    </w:p>
    <w:p w14:paraId="55AB06F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（3）投标书及其附件</w:t>
      </w:r>
    </w:p>
    <w:p w14:paraId="6A5BF3B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（4）合同专用条款及合同附件</w:t>
      </w:r>
    </w:p>
    <w:p w14:paraId="357BB76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（5）合同通用条款</w:t>
      </w:r>
    </w:p>
    <w:p w14:paraId="7241501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（6）标准、规范及有关技术文件</w:t>
      </w:r>
    </w:p>
    <w:p w14:paraId="5878709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（7）图纸</w:t>
      </w:r>
    </w:p>
    <w:p w14:paraId="0A26D23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（8）工程量清单</w:t>
      </w:r>
    </w:p>
    <w:p w14:paraId="7827183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（9）工程报价单或预算书</w:t>
      </w:r>
    </w:p>
    <w:p w14:paraId="1D52AB7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合同履行中，发包人、承包人有关工程的洽商、变更等书面协议或文件视为本合同的组成部分。</w:t>
      </w:r>
    </w:p>
    <w:p w14:paraId="1123787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2.2当合同文件内容含糊不清或不相一致时，在不影响工程正常进行的情况下，由发包人、承包人协商解决。双方也可以提请负责监理的工程师作出解释。双方协商不成或不同意负责监理的工程师的解释时，按合同通用条款40条关于争议的约定处理。</w:t>
      </w:r>
    </w:p>
    <w:p w14:paraId="433B97A2">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3、语言文字和适用法律、标准及规范</w:t>
      </w:r>
    </w:p>
    <w:p w14:paraId="1D01D98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3.1语言文字</w:t>
      </w:r>
    </w:p>
    <w:p w14:paraId="694D228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本合同文件使用汉语语言文字书写、解释和说明。如合同专用条款约定使用两种以上（含两种）语言文字时，汉语应为解释和说明本合同的标准语言文字。</w:t>
      </w:r>
    </w:p>
    <w:p w14:paraId="5673575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在少数民族地区，双方可以约定使用少数民族语言文字书写和解释、说明本合同。</w:t>
      </w:r>
    </w:p>
    <w:p w14:paraId="1619346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3.2适用法律和法规</w:t>
      </w:r>
    </w:p>
    <w:p w14:paraId="59FAC32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本合同文件适用国家的法律和行政法规。需要明示的法律、行政法规，由双方在合同专用条款中约定。</w:t>
      </w:r>
    </w:p>
    <w:p w14:paraId="3039CE8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3.3适用标准、规范</w:t>
      </w:r>
    </w:p>
    <w:p w14:paraId="1E98A8B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双方在合同专用条款内约定适用国家标准、规范的名称；没有国家标准、规范由有行业标准、规范的，约定适用行业标准、规范的名称；没有国家和行业标准、规范的，约定适用工程所在地地方标准、规范的名称。发包人应按合同专用条款约定的时间向承包人提供一式两份约定的标准、规范。</w:t>
      </w:r>
    </w:p>
    <w:p w14:paraId="37E0E33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国内没有相应标准、规范的，由发包人按合同专用条款约定的时间向承包人提出施工技术要求，承包人按约定的时间和要求提出施工工艺经发包人认可后执行。发包人要求使用国外标准、规范的，应负责提供中文译本。</w:t>
      </w:r>
    </w:p>
    <w:p w14:paraId="0FDC4D2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本条所发生的购买、翻译标准、规范或制定施工工艺的费用，由发包人承担。</w:t>
      </w:r>
    </w:p>
    <w:p w14:paraId="0944E285">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4、图纸</w:t>
      </w:r>
    </w:p>
    <w:p w14:paraId="2E074C7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发包人应按合同专用条款约定的日期的套数，向承包人提供图纸。承包人需要增加图纸套数的，发包人应代为复制，复制费用由承包人承担。发包人对工程有保密要求的，应在合同专用条款中提出保密要求，保密措施费用由发包人承担，承包人在约定保密期限内履行保密义务。</w:t>
      </w:r>
    </w:p>
    <w:p w14:paraId="73410F4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4.2承包人未经发包人同意，不得将本工程图纸转给第三人。工程质量保修期满后，除承包人存档需要的图纸外，应将全部图纸退还给发包人。</w:t>
      </w:r>
    </w:p>
    <w:p w14:paraId="4C9EA79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4.3承包人应在施工现场保留一套完整图纸，供工程师及有关人员进行工程检查时使用。</w:t>
      </w:r>
    </w:p>
    <w:p w14:paraId="13975441">
      <w:pPr>
        <w:adjustRightInd w:val="0"/>
        <w:snapToGrid w:val="0"/>
        <w:spacing w:line="360" w:lineRule="auto"/>
        <w:rPr>
          <w:rFonts w:hint="eastAsia" w:ascii="宋体" w:hAnsi="宋体"/>
          <w:snapToGrid w:val="0"/>
          <w:color w:val="auto"/>
          <w:kern w:val="0"/>
          <w:sz w:val="24"/>
          <w:highlight w:val="none"/>
        </w:rPr>
      </w:pPr>
    </w:p>
    <w:p w14:paraId="0C041C97">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二、双方一般权利和义务</w:t>
      </w:r>
    </w:p>
    <w:p w14:paraId="092CD583">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5、工程师</w:t>
      </w:r>
    </w:p>
    <w:p w14:paraId="29DD99E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5.1实行工程监理的，发包人应在实施监理前将委托的监理单位名称、监理内容及监理权限以书面形式通知承包人。</w:t>
      </w:r>
    </w:p>
    <w:p w14:paraId="08AF0CA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5.2监理单位委派的总监理工程师在本合同中称工程师，其姓名、职务、职权由发包人、承包人在合同专用条款内写明。工程师按合同约定行使职权，发包人在合同专用条款内要求工程师在行使某些职权前需要征得发包人批准的，工程师应征得发包人批准。</w:t>
      </w:r>
    </w:p>
    <w:p w14:paraId="1E43D65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5.3发包人派驻施工场地履行合同的代表在本合同中也称工程师，其姓名、职务、职权由发包人在合同专用条款内写明，但职权不得与监理单位委派的总监理工程师职权相互交叉。双方职权发生交叉或不明确时，由发包人予以明确，并以书面形式通知承包人。</w:t>
      </w:r>
    </w:p>
    <w:p w14:paraId="38DBCD3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5.4合同履行中，发生影响发包人、承包人双方权利或义务和事件时，负责监理的工程师应依据合同在其职权范围内客观公正地进行处理。一方对工程师的处理有异议时，按合同通用条款40条关于争议的约定处理。</w:t>
      </w:r>
    </w:p>
    <w:p w14:paraId="3429E5E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5.5除合同内有明确约定或经发包人同意外，负责监理的工程师无权解释本合同约定的承包人任何权利与义务。</w:t>
      </w:r>
    </w:p>
    <w:p w14:paraId="7E6B323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5.6不实行工程监理的，本合同中工程师专指发包人派驻施工场地履行合同的代表，其具体职权由发包人在合同专用条款内写明。</w:t>
      </w:r>
    </w:p>
    <w:p w14:paraId="507BED2E">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6、工程师的委派和指令</w:t>
      </w:r>
    </w:p>
    <w:p w14:paraId="3FA614A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6.1工程师可委派工程师代表，行使合同约定的自己的职权，并可在认为必要时撤回委派。委派和撤回均应提前7天以书面形式通知承包人，负责监理的工程师还应将委派和撤回通知发包人。委派书和撤回通知作为合同附件。</w:t>
      </w:r>
    </w:p>
    <w:p w14:paraId="332578F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改正。</w:t>
      </w:r>
    </w:p>
    <w:p w14:paraId="1339247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除工程师或工程师代表外，发包人派驻工地的其他人员均无权向承包人发出任何指令。</w:t>
      </w:r>
    </w:p>
    <w:p w14:paraId="048D6B2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6.2工程师的指令、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承包人应于工程师发出口头指令后7天内提出书面确认要求。工程师在承包人提出确认要求后48小时内不予答复的，视为口头指令已被确认。</w:t>
      </w:r>
    </w:p>
    <w:p w14:paraId="171915E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14:paraId="581F6EA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本款规定同样适用于由工程师代表发出的指令、通知。</w:t>
      </w:r>
    </w:p>
    <w:p w14:paraId="0ECEEAA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6D07F51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6.4如需更换工程师，发包人应至少提前7天以书面形式通知承包人，后任继续行使合同文件约定的前任的职权，履行前任的义务。</w:t>
      </w:r>
    </w:p>
    <w:p w14:paraId="0DBEA501">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7、项目经理</w:t>
      </w:r>
    </w:p>
    <w:p w14:paraId="26AD25D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7.1项目经理的姓名、职务在合同专用条款内写明。</w:t>
      </w:r>
    </w:p>
    <w:p w14:paraId="1F1D161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7.2承包人依据合同发出的通知，以书面形式由项目经理签字后送交工程师，工程师在回执上签署姓名和收到时间后生效。</w:t>
      </w:r>
    </w:p>
    <w:p w14:paraId="4FAE817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7.3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送交报告。责任在发包人或第三人，由发包人承担由此发生的追加合同价款，相应顺延工期；责任在承包人，由承包人承担费用，不顺延工期。</w:t>
      </w:r>
    </w:p>
    <w:p w14:paraId="56ECF36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7.4承包人如需更换项目经理，应至少提前7天以书面形式通知发包人，并征得发包人同意。后任继续行使合同文件约定的前任的职权，履行前任的义务。</w:t>
      </w:r>
    </w:p>
    <w:p w14:paraId="54F0C31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7.5发包人可以与承包人协商，建议更换其认为不称职的项目经理。</w:t>
      </w:r>
    </w:p>
    <w:p w14:paraId="487B48EE">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8、发包人工作</w:t>
      </w:r>
    </w:p>
    <w:p w14:paraId="4E2C844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8.1发包人按合同专用条款约定的内容和时间完成以下工作：</w:t>
      </w:r>
    </w:p>
    <w:p w14:paraId="01CE661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（1）办理土地征用、拆迁补偿、平整施工场地等工作，使施工场地具备施工条件，在开工后继续负责解决以上事项遗留问题；</w:t>
      </w:r>
    </w:p>
    <w:p w14:paraId="685730F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（2）将施工所需水、电、电讯线路从施工场地外部接至合同专用条款约定地点，保证施工期间的需要；</w:t>
      </w:r>
    </w:p>
    <w:p w14:paraId="09E8E6B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（3）开通施工场地与城乡公共道路的通道，以及合同专用条款约定的施工场地内的主要道路，满足施工运输的需要，保证施工期间的畅通；</w:t>
      </w:r>
    </w:p>
    <w:p w14:paraId="6ACCE4E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（4）向承包人提供施工场地的工程地质和地下管线资料，对资料的真实准确性负责；</w:t>
      </w:r>
    </w:p>
    <w:p w14:paraId="6F545E0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（5）办理施工许可证及其他施工所需证件、批件和临时用地、停水、停电、中断道路交通、爆破作业等的申请批准手续（证明承包人自身资质的证件除外）；</w:t>
      </w:r>
    </w:p>
    <w:p w14:paraId="032EF92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（6）确定水准点与坐标控制点，以书面形式交给承包人，进行现场交验；</w:t>
      </w:r>
    </w:p>
    <w:p w14:paraId="3A8F0A5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（7）组织承包人和设计单位进行图纸会审和设计交底；</w:t>
      </w:r>
    </w:p>
    <w:p w14:paraId="126978F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（8）协调处理施工场地周围地下管线和邻近建筑物、构筑物（包括文物保护建筑）、古树名木的保护工作，承担有关费用；</w:t>
      </w:r>
    </w:p>
    <w:p w14:paraId="500D577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（9）发包人应做的其他工作，双方在合同专用条款内约定。</w:t>
      </w:r>
    </w:p>
    <w:p w14:paraId="07614F3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8.2发包人可以将8.1款部分工作委托承包人办理，双方在合同专用条款内约定，其费用由发包人承担。</w:t>
      </w:r>
    </w:p>
    <w:p w14:paraId="58F56E9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8.3发包人未能履行8.1款各项义务，导致工期延误或给承包人造成损失的，发包人赔偿承包人有关损失，顺延延误的工期。</w:t>
      </w:r>
    </w:p>
    <w:p w14:paraId="4CC90147">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9、承包人工作</w:t>
      </w:r>
    </w:p>
    <w:p w14:paraId="505A1B8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9.1承包人按合同专用条款约定的内容和时间完成以下工作：</w:t>
      </w:r>
    </w:p>
    <w:p w14:paraId="43236E4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（1）根据发包人委托，在其设计资质等级和业务允许的范围内，完成施工图设计或工程配套的设计，经工程师确认后使用，发包人承担由此发生的费用；</w:t>
      </w:r>
    </w:p>
    <w:p w14:paraId="7066353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（2）向工程师提供年、季、月度工程进度计划及相应进度统计报表；</w:t>
      </w:r>
    </w:p>
    <w:p w14:paraId="7AE5F41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（3）根据工程需要，提供和维修非夜间施工使用的照明、围栏设施，并负责安全保卫；</w:t>
      </w:r>
    </w:p>
    <w:p w14:paraId="79A7544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（4）按合同专用条款约定的数量和要求，向发包人提供施工场地办公和生活的房屋及设施，发包人承担由此发生的费用；</w:t>
      </w:r>
    </w:p>
    <w:p w14:paraId="0814631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（5）遵守政府有关主管部门对施工场地交通、施工噪音以及环境保护和安全生产等的管理规定，按规定办理有关手续，并以书面形式通知发包人，发包人承担由此发生的费用，因承包人责任造成的罚款除外；</w:t>
      </w:r>
    </w:p>
    <w:p w14:paraId="1BBE1FF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已竣工工程未交付发包人之前，承包人按合同专用条款约定负责已完工程的保护工作，保护期间发生损坏，承包人自费予以修复；发包人要求承包人采取特殊措施保护的工程部位和相应的追加合同价款，双方在合同专用条款内约定；</w:t>
      </w:r>
    </w:p>
    <w:p w14:paraId="345EEA0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（7）按合同专用条款约定做好施工场地地下管线和邻近建筑物、构筑物（包括文物保护建筑）、古树名木的保护工作；</w:t>
      </w:r>
    </w:p>
    <w:p w14:paraId="121EB39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（8）保证施工场地清洁符合环境卫生管理的有关规定，交工前清理现场达到合同专用条款约定的要求，承担因自身原因违反有关规定造成的损失和罚款；</w:t>
      </w:r>
    </w:p>
    <w:p w14:paraId="4E9D761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（9）承包人应做的其他工作，双方在合同专用条款内约定。</w:t>
      </w:r>
    </w:p>
    <w:p w14:paraId="1F69A13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9.2承包人未能履行9.1款各项义务，造成发包人损失的，承包人赔偿发包人有关损失。</w:t>
      </w:r>
    </w:p>
    <w:p w14:paraId="6004EFA9">
      <w:pPr>
        <w:adjustRightInd w:val="0"/>
        <w:snapToGrid w:val="0"/>
        <w:spacing w:line="360" w:lineRule="auto"/>
        <w:rPr>
          <w:rFonts w:hint="eastAsia" w:ascii="宋体" w:hAnsi="宋体"/>
          <w:snapToGrid w:val="0"/>
          <w:color w:val="auto"/>
          <w:kern w:val="0"/>
          <w:sz w:val="24"/>
          <w:highlight w:val="none"/>
        </w:rPr>
      </w:pPr>
    </w:p>
    <w:p w14:paraId="6516A28F">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三、施工组织设计和工期</w:t>
      </w:r>
    </w:p>
    <w:p w14:paraId="0362B4DF">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10、进度计划</w:t>
      </w:r>
    </w:p>
    <w:p w14:paraId="5097BAA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10.1承包人应按合同专用条款约定的日期，将施工组织设计和工程进度计划提交工程师，工程师按合同专用条款约定的时间予以确认或提出修改意见，逾期不确认也不提出书面意见的，视为同意。</w:t>
      </w:r>
    </w:p>
    <w:p w14:paraId="0DA653C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10.2群体工程中单位工程分期进行施工的，承包人应按照发包人提供图纸及有关资料的时间，按单位工程编制进度计划，其具体内容双方在合同专用条款中约定。</w:t>
      </w:r>
    </w:p>
    <w:p w14:paraId="4ACD565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w:t>
      </w:r>
    </w:p>
    <w:p w14:paraId="3EBC6C83">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11、开工及延期开工</w:t>
      </w:r>
    </w:p>
    <w:p w14:paraId="33DD375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11.1承包人应当按照合同协议书约定的开工日期开工。承包人不能按时开工，应当不迟于合同协议书约定的开工日期前7天，以书面形式向工程师提出延期开工的理由和要求，工程师在接到延期开工申请后48小时内以书面形式答复承包人。工程师在接到延期开工申请后48小时内不答复，视为同意承包人要求，工期相应顺延。工程师不同意顺延要求或承包人未在规定时间内提出延期开工要求，工期不予顺延。</w:t>
      </w:r>
    </w:p>
    <w:p w14:paraId="4136765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11.2因发包人原因不能按照合同协议书约定的开工日期开工，工程师应以书面形式通知承包人，推迟开工日期，发包人赔偿承包人因延期开工造成的损失，并相应顺延工期。</w:t>
      </w:r>
    </w:p>
    <w:p w14:paraId="567F7431">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12、暂停施工</w:t>
      </w:r>
    </w:p>
    <w:p w14:paraId="7C2E6E9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工程师认为确有必要暂停施工时，应当以书面形式要求承包人暂停施工，并在提出要求后48小时内提出书面处理意见。承包人应当按工程师要求停止施工，并妥善保护自己已完工程。承包人实施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w:t>
      </w:r>
    </w:p>
    <w:p w14:paraId="3D1AAD28">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13、工期延误</w:t>
      </w:r>
    </w:p>
    <w:p w14:paraId="783EB3D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13.1因以下原因造成工期延误，经工程师确认，工期相应顺延；</w:t>
      </w:r>
    </w:p>
    <w:p w14:paraId="797631E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（1）发包人未能按合同专用条款的约定提供图纸及开工条件；</w:t>
      </w:r>
    </w:p>
    <w:p w14:paraId="7480482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（2）发包人未能按约定日期支付工程预付款、进度款，致使施工不能正常进行；</w:t>
      </w:r>
    </w:p>
    <w:p w14:paraId="75925BC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（3）工程师未按合同约定提供所需指令、批准等，致使施工不能正常进行；</w:t>
      </w:r>
    </w:p>
    <w:p w14:paraId="6136E40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（4）设计变更和工程量增加；</w:t>
      </w:r>
    </w:p>
    <w:p w14:paraId="57AB0F3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（5）一周内非承包人原因停水、停电、停气造成停工累计超过8小时；</w:t>
      </w:r>
    </w:p>
    <w:p w14:paraId="35797FF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（6）不可抗力；</w:t>
      </w:r>
    </w:p>
    <w:p w14:paraId="7275133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（7）合同专用条款中约定或工程师同意工期顺延的其他情况。</w:t>
      </w:r>
    </w:p>
    <w:p w14:paraId="245C638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13.2承包人在13.1款情况发生后14天内，就延误的工期以书面形式向工程师提出报告。工程师在收到报告后14天内予以确认，逾期不予确认也不提出修改意见，视为同意顺延工期。</w:t>
      </w:r>
    </w:p>
    <w:p w14:paraId="52F75F31">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14、工程竣工</w:t>
      </w:r>
    </w:p>
    <w:p w14:paraId="70746C2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14.1承包人必须按照合同协议书约定的竣工日期或工程师同意顺延的工期竣工。</w:t>
      </w:r>
    </w:p>
    <w:p w14:paraId="0CC4B79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14.2因承包人原因不能按照合同协议书约定的竣工日期或工程师同意顺延的工期竣工的，承包人承担违约责任。</w:t>
      </w:r>
    </w:p>
    <w:p w14:paraId="6165A79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w:t>
      </w:r>
    </w:p>
    <w:p w14:paraId="6110D806">
      <w:pPr>
        <w:adjustRightInd w:val="0"/>
        <w:snapToGrid w:val="0"/>
        <w:spacing w:line="360" w:lineRule="auto"/>
        <w:rPr>
          <w:rFonts w:hint="eastAsia" w:ascii="宋体" w:hAnsi="宋体"/>
          <w:snapToGrid w:val="0"/>
          <w:color w:val="auto"/>
          <w:kern w:val="0"/>
          <w:sz w:val="24"/>
          <w:highlight w:val="none"/>
        </w:rPr>
      </w:pPr>
    </w:p>
    <w:p w14:paraId="7488897A">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四、质量与检验</w:t>
      </w:r>
    </w:p>
    <w:p w14:paraId="08CD3975">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15、工程质量</w:t>
      </w:r>
    </w:p>
    <w:p w14:paraId="63288B2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15.1工程质量应当达到合同协议书约定的质量标准，质量标准的评定以国家或行业的质量检验评定标准为依据。因承包人原因工程质量达不到约定的质量标准，承包人承担违约责任。</w:t>
      </w:r>
    </w:p>
    <w:p w14:paraId="303824F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15.2双方对工程质量有争议，由双方同意的工程质量检测机构鉴定，所需费用及因此造成的损失，由责任方承担。双方均有责任，由双方根据其责任分别承担。</w:t>
      </w:r>
    </w:p>
    <w:p w14:paraId="781CBB2A">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16、检查和返工</w:t>
      </w:r>
    </w:p>
    <w:p w14:paraId="2A87EEF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16.1承包人应认真按照标准、规范和设计图纸要求以及工程师依据合同发出的指令施工，随时接受工程师的检查检验，为检查检验提供便利条件。</w:t>
      </w:r>
    </w:p>
    <w:p w14:paraId="6FC130E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16.2工程质量达不到约定标准的部分，工程师一经发现，应要求承包人拆除和重新施工，承包人应按工程师的要求拆除和重新施工，直到符合约定标准。因承包人原因达不到约定标准，由承包人承担拆除和重新施工的费用，工期不予顺延。</w:t>
      </w:r>
    </w:p>
    <w:p w14:paraId="4962678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16.3工程师的检查检验不应影响施工正常进行。如影响施工正常进行，检查检验不合格时，影响正常施工的费用由承包人承担。除此之外影响正常施工的追加合同价款由发包人承担，相应顺延工期。</w:t>
      </w:r>
    </w:p>
    <w:p w14:paraId="656D3B2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16.4因工程师指令失误或其他非承包人原因发生的追加合同价款，由发包人承担。</w:t>
      </w:r>
    </w:p>
    <w:p w14:paraId="47D8B92D">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17、隐蔽工程和中间验收</w:t>
      </w:r>
    </w:p>
    <w:p w14:paraId="665D4D5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17.1工程具备隐蔽条件或达到合同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w:t>
      </w:r>
    </w:p>
    <w:p w14:paraId="0FBE992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17.2工程师不能按时进行验收，应在验收前24小时以书面形式向承包人提出延期要求，延期不能超过48小时。工程师未能按以上时间提出延期要求，不进行验收，承包人可自行组织验收，工程师应承认验收记录。</w:t>
      </w:r>
    </w:p>
    <w:p w14:paraId="1A034F0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17.3经工程师验收，工程质量符合标准、规范和设计图纸等要求，验收24小时后，工程师不在验收记录上签字，视为工程师已经认可验收记录，承包人可进行隐蔽或继续施工。</w:t>
      </w:r>
    </w:p>
    <w:p w14:paraId="1A03586F">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18、重新检验</w:t>
      </w:r>
    </w:p>
    <w:p w14:paraId="3B2B080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无论工程师是否进行验收，当其要求对已经隐蔽的工程重新检验时，承包人应按要求进行剥离或开孔，并要检验后重新覆盖或修复。检验合格，发包人承担由此发生的全部追加合同价款，赔偿承包人损失，并相应顺延工期。检验不合格，承包人承担发生的全部费用，工期不予顺延。</w:t>
      </w:r>
    </w:p>
    <w:p w14:paraId="3C5421A3">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19、工程试车</w:t>
      </w:r>
    </w:p>
    <w:p w14:paraId="15279D1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19.1双方约定需要试车的，试车内容应与承包人承包的安装范围相一致。</w:t>
      </w:r>
    </w:p>
    <w:p w14:paraId="5164C3C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w:t>
      </w:r>
    </w:p>
    <w:p w14:paraId="5F4DEDC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19.3工程师不能按时参加试车，须在开始试车前24小时以书面形式向承包人提出延期要求，延期不能超过48小时。工程师未能按以上时间提出延期要求，不参加试车，应承认试车记录。</w:t>
      </w:r>
    </w:p>
    <w:p w14:paraId="6CD0D06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19.4设备安装工程具备无负荷联动试车条件，发包人组织试车，并在试车前48小时以书面形式通知承包人。通知包括试车内容、时间、地点和对承包人的要求，承包人按要求做好准备工作。试车合格，双方在试车记录上签字。</w:t>
      </w:r>
    </w:p>
    <w:p w14:paraId="0C6C02B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19.5双方责任</w:t>
      </w:r>
    </w:p>
    <w:p w14:paraId="2F0E51B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（1）由于设计原因试车达不到验收要求，发包人应要求设计单位修改设计，承包人按修改后的设计重新安装。发包人承担修改设计、拆除及重新安装的全部费用和追加合同价款，工期相应顺延。</w:t>
      </w:r>
    </w:p>
    <w:p w14:paraId="2EB1521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发包人承担上述各项追加合同价款，工期相应顺延。</w:t>
      </w:r>
    </w:p>
    <w:p w14:paraId="450FDE3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（3）由于承包人施工原因试车达不到验收要求，承包人按工程师要求重新安装和试车，并承担重新安装和试车的费用，工期不予顺延。</w:t>
      </w:r>
    </w:p>
    <w:p w14:paraId="7760424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（4）试车费用除已包括在合同价款之内或合同专用条款另有约定外，均由发包人承担。</w:t>
      </w:r>
    </w:p>
    <w:p w14:paraId="168C54C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（5）工程师在试车合格后不在试车记录上签字，试车结束24小时后，视为工程师已经认可试车记录，承包人可继续施工或办理竣工手续。</w:t>
      </w:r>
    </w:p>
    <w:p w14:paraId="7D4701D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19.6投料试车应在工程竣工验收后由发包人负责，如发包人要求在工程竣工验收前进行或需要承包人配合时，应征得承包人同意，另行签订补充协议。</w:t>
      </w:r>
    </w:p>
    <w:p w14:paraId="73926C8D">
      <w:pPr>
        <w:adjustRightInd w:val="0"/>
        <w:snapToGrid w:val="0"/>
        <w:spacing w:line="360" w:lineRule="auto"/>
        <w:rPr>
          <w:rFonts w:hint="eastAsia" w:ascii="宋体" w:hAnsi="宋体"/>
          <w:snapToGrid w:val="0"/>
          <w:color w:val="auto"/>
          <w:kern w:val="0"/>
          <w:sz w:val="24"/>
          <w:highlight w:val="none"/>
        </w:rPr>
      </w:pPr>
    </w:p>
    <w:p w14:paraId="3576C087">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五、安全文明施工</w:t>
      </w:r>
    </w:p>
    <w:p w14:paraId="50635967">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20、施工场地的占用和管理</w:t>
      </w:r>
    </w:p>
    <w:p w14:paraId="763CE28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20.1发包人应当依照合同专用条款约定的时间，按照其与监理单位会签认可的施工平面图给承包人提供施工场地。承包人必须在发包人提供的施工场地范围内布置、安排和组织施工，严禁擅自变更场地范围。因工程施工需要，承包人确需临时征用场地或道路的，必须事先取得监理单位和发包人的批准。</w:t>
      </w:r>
    </w:p>
    <w:p w14:paraId="2E9EE0F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20.2承包人应当严格遵守国家有关建设项目施工现场管理的有关规定，做好施工场地方方面面的管理工作，并应对管理不善引发的纠纷和损失承担全部责任。</w:t>
      </w:r>
    </w:p>
    <w:p w14:paraId="60AA0C3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20.3工程竣工验收且办理了移交与接收手续后，承包人应当按照合同专用条款约定的时间，从施工场地搬走或清除其设备、临时设施以及多余的材料、余泥、垃圾，并保持现场和工程清洁整齐，达到发包人和总监理工程师满意的程度。</w:t>
      </w:r>
    </w:p>
    <w:p w14:paraId="22E4DAB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20.4承包人应当随时接受政府主管部门的监督和执法检查，并对管理不善之处及时予以全面整改。</w:t>
      </w:r>
    </w:p>
    <w:p w14:paraId="3C2B7B82">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21、安全施工与检查</w:t>
      </w:r>
    </w:p>
    <w:p w14:paraId="0383A6E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21.1承包人应遵守《建设工程安全管理条例》及建设行政主管部门颁发的有关管理规定，严格按《建筑施工安全检查标准》组织施工，并随时接受行业安全检查人员依法实施的监督检查，采取必要的安全防护措施，消除事故隐患。由于承包人安全措施不力造成事故的责任和因此发生的费用，由承包人承担。</w:t>
      </w:r>
    </w:p>
    <w:p w14:paraId="06EA76B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21.2发包人不得要求承包人违反安全管理的规定进行施工。因发包人原因导致的安全事故，由发包人承担相应责任及发生的费用。</w:t>
      </w:r>
    </w:p>
    <w:p w14:paraId="2246FBA4">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22、安全防护</w:t>
      </w:r>
    </w:p>
    <w:p w14:paraId="27D2646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22.1承包人在动力设备、输电线路、地下管道、密封防震车间、易燃易爆地段以及临街交通要道附近施工时，施工开始前应向工程师提出安全防护措施，经工程师认可后实施，防护措施费用由发包人承担。</w:t>
      </w:r>
    </w:p>
    <w:p w14:paraId="50FAEC6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22.2实施爆破作业，在放射、毒害性环境中施工（含储存、运输、使用）及使用毒害性、腐蚀性物品施工时，承包人应在施工前14天以书面形式通知工程师，并提出相应的安全防护措施，经工程师认可后实施，由发包人承担安全防护措施费用。</w:t>
      </w:r>
    </w:p>
    <w:p w14:paraId="13A6D58D">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23、事故处理</w:t>
      </w:r>
    </w:p>
    <w:p w14:paraId="338E2CC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23.1发生重大伤亡及其他安全事故，承包人应按《建设工程安全管理条例》的规定立即上报有关部门并通知工程师，同时按政府有关部门要求处理，由事故责任方承担发生的费用。</w:t>
      </w:r>
    </w:p>
    <w:p w14:paraId="73A267E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23.2发包人、承包人对事故责任有争议时，应按政府有关部门的认定处理。</w:t>
      </w:r>
    </w:p>
    <w:p w14:paraId="29239239">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24、文明施工与环境保护</w:t>
      </w:r>
    </w:p>
    <w:p w14:paraId="07F2F7D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24.1承包人应遵守工程建设文明施工有关管理规定，建立健全文明施工制度，切实采取有效措施，创建文明施工现场。</w:t>
      </w:r>
    </w:p>
    <w:p w14:paraId="04EC166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24.2在工程施工期间，根据建设项目环境保护的有关管理规定，承包人应采取所有合理的措施来保护施工场地内外的环境，避免由于其操作方法所造成的污染、噪声或其他问题而对周边的人员或公私财产造成干扰、损失或者损害。因承包人环保措施不力造成损害的责任和因此发生的费用，由承包人承担。</w:t>
      </w:r>
    </w:p>
    <w:p w14:paraId="60F27ECE">
      <w:pPr>
        <w:adjustRightInd w:val="0"/>
        <w:snapToGrid w:val="0"/>
        <w:spacing w:line="360" w:lineRule="auto"/>
        <w:rPr>
          <w:rFonts w:hint="eastAsia" w:ascii="宋体" w:hAnsi="宋体"/>
          <w:snapToGrid w:val="0"/>
          <w:color w:val="auto"/>
          <w:kern w:val="0"/>
          <w:sz w:val="24"/>
          <w:highlight w:val="none"/>
        </w:rPr>
      </w:pPr>
    </w:p>
    <w:p w14:paraId="6234A086">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六、合同价款与支付</w:t>
      </w:r>
    </w:p>
    <w:p w14:paraId="528CA49C">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25、合同价款及调整</w:t>
      </w:r>
    </w:p>
    <w:p w14:paraId="108389D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25.1招标工程的合同价款由发包人、承包人依据中标通知书中的中标价格在合同协议书内约定。非招标工程的合同价款由发包人、承包人依据工程预算书在合同协议书内约定。</w:t>
      </w:r>
    </w:p>
    <w:p w14:paraId="7D9BBD1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25.2合同价款在合同协议书内约定后，任何一方不得擅自改变。下列三种确定合同价款的方式，双方可在合同专用条款内约定采用其中一种：</w:t>
      </w:r>
    </w:p>
    <w:p w14:paraId="3CFF3E4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（1）固定价格合同。双方在合同专用条款内约定合同价款包含的风险范围和风险费用的计算方法，在约定的风险范围内合同价款不再调整。风险范围以外的合同价款调整方法，应当在合同专用条款内约定。</w:t>
      </w:r>
    </w:p>
    <w:p w14:paraId="7E1C180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（2）可调价格合同。合同价款可根据双方的约定而调整，双方在合同专用条款内约定合同价款调整方法。</w:t>
      </w:r>
    </w:p>
    <w:p w14:paraId="280DD2E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（3）成本加酬金合同。合同价款包括成本和酬金两部分，双方在合同专用条款内约定成本构成和酬金的计算方法。</w:t>
      </w:r>
    </w:p>
    <w:p w14:paraId="653C8F0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25.3可调价格合同中合同价款的调整因素包括：</w:t>
      </w:r>
    </w:p>
    <w:p w14:paraId="6F2AE5B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（1）法律、行政法规和国家有关政策变化影响合同价款；</w:t>
      </w:r>
    </w:p>
    <w:p w14:paraId="6A15C9A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（2）工程造价管理部门颁布的价格调整；</w:t>
      </w:r>
    </w:p>
    <w:p w14:paraId="397EB65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（3）一周内非承包人原因停水、停电、停气造成停工累计超过8小时；</w:t>
      </w:r>
    </w:p>
    <w:p w14:paraId="28D3822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（4）双方约定的其他因素。</w:t>
      </w:r>
    </w:p>
    <w:p w14:paraId="11B906E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25.4承包人应当在25.3款情况发生后14天内，将调整原因、金额以书面形式通知工程师，工程师确认调整金额后作为追加合同价款，与工程款同期支付。工程师收到承包人通知后14天内不予确认也不提出修改意见，视为已经同意该项调整。</w:t>
      </w:r>
    </w:p>
    <w:p w14:paraId="06000603">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26、工程预付款</w:t>
      </w:r>
    </w:p>
    <w:p w14:paraId="0770655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实行工程预付款的，双方应当在合同专用条款内约定发包人向承包人预付工程款的时间和数额，开工后按约定的时间和比例逐次扣回。预付时间应不迟于约定的开工日期前7天。发包人不按约定预付，承包人在约定预付时间7天后向发包人发出要求预付的通知，发包人收到通知后仍不能按要求预付，承包人可在发出通知后7天停止施工，发包人应从约定应付之日起向承包人支付应付款的贷款利息，并承担违约责任。</w:t>
      </w:r>
    </w:p>
    <w:p w14:paraId="0DF71685">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27、工程量的确认</w:t>
      </w:r>
    </w:p>
    <w:p w14:paraId="72C76E7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27.1承包人应按合同专用条款约定的时间，向工程师提交已完工程量的报告。工程师接到报告后7天内按设计图纸核实已完工程量（以下称计量），并在计量前24小时通知承包人，承包人为计量提供便利条件并派人参加。承包人收到通知后不参加计量，计量结果有效，作为工程价款支付的依据。</w:t>
      </w:r>
    </w:p>
    <w:p w14:paraId="47F7AA6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27.2工程师收到承包人报告后7天内未进行计量，从第8天起，承包人报告中开列的工程量即视为被确认，作为工程价款支付的依据。工程师不按约定时间通知承包人，致使承包人未能参加计量，计量结果无效。</w:t>
      </w:r>
    </w:p>
    <w:p w14:paraId="5CFC886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27.3对承包人超出设计图纸范围和因承包人原因造成返工的工程量，工程师不予计量。</w:t>
      </w:r>
    </w:p>
    <w:p w14:paraId="1345FE52">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28、工程款（进度款）支付</w:t>
      </w:r>
    </w:p>
    <w:p w14:paraId="23B384C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28.1在确认计量结果后14天内，发包人应向承包人支付工程款（进度款）。按约定时间发包人应扣回的预付款，与工程款（进度款）同期结算。</w:t>
      </w:r>
    </w:p>
    <w:p w14:paraId="07061C4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28.2合同通用条款第25条确定调整的合同价款，第33条工程变更调整的合同价款及其他条款中约定的追加合同价款，应与工程款（进度款）同期调整支付。</w:t>
      </w:r>
    </w:p>
    <w:p w14:paraId="702BDF4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28.3发包人超过约定的支付时间不支付工程款（进度款），承包人可向发包人发出要求付款的通知，发包人收到承包人通知后仍不能按要求付款，可与承包人协商签订延期付款协议，经承包人同意后可延期支付。协议应明确延期支付的时间和从计量结果确认后第15天起计算应付款的贷款利息。</w:t>
      </w:r>
    </w:p>
    <w:p w14:paraId="16BA937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28.4发包人不按合同约定支付工程款（进度款），双方又未达成延期付款协议，导致施工无法进行，承包人可停止施工，由发包人承担违约责任。</w:t>
      </w:r>
    </w:p>
    <w:p w14:paraId="1CDB4E0A">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七、材料设备供应</w:t>
      </w:r>
    </w:p>
    <w:p w14:paraId="0430C3DC">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29、发包人供应材料设备</w:t>
      </w:r>
    </w:p>
    <w:p w14:paraId="08594FA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29.1实行发包人供应材料设备的，双方应当约定发包人供应材料设备的一览表，作为合同附件。一览表包括发包人供应材料设备的品种、规格、型号、数量、单价、质量等级、提供时间和地点。</w:t>
      </w:r>
    </w:p>
    <w:p w14:paraId="04BB5C9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29.2发包人按一览表约定的内容提供材料设备，并向承包人提供产品合格证明，对其质量负责。发包人在所供材料设备到货前24小时，以书面形式通知承包人，由承包人派人与发包人共同清点。</w:t>
      </w:r>
    </w:p>
    <w:p w14:paraId="515C4FE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29.3发包人供应的材料设备，承包人派人参加清点后由承包人妥善保管，发包人支付相应保管费用。因承包人原因发生丢失损坏，由承包人负责赔偿。</w:t>
      </w:r>
    </w:p>
    <w:p w14:paraId="0E3B5C5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发包人未通知承包人清点，承包人不负责材料设备的保管，丢失损坏由发包人负责。</w:t>
      </w:r>
    </w:p>
    <w:p w14:paraId="4B3DD96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29.4发包人供应的材料设备与一览表不符时，发包人承担有关责任。发包人应承担责任的具体内容，双方根据下列情况在合同专用条款内约定：</w:t>
      </w:r>
    </w:p>
    <w:p w14:paraId="74E5367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（1）材料设备单价与一览表不符，由发包人承担所有价差；</w:t>
      </w:r>
    </w:p>
    <w:p w14:paraId="1C13519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（2）材料设备的品种、规格、型号、质量等级与一览表不符，承包人可拒绝接收保管，由发包人运出施工场地并重新采购；</w:t>
      </w:r>
    </w:p>
    <w:p w14:paraId="1774BA2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（3）发包人供应的材料规格、型号与一览表不符，经发包人同意，承包人可代为调剂串换，由发包人承担相应费用；</w:t>
      </w:r>
    </w:p>
    <w:p w14:paraId="6BB17B7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（4）到货地点与一览表不符，由发包人负责运至一览表指定地点；</w:t>
      </w:r>
    </w:p>
    <w:p w14:paraId="38FA861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（5）供应数量少于一览表约定的数量时，由发包人补齐，多于一览表约定数量时，发包人负责将多出部分运出施工场地；</w:t>
      </w:r>
    </w:p>
    <w:p w14:paraId="54E162F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（6）到货时间早于一览表约定时间，由发包人承担因此发生的保管费用；到货时间迟于一览表约定的供应时间，发包人赔偿由此造成承包人损失，造成工期延误的，相应顺延工期。</w:t>
      </w:r>
    </w:p>
    <w:p w14:paraId="6B805A1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29.5发包人供应的材料设备使用前，由承包人负责检验或试验，不合格的不得使用，检验或试验费用由发包人承担。</w:t>
      </w:r>
    </w:p>
    <w:p w14:paraId="3289999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29.6发包人供应材料设备的结算方法，双方在合同专用条款内约定。</w:t>
      </w:r>
    </w:p>
    <w:p w14:paraId="6499404A">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30、承包人采购材料设备</w:t>
      </w:r>
    </w:p>
    <w:p w14:paraId="7D9B134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30.1承包人负责采购材料设备的，应按照合同专用条款约定及设计和有关标准要求采购，并提供产品合格证明，对材料设备质量负责。承包人在材料设备到货前24小时通知工程师清点。</w:t>
      </w:r>
    </w:p>
    <w:p w14:paraId="1D90877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30.2承包人采购的材料设备与设计或标准要求不符时，承包人应按工程师要求的时间运出施工场地，重新采购符合要求的产品，承担由此发生的费用，由此延误的工期不予顺延。</w:t>
      </w:r>
    </w:p>
    <w:p w14:paraId="2AEDA93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30.3承包人采购的材料设备在使用前，承包人应按工程师的要求进行检验或试验，不合格的不得使用，检验或试验费用由承包人承担。</w:t>
      </w:r>
    </w:p>
    <w:p w14:paraId="7B24C0A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30.4工程师发现承包人采购并使用不符合设计或标准要求的材料或设备时，应要求由承包人负责修复、拆除或重新采购，并承担发生的费用，由此延误的工期不予顺延。</w:t>
      </w:r>
    </w:p>
    <w:p w14:paraId="55DE615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30.5承包人需要使用代用材料时，应经工程师认可后才能使用，由此增减的合同价款双方以书面形式议定。</w:t>
      </w:r>
    </w:p>
    <w:p w14:paraId="6034793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30.6由承包人采购的材料设备，发包人不得指定生产厂或供应商。</w:t>
      </w:r>
    </w:p>
    <w:p w14:paraId="39CED819">
      <w:pPr>
        <w:adjustRightInd w:val="0"/>
        <w:snapToGrid w:val="0"/>
        <w:spacing w:line="360" w:lineRule="auto"/>
        <w:rPr>
          <w:rFonts w:hint="eastAsia" w:ascii="宋体" w:hAnsi="宋体"/>
          <w:snapToGrid w:val="0"/>
          <w:color w:val="auto"/>
          <w:kern w:val="0"/>
          <w:sz w:val="24"/>
          <w:highlight w:val="none"/>
        </w:rPr>
      </w:pPr>
    </w:p>
    <w:p w14:paraId="050A3E2F">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八、工程变更</w:t>
      </w:r>
    </w:p>
    <w:p w14:paraId="151C3562">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31、工程设计变更</w:t>
      </w:r>
    </w:p>
    <w:p w14:paraId="2278412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31.1施工中发包人需对原工程设计进行变更，应提前14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w:t>
      </w:r>
    </w:p>
    <w:p w14:paraId="2D15BDC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（1）更改工程有关部分的标高、基线、位置和尺寸；</w:t>
      </w:r>
    </w:p>
    <w:p w14:paraId="0CF7554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（2）增减合同中约定的工程量；</w:t>
      </w:r>
    </w:p>
    <w:p w14:paraId="3ED156B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（3）改变有关工程的施工时间和顺序；</w:t>
      </w:r>
    </w:p>
    <w:p w14:paraId="2A3008A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（4）其他有关工程变更需要的附加工作。</w:t>
      </w:r>
    </w:p>
    <w:p w14:paraId="7D04460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因变更导致合同价款的增减及造成的承包人损失，由发包人承担，延误的工期相应顺延。</w:t>
      </w:r>
    </w:p>
    <w:p w14:paraId="1022941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31.2施工中承包人不得对原工程设计进行变更。因承包人擅自变更设计发生的费用和由此导致发包人的直接损失，由承包人承担，延误的工期不予顺延。</w:t>
      </w:r>
    </w:p>
    <w:p w14:paraId="74F3FCD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31.3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w:t>
      </w:r>
    </w:p>
    <w:p w14:paraId="501094D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工程师同意采用承包人合理化建议，所发生的费用和获得的收益，发包人、承包人另行约定分担或分享。</w:t>
      </w:r>
    </w:p>
    <w:p w14:paraId="78E04072">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32、其他变更</w:t>
      </w:r>
    </w:p>
    <w:p w14:paraId="5110E28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合同履行中发包人要求变更工程质量标准及发生其他实质性变更，由双方协商解决。</w:t>
      </w:r>
    </w:p>
    <w:p w14:paraId="0FF6176D">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33、确定变更价款</w:t>
      </w:r>
    </w:p>
    <w:p w14:paraId="7C4DD04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33.1承包人在工程变更确定后14天内，提出变更工程价款的报告，经工程师确认后调整合同价款。变更合同价款按下列方法进行：</w:t>
      </w:r>
    </w:p>
    <w:p w14:paraId="649AEE1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（1）合同中已有适用于变更工程的价格，按合同已有的价格变更合同价款；</w:t>
      </w:r>
    </w:p>
    <w:p w14:paraId="6FF6BDE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（2）合同中只有类似于变更工程的价格，可以参照类似价格变更合同价款；</w:t>
      </w:r>
    </w:p>
    <w:p w14:paraId="29E8B97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（3）合同中没有适用或类似于变更工程的价格，由承包人提出适当的变更价款，经工程师确认后执行。</w:t>
      </w:r>
    </w:p>
    <w:p w14:paraId="19B78EB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33.2承包人在双方确定变更后14天内不向工程师提出变更工程价款报告时，视为该项变更不涉及合同价款的变更。</w:t>
      </w:r>
    </w:p>
    <w:p w14:paraId="7A00D63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33.3工程师应在收到变更工程价款报告之日起14天内予以确认，工程师无正当理由不确认时，自变更工程价款报告送达之日起14天后视为变更工程价款报告已被确认。</w:t>
      </w:r>
    </w:p>
    <w:p w14:paraId="35AD44B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33.4工程师不同意承包人提出的变更价款，按合同通用条款第40条关于争议的约定处理。</w:t>
      </w:r>
    </w:p>
    <w:p w14:paraId="198CF48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33.5工程师确认增加的工程变更价款作为追加合同价款，与工程款同期支付。</w:t>
      </w:r>
    </w:p>
    <w:p w14:paraId="471F804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33.6因承包人自身原因导致的工程变更，承包人无权要求追加合同价款。</w:t>
      </w:r>
    </w:p>
    <w:p w14:paraId="2D37B392">
      <w:pPr>
        <w:adjustRightInd w:val="0"/>
        <w:snapToGrid w:val="0"/>
        <w:spacing w:line="360" w:lineRule="auto"/>
        <w:rPr>
          <w:rFonts w:hint="eastAsia" w:ascii="宋体" w:hAnsi="宋体"/>
          <w:snapToGrid w:val="0"/>
          <w:color w:val="auto"/>
          <w:kern w:val="0"/>
          <w:sz w:val="24"/>
          <w:highlight w:val="none"/>
        </w:rPr>
      </w:pPr>
    </w:p>
    <w:p w14:paraId="59128235">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九、竣工验收与结算</w:t>
      </w:r>
    </w:p>
    <w:p w14:paraId="113DC0E5">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34、竣工验收</w:t>
      </w:r>
    </w:p>
    <w:p w14:paraId="4FF8AA1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34.1工程具备竣工验收条件，承包人按国家工程竣工验收有关规定，向发包人提供完整竣工资料及竣工验收报告。双方约定由承包人提供竣工图的，应当在合同专用条款约定提供的日期和份数。</w:t>
      </w:r>
    </w:p>
    <w:p w14:paraId="6519311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34.2发包人收到竣工验收报告后28天内组织有关单位验收，并在验收后14天内给予认可或提出修改意见。承包人按要求修改，并承担由自身原因造成修改的费用。</w:t>
      </w:r>
    </w:p>
    <w:p w14:paraId="5586F52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34.3发包人收到承包人送交的竣工验收报告后28天内不组织验收，或验收后14天内不提出修改意见，视为竣工验收报告已被认可。</w:t>
      </w:r>
    </w:p>
    <w:p w14:paraId="0EDBD26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34.4工程竣工验收通过，承包人送交竣工验收报告的日期为实际竣工日期。工程按发包人要求修改后通过竣工验收的，实际竣工日期为承包人修改后提请发包人验收的日期。</w:t>
      </w:r>
    </w:p>
    <w:p w14:paraId="2AC5E86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34.5发包人收到承包人竣工验收报告后28天内不组织验收，从第29天起承担工程保管及一切意外责任。</w:t>
      </w:r>
    </w:p>
    <w:p w14:paraId="788BBD4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34.6中间交工工程的范围和竣工时间，双方在合同专用条款内约定，其验收程序按合同通用条款34.1款至34.4款办理。</w:t>
      </w:r>
    </w:p>
    <w:p w14:paraId="169695F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34.7因特殊原因，发包人要求部分单位工程或工程部位甩项竣工的，双方另行签订甩项竣工协议，明确双方责任和工程价款的支付方法。</w:t>
      </w:r>
    </w:p>
    <w:p w14:paraId="519FCEC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34.8工程未经竣工验收或竣工验收未通过的，发包人不得使用。发包人强行使用时，由此发生的质量问题及其他问题，由发包人承担责任。</w:t>
      </w:r>
    </w:p>
    <w:p w14:paraId="3E4FDC41">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35、工程移交</w:t>
      </w:r>
    </w:p>
    <w:p w14:paraId="7F7682C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双方在合同专用条款内约定工程移交办法。</w:t>
      </w:r>
    </w:p>
    <w:p w14:paraId="66D8B55C">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36、竣工结算</w:t>
      </w:r>
    </w:p>
    <w:p w14:paraId="643D906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36.1工程竣工验收报告经发包人认可后28天内，承包人向发包人递交竣工结算报告及完整的结算资料，双方按照合同协议书约定的合同价款及合同专用条款约定的合同价款调整内容，进行工程竣工结算。</w:t>
      </w:r>
    </w:p>
    <w:p w14:paraId="0D94451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36.2发包人收到承包人递交的竣工结算报告及结算资料后28天内进行核实，给予确认或者提出修改意见。发包人确认竣工结算报告后通知经办银行向承包人支付工程竣工结算价款。承包人收到竣工结算价款后14天内将竣工工程交付发包人。</w:t>
      </w:r>
    </w:p>
    <w:p w14:paraId="36A1A5D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36.3发包人收到竣工结算报告及结算资料后28天内无正当理由不支付工程竣工结算价款，从第29天起按承包人同期向银行贷款利率支付拖欠工程价款的利息，并承担违约责任。</w:t>
      </w:r>
    </w:p>
    <w:p w14:paraId="089960D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36.4发包人收到竣工结算报告及结算资料后28天内不支付工程竣工结算价款，承包人可以催告发包人支付结算价款。发包人在收到竣工结算报告及结算资料后56天内仍不支付的，承包人可以与发包人协议将该工程折价，也可以由承包人申请人民法院将该工程依法拍卖，承包人就该工程折价或者拍卖的价款优先受偿。</w:t>
      </w:r>
    </w:p>
    <w:p w14:paraId="358AE5B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36.5工程竣工验收报告经发包人认可后28天内，承包人未能向发包人递交竣工结算报告及完整的结算资料，造成工程竣工结算不能正常进行或工程竣工结算价款不能及进支付，发包人要求交付工程的，承包人应当交付；发包人不要求交付工程的，承包人承担保管责任。</w:t>
      </w:r>
    </w:p>
    <w:p w14:paraId="435801B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36.6发包人、承包人对工程竣工结算价款发生争议时，按合同通用条款40条关于争议的约定处理。</w:t>
      </w:r>
    </w:p>
    <w:p w14:paraId="286864E1">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37、质量保修</w:t>
      </w:r>
    </w:p>
    <w:p w14:paraId="71D239B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37.1承包人应按法律、行政法规或国家关于工程质量保修的有关规定，对交付发包人使用的工程在质量保修期内承担质量保修责任。</w:t>
      </w:r>
    </w:p>
    <w:p w14:paraId="2DF2336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37.2质量保修工作的实施。承包人应在工程竣工验收之前，与发包人签订质量保修书，作为合同附件1。</w:t>
      </w:r>
    </w:p>
    <w:p w14:paraId="5BEC994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37.3质量保修书的主要内容包括：</w:t>
      </w:r>
    </w:p>
    <w:p w14:paraId="7AEC88B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（1）质量保修项目内容及范围；</w:t>
      </w:r>
    </w:p>
    <w:p w14:paraId="01E98FC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（2）质量保修期；</w:t>
      </w:r>
    </w:p>
    <w:p w14:paraId="0D09560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（3）质量保修责任。</w:t>
      </w:r>
    </w:p>
    <w:p w14:paraId="22B4142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（4）质量保修金的支付方法。</w:t>
      </w:r>
    </w:p>
    <w:p w14:paraId="2EEE9F39">
      <w:pPr>
        <w:adjustRightInd w:val="0"/>
        <w:snapToGrid w:val="0"/>
        <w:spacing w:line="360" w:lineRule="auto"/>
        <w:rPr>
          <w:rFonts w:hint="eastAsia" w:ascii="宋体" w:hAnsi="宋体"/>
          <w:snapToGrid w:val="0"/>
          <w:color w:val="auto"/>
          <w:kern w:val="0"/>
          <w:sz w:val="24"/>
          <w:highlight w:val="none"/>
        </w:rPr>
      </w:pPr>
    </w:p>
    <w:p w14:paraId="5EC69CA9">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十、违约、索赔和争议</w:t>
      </w:r>
    </w:p>
    <w:p w14:paraId="75FDA6EA">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38、违约</w:t>
      </w:r>
    </w:p>
    <w:p w14:paraId="241D999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38.1发包人违约。当发生下列情况时：</w:t>
      </w:r>
    </w:p>
    <w:p w14:paraId="5801A49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（1）合同通用条款第26条提到的发包人不按时支付工程预付款；</w:t>
      </w:r>
    </w:p>
    <w:p w14:paraId="0819E1D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（2）合同通用条款第28.4款提到的发包人不按合同约定支付工程款，导致施工无法进行；</w:t>
      </w:r>
    </w:p>
    <w:p w14:paraId="3A67DA0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（3）合同通用条款第36.3款提到的发包人无正当理由不支付工程竣工结算价款；</w:t>
      </w:r>
    </w:p>
    <w:p w14:paraId="2669D31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（4）发包人不履行合同义务或不按合同约定履行义务的其他情况。</w:t>
      </w:r>
    </w:p>
    <w:p w14:paraId="05505EF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发包人承担违约责任，赔偿因其违约给承包人造成的经济损失，顺延延误的工期。双方在合同专用条款内约定发包人赔偿承包人损失的计算方法或者发包人应当支付违约金的数额或计算方法。</w:t>
      </w:r>
    </w:p>
    <w:p w14:paraId="23795D6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38.2承包人违约。当发生下列情况时：</w:t>
      </w:r>
    </w:p>
    <w:p w14:paraId="13CDF5A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（1）合同通用条款第14.2款提到的因承包人原因不能按照合同协议书约定的竣工日期或工程师同意顺延的工期竣工；</w:t>
      </w:r>
    </w:p>
    <w:p w14:paraId="05C91C8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（2）合同通用条款第15.1款提到的因承包人原因工程质量达不到合同协议书约定的质量标准；</w:t>
      </w:r>
    </w:p>
    <w:p w14:paraId="1E27F18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（3）承包人不履行合同义务或不按合同约定履行义务的其他情况。</w:t>
      </w:r>
    </w:p>
    <w:p w14:paraId="320ADB9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承包人承担违约，赔偿因其违约给发包人造成的损失。双方在合同专用条款内约定承包人赔偿发包人损失的计算方法或者承包人应当支付违约金的数额或计算方法。</w:t>
      </w:r>
    </w:p>
    <w:p w14:paraId="6D0A199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38.3一方违约后，另一方要求违约方继续履行合同时，违约方承担上述违约责任后仍应继续履行合同。</w:t>
      </w:r>
    </w:p>
    <w:p w14:paraId="6716CD7B">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39、索赔</w:t>
      </w:r>
    </w:p>
    <w:p w14:paraId="2BA7DFE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39.1当一方向另一方提出索赔时，要有正当索赔理由，且有索赔事件发生时的有效证据。</w:t>
      </w:r>
    </w:p>
    <w:p w14:paraId="19F0F9F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39.2发包人未能按合同约定履行自己的各项义务或发生错误以及应由发包人承担责任的其他情况，造成工期延误和（或）承包人不能及时得到合同价款及承包人的其他经济损失，承包人可按下列程序以书面形式向发包人索赔：</w:t>
      </w:r>
    </w:p>
    <w:p w14:paraId="38D21D7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（1）索赔事件发生后28天内，向工程师发出索赔意向通知；</w:t>
      </w:r>
    </w:p>
    <w:p w14:paraId="1252386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（2）发出索赔意向通知后28天内，向工程师提出延长工期和（或）补偿经济损失的索赔报告及有关资料；</w:t>
      </w:r>
    </w:p>
    <w:p w14:paraId="04F6C97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（3）工程师在收到承包人送交的索赔报告和有关资料后，于28天内给予答复，或要求承包人进一步补充索赔理由和证据；</w:t>
      </w:r>
    </w:p>
    <w:p w14:paraId="06D0598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（4）工程师在收到承包人送交的索赔报告和有关资料后28天内未予答复或未对承包人作出进一步要求，视为该项索赔已经认可；</w:t>
      </w:r>
    </w:p>
    <w:p w14:paraId="283903A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（5）当该索赔事件持续进行时，承包人应当阶段性向工程师发出索赔意向，在索赔事件终了后28天内，向工程师送交索赔的有关资料和最终索赔报告。索赔答复程序与（3）、（4）规定相同。</w:t>
      </w:r>
    </w:p>
    <w:p w14:paraId="0EBE6F9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39.3承包人未能按合同约定履行自己的各项义务或发生错误，给发包人造成经济损失，发包人可按39.2款确定的时限向承包人提出索赔。</w:t>
      </w:r>
    </w:p>
    <w:p w14:paraId="3AC69D7F">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40、争议</w:t>
      </w:r>
    </w:p>
    <w:p w14:paraId="312C000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40.1发包人、承包人在履行合同时发生争议，可以和解或者要求有关主管部门调解。当事人不愿和解、调解或者和解、调解不成的，双方可以在合同专用条款内约定以下一种方式解决争议：</w:t>
      </w:r>
    </w:p>
    <w:p w14:paraId="2A49A04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第一种解决方式：双方达成仲裁协议，向约定的仲裁委员会申请仲裁；</w:t>
      </w:r>
    </w:p>
    <w:p w14:paraId="2B5EEA4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第二种解决方式：向有管辖权的人民法院起诉。</w:t>
      </w:r>
    </w:p>
    <w:p w14:paraId="159E2FC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40.2发生争议后，除非出现下列情况的，双方都应继续履行合同，保持施工连续，保护好已完工程：</w:t>
      </w:r>
    </w:p>
    <w:p w14:paraId="3B3817A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（1）单方违约导致合同确已无法履行，双方协议停止施工；</w:t>
      </w:r>
    </w:p>
    <w:p w14:paraId="7F4B722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（2）调解要求停止施工，且为双方接受；</w:t>
      </w:r>
    </w:p>
    <w:p w14:paraId="32D9481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（3）仲裁机构要求停止施工；</w:t>
      </w:r>
    </w:p>
    <w:p w14:paraId="2A3D2D8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（4）法院要求停止施工。</w:t>
      </w:r>
    </w:p>
    <w:p w14:paraId="7B40319C">
      <w:pPr>
        <w:adjustRightInd w:val="0"/>
        <w:snapToGrid w:val="0"/>
        <w:spacing w:line="360" w:lineRule="auto"/>
        <w:rPr>
          <w:rFonts w:hint="eastAsia" w:ascii="宋体" w:hAnsi="宋体"/>
          <w:snapToGrid w:val="0"/>
          <w:color w:val="auto"/>
          <w:kern w:val="0"/>
          <w:sz w:val="24"/>
          <w:highlight w:val="none"/>
        </w:rPr>
      </w:pPr>
    </w:p>
    <w:p w14:paraId="1E5EB721">
      <w:pPr>
        <w:adjustRightInd w:val="0"/>
        <w:snapToGrid w:val="0"/>
        <w:spacing w:line="360" w:lineRule="auto"/>
        <w:ind w:right="11"/>
        <w:outlineLvl w:val="1"/>
        <w:rPr>
          <w:rFonts w:hint="eastAsia" w:ascii="宋体" w:hAnsi="宋体"/>
          <w:b/>
          <w:snapToGrid w:val="0"/>
          <w:color w:val="auto"/>
          <w:kern w:val="0"/>
          <w:sz w:val="28"/>
          <w:highlight w:val="none"/>
        </w:rPr>
      </w:pPr>
      <w:r>
        <w:rPr>
          <w:rFonts w:hint="eastAsia" w:ascii="宋体" w:hAnsi="宋体"/>
          <w:b/>
          <w:snapToGrid w:val="0"/>
          <w:color w:val="auto"/>
          <w:kern w:val="0"/>
          <w:sz w:val="28"/>
          <w:highlight w:val="none"/>
        </w:rPr>
        <w:t>十一、其他</w:t>
      </w:r>
    </w:p>
    <w:p w14:paraId="0BD21104">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41、工程分包</w:t>
      </w:r>
    </w:p>
    <w:p w14:paraId="78B8040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41.1承包人按合同专用条款的约定分包所承包的部分工程，并与分包单位签订分包合同。非经发包人同意，承包人不得将承包工程的任务部分分包。</w:t>
      </w:r>
    </w:p>
    <w:p w14:paraId="67CB75F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41.2承包人不得将其承包的全部工程转包给他人，也不得将其承包的全部工程肢解以后以分包的名义分别转包给他人。</w:t>
      </w:r>
    </w:p>
    <w:p w14:paraId="4E2F899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41.3工程分包不能解除承包人任何责任与义务。承包人应在分包场地派驻相应管理人员，保证本合同的履行。分包单位的任何违约行为或疏忽导致工程损害或给发包人造成其他损失，承包人承担连带责任。</w:t>
      </w:r>
    </w:p>
    <w:p w14:paraId="0B9715A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41.4分包工程价款由承包人与发包单位结算。发包人未经承包人同意不得以任何形式向分包单位支付各种工程款项。</w:t>
      </w:r>
    </w:p>
    <w:p w14:paraId="39F18C17">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42、不可抗力</w:t>
      </w:r>
    </w:p>
    <w:p w14:paraId="0F06245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42.1不可抗力包括因战争、动乱、空中飞行物体坠落或其他非发包人、承包人责任造成的爆炸、火灾，以及合同专用条款约定的风、雨、雪、洪、震等自然灾害。</w:t>
      </w:r>
    </w:p>
    <w:p w14:paraId="6BF918B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42.2不可抗力事件发生后，承包人应立即通知工程师，并在力所能及的条件下迅速采取措施，尽力减少损失，发包人应协助承包人采取措施。工程师认为应当暂停施工的，承包人应暂停施工。不可抗力事件结束后48小时内承包人向工程师通报受害情况和损失情况，及预计清理和修复的费用。不可抗力事件持续发生，承包人应每隔7天向工程师报告一次受害情况。不可抗力事件结束后14天内，承包人向工程师提交清理和修复费用的正式报告及有关资料。</w:t>
      </w:r>
    </w:p>
    <w:p w14:paraId="2BE27F6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42.3因不可抗力事件导致的费用及延误的工期由双方按以下方法分别承担：</w:t>
      </w:r>
    </w:p>
    <w:p w14:paraId="24FAA43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（1）工程本身的损害、因工程损害导致第三人人员伤亡和财产损失以及运至施工场地用于施工的材料和待安装的设备的损害，由发包人承担；</w:t>
      </w:r>
    </w:p>
    <w:p w14:paraId="1F75A8A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（2）发包人、承包人人员伤亡由其所在单位负责，并承担相应费用；</w:t>
      </w:r>
    </w:p>
    <w:p w14:paraId="77C2B14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（3）承包人机械设备损坏及停工损失，由承包人承担；</w:t>
      </w:r>
    </w:p>
    <w:p w14:paraId="66CE84E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（4）停工期间，承包人应工程师要求留在施工场地的必要的管理人员及保卫人员的费用由发包人承担；</w:t>
      </w:r>
    </w:p>
    <w:p w14:paraId="4A09EC9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（5）工程所需清理、修复费用，由发包人承担；</w:t>
      </w:r>
    </w:p>
    <w:p w14:paraId="1BE8725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（6）延误的工期相应顺延。</w:t>
      </w:r>
    </w:p>
    <w:p w14:paraId="4AAF348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42.4因合同一方迟延履行合同后发生不可抗力的，不能免除迟延履行方的相应责任。</w:t>
      </w:r>
    </w:p>
    <w:p w14:paraId="77C01648">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43、保险</w:t>
      </w:r>
    </w:p>
    <w:p w14:paraId="56A3A81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43.1工程开工前，发包人为建设工程和施工场地内的自有人员及第三人人员生命财产办理保险，支付保险费用。</w:t>
      </w:r>
    </w:p>
    <w:p w14:paraId="562538F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43.2运至施工场地内用于工程的材料和待安装设备，由发包人办理保险，并支付保险费用。</w:t>
      </w:r>
    </w:p>
    <w:p w14:paraId="4F345AB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43.3发包人可以将有关保险事项委托承包人办理，费用由发包人承担。</w:t>
      </w:r>
    </w:p>
    <w:p w14:paraId="73D25D8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43.4承包人必须为从事危险作业的职工办理意外伤害保险，并为施工场地内自有人员生命财产和施工机械设备办理保险，支付保险费用。</w:t>
      </w:r>
    </w:p>
    <w:p w14:paraId="78143C6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43.5保险事故发生时，发包人、承包人有责任尽力采取必要的措施，防止或者减少损失。</w:t>
      </w:r>
    </w:p>
    <w:p w14:paraId="358BDC4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43.6具体投保内容和相关责任，发包人、承包人在合同专用条款中约定。</w:t>
      </w:r>
    </w:p>
    <w:p w14:paraId="20DBBDE4">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44、担保</w:t>
      </w:r>
    </w:p>
    <w:p w14:paraId="78AB793E">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44.1发包人、承包人为了全面履行合同，应互相提供以下担保：</w:t>
      </w:r>
    </w:p>
    <w:p w14:paraId="3233682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（1）发包人向承包人提供履约担保，按合同约定支付工程价款及履行合同约定的其他义务。</w:t>
      </w:r>
    </w:p>
    <w:p w14:paraId="1A9BAAFC">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（2）承包人向发包人提供履约担保，按合同约定履行自己的各项义务。</w:t>
      </w:r>
    </w:p>
    <w:p w14:paraId="79EE724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44.2一方违约后，另一方可要求提供担保的第三人承担相应责任。</w:t>
      </w:r>
    </w:p>
    <w:p w14:paraId="78B56EA4">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44.3提供担保的内容、方式和相关责任，发包人、承包人除在合同专用条款中约定外，被担保方与担保方还应签订担保合同，作为合同附件。</w:t>
      </w:r>
    </w:p>
    <w:p w14:paraId="26E74A4E">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45、专利技术及特殊工艺</w:t>
      </w:r>
    </w:p>
    <w:p w14:paraId="7C5D996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45.1发包人要求使用专利技术或特殊工艺，应负责办理相应的申报手续，承担申报、试验、使用等费用；承包人提出使用专利技术或特殊工艺，应取得工程师认可，承包人负责办理申报手续并承担有关费用。</w:t>
      </w:r>
    </w:p>
    <w:p w14:paraId="1C79869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45.2擅自使用专利技术侵犯他人专利权的，责任者依法承担相应责任。</w:t>
      </w:r>
    </w:p>
    <w:p w14:paraId="075851F8">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46、文物和地下障碍物</w:t>
      </w:r>
    </w:p>
    <w:p w14:paraId="69B3FA2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46.1在施工中发现古墓、古建筑遗址等文物及化石或其他有考古、地质研究等价值的物品时，承包人应立即保护好现场并于4小时内以书面形式通知工程师，工程师应于收到书面通知后24小时内报告当地文物管理部门，发包人、承包人按管理部门的要求采取妥善保护措施。发包人承担由此发生的费用，顺延延误的工期。</w:t>
      </w:r>
    </w:p>
    <w:p w14:paraId="435A8DB1">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如发现隐瞒不报，致使文物遭受破坏，责任者依法承担相应责任。</w:t>
      </w:r>
    </w:p>
    <w:p w14:paraId="4647E8A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46.2施工中发现影响施工的地下障碍物时，承包人应于8小时内以书面形式通知工程师，同时提出处置方案，工程师收到处置方案后24小时内予以认可或提出修正方案。发包人承担由此发生的费用，顺延延误的工期。</w:t>
      </w:r>
    </w:p>
    <w:p w14:paraId="30BE8FE5">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所发现的地下障碍物有归属单位时，发包人应报请有关部门协同处置。</w:t>
      </w:r>
    </w:p>
    <w:p w14:paraId="664411DA">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47、合同解除</w:t>
      </w:r>
    </w:p>
    <w:p w14:paraId="0D729B8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47.1发包人、承包人协商一致，可以解除合同。</w:t>
      </w:r>
    </w:p>
    <w:p w14:paraId="5C04137D">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47.2发生合同通用条款第28.4款情况，停止施工超过56天，发包人仍不支付工程款（进度款），承包人有权解除合同。</w:t>
      </w:r>
    </w:p>
    <w:p w14:paraId="0C3B5F4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47.3发生合同通用条款第41.2款禁止的情况，承包人将其承包的全部工程转包给他人或者肢解以后以分包的名义分别转包给他人，发包人有权解除合同。</w:t>
      </w:r>
    </w:p>
    <w:p w14:paraId="09ECE110">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47.4有下列情形之一的，发包人、承包人可以解除合同：</w:t>
      </w:r>
    </w:p>
    <w:p w14:paraId="5CBB09B3">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（1）因不可抗力致使合同无法履行；</w:t>
      </w:r>
    </w:p>
    <w:p w14:paraId="378D0609">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（2）因一方违约（包括因发包人原因造成工程停建或缓建）致使合同无法履行。</w:t>
      </w:r>
    </w:p>
    <w:p w14:paraId="4C449F5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47.5一方依据本条第47.2、47.3、47.4款约定要求解除合同的，应以书面形式向对方发出解除合同的通知，并在发出通知前7天告知对方，通知到达对方时合同解除。对解除合同有争议的，按合同通用条款第40条关于争议的约定处理。</w:t>
      </w:r>
    </w:p>
    <w:p w14:paraId="41456EFB">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w:t>
      </w:r>
    </w:p>
    <w:p w14:paraId="4220F05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47.7合同解除后，不影响双方在合同约定的结算和清理条款的效力。</w:t>
      </w:r>
    </w:p>
    <w:p w14:paraId="561674EC">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48、合同生效与终止</w:t>
      </w:r>
    </w:p>
    <w:p w14:paraId="1CE5F5AA">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48.1双方在合同协议书中约定合同生效方式。</w:t>
      </w:r>
    </w:p>
    <w:p w14:paraId="3D9B49A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48.2除合同通用条款第40条外，发包人、承包人履行合同全部义务，竣工结算价款支付完毕，承包人向发包人交付竣工工程后，本合同即告终止。</w:t>
      </w:r>
    </w:p>
    <w:p w14:paraId="6CD8D53F">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48.3合同的权利义务终止后，发包人、承包人应当遵循诚实信用原则，履行通知，协助、保密等义务。</w:t>
      </w:r>
    </w:p>
    <w:p w14:paraId="58742187">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49、合同份数</w:t>
      </w:r>
    </w:p>
    <w:p w14:paraId="045A0437">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49.1本合同正本两份，具有同等效力，由发包人、承包人分别保存一份。</w:t>
      </w:r>
    </w:p>
    <w:p w14:paraId="433C9156">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49.2本合同副本份数，由双方根据需要在合同专用条款内约定。</w:t>
      </w:r>
    </w:p>
    <w:p w14:paraId="4FE02646">
      <w:pPr>
        <w:adjustRightInd w:val="0"/>
        <w:snapToGrid w:val="0"/>
        <w:spacing w:line="360" w:lineRule="auto"/>
        <w:ind w:firstLine="472" w:firstLineChars="196"/>
        <w:outlineLvl w:val="2"/>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50、补充条款</w:t>
      </w:r>
    </w:p>
    <w:p w14:paraId="0513C292">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双方根据有关法律、行政法规规定，结合工程实际，经协商一致后，可对合同通用条款内容具体化、补充或修改，在合同专用条款内约定。</w:t>
      </w:r>
    </w:p>
    <w:p w14:paraId="7ED83911">
      <w:pPr>
        <w:adjustRightInd w:val="0"/>
        <w:snapToGrid w:val="0"/>
        <w:spacing w:line="360" w:lineRule="auto"/>
        <w:rPr>
          <w:rFonts w:hint="eastAsia" w:ascii="宋体" w:hAnsi="宋体"/>
          <w:snapToGrid w:val="0"/>
          <w:color w:val="auto"/>
          <w:kern w:val="0"/>
          <w:sz w:val="24"/>
          <w:highlight w:val="none"/>
        </w:rPr>
      </w:pPr>
    </w:p>
    <w:p w14:paraId="39ED2836">
      <w:pPr>
        <w:spacing w:line="560" w:lineRule="exact"/>
        <w:rPr>
          <w:rFonts w:hint="eastAsia" w:ascii="宋体" w:hAnsi="宋体"/>
          <w:snapToGrid w:val="0"/>
          <w:color w:val="auto"/>
          <w:kern w:val="0"/>
          <w:sz w:val="28"/>
          <w:szCs w:val="28"/>
          <w:highlight w:val="none"/>
        </w:rPr>
      </w:pPr>
      <w:r>
        <w:rPr>
          <w:rFonts w:ascii="宋体" w:hAnsi="宋体"/>
          <w:snapToGrid w:val="0"/>
          <w:color w:val="auto"/>
          <w:kern w:val="0"/>
          <w:sz w:val="24"/>
          <w:highlight w:val="none"/>
        </w:rPr>
        <w:br w:type="page"/>
      </w:r>
    </w:p>
    <w:p w14:paraId="02AE55A4">
      <w:pPr>
        <w:adjustRightInd w:val="0"/>
        <w:snapToGrid w:val="0"/>
        <w:spacing w:line="360" w:lineRule="auto"/>
        <w:jc w:val="center"/>
        <w:outlineLvl w:val="0"/>
        <w:rPr>
          <w:rFonts w:hint="eastAsia" w:ascii="宋体" w:hAnsi="宋体"/>
          <w:b/>
          <w:bCs/>
          <w:snapToGrid w:val="0"/>
          <w:color w:val="auto"/>
          <w:kern w:val="0"/>
          <w:sz w:val="44"/>
          <w:szCs w:val="44"/>
          <w:highlight w:val="none"/>
        </w:rPr>
      </w:pPr>
      <w:r>
        <w:rPr>
          <w:rFonts w:hint="eastAsia" w:ascii="宋体" w:hAnsi="宋体"/>
          <w:b/>
          <w:bCs/>
          <w:snapToGrid w:val="0"/>
          <w:color w:val="auto"/>
          <w:kern w:val="0"/>
          <w:sz w:val="44"/>
          <w:szCs w:val="44"/>
          <w:highlight w:val="none"/>
        </w:rPr>
        <w:t>第四篇  合同附件</w:t>
      </w:r>
    </w:p>
    <w:p w14:paraId="2EC0F8AB">
      <w:pPr>
        <w:adjustRightInd w:val="0"/>
        <w:snapToGrid w:val="0"/>
        <w:spacing w:line="360" w:lineRule="auto"/>
        <w:ind w:right="1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附件1：</w:t>
      </w:r>
    </w:p>
    <w:p w14:paraId="4DD765A5">
      <w:pPr>
        <w:adjustRightInd w:val="0"/>
        <w:snapToGrid w:val="0"/>
        <w:spacing w:line="360" w:lineRule="auto"/>
        <w:jc w:val="center"/>
        <w:outlineLvl w:val="1"/>
        <w:rPr>
          <w:rFonts w:hint="eastAsia" w:ascii="宋体" w:hAnsi="宋体"/>
          <w:b/>
          <w:snapToGrid w:val="0"/>
          <w:color w:val="auto"/>
          <w:kern w:val="0"/>
          <w:sz w:val="32"/>
          <w:szCs w:val="32"/>
          <w:highlight w:val="none"/>
        </w:rPr>
      </w:pPr>
      <w:r>
        <w:rPr>
          <w:rFonts w:hint="eastAsia"/>
          <w:b/>
          <w:snapToGrid w:val="0"/>
          <w:color w:val="auto"/>
          <w:kern w:val="0"/>
          <w:sz w:val="32"/>
          <w:szCs w:val="32"/>
          <w:highlight w:val="none"/>
        </w:rPr>
        <w:t>工程质量保修书</w:t>
      </w:r>
    </w:p>
    <w:p w14:paraId="54DA8712">
      <w:pPr>
        <w:adjustRightInd w:val="0"/>
        <w:snapToGrid w:val="0"/>
        <w:spacing w:line="360" w:lineRule="auto"/>
        <w:ind w:right="11"/>
        <w:rPr>
          <w:rFonts w:hint="eastAsia" w:ascii="宋体" w:hAnsi="宋体"/>
          <w:snapToGrid w:val="0"/>
          <w:color w:val="auto"/>
          <w:kern w:val="0"/>
          <w:sz w:val="24"/>
          <w:highlight w:val="none"/>
        </w:rPr>
      </w:pPr>
    </w:p>
    <w:p w14:paraId="2B5FF255">
      <w:pPr>
        <w:adjustRightInd w:val="0"/>
        <w:snapToGrid w:val="0"/>
        <w:spacing w:line="360" w:lineRule="auto"/>
        <w:ind w:right="11"/>
        <w:rPr>
          <w:rFonts w:hint="eastAsia" w:ascii="宋体" w:hAnsi="宋体" w:eastAsia="宋体"/>
          <w:b/>
          <w:snapToGrid w:val="0"/>
          <w:color w:val="auto"/>
          <w:kern w:val="0"/>
          <w:sz w:val="24"/>
          <w:highlight w:val="none"/>
          <w:lang w:eastAsia="zh-CN"/>
        </w:rPr>
      </w:pPr>
      <w:r>
        <w:rPr>
          <w:rFonts w:hint="eastAsia" w:ascii="宋体" w:hAnsi="宋体"/>
          <w:b/>
          <w:snapToGrid w:val="0"/>
          <w:color w:val="auto"/>
          <w:kern w:val="0"/>
          <w:sz w:val="24"/>
          <w:highlight w:val="none"/>
        </w:rPr>
        <w:t>发包人：</w:t>
      </w:r>
      <w:r>
        <w:rPr>
          <w:rFonts w:hint="eastAsia" w:ascii="宋体" w:hAnsi="宋体"/>
          <w:b/>
          <w:bCs/>
          <w:snapToGrid w:val="0"/>
          <w:color w:val="auto"/>
          <w:kern w:val="0"/>
          <w:sz w:val="24"/>
          <w:highlight w:val="none"/>
          <w:lang w:eastAsia="zh-CN"/>
        </w:rPr>
        <w:t>广州市荔湾发展集团有限责任公司</w:t>
      </w:r>
    </w:p>
    <w:p w14:paraId="5334A1F5">
      <w:pPr>
        <w:adjustRightInd w:val="0"/>
        <w:snapToGrid w:val="0"/>
        <w:spacing w:line="360" w:lineRule="auto"/>
        <w:ind w:left="1928" w:right="11" w:hanging="1928" w:hangingChars="800"/>
        <w:rPr>
          <w:rFonts w:hint="eastAsia" w:ascii="宋体" w:hAnsi="宋体"/>
          <w:b/>
          <w:snapToGrid w:val="0"/>
          <w:color w:val="auto"/>
          <w:kern w:val="0"/>
          <w:sz w:val="24"/>
          <w:highlight w:val="none"/>
        </w:rPr>
      </w:pPr>
      <w:r>
        <w:rPr>
          <w:rFonts w:hint="eastAsia" w:ascii="宋体" w:hAnsi="宋体"/>
          <w:b/>
          <w:snapToGrid w:val="0"/>
          <w:color w:val="auto"/>
          <w:kern w:val="0"/>
          <w:sz w:val="24"/>
          <w:highlight w:val="none"/>
        </w:rPr>
        <w:t>承包人：</w:t>
      </w:r>
      <w:r>
        <w:rPr>
          <w:rFonts w:hint="eastAsia" w:ascii="宋体" w:hAnsi="宋体"/>
          <w:b/>
          <w:snapToGrid w:val="0"/>
          <w:color w:val="auto"/>
          <w:kern w:val="0"/>
          <w:sz w:val="24"/>
          <w:highlight w:val="none"/>
          <w:u w:val="single"/>
        </w:rPr>
        <w:t xml:space="preserve">                                </w:t>
      </w:r>
    </w:p>
    <w:p w14:paraId="6B79EA40">
      <w:pPr>
        <w:adjustRightInd w:val="0"/>
        <w:snapToGrid w:val="0"/>
        <w:spacing w:line="360" w:lineRule="auto"/>
        <w:ind w:right="11"/>
        <w:rPr>
          <w:rFonts w:hint="eastAsia" w:ascii="宋体" w:hAnsi="宋体"/>
          <w:snapToGrid w:val="0"/>
          <w:color w:val="auto"/>
          <w:kern w:val="0"/>
          <w:sz w:val="24"/>
          <w:szCs w:val="24"/>
          <w:highlight w:val="none"/>
        </w:rPr>
      </w:pPr>
    </w:p>
    <w:p w14:paraId="008C3CEF">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发包人、承包人根据《中华人民共和国建筑法》、《建设工程质量管理条例》和《房屋建筑工程质量保修办法》，经协商一致，对______________（工程全称）签</w:t>
      </w:r>
      <w:r>
        <w:rPr>
          <w:rFonts w:hint="eastAsia" w:ascii="宋体" w:hAnsi="宋体"/>
          <w:snapToGrid w:val="0"/>
          <w:color w:val="auto"/>
          <w:kern w:val="0"/>
          <w:sz w:val="24"/>
          <w:szCs w:val="24"/>
          <w:highlight w:val="none"/>
        </w:rPr>
        <w:t>订</w:t>
      </w:r>
      <w:r>
        <w:rPr>
          <w:rFonts w:ascii="宋体" w:hAnsi="宋体"/>
          <w:snapToGrid w:val="0"/>
          <w:color w:val="auto"/>
          <w:kern w:val="0"/>
          <w:sz w:val="24"/>
          <w:szCs w:val="24"/>
          <w:highlight w:val="none"/>
        </w:rPr>
        <w:t>工程质量保修书。</w:t>
      </w:r>
    </w:p>
    <w:p w14:paraId="35180FF7">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一、工程质量保修范围和内容</w:t>
      </w:r>
    </w:p>
    <w:p w14:paraId="14BB5D1C">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承包人在质量保修期内，按照有关法律、法规、规章的管理规定和双方约定，承担本工程质量保修责任。</w:t>
      </w:r>
    </w:p>
    <w:p w14:paraId="0409FECF">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质量保修范围包括地基基础工程、主体结构工程，屋面防水工程、有防水要求的—卫生间、房间和外墙面的防渗漏，供热与供冷系统，电气管线、给排水管道设备安装和装修工程，以及双方约定的其他项目。</w:t>
      </w:r>
    </w:p>
    <w:p w14:paraId="533F261C">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二、质量保修期</w:t>
      </w:r>
    </w:p>
    <w:p w14:paraId="7B6D4029">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双方根据《建设工程质量管理条例》及有关规定，约定本工程的质量保修期如下：</w:t>
      </w:r>
    </w:p>
    <w:p w14:paraId="2BF37AE7">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1．地基基础工程和主体结构工程，为设计文件规定的该工程的合理使用年限；</w:t>
      </w:r>
    </w:p>
    <w:p w14:paraId="5D283C2E">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2</w:t>
      </w:r>
      <w:r>
        <w:rPr>
          <w:rFonts w:ascii="宋体" w:hAnsi="宋体"/>
          <w:snapToGrid w:val="0"/>
          <w:color w:val="auto"/>
          <w:kern w:val="0"/>
          <w:sz w:val="24"/>
          <w:szCs w:val="24"/>
          <w:highlight w:val="none"/>
        </w:rPr>
        <w:t>．屋面防水工程、有防水要求的卫生间、房间和外墙面的防渗漏，为5年；</w:t>
      </w:r>
    </w:p>
    <w:p w14:paraId="441D3CC3">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3</w:t>
      </w:r>
      <w:r>
        <w:rPr>
          <w:rFonts w:ascii="宋体" w:hAnsi="宋体"/>
          <w:snapToGrid w:val="0"/>
          <w:color w:val="auto"/>
          <w:kern w:val="0"/>
          <w:sz w:val="24"/>
          <w:szCs w:val="24"/>
          <w:highlight w:val="none"/>
        </w:rPr>
        <w:t>．供热与供冷系统，为2个采暖期、供冷期；</w:t>
      </w:r>
    </w:p>
    <w:p w14:paraId="5AC24BFE">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4</w:t>
      </w:r>
      <w:r>
        <w:rPr>
          <w:rFonts w:ascii="宋体" w:hAnsi="宋体"/>
          <w:snapToGrid w:val="0"/>
          <w:color w:val="auto"/>
          <w:kern w:val="0"/>
          <w:sz w:val="24"/>
          <w:szCs w:val="24"/>
          <w:highlight w:val="none"/>
        </w:rPr>
        <w:t>．电气管线、给排水管道、设备安装为2年；</w:t>
      </w:r>
    </w:p>
    <w:p w14:paraId="7E864651">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5</w:t>
      </w:r>
      <w:r>
        <w:rPr>
          <w:rFonts w:ascii="宋体" w:hAnsi="宋体"/>
          <w:snapToGrid w:val="0"/>
          <w:color w:val="auto"/>
          <w:kern w:val="0"/>
          <w:sz w:val="24"/>
          <w:szCs w:val="24"/>
          <w:highlight w:val="none"/>
        </w:rPr>
        <w:t>．装修工程为2年</w:t>
      </w:r>
      <w:r>
        <w:rPr>
          <w:rFonts w:hint="eastAsia" w:ascii="宋体" w:hAnsi="宋体"/>
          <w:snapToGrid w:val="0"/>
          <w:color w:val="auto"/>
          <w:kern w:val="0"/>
          <w:sz w:val="24"/>
          <w:szCs w:val="24"/>
          <w:highlight w:val="none"/>
        </w:rPr>
        <w:t>；</w:t>
      </w:r>
    </w:p>
    <w:p w14:paraId="258F0510">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6</w:t>
      </w:r>
      <w:r>
        <w:rPr>
          <w:rFonts w:ascii="宋体" w:hAnsi="宋体"/>
          <w:snapToGrid w:val="0"/>
          <w:color w:val="auto"/>
          <w:kern w:val="0"/>
          <w:sz w:val="24"/>
          <w:szCs w:val="24"/>
          <w:highlight w:val="none"/>
        </w:rPr>
        <w:t>．其他项目的保修期限为2年。</w:t>
      </w:r>
    </w:p>
    <w:p w14:paraId="245A34F8">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质量保修期自工程竣工验收合格之</w:t>
      </w:r>
      <w:r>
        <w:rPr>
          <w:rFonts w:hint="eastAsia" w:ascii="宋体" w:hAnsi="宋体"/>
          <w:snapToGrid w:val="0"/>
          <w:color w:val="auto"/>
          <w:kern w:val="0"/>
          <w:sz w:val="24"/>
          <w:szCs w:val="24"/>
          <w:highlight w:val="none"/>
        </w:rPr>
        <w:t>日</w:t>
      </w:r>
      <w:r>
        <w:rPr>
          <w:rFonts w:ascii="宋体" w:hAnsi="宋体"/>
          <w:snapToGrid w:val="0"/>
          <w:color w:val="auto"/>
          <w:kern w:val="0"/>
          <w:sz w:val="24"/>
          <w:szCs w:val="24"/>
          <w:highlight w:val="none"/>
        </w:rPr>
        <w:t>起计算。</w:t>
      </w:r>
    </w:p>
    <w:p w14:paraId="3E84B0DF">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三、质量保修责任</w:t>
      </w:r>
    </w:p>
    <w:p w14:paraId="17313A97">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1．属于保修范围、内容的项目，承包人应当在接到保修通知之日起7天内派人保修。承包人不在约定期限内派人保修的，发包人可以委托他人修理。</w:t>
      </w:r>
    </w:p>
    <w:p w14:paraId="5CE653CC">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2．发生紧急抢修事故的，承包人在接到事故通知后，应当立即到达事故现场抢修。</w:t>
      </w:r>
    </w:p>
    <w:p w14:paraId="4E3D0A3C">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3．对于涉及结构安全的质量问题，应当按照《房屋建筑工程质量保修办法》的规定，立即向当地建设行政主管部门报告，采取安全防范措施；由原设计单位或者具有相应资质等级的设计单位提出保修方案，承包人实</w:t>
      </w:r>
      <w:r>
        <w:rPr>
          <w:rFonts w:hint="eastAsia" w:ascii="宋体" w:hAnsi="宋体"/>
          <w:snapToGrid w:val="0"/>
          <w:color w:val="auto"/>
          <w:kern w:val="0"/>
          <w:sz w:val="24"/>
          <w:szCs w:val="24"/>
          <w:highlight w:val="none"/>
        </w:rPr>
        <w:t>施</w:t>
      </w:r>
      <w:r>
        <w:rPr>
          <w:rFonts w:ascii="宋体" w:hAnsi="宋体"/>
          <w:snapToGrid w:val="0"/>
          <w:color w:val="auto"/>
          <w:kern w:val="0"/>
          <w:sz w:val="24"/>
          <w:szCs w:val="24"/>
          <w:highlight w:val="none"/>
        </w:rPr>
        <w:t>保修。</w:t>
      </w:r>
    </w:p>
    <w:p w14:paraId="0CF79086">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4．质量保修完成后，由发包人组织验收。</w:t>
      </w:r>
    </w:p>
    <w:p w14:paraId="5A325936">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四、保修费用</w:t>
      </w:r>
    </w:p>
    <w:p w14:paraId="6E74E243">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保修费用由造成质量缺陷的责任方承担。具体按照以下约定处理：</w:t>
      </w:r>
    </w:p>
    <w:p w14:paraId="3F3AB904">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1.</w:t>
      </w:r>
      <w:r>
        <w:rPr>
          <w:rFonts w:hint="eastAsia" w:ascii="宋体" w:hAnsi="宋体"/>
          <w:snapToGrid w:val="0"/>
          <w:color w:val="auto"/>
          <w:kern w:val="0"/>
          <w:sz w:val="24"/>
          <w:szCs w:val="24"/>
          <w:highlight w:val="none"/>
        </w:rPr>
        <w:t>保修期内，因承包人原因造成工程的缺陷、损坏，承包人应负责修复，并承担修复的费用以及因工程的缺陷、损坏造成的人身伤害和财产损失；承包人拒绝维修或未能在合理期限内修复缺陷或损坏，且经发包人书面催告后仍未修复的，发包人有权自行修复或委托第三方修复，所需费用由承包人承担。</w:t>
      </w:r>
    </w:p>
    <w:p w14:paraId="669DC437">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2.</w:t>
      </w:r>
      <w:r>
        <w:rPr>
          <w:rFonts w:hint="eastAsia" w:ascii="宋体" w:hAnsi="宋体"/>
          <w:snapToGrid w:val="0"/>
          <w:color w:val="auto"/>
          <w:kern w:val="0"/>
          <w:sz w:val="24"/>
          <w:szCs w:val="24"/>
          <w:highlight w:val="none"/>
        </w:rPr>
        <w:t>保修期内，因发包人使用不当造成工程的缺陷、损坏，可以委托承包人修复，但发包人应承担修复的费用。</w:t>
      </w:r>
    </w:p>
    <w:p w14:paraId="5BDD0325">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3.</w:t>
      </w:r>
      <w:r>
        <w:rPr>
          <w:rFonts w:hint="eastAsia" w:ascii="宋体" w:hAnsi="宋体"/>
          <w:snapToGrid w:val="0"/>
          <w:color w:val="auto"/>
          <w:kern w:val="0"/>
          <w:sz w:val="24"/>
          <w:szCs w:val="24"/>
          <w:highlight w:val="none"/>
        </w:rPr>
        <w:t>因其他原因造成工程的缺陷、损坏，可以委托承包人修复，发包人应承担修复的费用，因工程的缺陷、损坏造成的人身伤害和财产损失由责任方承担</w:t>
      </w:r>
      <w:r>
        <w:rPr>
          <w:rFonts w:ascii="宋体" w:hAnsi="宋体"/>
          <w:snapToGrid w:val="0"/>
          <w:color w:val="auto"/>
          <w:kern w:val="0"/>
          <w:sz w:val="24"/>
          <w:szCs w:val="24"/>
          <w:highlight w:val="none"/>
        </w:rPr>
        <w:t>。</w:t>
      </w:r>
    </w:p>
    <w:p w14:paraId="32DAA125">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五、其他</w:t>
      </w:r>
    </w:p>
    <w:p w14:paraId="6EEEF4BE">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双方约定的其他工程质量保修事项：_</w:t>
      </w:r>
      <w:r>
        <w:rPr>
          <w:rFonts w:hint="eastAsia" w:ascii="宋体" w:hAnsi="宋体"/>
          <w:snapToGrid w:val="0"/>
          <w:color w:val="auto"/>
          <w:kern w:val="0"/>
          <w:sz w:val="24"/>
          <w:szCs w:val="24"/>
          <w:highlight w:val="none"/>
        </w:rPr>
        <w:t>/</w:t>
      </w:r>
      <w:r>
        <w:rPr>
          <w:rFonts w:ascii="宋体" w:hAnsi="宋体"/>
          <w:snapToGrid w:val="0"/>
          <w:color w:val="auto"/>
          <w:kern w:val="0"/>
          <w:sz w:val="24"/>
          <w:szCs w:val="24"/>
          <w:highlight w:val="none"/>
        </w:rPr>
        <w:t>_。</w:t>
      </w:r>
    </w:p>
    <w:p w14:paraId="558A6FE4">
      <w:pPr>
        <w:adjustRightInd w:val="0"/>
        <w:snapToGrid w:val="0"/>
        <w:spacing w:line="360" w:lineRule="auto"/>
        <w:ind w:right="11" w:firstLine="480" w:firstLineChars="200"/>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t>本工程质量保修书，由施工合同发包人、承包人双方在竣工验收前共同签署，作为施工合同附件其有效期限至保修期满。</w:t>
      </w:r>
    </w:p>
    <w:p w14:paraId="7C9A3871">
      <w:pPr>
        <w:pStyle w:val="3"/>
        <w:adjustRightInd w:val="0"/>
        <w:snapToGrid w:val="0"/>
        <w:spacing w:line="360" w:lineRule="auto"/>
        <w:ind w:right="11" w:firstLine="0"/>
        <w:rPr>
          <w:rFonts w:hint="eastAsia" w:ascii="宋体" w:hAnsi="宋体"/>
          <w:snapToGrid w:val="0"/>
          <w:color w:val="auto"/>
          <w:sz w:val="24"/>
          <w:szCs w:val="24"/>
          <w:highlight w:val="none"/>
        </w:rPr>
      </w:pPr>
    </w:p>
    <w:p w14:paraId="66D42ED6">
      <w:pPr>
        <w:pStyle w:val="3"/>
        <w:adjustRightInd w:val="0"/>
        <w:snapToGrid w:val="0"/>
        <w:spacing w:line="360" w:lineRule="auto"/>
        <w:ind w:right="11" w:firstLine="0"/>
        <w:rPr>
          <w:rFonts w:hint="eastAsia" w:ascii="宋体" w:hAnsi="宋体"/>
          <w:snapToGrid w:val="0"/>
          <w:color w:val="auto"/>
          <w:highlight w:val="none"/>
        </w:rPr>
      </w:pPr>
    </w:p>
    <w:p w14:paraId="6BA53EC2">
      <w:pPr>
        <w:adjustRightInd w:val="0"/>
        <w:snapToGrid w:val="0"/>
        <w:spacing w:line="360" w:lineRule="auto"/>
        <w:ind w:right="11"/>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发包人：</w:t>
      </w:r>
      <w:r>
        <w:rPr>
          <w:rFonts w:hint="eastAsia" w:ascii="宋体" w:hAnsi="宋体"/>
          <w:b/>
          <w:bCs/>
          <w:snapToGrid w:val="0"/>
          <w:color w:val="auto"/>
          <w:spacing w:val="-20"/>
          <w:kern w:val="0"/>
          <w:sz w:val="24"/>
          <w:highlight w:val="none"/>
          <w:lang w:eastAsia="zh-CN"/>
        </w:rPr>
        <w:t>广州市荔湾发展集团有限责任公司</w:t>
      </w:r>
      <w:r>
        <w:rPr>
          <w:rFonts w:hint="eastAsia" w:ascii="宋体" w:hAnsi="宋体"/>
          <w:snapToGrid w:val="0"/>
          <w:color w:val="auto"/>
          <w:spacing w:val="-20"/>
          <w:kern w:val="0"/>
          <w:sz w:val="24"/>
          <w:highlight w:val="none"/>
        </w:rPr>
        <w:t xml:space="preserve">                 承包人：</w:t>
      </w:r>
      <w:r>
        <w:rPr>
          <w:rFonts w:hint="eastAsia" w:ascii="宋体" w:hAnsi="宋体"/>
          <w:snapToGrid w:val="0"/>
          <w:color w:val="auto"/>
          <w:spacing w:val="-20"/>
          <w:kern w:val="0"/>
          <w:sz w:val="24"/>
          <w:highlight w:val="none"/>
          <w:u w:val="single"/>
        </w:rPr>
        <w:t xml:space="preserve">                                   </w:t>
      </w:r>
    </w:p>
    <w:p w14:paraId="733F4083">
      <w:pPr>
        <w:adjustRightInd w:val="0"/>
        <w:snapToGrid w:val="0"/>
        <w:spacing w:line="360" w:lineRule="auto"/>
        <w:ind w:right="11" w:firstLine="2400" w:firstLineChars="10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（盖章）                         （盖章）</w:t>
      </w:r>
    </w:p>
    <w:p w14:paraId="4330D011">
      <w:pPr>
        <w:adjustRightInd w:val="0"/>
        <w:snapToGrid w:val="0"/>
        <w:spacing w:line="360" w:lineRule="auto"/>
        <w:ind w:right="11"/>
        <w:rPr>
          <w:rFonts w:hint="eastAsia" w:ascii="宋体" w:hAnsi="宋体"/>
          <w:snapToGrid w:val="0"/>
          <w:color w:val="auto"/>
          <w:kern w:val="0"/>
          <w:sz w:val="24"/>
          <w:highlight w:val="none"/>
        </w:rPr>
      </w:pPr>
    </w:p>
    <w:p w14:paraId="5BEA0288">
      <w:pPr>
        <w:adjustRightInd w:val="0"/>
        <w:snapToGrid w:val="0"/>
        <w:spacing w:line="360" w:lineRule="auto"/>
        <w:ind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法定代表人：                           法定代表人：</w:t>
      </w:r>
    </w:p>
    <w:p w14:paraId="35EA66FD">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p>
    <w:p w14:paraId="38F1295D">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委托代理人：                           委托代理人：</w:t>
      </w:r>
    </w:p>
    <w:p w14:paraId="29CE4E0C">
      <w:pPr>
        <w:adjustRightInd w:val="0"/>
        <w:snapToGrid w:val="0"/>
        <w:spacing w:line="360" w:lineRule="auto"/>
        <w:ind w:right="11"/>
        <w:rPr>
          <w:rFonts w:hint="eastAsia" w:ascii="宋体" w:hAnsi="宋体"/>
          <w:snapToGrid w:val="0"/>
          <w:color w:val="auto"/>
          <w:kern w:val="0"/>
          <w:sz w:val="24"/>
          <w:highlight w:val="none"/>
        </w:rPr>
      </w:pPr>
    </w:p>
    <w:p w14:paraId="33ECD478">
      <w:pPr>
        <w:adjustRightInd w:val="0"/>
        <w:snapToGrid w:val="0"/>
        <w:spacing w:line="360" w:lineRule="auto"/>
        <w:ind w:right="11"/>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20  年   月   日                       20  年   月   日</w:t>
      </w:r>
    </w:p>
    <w:p w14:paraId="46D12C15">
      <w:pPr>
        <w:adjustRightInd w:val="0"/>
        <w:snapToGrid w:val="0"/>
        <w:spacing w:line="360" w:lineRule="auto"/>
        <w:ind w:right="11"/>
        <w:jc w:val="left"/>
        <w:rPr>
          <w:rFonts w:hint="eastAsia" w:ascii="宋体" w:hAnsi="宋体"/>
          <w:snapToGrid w:val="0"/>
          <w:color w:val="auto"/>
          <w:kern w:val="0"/>
          <w:sz w:val="24"/>
          <w:highlight w:val="none"/>
        </w:rPr>
      </w:pPr>
    </w:p>
    <w:p w14:paraId="359E1F14">
      <w:pPr>
        <w:adjustRightInd w:val="0"/>
        <w:snapToGrid w:val="0"/>
        <w:spacing w:line="360" w:lineRule="auto"/>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附件2：</w:t>
      </w:r>
    </w:p>
    <w:p w14:paraId="0C861B5A">
      <w:pPr>
        <w:adjustRightInd w:val="0"/>
        <w:snapToGrid w:val="0"/>
        <w:spacing w:line="360" w:lineRule="auto"/>
        <w:jc w:val="center"/>
        <w:outlineLvl w:val="1"/>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廉洁协议书（此附件单独放）</w:t>
      </w:r>
    </w:p>
    <w:p w14:paraId="4E5A7C62">
      <w:pPr>
        <w:widowControl/>
        <w:spacing w:before="100" w:beforeAutospacing="1" w:after="100" w:afterAutospacing="1" w:line="400" w:lineRule="exact"/>
        <w:ind w:firstLine="562"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b/>
          <w:bCs/>
          <w:color w:val="auto"/>
          <w:kern w:val="0"/>
          <w:sz w:val="28"/>
          <w:szCs w:val="28"/>
          <w:highlight w:val="none"/>
          <w:lang w:val="en-US" w:eastAsia="zh-CN" w:bidi="ar-SA"/>
        </w:rPr>
        <w:t>甲方：</w:t>
      </w:r>
      <w:r>
        <w:rPr>
          <w:rFonts w:hint="eastAsia" w:ascii="仿宋_GB2312" w:hAnsi="宋体" w:eastAsia="仿宋_GB2312" w:cs="宋体"/>
          <w:b/>
          <w:bCs/>
          <w:color w:val="auto"/>
          <w:kern w:val="0"/>
          <w:sz w:val="28"/>
          <w:szCs w:val="28"/>
          <w:highlight w:val="none"/>
          <w:u w:val="single"/>
          <w:lang w:val="en-US" w:eastAsia="zh-CN" w:bidi="ar-SA"/>
        </w:rPr>
        <w:t xml:space="preserve">     </w:t>
      </w:r>
      <w:r>
        <w:rPr>
          <w:rFonts w:hint="eastAsia" w:ascii="仿宋_GB2312" w:hAnsi="宋体" w:eastAsia="仿宋_GB2312" w:cs="宋体"/>
          <w:color w:val="auto"/>
          <w:kern w:val="0"/>
          <w:sz w:val="28"/>
          <w:szCs w:val="28"/>
          <w:highlight w:val="none"/>
          <w:lang w:val="en-US" w:eastAsia="zh-CN" w:bidi="ar-SA"/>
        </w:rPr>
        <w:t xml:space="preserve">      </w:t>
      </w:r>
    </w:p>
    <w:p w14:paraId="533CC595">
      <w:pPr>
        <w:widowControl/>
        <w:spacing w:before="100" w:beforeAutospacing="1" w:after="100" w:afterAutospacing="1" w:line="400" w:lineRule="exact"/>
        <w:ind w:firstLine="562" w:firstLineChars="200"/>
        <w:jc w:val="both"/>
        <w:rPr>
          <w:rFonts w:ascii="仿宋_GB2312" w:hAnsi="宋体" w:eastAsia="仿宋_GB2312" w:cs="宋体"/>
          <w:color w:val="auto"/>
          <w:kern w:val="0"/>
          <w:sz w:val="28"/>
          <w:szCs w:val="28"/>
          <w:highlight w:val="none"/>
          <w:u w:val="single"/>
          <w:lang w:val="en-US" w:eastAsia="zh-CN" w:bidi="ar-SA"/>
        </w:rPr>
      </w:pPr>
      <w:r>
        <w:rPr>
          <w:rFonts w:hint="eastAsia" w:ascii="仿宋_GB2312" w:hAnsi="宋体" w:eastAsia="仿宋_GB2312" w:cs="宋体"/>
          <w:b/>
          <w:bCs/>
          <w:color w:val="auto"/>
          <w:kern w:val="0"/>
          <w:sz w:val="28"/>
          <w:szCs w:val="28"/>
          <w:highlight w:val="none"/>
          <w:lang w:val="en-US" w:eastAsia="zh-CN" w:bidi="ar-SA"/>
        </w:rPr>
        <w:t>乙方：</w:t>
      </w:r>
      <w:r>
        <w:rPr>
          <w:rFonts w:hint="eastAsia" w:ascii="仿宋_GB2312" w:hAnsi="宋体" w:eastAsia="仿宋_GB2312" w:cs="宋体"/>
          <w:b/>
          <w:bCs/>
          <w:color w:val="auto"/>
          <w:kern w:val="0"/>
          <w:sz w:val="28"/>
          <w:szCs w:val="28"/>
          <w:highlight w:val="none"/>
          <w:u w:val="single"/>
          <w:lang w:val="en-US" w:eastAsia="zh-CN" w:bidi="ar-SA"/>
        </w:rPr>
        <w:t xml:space="preserve">      </w:t>
      </w:r>
      <w:r>
        <w:rPr>
          <w:rFonts w:hint="eastAsia" w:ascii="仿宋_GB2312" w:hAnsi="宋体" w:eastAsia="仿宋_GB2312" w:cs="宋体"/>
          <w:b/>
          <w:bCs/>
          <w:color w:val="auto"/>
          <w:kern w:val="0"/>
          <w:sz w:val="28"/>
          <w:szCs w:val="28"/>
          <w:highlight w:val="none"/>
          <w:lang w:val="en-US" w:eastAsia="zh-CN" w:bidi="ar-SA"/>
        </w:rPr>
        <w:t xml:space="preserve">     </w:t>
      </w:r>
    </w:p>
    <w:p w14:paraId="7CF79A2A">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为了增强甲乙双方依法经营、廉洁从业意识，完善自我约束、自我监督机制，营造守法诚信、廉洁高效的工作环境，防止发生违法违纪行为，保护国家、集体和当事人的合法权益，根据国家有关法律法规和廉洁自律规定，特订立本廉洁协议书：</w:t>
      </w:r>
    </w:p>
    <w:p w14:paraId="36E2E995">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第一条  甲、乙双方的共同责任</w:t>
      </w:r>
    </w:p>
    <w:p w14:paraId="3E4A57FC">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（一）严格遵守国家有关工程建设、物资采购、招标投标、招商运营、物业管理等市场经济活动的法律法规、政策以及廉政建设规定。</w:t>
      </w:r>
    </w:p>
    <w:p w14:paraId="0AEC1E0A">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（二）严格履行合同约定，自觉承担合同义务。</w:t>
      </w:r>
    </w:p>
    <w:p w14:paraId="074CB3F9">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三）业务活动必须坚持公平、公正、公开和诚实守信的原则（除法律法规另有规定者外），不得为获取不正当利益损害国家、集体和对方利益，不违反工程建设管理、物资采购、招标投标、招商运营、物业管理等方面的规章制度。</w:t>
      </w:r>
    </w:p>
    <w:p w14:paraId="467977B6">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（四）建立健全自我制约制度，开展廉洁教育，公布举报电话，监督并认真查处违法违纪行为。</w:t>
      </w:r>
    </w:p>
    <w:p w14:paraId="29A75F71">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（五）发现对方在业务活动中有违规、违纪、违法行为的，应及时提醒对方，情节严重的，应向有关纪检监察部门举报。</w:t>
      </w:r>
    </w:p>
    <w:p w14:paraId="22483A57">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第二条  甲方的责任：甲方相关工作人员，在业务活动的事前、事中、事后，应遵守以下规定：</w:t>
      </w:r>
    </w:p>
    <w:p w14:paraId="6E6CFD8B">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（一）贯彻落实广州市荔湾发展集团有限责任公司有关党风廉政建设责任制及廉洁从业的规定，建立企业诚信档案；</w:t>
      </w:r>
    </w:p>
    <w:p w14:paraId="04A9B290">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（二）按照公平、公正、公开和诚实守信的原则开展各项业务活动，为乙方提供公平的竞争环境与平台；</w:t>
      </w:r>
    </w:p>
    <w:p w14:paraId="0221BC05">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（三）不向乙方泄漏涉及有关业务活动的秘密；</w:t>
      </w:r>
    </w:p>
    <w:p w14:paraId="015CA733">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（四）不参与影响相关工作正常和公正开展的其他活动；</w:t>
      </w:r>
    </w:p>
    <w:p w14:paraId="50086F84">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（五）不在乙方和相关单位报销任何应由甲方或个人支付的费用；</w:t>
      </w:r>
    </w:p>
    <w:p w14:paraId="613D5125">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（六）不要求、暗示及接受乙方和相关单位为个人装修住房、婚丧嫁娶、配偶子女的工作安排以及境内外旅游等提供方便；</w:t>
      </w:r>
    </w:p>
    <w:p w14:paraId="4091C4B3">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（七）不收受或索取红包、礼金、购物卡、有价证券、贵重物品、感谢费和好处费等非正当利益；</w:t>
      </w:r>
    </w:p>
    <w:p w14:paraId="334BA665">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（八）不向乙方介绍配偶、子女、亲属参与与甲方有关的经济活动，不得以任何理由向乙方和相关单位推荐第三方单位；</w:t>
      </w:r>
    </w:p>
    <w:p w14:paraId="68835F24">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（九）不违反《中共中央纪委关于严格禁止利用职务上的便利谋取不正当利益的若干规定》的内容。</w:t>
      </w:r>
    </w:p>
    <w:p w14:paraId="01D91A85">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第三条  乙方的责任：在与甲方业务交往过程中，按照有关法律法规和程序开展工作，严格执行国家的有关方针、政策，并遵守以下规定：</w:t>
      </w:r>
    </w:p>
    <w:p w14:paraId="34EFC7C0">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（一）不以任何理由为甲方和相关单位报销应由对方或个人支付的费用；</w:t>
      </w:r>
    </w:p>
    <w:p w14:paraId="1490EED1">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（二）不以任何理由向甲方负责人及其工作人员赠送红包、礼金、购物卡、有价证券、贵重物品、感谢费和好处费等非正当利益；</w:t>
      </w:r>
    </w:p>
    <w:p w14:paraId="331A975D">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（三）不准为甲方、与甲方相关的单位或个人装修住房、婚丧嫁取、配偶子女的工作安排以及境内外旅游等提供方便；</w:t>
      </w:r>
    </w:p>
    <w:p w14:paraId="25C9E685">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（四）不得以谋取非正当利益为目的，擅自与甲方工作人员就业务问题进行私下商谈或者达成利益默契；</w:t>
      </w:r>
    </w:p>
    <w:p w14:paraId="0FB6AE4B">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第四条  相关责任</w:t>
      </w:r>
    </w:p>
    <w:p w14:paraId="28E0ADD7">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（一）甲方违反本廉洁协议书第一、二条规定的，一经查实，严格按照管理权限，依据有关党纪、法律法规、规章制度给予纪律处分或组织处理；涉嫌犯罪的，移送司法机关依法追究刑事责任。</w:t>
      </w:r>
    </w:p>
    <w:p w14:paraId="77E80482">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（二）乙方违反本廉洁协议书第一、三条规定的，一经查实，根据广州市荔湾发展集团有限责任公司和甲方及乙方公司的相关规定，对乙方进行处理。涉嫌犯罪的，移送司法机关依法追究刑事责任。</w:t>
      </w:r>
    </w:p>
    <w:p w14:paraId="1A31948A">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（三）乙方违反本廉洁协议书第一、三条规定，给甲方单位造成经济损失的，应依法予以赔偿。</w:t>
      </w:r>
    </w:p>
    <w:p w14:paraId="414E38F6">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 xml:space="preserve">第五条  协议书生效及法律效力 </w:t>
      </w:r>
    </w:p>
    <w:p w14:paraId="16CFF6C0">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（一）本廉洁协议书经双方签章后生效。</w:t>
      </w:r>
    </w:p>
    <w:p w14:paraId="6D3D79DC">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（二）除非甲乙双方另行签订新的廉洁协议书，否则本廉洁协议书在甲方与乙方存在业务关系期间均对双方产生约束力。</w:t>
      </w:r>
    </w:p>
    <w:p w14:paraId="4683332F">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第六条  协议书份数  本廉洁协议书一式捌份，甲方执</w:t>
      </w:r>
      <w:r>
        <w:rPr>
          <w:rFonts w:hint="eastAsia" w:ascii="仿宋_GB2312" w:hAnsi="宋体" w:eastAsia="仿宋_GB2312" w:cs="宋体"/>
          <w:b/>
          <w:bCs/>
          <w:color w:val="auto"/>
          <w:kern w:val="0"/>
          <w:sz w:val="28"/>
          <w:szCs w:val="28"/>
          <w:highlight w:val="none"/>
          <w:u w:val="single"/>
          <w:lang w:val="en-US" w:eastAsia="zh-CN" w:bidi="ar-SA"/>
        </w:rPr>
        <w:t>肆</w:t>
      </w:r>
      <w:r>
        <w:rPr>
          <w:rFonts w:hint="eastAsia" w:ascii="仿宋_GB2312" w:hAnsi="宋体" w:eastAsia="仿宋_GB2312" w:cs="宋体"/>
          <w:color w:val="auto"/>
          <w:kern w:val="0"/>
          <w:sz w:val="28"/>
          <w:szCs w:val="28"/>
          <w:highlight w:val="none"/>
          <w:lang w:val="en-US" w:eastAsia="zh-CN" w:bidi="ar-SA"/>
        </w:rPr>
        <w:t>份，乙方执</w:t>
      </w:r>
      <w:r>
        <w:rPr>
          <w:rFonts w:hint="eastAsia" w:ascii="仿宋_GB2312" w:hAnsi="宋体" w:eastAsia="仿宋_GB2312" w:cs="宋体"/>
          <w:b/>
          <w:bCs/>
          <w:color w:val="auto"/>
          <w:kern w:val="0"/>
          <w:sz w:val="28"/>
          <w:szCs w:val="28"/>
          <w:highlight w:val="none"/>
          <w:u w:val="single"/>
          <w:lang w:val="en-US" w:eastAsia="zh-CN" w:bidi="ar-SA"/>
        </w:rPr>
        <w:t>肆</w:t>
      </w:r>
      <w:r>
        <w:rPr>
          <w:rFonts w:hint="eastAsia" w:ascii="仿宋_GB2312" w:hAnsi="宋体" w:eastAsia="仿宋_GB2312" w:cs="宋体"/>
          <w:color w:val="auto"/>
          <w:kern w:val="0"/>
          <w:sz w:val="28"/>
          <w:szCs w:val="28"/>
          <w:highlight w:val="none"/>
          <w:lang w:val="en-US" w:eastAsia="zh-CN" w:bidi="ar-SA"/>
        </w:rPr>
        <w:t>份，均具有同等法律效力。</w:t>
      </w:r>
    </w:p>
    <w:p w14:paraId="58D009FE">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甲乙双方确认在签订本廉洁协议书前已仔细阅读条款内容，甲乙双方对本廉洁协议书所产生的法律责任已清楚知悉并承诺遵守。</w:t>
      </w:r>
    </w:p>
    <w:p w14:paraId="7DD9054D">
      <w:pPr>
        <w:widowControl/>
        <w:spacing w:before="100" w:beforeAutospacing="1" w:after="100" w:afterAutospacing="1" w:line="400" w:lineRule="exact"/>
        <w:ind w:firstLine="560" w:firstLineChars="200"/>
        <w:jc w:val="both"/>
        <w:rPr>
          <w:rFonts w:ascii="仿宋_GB2312" w:hAnsi="宋体" w:eastAsia="仿宋_GB2312" w:cs="宋体"/>
          <w:color w:val="auto"/>
          <w:kern w:val="0"/>
          <w:sz w:val="28"/>
          <w:szCs w:val="28"/>
          <w:highlight w:val="none"/>
          <w:lang w:val="en-US" w:eastAsia="zh-CN" w:bidi="ar-SA"/>
        </w:rPr>
      </w:pPr>
    </w:p>
    <w:p w14:paraId="4D18E136">
      <w:pPr>
        <w:spacing w:line="4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甲  方(公    章)：            乙   方(公   章)：</w:t>
      </w:r>
    </w:p>
    <w:p w14:paraId="35796215">
      <w:pPr>
        <w:widowControl w:val="0"/>
        <w:adjustRightInd w:val="0"/>
        <w:spacing w:after="120" w:line="400" w:lineRule="exact"/>
        <w:ind w:left="420" w:leftChars="200" w:firstLine="400" w:firstLineChars="200"/>
        <w:jc w:val="left"/>
        <w:textAlignment w:val="baseline"/>
        <w:rPr>
          <w:rFonts w:ascii="MingLiU" w:hAnsi="Times New Roman" w:eastAsia="MingLiU" w:cs="Times New Roman"/>
          <w:color w:val="auto"/>
          <w:kern w:val="0"/>
          <w:sz w:val="20"/>
          <w:szCs w:val="20"/>
          <w:highlight w:val="none"/>
          <w:lang w:val="en-US" w:eastAsia="zh-CN" w:bidi="ar-SA"/>
        </w:rPr>
      </w:pPr>
    </w:p>
    <w:p w14:paraId="14A6822C">
      <w:pPr>
        <w:widowControl w:val="0"/>
        <w:adjustRightInd w:val="0"/>
        <w:spacing w:after="120" w:line="400" w:lineRule="exact"/>
        <w:ind w:left="420" w:leftChars="200" w:firstLine="400" w:firstLineChars="200"/>
        <w:jc w:val="left"/>
        <w:textAlignment w:val="baseline"/>
        <w:rPr>
          <w:rFonts w:ascii="MingLiU" w:hAnsi="Times New Roman" w:eastAsia="MingLiU" w:cs="Times New Roman"/>
          <w:color w:val="auto"/>
          <w:kern w:val="0"/>
          <w:sz w:val="20"/>
          <w:szCs w:val="20"/>
          <w:highlight w:val="none"/>
          <w:lang w:val="en-US" w:eastAsia="zh-CN" w:bidi="ar-SA"/>
        </w:rPr>
      </w:pPr>
    </w:p>
    <w:p w14:paraId="3466FE32">
      <w:pPr>
        <w:spacing w:line="4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法定代表人(签字盖章)：        法定代表人(签字盖章)：</w:t>
      </w:r>
    </w:p>
    <w:p w14:paraId="361D947B">
      <w:pPr>
        <w:widowControl w:val="0"/>
        <w:adjustRightInd w:val="0"/>
        <w:spacing w:after="120" w:line="400" w:lineRule="exact"/>
        <w:ind w:left="420" w:leftChars="200" w:firstLine="400" w:firstLineChars="200"/>
        <w:jc w:val="left"/>
        <w:textAlignment w:val="baseline"/>
        <w:rPr>
          <w:rFonts w:ascii="仿宋_GB2312" w:hAnsi="宋体" w:eastAsia="仿宋_GB2312" w:cs="Times New Roman"/>
          <w:color w:val="auto"/>
          <w:kern w:val="0"/>
          <w:sz w:val="20"/>
          <w:szCs w:val="28"/>
          <w:highlight w:val="none"/>
          <w:lang w:val="en-US" w:eastAsia="zh-CN" w:bidi="ar-SA"/>
        </w:rPr>
      </w:pPr>
    </w:p>
    <w:p w14:paraId="391896A4">
      <w:pPr>
        <w:widowControl w:val="0"/>
        <w:adjustRightInd w:val="0"/>
        <w:spacing w:after="120" w:line="400" w:lineRule="exact"/>
        <w:ind w:left="420" w:leftChars="200" w:firstLine="400" w:firstLineChars="200"/>
        <w:jc w:val="left"/>
        <w:textAlignment w:val="baseline"/>
        <w:rPr>
          <w:rFonts w:ascii="MingLiU" w:hAnsi="Times New Roman" w:eastAsia="MingLiU" w:cs="Times New Roman"/>
          <w:color w:val="auto"/>
          <w:kern w:val="0"/>
          <w:sz w:val="20"/>
          <w:szCs w:val="20"/>
          <w:highlight w:val="none"/>
          <w:lang w:val="en-US" w:eastAsia="zh-CN" w:bidi="ar-SA"/>
        </w:rPr>
      </w:pPr>
    </w:p>
    <w:p w14:paraId="7813C2BD">
      <w:pPr>
        <w:spacing w:line="400" w:lineRule="exact"/>
        <w:ind w:firstLine="560" w:firstLineChars="200"/>
        <w:rPr>
          <w:rFonts w:ascii="仿宋_GB2312" w:hAnsi="宋体" w:eastAsia="仿宋_GB2312" w:cs="Times New Roman"/>
          <w:color w:val="auto"/>
          <w:sz w:val="28"/>
          <w:szCs w:val="28"/>
          <w:highlight w:val="none"/>
        </w:rPr>
      </w:pPr>
      <w:r>
        <w:rPr>
          <w:rFonts w:hint="eastAsia" w:ascii="仿宋_GB2312" w:hAnsi="宋体" w:eastAsia="仿宋_GB2312" w:cs="Times New Roman"/>
          <w:color w:val="auto"/>
          <w:sz w:val="28"/>
          <w:szCs w:val="28"/>
          <w:highlight w:val="none"/>
        </w:rPr>
        <w:t>委托代理人：                  委托代理人：</w:t>
      </w:r>
    </w:p>
    <w:p w14:paraId="30D49CCB">
      <w:pPr>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br w:type="page"/>
      </w:r>
    </w:p>
    <w:p w14:paraId="51CD3321">
      <w:pPr>
        <w:adjustRightInd w:val="0"/>
        <w:snapToGrid w:val="0"/>
        <w:spacing w:line="360" w:lineRule="auto"/>
        <w:rPr>
          <w:rFonts w:hint="eastAsia" w:ascii="宋体" w:hAnsi="宋体"/>
          <w:snapToGrid w:val="0"/>
          <w:color w:val="auto"/>
          <w:kern w:val="0"/>
          <w:sz w:val="28"/>
          <w:szCs w:val="28"/>
          <w:highlight w:val="none"/>
        </w:rPr>
      </w:pPr>
      <w:r>
        <w:rPr>
          <w:rFonts w:hint="eastAsia" w:ascii="宋体" w:hAnsi="宋体"/>
          <w:snapToGrid w:val="0"/>
          <w:color w:val="auto"/>
          <w:kern w:val="0"/>
          <w:sz w:val="24"/>
          <w:highlight w:val="none"/>
        </w:rPr>
        <w:t>附件3：</w:t>
      </w:r>
    </w:p>
    <w:p w14:paraId="2EBF5D10">
      <w:pPr>
        <w:adjustRightInd w:val="0"/>
        <w:snapToGrid w:val="0"/>
        <w:spacing w:line="360" w:lineRule="auto"/>
        <w:jc w:val="center"/>
        <w:outlineLvl w:val="1"/>
        <w:rPr>
          <w:rFonts w:hint="eastAsia" w:ascii="宋体" w:hAnsi="宋体" w:cs="_x000B__x000C_"/>
          <w:b/>
          <w:bCs/>
          <w:snapToGrid w:val="0"/>
          <w:color w:val="auto"/>
          <w:kern w:val="0"/>
          <w:sz w:val="32"/>
          <w:szCs w:val="32"/>
          <w:highlight w:val="none"/>
        </w:rPr>
      </w:pPr>
      <w:r>
        <w:rPr>
          <w:rFonts w:hint="eastAsia" w:ascii="宋体" w:hAnsi="宋体"/>
          <w:b/>
          <w:bCs/>
          <w:snapToGrid w:val="0"/>
          <w:color w:val="auto"/>
          <w:kern w:val="0"/>
          <w:sz w:val="32"/>
          <w:szCs w:val="32"/>
          <w:highlight w:val="none"/>
        </w:rPr>
        <w:t>安全生产合同</w:t>
      </w:r>
    </w:p>
    <w:p w14:paraId="01A0DF52">
      <w:pPr>
        <w:adjustRightInd w:val="0"/>
        <w:snapToGrid w:val="0"/>
        <w:spacing w:line="360" w:lineRule="auto"/>
        <w:rPr>
          <w:rFonts w:hint="eastAsia" w:ascii="宋体" w:hAnsi="宋体"/>
          <w:b/>
          <w:bCs/>
          <w:snapToGrid w:val="0"/>
          <w:color w:val="auto"/>
          <w:kern w:val="0"/>
          <w:sz w:val="24"/>
          <w:highlight w:val="none"/>
        </w:rPr>
      </w:pPr>
    </w:p>
    <w:p w14:paraId="21686DC6">
      <w:pPr>
        <w:autoSpaceDE w:val="0"/>
        <w:autoSpaceDN w:val="0"/>
        <w:adjustRightInd w:val="0"/>
        <w:snapToGrid w:val="0"/>
        <w:spacing w:line="360" w:lineRule="auto"/>
        <w:ind w:right="11"/>
        <w:rPr>
          <w:rFonts w:hint="eastAsia" w:ascii="宋体" w:hAnsi="宋体" w:cs="宋体"/>
          <w:b/>
          <w:snapToGrid w:val="0"/>
          <w:color w:val="auto"/>
          <w:kern w:val="0"/>
          <w:sz w:val="24"/>
          <w:highlight w:val="none"/>
          <w:lang w:val="zh-CN"/>
        </w:rPr>
      </w:pPr>
      <w:r>
        <w:rPr>
          <w:rFonts w:hint="eastAsia" w:ascii="宋体" w:hAnsi="宋体" w:cs="宋体"/>
          <w:b/>
          <w:snapToGrid w:val="0"/>
          <w:color w:val="auto"/>
          <w:kern w:val="0"/>
          <w:sz w:val="24"/>
          <w:highlight w:val="none"/>
          <w:lang w:val="zh-CN"/>
        </w:rPr>
        <w:t>甲方（发包人）：广州市荔湾发展集团有限责任公司</w:t>
      </w:r>
    </w:p>
    <w:p w14:paraId="54E9BA11">
      <w:pPr>
        <w:autoSpaceDE w:val="0"/>
        <w:autoSpaceDN w:val="0"/>
        <w:adjustRightInd w:val="0"/>
        <w:snapToGrid w:val="0"/>
        <w:spacing w:line="360" w:lineRule="auto"/>
        <w:ind w:left="1920" w:right="11" w:hanging="1920"/>
        <w:rPr>
          <w:rFonts w:hint="eastAsia" w:ascii="宋体" w:hAnsi="宋体" w:cs="宋体"/>
          <w:b/>
          <w:snapToGrid w:val="0"/>
          <w:color w:val="auto"/>
          <w:kern w:val="0"/>
          <w:sz w:val="24"/>
          <w:highlight w:val="none"/>
          <w:lang w:val="zh-CN"/>
        </w:rPr>
      </w:pPr>
      <w:r>
        <w:rPr>
          <w:rFonts w:hint="eastAsia" w:ascii="宋体" w:hAnsi="宋体" w:cs="宋体"/>
          <w:b/>
          <w:snapToGrid w:val="0"/>
          <w:color w:val="auto"/>
          <w:kern w:val="0"/>
          <w:sz w:val="24"/>
          <w:highlight w:val="none"/>
          <w:lang w:val="zh-CN"/>
        </w:rPr>
        <w:t>乙方（承包人）：</w:t>
      </w:r>
      <w:r>
        <w:rPr>
          <w:rFonts w:hint="eastAsia" w:ascii="宋体" w:hAnsi="宋体"/>
          <w:b/>
          <w:snapToGrid w:val="0"/>
          <w:color w:val="auto"/>
          <w:kern w:val="0"/>
          <w:sz w:val="24"/>
          <w:highlight w:val="none"/>
          <w:u w:val="single"/>
        </w:rPr>
        <w:t xml:space="preserve">                                </w:t>
      </w:r>
    </w:p>
    <w:p w14:paraId="69A0F763">
      <w:pPr>
        <w:autoSpaceDE w:val="0"/>
        <w:autoSpaceDN w:val="0"/>
        <w:adjustRightInd w:val="0"/>
        <w:snapToGrid w:val="0"/>
        <w:spacing w:line="360" w:lineRule="auto"/>
        <w:ind w:left="1920" w:right="11" w:hanging="1920"/>
        <w:rPr>
          <w:rFonts w:hint="eastAsia" w:ascii="宋体" w:hAnsi="宋体" w:cs="宋体"/>
          <w:snapToGrid w:val="0"/>
          <w:color w:val="auto"/>
          <w:kern w:val="0"/>
          <w:sz w:val="24"/>
          <w:highlight w:val="none"/>
          <w:lang w:val="zh-CN"/>
        </w:rPr>
      </w:pPr>
    </w:p>
    <w:p w14:paraId="36AF8E7F">
      <w:pPr>
        <w:autoSpaceDE w:val="0"/>
        <w:autoSpaceDN w:val="0"/>
        <w:adjustRightInd w:val="0"/>
        <w:snapToGrid w:val="0"/>
        <w:spacing w:line="360" w:lineRule="auto"/>
        <w:ind w:right="11"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为确保</w:t>
      </w:r>
      <w:r>
        <w:rPr>
          <w:rFonts w:hint="eastAsia" w:ascii="宋体" w:hAnsi="宋体"/>
          <w:b/>
          <w:snapToGrid w:val="0"/>
          <w:color w:val="auto"/>
          <w:kern w:val="0"/>
          <w:sz w:val="24"/>
          <w:highlight w:val="none"/>
          <w:u w:val="single"/>
        </w:rPr>
        <w:t xml:space="preserve">                            </w:t>
      </w:r>
      <w:r>
        <w:rPr>
          <w:rFonts w:hint="eastAsia" w:ascii="宋体" w:hAnsi="宋体" w:cs="宋体"/>
          <w:snapToGrid w:val="0"/>
          <w:color w:val="auto"/>
          <w:kern w:val="0"/>
          <w:sz w:val="24"/>
          <w:highlight w:val="none"/>
          <w:lang w:val="zh-CN"/>
        </w:rPr>
        <w:t>实施过程中的安全，发包人</w:t>
      </w:r>
      <w:r>
        <w:rPr>
          <w:rFonts w:hint="eastAsia" w:ascii="宋体" w:hAnsi="宋体" w:cs="宋体"/>
          <w:b/>
          <w:snapToGrid w:val="0"/>
          <w:color w:val="auto"/>
          <w:kern w:val="0"/>
          <w:sz w:val="24"/>
          <w:highlight w:val="none"/>
          <w:lang w:val="zh-CN"/>
        </w:rPr>
        <w:t>广州市荔湾发展集团有限责任公司</w:t>
      </w:r>
      <w:r>
        <w:rPr>
          <w:rFonts w:hint="eastAsia" w:ascii="宋体" w:hAnsi="宋体" w:cs="宋体"/>
          <w:snapToGrid w:val="0"/>
          <w:color w:val="auto"/>
          <w:kern w:val="0"/>
          <w:sz w:val="24"/>
          <w:highlight w:val="none"/>
          <w:lang w:val="zh-CN"/>
        </w:rPr>
        <w:t>（以下称甲方）与承包人</w:t>
      </w:r>
      <w:r>
        <w:rPr>
          <w:rFonts w:hint="eastAsia" w:ascii="宋体" w:hAnsi="宋体" w:cs="宋体"/>
          <w:snapToGrid w:val="0"/>
          <w:color w:val="auto"/>
          <w:kern w:val="0"/>
          <w:sz w:val="24"/>
          <w:highlight w:val="none"/>
          <w:u w:val="single"/>
          <w:lang w:val="zh-CN"/>
        </w:rPr>
        <w:t xml:space="preserve">                    </w:t>
      </w:r>
      <w:r>
        <w:rPr>
          <w:rFonts w:hint="eastAsia" w:ascii="宋体" w:hAnsi="宋体" w:cs="宋体"/>
          <w:snapToGrid w:val="0"/>
          <w:color w:val="auto"/>
          <w:kern w:val="0"/>
          <w:sz w:val="24"/>
          <w:highlight w:val="none"/>
          <w:lang w:val="zh-CN"/>
        </w:rPr>
        <w:t>（以下称乙方），特签订本安全生产合同，明确双方职责。</w:t>
      </w:r>
    </w:p>
    <w:p w14:paraId="6BEAB4BE">
      <w:pPr>
        <w:tabs>
          <w:tab w:val="left" w:pos="480"/>
        </w:tabs>
        <w:autoSpaceDE w:val="0"/>
        <w:autoSpaceDN w:val="0"/>
        <w:adjustRightInd w:val="0"/>
        <w:snapToGrid w:val="0"/>
        <w:spacing w:line="360" w:lineRule="auto"/>
        <w:ind w:left="461"/>
        <w:rPr>
          <w:rFonts w:hint="eastAsia" w:ascii="宋体" w:hAnsi="宋体" w:cs="宋体"/>
          <w:b/>
          <w:snapToGrid w:val="0"/>
          <w:color w:val="auto"/>
          <w:kern w:val="0"/>
          <w:sz w:val="24"/>
          <w:highlight w:val="none"/>
          <w:lang w:val="zh-CN"/>
        </w:rPr>
      </w:pPr>
      <w:r>
        <w:rPr>
          <w:rFonts w:hint="eastAsia" w:ascii="宋体" w:hAnsi="宋体" w:cs="宋体"/>
          <w:b/>
          <w:snapToGrid w:val="0"/>
          <w:color w:val="auto"/>
          <w:kern w:val="0"/>
          <w:sz w:val="24"/>
          <w:highlight w:val="none"/>
          <w:lang w:val="zh-CN"/>
        </w:rPr>
        <w:t>一、甲方职责</w:t>
      </w:r>
    </w:p>
    <w:p w14:paraId="4B805135">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（一）认真履行《建设工程安全生产管理条例》规定的安全责任及执行工程承包合同中的有关安全条款。</w:t>
      </w:r>
    </w:p>
    <w:p w14:paraId="13F87455">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（二）重要的安全设施必须坚持与主体工程</w:t>
      </w:r>
      <w:r>
        <w:rPr>
          <w:rFonts w:ascii="宋体" w:hAnsi="宋体" w:cs="宋体"/>
          <w:snapToGrid w:val="0"/>
          <w:color w:val="auto"/>
          <w:kern w:val="0"/>
          <w:sz w:val="24"/>
          <w:highlight w:val="none"/>
          <w:lang w:val="zh-CN"/>
        </w:rPr>
        <w:t>“</w:t>
      </w:r>
      <w:r>
        <w:rPr>
          <w:rFonts w:hint="eastAsia" w:ascii="宋体" w:hAnsi="宋体" w:cs="宋体"/>
          <w:snapToGrid w:val="0"/>
          <w:color w:val="auto"/>
          <w:kern w:val="0"/>
          <w:sz w:val="24"/>
          <w:highlight w:val="none"/>
          <w:lang w:val="zh-CN"/>
        </w:rPr>
        <w:t>三同时</w:t>
      </w:r>
      <w:r>
        <w:rPr>
          <w:rFonts w:ascii="宋体" w:hAnsi="宋体" w:cs="宋体"/>
          <w:snapToGrid w:val="0"/>
          <w:color w:val="auto"/>
          <w:kern w:val="0"/>
          <w:sz w:val="24"/>
          <w:highlight w:val="none"/>
          <w:lang w:val="zh-CN"/>
        </w:rPr>
        <w:t>”</w:t>
      </w:r>
      <w:r>
        <w:rPr>
          <w:rFonts w:hint="eastAsia" w:ascii="宋体" w:hAnsi="宋体" w:cs="宋体"/>
          <w:snapToGrid w:val="0"/>
          <w:color w:val="auto"/>
          <w:kern w:val="0"/>
          <w:sz w:val="24"/>
          <w:highlight w:val="none"/>
          <w:lang w:val="zh-CN"/>
        </w:rPr>
        <w:t>的原则，即：同时设计、审批；同时施工；同时验收，投入使用。</w:t>
      </w:r>
    </w:p>
    <w:p w14:paraId="31C1033E">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（三）定期召开安全生产会议，指出施工现场存在的安全隐患，及时传达上级关于安全文明施工的要求。</w:t>
      </w:r>
    </w:p>
    <w:p w14:paraId="3276FA90">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（四）组织对乙方施工现场安全生产检查，监督乙方及时排除各种安全隐患。</w:t>
      </w:r>
    </w:p>
    <w:p w14:paraId="194FEEDD">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w:t>
      </w:r>
      <w:r>
        <w:rPr>
          <w:rFonts w:hint="eastAsia" w:ascii="宋体" w:hAnsi="宋体" w:cs="宋体"/>
          <w:snapToGrid w:val="0"/>
          <w:color w:val="auto"/>
          <w:kern w:val="0"/>
          <w:sz w:val="24"/>
          <w:highlight w:val="none"/>
        </w:rPr>
        <w:t>五</w:t>
      </w:r>
      <w:r>
        <w:rPr>
          <w:rFonts w:hint="eastAsia" w:ascii="宋体" w:hAnsi="宋体" w:cs="宋体"/>
          <w:snapToGrid w:val="0"/>
          <w:color w:val="auto"/>
          <w:kern w:val="0"/>
          <w:sz w:val="24"/>
          <w:highlight w:val="none"/>
          <w:lang w:val="zh-CN"/>
        </w:rPr>
        <w:t>）协助与促进乙方创建“广州市安全文明施工样板工地”</w:t>
      </w:r>
    </w:p>
    <w:p w14:paraId="1BE75BD1">
      <w:pPr>
        <w:autoSpaceDE w:val="0"/>
        <w:autoSpaceDN w:val="0"/>
        <w:adjustRightInd w:val="0"/>
        <w:snapToGrid w:val="0"/>
        <w:spacing w:line="360" w:lineRule="auto"/>
        <w:ind w:firstLine="482" w:firstLineChars="200"/>
        <w:rPr>
          <w:rFonts w:hint="eastAsia" w:ascii="宋体" w:hAnsi="宋体" w:cs="宋体"/>
          <w:b/>
          <w:snapToGrid w:val="0"/>
          <w:color w:val="auto"/>
          <w:kern w:val="0"/>
          <w:sz w:val="24"/>
          <w:highlight w:val="none"/>
          <w:lang w:val="zh-CN"/>
        </w:rPr>
      </w:pPr>
      <w:r>
        <w:rPr>
          <w:rFonts w:hint="eastAsia" w:ascii="宋体" w:hAnsi="宋体" w:cs="宋体"/>
          <w:b/>
          <w:snapToGrid w:val="0"/>
          <w:color w:val="auto"/>
          <w:kern w:val="0"/>
          <w:sz w:val="24"/>
          <w:highlight w:val="none"/>
          <w:lang w:val="zh-CN"/>
        </w:rPr>
        <w:t>二、乙方职责</w:t>
      </w:r>
    </w:p>
    <w:p w14:paraId="77151691">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（一）认真履行《建设工程安全生产管理条例》规定的安全责任及执行工程承包合同中的有关安全条款。</w:t>
      </w:r>
    </w:p>
    <w:p w14:paraId="7A341E9F">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（二）坚持</w:t>
      </w:r>
      <w:r>
        <w:rPr>
          <w:rFonts w:ascii="宋体" w:hAnsi="宋体" w:cs="_x000B__x000C_"/>
          <w:snapToGrid w:val="0"/>
          <w:color w:val="auto"/>
          <w:kern w:val="0"/>
          <w:sz w:val="24"/>
          <w:highlight w:val="none"/>
        </w:rPr>
        <w:t>“</w:t>
      </w:r>
      <w:r>
        <w:rPr>
          <w:rFonts w:hint="eastAsia" w:ascii="宋体" w:hAnsi="宋体" w:cs="宋体"/>
          <w:snapToGrid w:val="0"/>
          <w:color w:val="auto"/>
          <w:kern w:val="0"/>
          <w:sz w:val="24"/>
          <w:highlight w:val="none"/>
          <w:lang w:val="zh-CN"/>
        </w:rPr>
        <w:t>安全</w:t>
      </w:r>
      <w:r>
        <w:rPr>
          <w:rFonts w:hint="eastAsia" w:ascii="宋体" w:hAnsi="宋体" w:cs="_x000B__x000C_"/>
          <w:snapToGrid w:val="0"/>
          <w:color w:val="auto"/>
          <w:kern w:val="0"/>
          <w:sz w:val="24"/>
          <w:highlight w:val="none"/>
        </w:rPr>
        <w:t>第一</w:t>
      </w:r>
      <w:r>
        <w:rPr>
          <w:rFonts w:hint="eastAsia" w:ascii="宋体" w:hAnsi="宋体" w:cs="宋体"/>
          <w:snapToGrid w:val="0"/>
          <w:color w:val="auto"/>
          <w:kern w:val="0"/>
          <w:sz w:val="24"/>
          <w:highlight w:val="none"/>
          <w:lang w:val="zh-CN"/>
        </w:rPr>
        <w:t>、预防为主</w:t>
      </w:r>
      <w:r>
        <w:rPr>
          <w:rFonts w:ascii="宋体" w:hAnsi="宋体" w:cs="_x000B__x000C_"/>
          <w:snapToGrid w:val="0"/>
          <w:color w:val="auto"/>
          <w:kern w:val="0"/>
          <w:sz w:val="24"/>
          <w:highlight w:val="none"/>
        </w:rPr>
        <w:t>”</w:t>
      </w:r>
      <w:r>
        <w:rPr>
          <w:rFonts w:hint="eastAsia" w:ascii="宋体" w:hAnsi="宋体" w:cs="宋体"/>
          <w:snapToGrid w:val="0"/>
          <w:color w:val="auto"/>
          <w:kern w:val="0"/>
          <w:sz w:val="24"/>
          <w:highlight w:val="none"/>
          <w:lang w:val="zh-CN"/>
        </w:rPr>
        <w:t>和</w:t>
      </w:r>
      <w:r>
        <w:rPr>
          <w:rFonts w:ascii="宋体" w:hAnsi="宋体" w:cs="_x000B__x000C_"/>
          <w:snapToGrid w:val="0"/>
          <w:color w:val="auto"/>
          <w:kern w:val="0"/>
          <w:sz w:val="24"/>
          <w:highlight w:val="none"/>
        </w:rPr>
        <w:t>“</w:t>
      </w:r>
      <w:r>
        <w:rPr>
          <w:rFonts w:hint="eastAsia" w:ascii="宋体" w:hAnsi="宋体" w:cs="宋体"/>
          <w:snapToGrid w:val="0"/>
          <w:color w:val="auto"/>
          <w:kern w:val="0"/>
          <w:sz w:val="24"/>
          <w:highlight w:val="none"/>
          <w:lang w:val="zh-CN"/>
        </w:rPr>
        <w:t>管生产必须管安全</w:t>
      </w:r>
      <w:r>
        <w:rPr>
          <w:rFonts w:ascii="宋体" w:hAnsi="宋体" w:cs="_x000B__x000C_"/>
          <w:snapToGrid w:val="0"/>
          <w:color w:val="auto"/>
          <w:kern w:val="0"/>
          <w:sz w:val="24"/>
          <w:highlight w:val="none"/>
        </w:rPr>
        <w:t>”</w:t>
      </w:r>
      <w:r>
        <w:rPr>
          <w:rFonts w:hint="eastAsia" w:ascii="宋体" w:hAnsi="宋体" w:cs="宋体"/>
          <w:snapToGrid w:val="0"/>
          <w:color w:val="auto"/>
          <w:kern w:val="0"/>
          <w:sz w:val="24"/>
          <w:highlight w:val="none"/>
          <w:lang w:val="zh-CN"/>
        </w:rPr>
        <w:t>的原则，加强安全生产宣传教育，增强全员安全生产意识，建立健全各项安全生产管理制度，配备专职安全管理人员，有组织有领导地开展安全生产活动。项目经理、工程技术人员、生产管理人员和具体操作人员，必须熟悉和遵守安全生产的各项规定，做到生产与安全工作同时计划、布置、检查、总结和评比。</w:t>
      </w:r>
    </w:p>
    <w:p w14:paraId="0E5FFB5C">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（三）建立</w:t>
      </w:r>
      <w:r>
        <w:rPr>
          <w:rFonts w:hint="eastAsia" w:ascii="宋体" w:hAnsi="宋体" w:cs="_x000B__x000C_"/>
          <w:snapToGrid w:val="0"/>
          <w:color w:val="auto"/>
          <w:kern w:val="0"/>
          <w:sz w:val="24"/>
          <w:highlight w:val="none"/>
        </w:rPr>
        <w:t>安全生产</w:t>
      </w:r>
      <w:r>
        <w:rPr>
          <w:rFonts w:hint="eastAsia" w:ascii="宋体" w:hAnsi="宋体" w:cs="宋体"/>
          <w:snapToGrid w:val="0"/>
          <w:color w:val="auto"/>
          <w:kern w:val="0"/>
          <w:sz w:val="24"/>
          <w:highlight w:val="none"/>
          <w:lang w:val="zh-CN"/>
        </w:rPr>
        <w:t>保证体系，健全安全生产责任制，从派驻项目的项目经理到生产工人（包括临时雇请的施工人员）及各职能部门都必须有明确的安全责任，项目经理是安全生产的第一责任人。现场设置安全管理机构：应按规定配备足够的专职安全员，专职负责所有的安全和治安保卫工作及预防事故的发生。安全机构人员，有权按有关规定发布指令，并采取保护性措施防止事故发生。</w:t>
      </w:r>
    </w:p>
    <w:p w14:paraId="14960680">
      <w:pPr>
        <w:autoSpaceDE w:val="0"/>
        <w:autoSpaceDN w:val="0"/>
        <w:adjustRightInd w:val="0"/>
        <w:snapToGrid w:val="0"/>
        <w:spacing w:line="360" w:lineRule="auto"/>
        <w:ind w:firstLine="480" w:firstLineChars="200"/>
        <w:rPr>
          <w:rFonts w:hint="eastAsia" w:ascii="宋体" w:hAnsi="宋体" w:cs="_x000B__x000C_"/>
          <w:snapToGrid w:val="0"/>
          <w:color w:val="auto"/>
          <w:kern w:val="0"/>
          <w:sz w:val="24"/>
          <w:highlight w:val="none"/>
        </w:rPr>
      </w:pPr>
      <w:r>
        <w:rPr>
          <w:rFonts w:hint="eastAsia" w:ascii="宋体" w:hAnsi="宋体" w:cs="宋体"/>
          <w:snapToGrid w:val="0"/>
          <w:color w:val="auto"/>
          <w:kern w:val="0"/>
          <w:sz w:val="24"/>
          <w:highlight w:val="none"/>
          <w:lang w:val="zh-CN"/>
        </w:rPr>
        <w:t>（四）</w:t>
      </w:r>
      <w:r>
        <w:rPr>
          <w:rFonts w:hint="eastAsia" w:ascii="宋体" w:hAnsi="宋体" w:cs="_x000B__x000C_"/>
          <w:snapToGrid w:val="0"/>
          <w:color w:val="auto"/>
          <w:kern w:val="0"/>
          <w:sz w:val="24"/>
          <w:highlight w:val="none"/>
        </w:rPr>
        <w:t>有责任采取各种合理的预防措施，防止其员工发生各种违法、违禁、暴力或妨碍治安的行为。</w:t>
      </w:r>
    </w:p>
    <w:p w14:paraId="7CD10F00">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_x000B__x000C_"/>
          <w:snapToGrid w:val="0"/>
          <w:color w:val="auto"/>
          <w:kern w:val="0"/>
          <w:sz w:val="24"/>
          <w:highlight w:val="none"/>
        </w:rPr>
        <w:t>（五）参加施工的人员，必须接受安全技术教育，熟知和遵守所在岗位（工种）的各项安全技术操作规程，定期进行安全技术考核方准上岗操作。对于从事电气、</w:t>
      </w:r>
      <w:r>
        <w:rPr>
          <w:rFonts w:hint="eastAsia" w:ascii="宋体" w:hAnsi="宋体" w:cs="宋体"/>
          <w:snapToGrid w:val="0"/>
          <w:color w:val="auto"/>
          <w:kern w:val="0"/>
          <w:sz w:val="24"/>
          <w:highlight w:val="none"/>
          <w:lang w:val="zh-CN"/>
        </w:rPr>
        <w:t>起重、登高作业、焊接等特殊工种的人员，须经过专业培训，获得《安全操作合格证》后，方准上岗。施工现场如出现特种行业无证上岗时，项目经理必须承担责任。</w:t>
      </w:r>
    </w:p>
    <w:p w14:paraId="0EF8D078">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（六）对于</w:t>
      </w:r>
      <w:r>
        <w:rPr>
          <w:rFonts w:hint="eastAsia" w:ascii="宋体" w:hAnsi="宋体" w:cs="_x000B__x000C_"/>
          <w:snapToGrid w:val="0"/>
          <w:color w:val="auto"/>
          <w:kern w:val="0"/>
          <w:sz w:val="24"/>
          <w:highlight w:val="none"/>
        </w:rPr>
        <w:t>易燃易爆</w:t>
      </w:r>
      <w:r>
        <w:rPr>
          <w:rFonts w:hint="eastAsia" w:ascii="宋体" w:hAnsi="宋体" w:cs="宋体"/>
          <w:snapToGrid w:val="0"/>
          <w:color w:val="auto"/>
          <w:kern w:val="0"/>
          <w:sz w:val="24"/>
          <w:highlight w:val="none"/>
          <w:lang w:val="zh-CN"/>
        </w:rPr>
        <w:t>的材料除应专门妥善保管之外，还应配备足够的消防设施，所有施工人员都应熟悉消防设备的性能和使用方法；乙方不能将任何种类的爆炸物给予、易货或以其他方式转让给任何其他人，或允许、容忍上述同样行为。</w:t>
      </w:r>
    </w:p>
    <w:p w14:paraId="6BDF6FCC">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（七）</w:t>
      </w:r>
      <w:r>
        <w:rPr>
          <w:rFonts w:hint="eastAsia" w:ascii="宋体" w:hAnsi="宋体" w:cs="_x000B__x000C_"/>
          <w:snapToGrid w:val="0"/>
          <w:color w:val="auto"/>
          <w:kern w:val="0"/>
          <w:sz w:val="24"/>
          <w:highlight w:val="none"/>
        </w:rPr>
        <w:t>操作</w:t>
      </w:r>
      <w:r>
        <w:rPr>
          <w:rFonts w:hint="eastAsia" w:ascii="宋体" w:hAnsi="宋体" w:cs="宋体"/>
          <w:snapToGrid w:val="0"/>
          <w:color w:val="auto"/>
          <w:kern w:val="0"/>
          <w:sz w:val="24"/>
          <w:highlight w:val="none"/>
          <w:lang w:val="zh-CN"/>
        </w:rPr>
        <w:t>人员上岗，必须按规定穿戴安全帽等防护用品。项目经理和专职安全员应随时检查劳动防护用品的穿戴情况，不按规定穿戴防护用品的人员不得上岗。</w:t>
      </w:r>
    </w:p>
    <w:p w14:paraId="3E53D8C3">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（八）所有施工</w:t>
      </w:r>
      <w:r>
        <w:rPr>
          <w:rFonts w:hint="eastAsia" w:ascii="宋体" w:hAnsi="宋体" w:cs="_x000B__x000C_"/>
          <w:snapToGrid w:val="0"/>
          <w:color w:val="auto"/>
          <w:kern w:val="0"/>
          <w:sz w:val="24"/>
          <w:highlight w:val="none"/>
        </w:rPr>
        <w:t>机具</w:t>
      </w:r>
      <w:r>
        <w:rPr>
          <w:rFonts w:hint="eastAsia" w:ascii="宋体" w:hAnsi="宋体" w:cs="宋体"/>
          <w:snapToGrid w:val="0"/>
          <w:color w:val="auto"/>
          <w:kern w:val="0"/>
          <w:sz w:val="24"/>
          <w:highlight w:val="none"/>
          <w:lang w:val="zh-CN"/>
        </w:rPr>
        <w:t>设备和高处作业的设备均应定期检查，并有安全员的签名记录，保证其经常处于完好状态，不合格的机具、设备和劳动保护用品严禁使用。</w:t>
      </w:r>
    </w:p>
    <w:p w14:paraId="3AAF8518">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（九）施工中采用新技术、新工艺、新设备、新材料，必须制定相应的安全技术措施。施工现场必须按规定有针对性地悬挂安全标志牌。</w:t>
      </w:r>
    </w:p>
    <w:p w14:paraId="1771A5A5">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（十）乙方</w:t>
      </w:r>
      <w:r>
        <w:rPr>
          <w:rFonts w:hint="eastAsia" w:ascii="宋体" w:hAnsi="宋体" w:cs="_x000B__x000C_"/>
          <w:snapToGrid w:val="0"/>
          <w:color w:val="auto"/>
          <w:kern w:val="0"/>
          <w:sz w:val="24"/>
          <w:highlight w:val="none"/>
        </w:rPr>
        <w:t>必须</w:t>
      </w:r>
      <w:r>
        <w:rPr>
          <w:rFonts w:hint="eastAsia" w:ascii="宋体" w:hAnsi="宋体" w:cs="宋体"/>
          <w:snapToGrid w:val="0"/>
          <w:color w:val="auto"/>
          <w:kern w:val="0"/>
          <w:sz w:val="24"/>
          <w:highlight w:val="none"/>
          <w:lang w:val="zh-CN"/>
        </w:rPr>
        <w:t>按照本工程项目特点，制定安全事故应急救援预案；如果发生安全事故，应按照《建设工程安全管理条例》的有关规定上报有关部门，并按照</w:t>
      </w:r>
      <w:r>
        <w:rPr>
          <w:rFonts w:ascii="宋体" w:hAnsi="宋体" w:cs="_x000B__x000C_"/>
          <w:snapToGrid w:val="0"/>
          <w:color w:val="auto"/>
          <w:kern w:val="0"/>
          <w:sz w:val="24"/>
          <w:highlight w:val="none"/>
        </w:rPr>
        <w:t>“</w:t>
      </w:r>
      <w:r>
        <w:rPr>
          <w:rFonts w:hint="eastAsia" w:ascii="宋体" w:hAnsi="宋体" w:cs="宋体"/>
          <w:snapToGrid w:val="0"/>
          <w:color w:val="auto"/>
          <w:kern w:val="0"/>
          <w:sz w:val="24"/>
          <w:highlight w:val="none"/>
          <w:lang w:val="zh-CN"/>
        </w:rPr>
        <w:t>四不放过</w:t>
      </w:r>
      <w:r>
        <w:rPr>
          <w:rFonts w:ascii="宋体" w:hAnsi="宋体" w:cs="_x000B__x000C_"/>
          <w:snapToGrid w:val="0"/>
          <w:color w:val="auto"/>
          <w:kern w:val="0"/>
          <w:sz w:val="24"/>
          <w:highlight w:val="none"/>
        </w:rPr>
        <w:t>”</w:t>
      </w:r>
      <w:r>
        <w:rPr>
          <w:rFonts w:hint="eastAsia" w:ascii="宋体" w:hAnsi="宋体" w:cs="宋体"/>
          <w:snapToGrid w:val="0"/>
          <w:color w:val="auto"/>
          <w:kern w:val="0"/>
          <w:sz w:val="24"/>
          <w:highlight w:val="none"/>
          <w:lang w:val="zh-CN"/>
        </w:rPr>
        <w:t>的原则调查处理。</w:t>
      </w:r>
    </w:p>
    <w:p w14:paraId="78D9237B">
      <w:pPr>
        <w:autoSpaceDE w:val="0"/>
        <w:autoSpaceDN w:val="0"/>
        <w:adjustRightInd w:val="0"/>
        <w:snapToGrid w:val="0"/>
        <w:spacing w:line="360" w:lineRule="auto"/>
        <w:ind w:firstLine="482" w:firstLineChars="200"/>
        <w:rPr>
          <w:rFonts w:hint="eastAsia" w:ascii="宋体" w:hAnsi="宋体" w:cs="宋体"/>
          <w:b/>
          <w:snapToGrid w:val="0"/>
          <w:color w:val="auto"/>
          <w:kern w:val="0"/>
          <w:sz w:val="24"/>
          <w:highlight w:val="none"/>
          <w:lang w:val="zh-CN"/>
        </w:rPr>
      </w:pPr>
      <w:r>
        <w:rPr>
          <w:rFonts w:hint="eastAsia" w:ascii="宋体" w:hAnsi="宋体" w:cs="宋体"/>
          <w:b/>
          <w:snapToGrid w:val="0"/>
          <w:color w:val="auto"/>
          <w:kern w:val="0"/>
          <w:sz w:val="24"/>
          <w:highlight w:val="none"/>
          <w:lang w:val="zh-CN"/>
        </w:rPr>
        <w:t>三、违约责任</w:t>
      </w:r>
    </w:p>
    <w:p w14:paraId="2539FADA">
      <w:pPr>
        <w:autoSpaceDE w:val="0"/>
        <w:autoSpaceDN w:val="0"/>
        <w:adjustRightInd w:val="0"/>
        <w:snapToGrid w:val="0"/>
        <w:spacing w:line="360" w:lineRule="auto"/>
        <w:ind w:firstLine="480" w:firstLineChars="200"/>
        <w:rPr>
          <w:rFonts w:hint="eastAsia" w:ascii="宋体" w:hAnsi="宋体" w:cs="宋体"/>
          <w:snapToGrid w:val="0"/>
          <w:color w:val="auto"/>
          <w:kern w:val="0"/>
          <w:sz w:val="24"/>
          <w:highlight w:val="none"/>
          <w:lang w:val="zh-CN"/>
        </w:rPr>
      </w:pPr>
      <w:r>
        <w:rPr>
          <w:rFonts w:hint="eastAsia" w:ascii="宋体" w:hAnsi="宋体" w:cs="宋体"/>
          <w:snapToGrid w:val="0"/>
          <w:color w:val="auto"/>
          <w:kern w:val="0"/>
          <w:sz w:val="24"/>
          <w:highlight w:val="none"/>
          <w:lang w:val="zh-CN"/>
        </w:rPr>
        <w:t>如因甲方或乙方失职违约，将依据《建设工程安全管理条例》、合同及有关规定追究责任。</w:t>
      </w:r>
    </w:p>
    <w:p w14:paraId="41BCF778">
      <w:pPr>
        <w:adjustRightInd w:val="0"/>
        <w:snapToGrid w:val="0"/>
        <w:spacing w:line="360" w:lineRule="auto"/>
        <w:ind w:firstLine="480" w:firstLineChars="200"/>
        <w:rPr>
          <w:rFonts w:hint="eastAsia" w:ascii="宋体" w:hAnsi="宋体"/>
          <w:snapToGrid w:val="0"/>
          <w:color w:val="auto"/>
          <w:kern w:val="0"/>
          <w:sz w:val="24"/>
          <w:highlight w:val="none"/>
        </w:rPr>
      </w:pPr>
      <w:r>
        <w:rPr>
          <w:rFonts w:hint="eastAsia" w:ascii="宋体" w:hAnsi="宋体" w:cs="宋体"/>
          <w:snapToGrid w:val="0"/>
          <w:color w:val="auto"/>
          <w:kern w:val="0"/>
          <w:sz w:val="24"/>
          <w:highlight w:val="none"/>
          <w:lang w:val="zh-CN"/>
        </w:rPr>
        <w:t>本安全生产合同由双方</w:t>
      </w:r>
      <w:r>
        <w:rPr>
          <w:rFonts w:hint="eastAsia" w:ascii="宋体" w:hAnsi="宋体"/>
          <w:snapToGrid w:val="0"/>
          <w:color w:val="auto"/>
          <w:kern w:val="0"/>
          <w:sz w:val="24"/>
          <w:highlight w:val="none"/>
        </w:rPr>
        <w:t>法定代表人（或委托代理人）签字盖章</w:t>
      </w:r>
      <w:r>
        <w:rPr>
          <w:rFonts w:hint="eastAsia" w:ascii="宋体" w:hAnsi="宋体" w:cs="宋体"/>
          <w:snapToGrid w:val="0"/>
          <w:color w:val="auto"/>
          <w:kern w:val="0"/>
          <w:sz w:val="24"/>
          <w:highlight w:val="none"/>
          <w:lang w:val="zh-CN"/>
        </w:rPr>
        <w:t>后生效。工程竣工验收后失效。</w:t>
      </w:r>
    </w:p>
    <w:p w14:paraId="37117470">
      <w:pPr>
        <w:pStyle w:val="3"/>
        <w:adjustRightInd w:val="0"/>
        <w:snapToGrid w:val="0"/>
        <w:spacing w:line="360" w:lineRule="auto"/>
        <w:ind w:right="11"/>
        <w:rPr>
          <w:rFonts w:hint="eastAsia" w:ascii="宋体" w:hAnsi="宋体"/>
          <w:snapToGrid w:val="0"/>
          <w:color w:val="auto"/>
          <w:highlight w:val="none"/>
        </w:rPr>
      </w:pPr>
    </w:p>
    <w:p w14:paraId="16566C52">
      <w:pPr>
        <w:adjustRightInd w:val="0"/>
        <w:snapToGrid w:val="0"/>
        <w:spacing w:line="360" w:lineRule="auto"/>
        <w:rPr>
          <w:rFonts w:hint="eastAsia" w:ascii="宋体" w:hAnsi="宋体"/>
          <w:snapToGrid w:val="0"/>
          <w:color w:val="auto"/>
          <w:kern w:val="0"/>
          <w:sz w:val="24"/>
          <w:highlight w:val="none"/>
        </w:rPr>
      </w:pPr>
    </w:p>
    <w:p w14:paraId="4E1B68B1">
      <w:pPr>
        <w:adjustRightInd w:val="0"/>
        <w:snapToGrid w:val="0"/>
        <w:spacing w:line="360" w:lineRule="auto"/>
        <w:ind w:right="11"/>
        <w:rPr>
          <w:rFonts w:hint="eastAsia" w:ascii="宋体" w:hAnsi="宋体"/>
          <w:snapToGrid w:val="0"/>
          <w:color w:val="auto"/>
          <w:spacing w:val="-20"/>
          <w:kern w:val="0"/>
          <w:sz w:val="24"/>
          <w:highlight w:val="none"/>
        </w:rPr>
      </w:pPr>
      <w:r>
        <w:rPr>
          <w:rFonts w:hint="eastAsia" w:ascii="宋体" w:hAnsi="宋体"/>
          <w:snapToGrid w:val="0"/>
          <w:color w:val="auto"/>
          <w:spacing w:val="-20"/>
          <w:kern w:val="0"/>
          <w:sz w:val="24"/>
          <w:highlight w:val="none"/>
        </w:rPr>
        <w:t>甲方：</w:t>
      </w:r>
      <w:r>
        <w:rPr>
          <w:rFonts w:hint="eastAsia" w:ascii="宋体" w:hAnsi="宋体"/>
          <w:b/>
          <w:bCs/>
          <w:snapToGrid w:val="0"/>
          <w:color w:val="auto"/>
          <w:spacing w:val="-20"/>
          <w:kern w:val="0"/>
          <w:sz w:val="24"/>
          <w:highlight w:val="none"/>
          <w:lang w:eastAsia="zh-CN"/>
        </w:rPr>
        <w:t>广州市荔湾发展集团有限责任公司</w:t>
      </w:r>
      <w:r>
        <w:rPr>
          <w:rFonts w:hint="eastAsia" w:ascii="宋体" w:hAnsi="宋体"/>
          <w:snapToGrid w:val="0"/>
          <w:color w:val="auto"/>
          <w:spacing w:val="-20"/>
          <w:kern w:val="0"/>
          <w:sz w:val="24"/>
          <w:highlight w:val="none"/>
        </w:rPr>
        <w:t xml:space="preserve">            乙方：</w:t>
      </w:r>
      <w:r>
        <w:rPr>
          <w:rFonts w:hint="eastAsia" w:ascii="宋体" w:hAnsi="宋体"/>
          <w:snapToGrid w:val="0"/>
          <w:color w:val="auto"/>
          <w:spacing w:val="-20"/>
          <w:kern w:val="0"/>
          <w:sz w:val="24"/>
          <w:highlight w:val="none"/>
          <w:u w:val="single"/>
        </w:rPr>
        <w:t xml:space="preserve">                                     </w:t>
      </w:r>
    </w:p>
    <w:p w14:paraId="04361881">
      <w:pPr>
        <w:adjustRightInd w:val="0"/>
        <w:snapToGrid w:val="0"/>
        <w:spacing w:line="360" w:lineRule="auto"/>
        <w:ind w:right="11" w:firstLine="2400" w:firstLineChars="100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（盖章）                         （盖章）</w:t>
      </w:r>
    </w:p>
    <w:p w14:paraId="3FEBB487">
      <w:pPr>
        <w:adjustRightInd w:val="0"/>
        <w:snapToGrid w:val="0"/>
        <w:spacing w:line="360" w:lineRule="auto"/>
        <w:ind w:right="11"/>
        <w:rPr>
          <w:rFonts w:hint="eastAsia" w:ascii="宋体" w:hAnsi="宋体"/>
          <w:snapToGrid w:val="0"/>
          <w:color w:val="auto"/>
          <w:kern w:val="0"/>
          <w:sz w:val="24"/>
          <w:highlight w:val="none"/>
        </w:rPr>
      </w:pPr>
    </w:p>
    <w:p w14:paraId="5F8419A2">
      <w:pPr>
        <w:adjustRightInd w:val="0"/>
        <w:snapToGrid w:val="0"/>
        <w:spacing w:line="360" w:lineRule="auto"/>
        <w:ind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法定代表人：                           法定代表人：</w:t>
      </w:r>
    </w:p>
    <w:p w14:paraId="0AB6A8D4">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p>
    <w:p w14:paraId="20AD1B56">
      <w:pPr>
        <w:tabs>
          <w:tab w:val="left" w:pos="5460"/>
        </w:tabs>
        <w:adjustRightInd w:val="0"/>
        <w:snapToGrid w:val="0"/>
        <w:spacing w:line="360" w:lineRule="auto"/>
        <w:ind w:left="-2" w:leftChars="-1" w:right="11"/>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委托代理人：                           委托代理人：</w:t>
      </w:r>
    </w:p>
    <w:p w14:paraId="7E273BCC">
      <w:pPr>
        <w:adjustRightInd w:val="0"/>
        <w:snapToGrid w:val="0"/>
        <w:spacing w:line="360" w:lineRule="auto"/>
        <w:ind w:right="11"/>
        <w:rPr>
          <w:rFonts w:hint="eastAsia" w:ascii="宋体" w:hAnsi="宋体"/>
          <w:snapToGrid w:val="0"/>
          <w:color w:val="auto"/>
          <w:kern w:val="0"/>
          <w:sz w:val="24"/>
          <w:highlight w:val="none"/>
        </w:rPr>
      </w:pPr>
    </w:p>
    <w:p w14:paraId="08B295B7">
      <w:pPr>
        <w:adjustRightInd w:val="0"/>
        <w:snapToGrid w:val="0"/>
        <w:spacing w:line="360" w:lineRule="auto"/>
        <w:ind w:right="11"/>
        <w:jc w:val="left"/>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20  年   月   日                      20  年   月   日</w:t>
      </w:r>
    </w:p>
    <w:p w14:paraId="0B12EF64">
      <w:pPr>
        <w:adjustRightInd w:val="0"/>
        <w:snapToGrid w:val="0"/>
        <w:spacing w:line="360" w:lineRule="auto"/>
        <w:ind w:right="11"/>
        <w:jc w:val="left"/>
        <w:rPr>
          <w:rFonts w:hint="eastAsia" w:ascii="宋体" w:hAnsi="宋体"/>
          <w:snapToGrid w:val="0"/>
          <w:color w:val="auto"/>
          <w:kern w:val="0"/>
          <w:sz w:val="24"/>
          <w:highlight w:val="none"/>
        </w:rPr>
      </w:pPr>
    </w:p>
    <w:p w14:paraId="7C1D989F">
      <w:pPr>
        <w:adjustRightInd w:val="0"/>
        <w:snapToGrid w:val="0"/>
        <w:spacing w:line="360" w:lineRule="auto"/>
        <w:rPr>
          <w:rFonts w:hint="eastAsia" w:ascii="宋体" w:hAnsi="宋体"/>
          <w:snapToGrid w:val="0"/>
          <w:color w:val="auto"/>
          <w:kern w:val="0"/>
          <w:sz w:val="24"/>
          <w:szCs w:val="24"/>
          <w:highlight w:val="none"/>
        </w:rPr>
      </w:pPr>
      <w:r>
        <w:rPr>
          <w:snapToGrid w:val="0"/>
          <w:color w:val="auto"/>
          <w:kern w:val="0"/>
          <w:highlight w:val="none"/>
        </w:rPr>
        <w:br w:type="page"/>
      </w:r>
      <w:r>
        <w:rPr>
          <w:rFonts w:hint="eastAsia" w:ascii="宋体" w:hAnsi="宋体"/>
          <w:snapToGrid w:val="0"/>
          <w:color w:val="auto"/>
          <w:kern w:val="0"/>
          <w:sz w:val="24"/>
          <w:szCs w:val="24"/>
          <w:highlight w:val="none"/>
        </w:rPr>
        <w:t>附件4：</w:t>
      </w:r>
    </w:p>
    <w:p w14:paraId="009B5EAA">
      <w:pPr>
        <w:adjustRightInd w:val="0"/>
        <w:snapToGrid w:val="0"/>
        <w:spacing w:line="360" w:lineRule="auto"/>
        <w:jc w:val="center"/>
        <w:outlineLvl w:val="1"/>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承包人履约银行保函（格式）及承诺书</w:t>
      </w:r>
    </w:p>
    <w:p w14:paraId="50880480">
      <w:pPr>
        <w:autoSpaceDE w:val="0"/>
        <w:autoSpaceDN w:val="0"/>
        <w:adjustRightInd w:val="0"/>
        <w:snapToGrid w:val="0"/>
        <w:spacing w:line="360" w:lineRule="auto"/>
        <w:jc w:val="center"/>
        <w:rPr>
          <w:rFonts w:hint="eastAsia" w:ascii="宋体" w:hAnsi="宋体" w:cs="宋体"/>
          <w:snapToGrid w:val="0"/>
          <w:color w:val="auto"/>
          <w:kern w:val="0"/>
          <w:sz w:val="24"/>
          <w:szCs w:val="24"/>
          <w:highlight w:val="none"/>
          <w:lang w:val="zh-CN"/>
        </w:rPr>
      </w:pPr>
      <w:r>
        <w:rPr>
          <w:rFonts w:hint="eastAsia" w:ascii="宋体" w:hAnsi="宋体" w:cs="宋体"/>
          <w:snapToGrid w:val="0"/>
          <w:color w:val="auto"/>
          <w:kern w:val="0"/>
          <w:sz w:val="24"/>
          <w:szCs w:val="24"/>
          <w:highlight w:val="none"/>
          <w:lang w:val="zh-CN"/>
        </w:rPr>
        <w:t>编号：</w:t>
      </w:r>
    </w:p>
    <w:p w14:paraId="34F7C81B">
      <w:pPr>
        <w:adjustRightInd w:val="0"/>
        <w:snapToGrid w:val="0"/>
        <w:spacing w:line="336" w:lineRule="auto"/>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bidi="ar"/>
        </w:rPr>
        <w:t>广州市荔湾发展集团有限责任公司</w:t>
      </w:r>
      <w:r>
        <w:rPr>
          <w:rFonts w:hint="eastAsia" w:ascii="宋体" w:hAnsi="宋体" w:cs="宋体"/>
          <w:color w:val="auto"/>
          <w:kern w:val="0"/>
          <w:szCs w:val="21"/>
          <w:highlight w:val="none"/>
          <w:lang w:bidi="ar"/>
        </w:rPr>
        <w:t>：</w:t>
      </w:r>
    </w:p>
    <w:p w14:paraId="57A3D514">
      <w:pPr>
        <w:autoSpaceDE w:val="0"/>
        <w:autoSpaceDN w:val="0"/>
        <w:adjustRightInd w:val="0"/>
        <w:snapToGrid w:val="0"/>
        <w:spacing w:line="336" w:lineRule="auto"/>
        <w:ind w:firstLine="48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鉴于</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（以下称承包人）</w:t>
      </w:r>
      <w:r>
        <w:rPr>
          <w:rFonts w:hint="eastAsia" w:ascii="宋体" w:hAnsi="宋体" w:cs="宋体"/>
          <w:color w:val="auto"/>
          <w:kern w:val="0"/>
          <w:sz w:val="24"/>
          <w:szCs w:val="24"/>
          <w:highlight w:val="none"/>
          <w:lang w:bidi="ar"/>
        </w:rPr>
        <w:t>应依法按照《</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 w:val="24"/>
          <w:szCs w:val="24"/>
          <w:highlight w:val="none"/>
          <w:lang w:bidi="ar"/>
        </w:rPr>
        <w:t>招标文件》和承包人中标的投标文件</w:t>
      </w:r>
      <w:r>
        <w:rPr>
          <w:rFonts w:hint="eastAsia" w:ascii="宋体" w:hAnsi="宋体" w:cs="宋体"/>
          <w:color w:val="auto"/>
          <w:kern w:val="0"/>
          <w:szCs w:val="21"/>
          <w:highlight w:val="none"/>
          <w:lang w:bidi="ar"/>
        </w:rPr>
        <w:t>与贵院订立《</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合同》（以下简称合同</w:t>
      </w:r>
      <w:r>
        <w:rPr>
          <w:rFonts w:hint="eastAsia" w:ascii="宋体" w:hAnsi="宋体" w:cs="宋体"/>
          <w:color w:val="auto"/>
          <w:kern w:val="0"/>
          <w:sz w:val="24"/>
          <w:szCs w:val="24"/>
          <w:highlight w:val="none"/>
          <w:lang w:bidi="ar"/>
        </w:rPr>
        <w:t>，合同编号：</w:t>
      </w:r>
      <w:r>
        <w:rPr>
          <w:rFonts w:hint="eastAsia" w:ascii="宋体" w:hAnsi="宋体" w:cs="宋体"/>
          <w:color w:val="auto"/>
          <w:kern w:val="0"/>
          <w:sz w:val="24"/>
          <w:szCs w:val="24"/>
          <w:highlight w:val="none"/>
          <w:u w:val="single"/>
          <w:lang w:bidi="ar"/>
        </w:rPr>
        <w:t xml:space="preserve">      </w:t>
      </w:r>
      <w:r>
        <w:rPr>
          <w:rFonts w:hint="eastAsia" w:ascii="宋体" w:hAnsi="宋体" w:cs="宋体"/>
          <w:color w:val="auto"/>
          <w:kern w:val="0"/>
          <w:szCs w:val="21"/>
          <w:highlight w:val="none"/>
          <w:lang w:bidi="ar"/>
        </w:rPr>
        <w:t>）。我方同意为承包人担保，以担保金额人民币</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元（￥</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元）向贵单位提供不可撤销的连带责任保证，担保的范围为：承包人按合同约定应向贵单位履行的全部义务，包括但不限于合同约定的义务，应向贵单位支付的利息，在人力资源、材料、机械设备投入，施工质量，施工工期，施工人员工资支付，工程分包，工程结算，施工（总）承包管理和现场整体组织，专业协调及配合等方面的违约金，损害赔偿金，实现债权的费用。</w:t>
      </w:r>
    </w:p>
    <w:p w14:paraId="63CA6D18">
      <w:pPr>
        <w:autoSpaceDE w:val="0"/>
        <w:autoSpaceDN w:val="0"/>
        <w:adjustRightInd w:val="0"/>
        <w:snapToGrid w:val="0"/>
        <w:spacing w:line="336" w:lineRule="auto"/>
        <w:ind w:firstLine="48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我方承诺如下：</w:t>
      </w:r>
    </w:p>
    <w:p w14:paraId="0C5CC630">
      <w:pPr>
        <w:autoSpaceDE w:val="0"/>
        <w:autoSpaceDN w:val="0"/>
        <w:adjustRightInd w:val="0"/>
        <w:snapToGrid w:val="0"/>
        <w:spacing w:line="336" w:lineRule="auto"/>
        <w:ind w:firstLine="48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承包人在履行合同中，由于资金、技术、质量或非不可抗力及违约等原因需向贵单位支付违约金或赔偿金时，在贵单位以书面索赔通知纸质原件形式提出要求得到上述金额内的任何付款时（需提供本担保正本原件供我方核对），我方在7个工作日内予以支付累计不超过上述担保金额的款项，不挑剔、不争辩，也不要求贵单位出具证明或说明背景、理由。</w:t>
      </w:r>
    </w:p>
    <w:p w14:paraId="1BC19BD7">
      <w:pPr>
        <w:autoSpaceDE w:val="0"/>
        <w:autoSpaceDN w:val="0"/>
        <w:adjustRightInd w:val="0"/>
        <w:snapToGrid w:val="0"/>
        <w:spacing w:line="336" w:lineRule="auto"/>
        <w:ind w:firstLine="48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2、我方放弃贵单位应先向承包人要求赔偿上述金额然后再向我方提出要求的权利。</w:t>
      </w:r>
    </w:p>
    <w:p w14:paraId="6F573E5C">
      <w:pPr>
        <w:autoSpaceDE w:val="0"/>
        <w:autoSpaceDN w:val="0"/>
        <w:adjustRightInd w:val="0"/>
        <w:snapToGrid w:val="0"/>
        <w:spacing w:line="336" w:lineRule="auto"/>
        <w:ind w:firstLine="48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3、我方进一步同意，在贵单位和承包人之间的合同条件、合同项下的工程或合同发生变化、补充或修改，在不加重我方担保责任的情况下，我方承担本担保的责任也不改变。有关上述变化、补充和修改也无须通知我方。</w:t>
      </w:r>
    </w:p>
    <w:p w14:paraId="1B2806F6">
      <w:pPr>
        <w:autoSpaceDE w:val="0"/>
        <w:autoSpaceDN w:val="0"/>
        <w:adjustRightInd w:val="0"/>
        <w:snapToGrid w:val="0"/>
        <w:spacing w:line="336" w:lineRule="auto"/>
        <w:ind w:firstLine="48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4、本担保有效期间为：自本担保签署之日起至承包人提供工程所需全部分部（子分部）工程质量验收记录及竣工图止，但最迟不超过</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年</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月</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日。</w:t>
      </w:r>
    </w:p>
    <w:p w14:paraId="148873D0">
      <w:pPr>
        <w:autoSpaceDE w:val="0"/>
        <w:autoSpaceDN w:val="0"/>
        <w:adjustRightInd w:val="0"/>
        <w:snapToGrid w:val="0"/>
        <w:spacing w:line="336" w:lineRule="auto"/>
        <w:ind w:firstLine="48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5、本担保适用中华人民共和国法律，任何与本担保有关的争议均需提交工程项目所在地人民法院提起诉讼。</w:t>
      </w:r>
    </w:p>
    <w:p w14:paraId="1819FCA6">
      <w:pPr>
        <w:autoSpaceDE w:val="0"/>
        <w:autoSpaceDN w:val="0"/>
        <w:adjustRightInd w:val="0"/>
        <w:snapToGrid w:val="0"/>
        <w:spacing w:line="336" w:lineRule="auto"/>
        <w:ind w:firstLine="48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本担保自我方负责人（或委托代理人）签字并加盖公章之日起生效。</w:t>
      </w:r>
    </w:p>
    <w:p w14:paraId="21BDCC6B">
      <w:pPr>
        <w:autoSpaceDE w:val="0"/>
        <w:autoSpaceDN w:val="0"/>
        <w:adjustRightInd w:val="0"/>
        <w:snapToGrid w:val="0"/>
        <w:spacing w:line="336" w:lineRule="auto"/>
        <w:ind w:firstLine="4620" w:firstLineChars="2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保证人：（盖章）</w:t>
      </w:r>
    </w:p>
    <w:p w14:paraId="4EC94BC4">
      <w:pPr>
        <w:autoSpaceDE w:val="0"/>
        <w:autoSpaceDN w:val="0"/>
        <w:adjustRightInd w:val="0"/>
        <w:snapToGrid w:val="0"/>
        <w:spacing w:line="336" w:lineRule="auto"/>
        <w:ind w:firstLine="4620" w:firstLineChars="2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负责人（或委托代理人）：</w:t>
      </w:r>
    </w:p>
    <w:p w14:paraId="3997FCB0">
      <w:pPr>
        <w:autoSpaceDE w:val="0"/>
        <w:autoSpaceDN w:val="0"/>
        <w:adjustRightInd w:val="0"/>
        <w:snapToGrid w:val="0"/>
        <w:spacing w:line="336" w:lineRule="auto"/>
        <w:ind w:firstLine="4620" w:firstLineChars="2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地址：</w:t>
      </w:r>
    </w:p>
    <w:p w14:paraId="06378211">
      <w:pPr>
        <w:autoSpaceDE w:val="0"/>
        <w:autoSpaceDN w:val="0"/>
        <w:adjustRightInd w:val="0"/>
        <w:snapToGrid w:val="0"/>
        <w:spacing w:line="336" w:lineRule="auto"/>
        <w:ind w:firstLine="4620" w:firstLineChars="2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邮政编码：</w:t>
      </w:r>
    </w:p>
    <w:p w14:paraId="53CFE5C7">
      <w:pPr>
        <w:autoSpaceDE w:val="0"/>
        <w:autoSpaceDN w:val="0"/>
        <w:adjustRightInd w:val="0"/>
        <w:snapToGrid w:val="0"/>
        <w:spacing w:line="336" w:lineRule="auto"/>
        <w:ind w:firstLine="4620" w:firstLineChars="2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联系电话：</w:t>
      </w:r>
    </w:p>
    <w:p w14:paraId="28E9773B">
      <w:pPr>
        <w:autoSpaceDE w:val="0"/>
        <w:autoSpaceDN w:val="0"/>
        <w:adjustRightInd w:val="0"/>
        <w:snapToGrid w:val="0"/>
        <w:spacing w:line="336" w:lineRule="auto"/>
        <w:ind w:firstLine="4620" w:firstLineChars="2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日期：     年   月   日</w:t>
      </w:r>
    </w:p>
    <w:p w14:paraId="3BEE7DA7">
      <w:pPr>
        <w:adjustRightInd w:val="0"/>
        <w:snapToGrid w:val="0"/>
        <w:spacing w:line="360" w:lineRule="auto"/>
        <w:ind w:firstLine="4095" w:firstLineChars="1950"/>
        <w:rPr>
          <w:rFonts w:hint="eastAsia" w:ascii="宋体" w:hAnsi="宋体"/>
          <w:b/>
          <w:snapToGrid w:val="0"/>
          <w:color w:val="auto"/>
          <w:kern w:val="0"/>
          <w:sz w:val="44"/>
          <w:szCs w:val="36"/>
          <w:highlight w:val="none"/>
        </w:rPr>
      </w:pPr>
      <w:r>
        <w:rPr>
          <w:rFonts w:ascii="宋体" w:hAnsi="宋体"/>
          <w:snapToGrid w:val="0"/>
          <w:color w:val="auto"/>
          <w:kern w:val="0"/>
          <w:highlight w:val="none"/>
          <w:u w:val="single"/>
        </w:rPr>
        <w:br w:type="page"/>
      </w:r>
    </w:p>
    <w:p w14:paraId="0B05651D">
      <w:pPr>
        <w:adjustRightInd w:val="0"/>
        <w:snapToGrid w:val="0"/>
        <w:spacing w:line="360" w:lineRule="auto"/>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bidi="ar"/>
        </w:rPr>
        <w:t>承 诺 书</w:t>
      </w:r>
    </w:p>
    <w:p w14:paraId="3FD21F69">
      <w:pPr>
        <w:autoSpaceDE w:val="0"/>
        <w:autoSpaceDN w:val="0"/>
        <w:adjustRightInd w:val="0"/>
        <w:snapToGrid w:val="0"/>
        <w:spacing w:line="360" w:lineRule="auto"/>
        <w:ind w:firstLine="48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 xml:space="preserve"> </w:t>
      </w:r>
    </w:p>
    <w:p w14:paraId="1A3B3CE2">
      <w:pPr>
        <w:autoSpaceDE w:val="0"/>
        <w:autoSpaceDN w:val="0"/>
        <w:adjustRightInd w:val="0"/>
        <w:snapToGrid w:val="0"/>
        <w:spacing w:line="360" w:lineRule="auto"/>
        <w:rPr>
          <w:rFonts w:hint="eastAsia" w:ascii="宋体" w:hAnsi="宋体" w:cs="宋体"/>
          <w:b/>
          <w:color w:val="auto"/>
          <w:kern w:val="0"/>
          <w:sz w:val="24"/>
          <w:szCs w:val="24"/>
          <w:highlight w:val="none"/>
        </w:rPr>
      </w:pPr>
      <w:r>
        <w:rPr>
          <w:rFonts w:hint="eastAsia" w:ascii="宋体" w:hAnsi="宋体" w:cs="宋体"/>
          <w:b/>
          <w:color w:val="auto"/>
          <w:kern w:val="0"/>
          <w:sz w:val="24"/>
          <w:szCs w:val="24"/>
          <w:highlight w:val="none"/>
          <w:lang w:eastAsia="zh-CN" w:bidi="ar"/>
        </w:rPr>
        <w:t>广州市荔湾发展集团有限责任公司</w:t>
      </w:r>
      <w:r>
        <w:rPr>
          <w:rFonts w:hint="eastAsia" w:ascii="宋体" w:hAnsi="宋体" w:cs="宋体"/>
          <w:b/>
          <w:color w:val="auto"/>
          <w:kern w:val="0"/>
          <w:sz w:val="24"/>
          <w:szCs w:val="24"/>
          <w:highlight w:val="none"/>
          <w:lang w:bidi="ar"/>
        </w:rPr>
        <w:t>：</w:t>
      </w:r>
    </w:p>
    <w:p w14:paraId="66DEC324">
      <w:pPr>
        <w:pStyle w:val="13"/>
        <w:autoSpaceDE w:val="0"/>
        <w:autoSpaceDN w:val="0"/>
        <w:adjustRightInd w:val="0"/>
        <w:snapToGrid w:val="0"/>
        <w:spacing w:line="360" w:lineRule="auto"/>
        <w:ind w:firstLine="482"/>
        <w:rPr>
          <w:rFonts w:hint="eastAsia" w:cs="宋体"/>
          <w:color w:val="auto"/>
          <w:highlight w:val="none"/>
          <w:lang w:bidi="ar"/>
        </w:rPr>
      </w:pPr>
      <w:r>
        <w:rPr>
          <w:rFonts w:cs="宋体"/>
          <w:color w:val="auto"/>
          <w:highlight w:val="none"/>
          <w:lang w:bidi="ar"/>
        </w:rPr>
        <w:t>我司已于</w:t>
      </w:r>
      <w:r>
        <w:rPr>
          <w:rFonts w:cs="宋体"/>
          <w:color w:val="auto"/>
          <w:highlight w:val="none"/>
          <w:u w:val="single"/>
          <w:lang w:bidi="ar"/>
        </w:rPr>
        <w:t xml:space="preserve">     </w:t>
      </w:r>
      <w:r>
        <w:rPr>
          <w:rFonts w:cs="宋体"/>
          <w:color w:val="auto"/>
          <w:highlight w:val="none"/>
          <w:lang w:bidi="ar"/>
        </w:rPr>
        <w:t>年</w:t>
      </w:r>
      <w:r>
        <w:rPr>
          <w:rFonts w:cs="宋体"/>
          <w:color w:val="auto"/>
          <w:highlight w:val="none"/>
          <w:u w:val="single"/>
          <w:lang w:bidi="ar"/>
        </w:rPr>
        <w:t xml:space="preserve">   </w:t>
      </w:r>
      <w:r>
        <w:rPr>
          <w:rFonts w:cs="宋体"/>
          <w:color w:val="auto"/>
          <w:highlight w:val="none"/>
          <w:lang w:bidi="ar"/>
        </w:rPr>
        <w:t>月</w:t>
      </w:r>
      <w:r>
        <w:rPr>
          <w:rFonts w:cs="宋体"/>
          <w:color w:val="auto"/>
          <w:highlight w:val="none"/>
          <w:u w:val="single"/>
          <w:lang w:bidi="ar"/>
        </w:rPr>
        <w:t xml:space="preserve">   </w:t>
      </w:r>
      <w:r>
        <w:rPr>
          <w:rFonts w:cs="宋体"/>
          <w:color w:val="auto"/>
          <w:highlight w:val="none"/>
          <w:lang w:bidi="ar"/>
        </w:rPr>
        <w:t>日向</w:t>
      </w:r>
      <w:r>
        <w:rPr>
          <w:rFonts w:hint="eastAsia" w:cs="宋体"/>
          <w:color w:val="auto"/>
          <w:highlight w:val="none"/>
          <w:lang w:bidi="ar"/>
        </w:rPr>
        <w:t>贵单位</w:t>
      </w:r>
      <w:r>
        <w:rPr>
          <w:rFonts w:cs="宋体"/>
          <w:color w:val="auto"/>
          <w:highlight w:val="none"/>
          <w:lang w:bidi="ar"/>
        </w:rPr>
        <w:t>提交了</w:t>
      </w:r>
      <w:r>
        <w:rPr>
          <w:rFonts w:cs="宋体"/>
          <w:color w:val="auto"/>
          <w:highlight w:val="none"/>
          <w:u w:val="single"/>
          <w:lang w:bidi="ar"/>
        </w:rPr>
        <w:t xml:space="preserve"> </w:t>
      </w:r>
      <w:r>
        <w:rPr>
          <w:rFonts w:hint="eastAsia" w:cs="宋体"/>
          <w:color w:val="auto"/>
          <w:highlight w:val="none"/>
          <w:u w:val="single"/>
          <w:lang w:bidi="ar"/>
        </w:rPr>
        <w:t xml:space="preserve">  </w:t>
      </w:r>
      <w:r>
        <w:rPr>
          <w:rFonts w:cs="宋体"/>
          <w:color w:val="auto"/>
          <w:highlight w:val="none"/>
          <w:u w:val="single"/>
          <w:lang w:bidi="ar"/>
        </w:rPr>
        <w:t xml:space="preserve">   </w:t>
      </w:r>
      <w:r>
        <w:rPr>
          <w:rFonts w:cs="宋体"/>
          <w:color w:val="auto"/>
          <w:highlight w:val="none"/>
          <w:lang w:bidi="ar"/>
        </w:rPr>
        <w:t>的履约担保，履约担保最长有效期至</w:t>
      </w:r>
      <w:r>
        <w:rPr>
          <w:rFonts w:cs="宋体"/>
          <w:color w:val="auto"/>
          <w:highlight w:val="none"/>
          <w:u w:val="single"/>
          <w:lang w:bidi="ar"/>
        </w:rPr>
        <w:t xml:space="preserve">     </w:t>
      </w:r>
      <w:r>
        <w:rPr>
          <w:rFonts w:cs="宋体"/>
          <w:color w:val="auto"/>
          <w:highlight w:val="none"/>
          <w:lang w:bidi="ar"/>
        </w:rPr>
        <w:t>年</w:t>
      </w:r>
      <w:r>
        <w:rPr>
          <w:rFonts w:cs="宋体"/>
          <w:color w:val="auto"/>
          <w:highlight w:val="none"/>
          <w:u w:val="single"/>
          <w:lang w:bidi="ar"/>
        </w:rPr>
        <w:t xml:space="preserve">   </w:t>
      </w:r>
      <w:r>
        <w:rPr>
          <w:rFonts w:cs="宋体"/>
          <w:color w:val="auto"/>
          <w:highlight w:val="none"/>
          <w:lang w:bidi="ar"/>
        </w:rPr>
        <w:t>月</w:t>
      </w:r>
      <w:r>
        <w:rPr>
          <w:rFonts w:cs="宋体"/>
          <w:color w:val="auto"/>
          <w:highlight w:val="none"/>
          <w:u w:val="single"/>
          <w:lang w:bidi="ar"/>
        </w:rPr>
        <w:t xml:space="preserve">   </w:t>
      </w:r>
      <w:r>
        <w:rPr>
          <w:rFonts w:cs="宋体"/>
          <w:color w:val="auto"/>
          <w:highlight w:val="none"/>
          <w:lang w:bidi="ar"/>
        </w:rPr>
        <w:t>日。</w:t>
      </w:r>
    </w:p>
    <w:p w14:paraId="7D304D4E">
      <w:pPr>
        <w:autoSpaceDE w:val="0"/>
        <w:autoSpaceDN w:val="0"/>
        <w:adjustRightInd w:val="0"/>
        <w:snapToGrid w:val="0"/>
        <w:spacing w:line="360" w:lineRule="auto"/>
        <w:ind w:firstLine="482"/>
        <w:rPr>
          <w:rFonts w:hint="eastAsia"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在履约</w:t>
      </w:r>
      <w:r>
        <w:rPr>
          <w:rFonts w:hint="eastAsia" w:ascii="宋体" w:hAnsi="宋体" w:cs="宋体"/>
          <w:color w:val="auto"/>
          <w:spacing w:val="4"/>
          <w:kern w:val="0"/>
          <w:sz w:val="24"/>
          <w:szCs w:val="24"/>
          <w:highlight w:val="none"/>
          <w:lang w:bidi="ar"/>
        </w:rPr>
        <w:t>担保</w:t>
      </w:r>
      <w:r>
        <w:rPr>
          <w:rFonts w:hint="eastAsia" w:ascii="宋体" w:hAnsi="宋体" w:cs="宋体"/>
          <w:color w:val="auto"/>
          <w:kern w:val="0"/>
          <w:sz w:val="24"/>
          <w:szCs w:val="24"/>
          <w:highlight w:val="none"/>
          <w:lang w:bidi="ar"/>
        </w:rPr>
        <w:t>最长有效期届满时，若我司未提供本项目所需全部分部（子分部）工程质量验收记录及竣工图的，则贵单位有权要求我司另行提交新的履约</w:t>
      </w:r>
      <w:r>
        <w:rPr>
          <w:rFonts w:hint="eastAsia" w:ascii="宋体" w:hAnsi="宋体" w:cs="宋体"/>
          <w:color w:val="auto"/>
          <w:spacing w:val="4"/>
          <w:kern w:val="0"/>
          <w:sz w:val="24"/>
          <w:szCs w:val="24"/>
          <w:highlight w:val="none"/>
          <w:lang w:bidi="ar"/>
        </w:rPr>
        <w:t>担保</w:t>
      </w:r>
      <w:r>
        <w:rPr>
          <w:rFonts w:hint="eastAsia" w:ascii="宋体" w:hAnsi="宋体" w:cs="宋体"/>
          <w:color w:val="auto"/>
          <w:kern w:val="0"/>
          <w:sz w:val="24"/>
          <w:szCs w:val="24"/>
          <w:highlight w:val="none"/>
          <w:lang w:bidi="ar"/>
        </w:rPr>
        <w:t>。若我司不按贵单位要求提交新的履约</w:t>
      </w:r>
      <w:r>
        <w:rPr>
          <w:rFonts w:hint="eastAsia" w:ascii="宋体" w:hAnsi="宋体" w:cs="宋体"/>
          <w:color w:val="auto"/>
          <w:spacing w:val="4"/>
          <w:kern w:val="0"/>
          <w:sz w:val="24"/>
          <w:szCs w:val="24"/>
          <w:highlight w:val="none"/>
          <w:lang w:bidi="ar"/>
        </w:rPr>
        <w:t>担保</w:t>
      </w:r>
      <w:r>
        <w:rPr>
          <w:rFonts w:hint="eastAsia" w:ascii="宋体" w:hAnsi="宋体" w:cs="宋体"/>
          <w:color w:val="auto"/>
          <w:kern w:val="0"/>
          <w:sz w:val="24"/>
          <w:szCs w:val="24"/>
          <w:highlight w:val="none"/>
          <w:lang w:bidi="ar"/>
        </w:rPr>
        <w:t>，则贵单位有权暂停支付余下的合同价款，直至我司提交新的履约</w:t>
      </w:r>
      <w:r>
        <w:rPr>
          <w:rFonts w:hint="eastAsia" w:ascii="宋体" w:hAnsi="宋体" w:cs="宋体"/>
          <w:color w:val="auto"/>
          <w:spacing w:val="4"/>
          <w:kern w:val="0"/>
          <w:sz w:val="24"/>
          <w:szCs w:val="24"/>
          <w:highlight w:val="none"/>
          <w:lang w:bidi="ar"/>
        </w:rPr>
        <w:t>担保</w:t>
      </w:r>
      <w:r>
        <w:rPr>
          <w:rFonts w:hint="eastAsia" w:ascii="宋体" w:hAnsi="宋体" w:cs="宋体"/>
          <w:color w:val="auto"/>
          <w:kern w:val="0"/>
          <w:sz w:val="24"/>
          <w:szCs w:val="24"/>
          <w:highlight w:val="none"/>
          <w:lang w:bidi="ar"/>
        </w:rPr>
        <w:t>或提供本项目所需全部分部（子分部）工程质量验收记录及竣工图。</w:t>
      </w:r>
    </w:p>
    <w:p w14:paraId="014E815A">
      <w:pPr>
        <w:autoSpaceDE w:val="0"/>
        <w:autoSpaceDN w:val="0"/>
        <w:adjustRightInd w:val="0"/>
        <w:snapToGrid w:val="0"/>
        <w:spacing w:line="360" w:lineRule="auto"/>
        <w:ind w:firstLine="48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特此承诺。</w:t>
      </w:r>
    </w:p>
    <w:p w14:paraId="6D75FD14">
      <w:pPr>
        <w:autoSpaceDE w:val="0"/>
        <w:autoSpaceDN w:val="0"/>
        <w:adjustRightInd w:val="0"/>
        <w:snapToGrid w:val="0"/>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 xml:space="preserve"> </w:t>
      </w:r>
    </w:p>
    <w:p w14:paraId="277EB068">
      <w:pPr>
        <w:autoSpaceDE w:val="0"/>
        <w:autoSpaceDN w:val="0"/>
        <w:adjustRightInd w:val="0"/>
        <w:snapToGrid w:val="0"/>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 xml:space="preserve"> </w:t>
      </w:r>
    </w:p>
    <w:p w14:paraId="44BD6943">
      <w:pPr>
        <w:autoSpaceDE w:val="0"/>
        <w:autoSpaceDN w:val="0"/>
        <w:adjustRightInd w:val="0"/>
        <w:snapToGrid w:val="0"/>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 xml:space="preserve"> </w:t>
      </w:r>
    </w:p>
    <w:p w14:paraId="295CE96F">
      <w:pPr>
        <w:autoSpaceDE w:val="0"/>
        <w:autoSpaceDN w:val="0"/>
        <w:adjustRightInd w:val="0"/>
        <w:snapToGrid w:val="0"/>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 xml:space="preserve">                                           承诺人：</w:t>
      </w:r>
    </w:p>
    <w:p w14:paraId="3BC38ABA">
      <w:pPr>
        <w:autoSpaceDE w:val="0"/>
        <w:autoSpaceDN w:val="0"/>
        <w:adjustRightInd w:val="0"/>
        <w:snapToGrid w:val="0"/>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 xml:space="preserve"> </w:t>
      </w:r>
    </w:p>
    <w:p w14:paraId="5F06525E">
      <w:pPr>
        <w:autoSpaceDE w:val="0"/>
        <w:autoSpaceDN w:val="0"/>
        <w:adjustRightInd w:val="0"/>
        <w:snapToGrid w:val="0"/>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 xml:space="preserve">                                           法定代表人：</w:t>
      </w:r>
    </w:p>
    <w:p w14:paraId="28BEC075">
      <w:pPr>
        <w:adjustRightInd w:val="0"/>
        <w:snapToGrid w:val="0"/>
        <w:spacing w:line="360" w:lineRule="auto"/>
        <w:ind w:firstLine="5160" w:firstLineChars="215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 xml:space="preserve"> </w:t>
      </w:r>
    </w:p>
    <w:p w14:paraId="69125F3B">
      <w:pPr>
        <w:adjustRightInd w:val="0"/>
        <w:snapToGrid w:val="0"/>
        <w:spacing w:line="360" w:lineRule="auto"/>
        <w:ind w:firstLine="5160" w:firstLineChars="215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bidi="ar"/>
        </w:rPr>
        <w:t>日期：     年   月   日</w:t>
      </w:r>
    </w:p>
    <w:p w14:paraId="3D8E3A6C">
      <w:pPr>
        <w:adjustRightInd w:val="0"/>
        <w:snapToGrid w:val="0"/>
        <w:spacing w:line="288" w:lineRule="auto"/>
        <w:rPr>
          <w:rFonts w:hint="eastAsia" w:ascii="宋体" w:hAnsi="宋体"/>
          <w:snapToGrid w:val="0"/>
          <w:color w:val="auto"/>
          <w:kern w:val="0"/>
          <w:sz w:val="24"/>
          <w:highlight w:val="none"/>
        </w:rPr>
      </w:pPr>
    </w:p>
    <w:p w14:paraId="441E957F">
      <w:pPr>
        <w:adjustRightInd w:val="0"/>
        <w:snapToGrid w:val="0"/>
        <w:spacing w:line="288" w:lineRule="auto"/>
        <w:rPr>
          <w:rFonts w:hint="eastAsia" w:ascii="宋体" w:hAnsi="宋体"/>
          <w:snapToGrid w:val="0"/>
          <w:color w:val="auto"/>
          <w:kern w:val="0"/>
          <w:sz w:val="24"/>
          <w:highlight w:val="none"/>
        </w:rPr>
      </w:pPr>
    </w:p>
    <w:p w14:paraId="564C6E2A">
      <w:pPr>
        <w:adjustRightInd w:val="0"/>
        <w:snapToGrid w:val="0"/>
        <w:spacing w:line="288" w:lineRule="auto"/>
        <w:rPr>
          <w:rFonts w:hint="eastAsia" w:ascii="宋体" w:hAnsi="宋体"/>
          <w:snapToGrid w:val="0"/>
          <w:color w:val="auto"/>
          <w:kern w:val="0"/>
          <w:sz w:val="24"/>
          <w:highlight w:val="none"/>
        </w:rPr>
      </w:pPr>
    </w:p>
    <w:p w14:paraId="2D2E7670">
      <w:pPr>
        <w:adjustRightInd w:val="0"/>
        <w:snapToGrid w:val="0"/>
        <w:spacing w:line="288" w:lineRule="auto"/>
        <w:rPr>
          <w:rFonts w:hint="eastAsia" w:ascii="宋体" w:hAnsi="宋体"/>
          <w:snapToGrid w:val="0"/>
          <w:color w:val="auto"/>
          <w:kern w:val="0"/>
          <w:sz w:val="24"/>
          <w:highlight w:val="none"/>
        </w:rPr>
      </w:pPr>
    </w:p>
    <w:p w14:paraId="157A91F9">
      <w:pPr>
        <w:adjustRightInd w:val="0"/>
        <w:snapToGrid w:val="0"/>
        <w:spacing w:line="288" w:lineRule="auto"/>
        <w:rPr>
          <w:rFonts w:hint="eastAsia" w:ascii="宋体" w:hAnsi="宋体"/>
          <w:snapToGrid w:val="0"/>
          <w:color w:val="auto"/>
          <w:kern w:val="0"/>
          <w:sz w:val="24"/>
          <w:highlight w:val="none"/>
        </w:rPr>
      </w:pPr>
    </w:p>
    <w:p w14:paraId="57A8F2AC">
      <w:pPr>
        <w:adjustRightInd w:val="0"/>
        <w:snapToGrid w:val="0"/>
        <w:spacing w:line="288" w:lineRule="auto"/>
        <w:rPr>
          <w:rFonts w:hint="eastAsia" w:ascii="宋体" w:hAnsi="宋体"/>
          <w:snapToGrid w:val="0"/>
          <w:color w:val="auto"/>
          <w:kern w:val="0"/>
          <w:sz w:val="24"/>
          <w:highlight w:val="none"/>
        </w:rPr>
      </w:pPr>
    </w:p>
    <w:p w14:paraId="0D3DCA6F">
      <w:pPr>
        <w:adjustRightInd w:val="0"/>
        <w:snapToGrid w:val="0"/>
        <w:spacing w:line="288" w:lineRule="auto"/>
        <w:rPr>
          <w:rFonts w:hint="eastAsia" w:ascii="宋体" w:hAnsi="宋体"/>
          <w:snapToGrid w:val="0"/>
          <w:color w:val="auto"/>
          <w:kern w:val="0"/>
          <w:sz w:val="24"/>
          <w:highlight w:val="none"/>
        </w:rPr>
      </w:pPr>
    </w:p>
    <w:p w14:paraId="5B15AA85">
      <w:pPr>
        <w:adjustRightInd w:val="0"/>
        <w:snapToGrid w:val="0"/>
        <w:spacing w:line="288" w:lineRule="auto"/>
        <w:rPr>
          <w:rFonts w:hint="eastAsia" w:ascii="宋体" w:hAnsi="宋体"/>
          <w:snapToGrid w:val="0"/>
          <w:color w:val="auto"/>
          <w:kern w:val="0"/>
          <w:sz w:val="24"/>
          <w:highlight w:val="none"/>
        </w:rPr>
      </w:pPr>
    </w:p>
    <w:p w14:paraId="46C6DA82">
      <w:pPr>
        <w:adjustRightInd w:val="0"/>
        <w:snapToGrid w:val="0"/>
        <w:spacing w:line="288" w:lineRule="auto"/>
        <w:rPr>
          <w:rFonts w:hint="eastAsia" w:ascii="宋体" w:hAnsi="宋体"/>
          <w:snapToGrid w:val="0"/>
          <w:color w:val="auto"/>
          <w:kern w:val="0"/>
          <w:sz w:val="24"/>
          <w:highlight w:val="none"/>
        </w:rPr>
      </w:pPr>
    </w:p>
    <w:p w14:paraId="5E14452B">
      <w:pPr>
        <w:pStyle w:val="15"/>
        <w:adjustRightInd w:val="0"/>
        <w:snapToGrid w:val="0"/>
        <w:spacing w:after="0" w:line="360" w:lineRule="auto"/>
        <w:ind w:firstLine="0"/>
        <w:rPr>
          <w:rFonts w:hint="eastAsia" w:ascii="宋体" w:hAnsi="宋体"/>
          <w:snapToGrid w:val="0"/>
          <w:color w:val="auto"/>
          <w:kern w:val="0"/>
          <w:sz w:val="24"/>
          <w:szCs w:val="24"/>
          <w:highlight w:val="none"/>
        </w:rPr>
      </w:pPr>
      <w:r>
        <w:rPr>
          <w:rFonts w:ascii="宋体" w:hAnsi="宋体"/>
          <w:snapToGrid w:val="0"/>
          <w:color w:val="auto"/>
          <w:kern w:val="0"/>
          <w:sz w:val="24"/>
          <w:highlight w:val="none"/>
        </w:rPr>
        <w:br w:type="page"/>
      </w:r>
      <w:r>
        <w:rPr>
          <w:rFonts w:hint="eastAsia" w:ascii="宋体" w:hAnsi="宋体"/>
          <w:snapToGrid w:val="0"/>
          <w:color w:val="auto"/>
          <w:kern w:val="0"/>
          <w:sz w:val="24"/>
          <w:szCs w:val="24"/>
          <w:highlight w:val="none"/>
        </w:rPr>
        <w:t>附件5：</w:t>
      </w:r>
    </w:p>
    <w:p w14:paraId="618C897A">
      <w:pPr>
        <w:pStyle w:val="15"/>
        <w:adjustRightInd w:val="0"/>
        <w:snapToGrid w:val="0"/>
        <w:spacing w:after="0" w:line="360" w:lineRule="auto"/>
        <w:ind w:firstLine="0"/>
        <w:jc w:val="center"/>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建设工程管理制度汇编(另册)</w:t>
      </w:r>
    </w:p>
    <w:p w14:paraId="77F27AB8">
      <w:pPr>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br w:type="page"/>
      </w:r>
    </w:p>
    <w:p w14:paraId="60E3B128">
      <w:pPr>
        <w:pStyle w:val="15"/>
        <w:adjustRightInd w:val="0"/>
        <w:snapToGrid w:val="0"/>
        <w:spacing w:after="0" w:line="360" w:lineRule="auto"/>
        <w:ind w:firstLine="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附件6：</w:t>
      </w:r>
    </w:p>
    <w:p w14:paraId="7C57536C">
      <w:pPr>
        <w:pStyle w:val="15"/>
        <w:adjustRightInd w:val="0"/>
        <w:snapToGrid w:val="0"/>
        <w:spacing w:after="0" w:line="360" w:lineRule="auto"/>
        <w:ind w:firstLine="0"/>
        <w:jc w:val="center"/>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建设项目环境管理文明施工标准(另册)</w:t>
      </w:r>
    </w:p>
    <w:p w14:paraId="613729CE">
      <w:pPr>
        <w:adjustRightInd w:val="0"/>
        <w:snapToGrid w:val="0"/>
        <w:spacing w:line="360" w:lineRule="auto"/>
        <w:jc w:val="center"/>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br w:type="page"/>
      </w:r>
    </w:p>
    <w:p w14:paraId="42CDD3E5">
      <w:pPr>
        <w:pStyle w:val="15"/>
        <w:adjustRightInd w:val="0"/>
        <w:snapToGrid w:val="0"/>
        <w:spacing w:after="0" w:line="360" w:lineRule="auto"/>
        <w:ind w:firstLine="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附件7：</w:t>
      </w:r>
    </w:p>
    <w:p w14:paraId="73A7064D">
      <w:pPr>
        <w:pStyle w:val="15"/>
        <w:adjustRightInd w:val="0"/>
        <w:snapToGrid w:val="0"/>
        <w:spacing w:after="0" w:line="360" w:lineRule="auto"/>
        <w:ind w:firstLine="0"/>
        <w:jc w:val="center"/>
        <w:rPr>
          <w:rFonts w:hint="eastAsia" w:ascii="宋体" w:hAnsi="宋体"/>
          <w:b/>
          <w:snapToGrid w:val="0"/>
          <w:color w:val="auto"/>
          <w:kern w:val="0"/>
          <w:sz w:val="32"/>
          <w:szCs w:val="32"/>
          <w:highlight w:val="none"/>
        </w:rPr>
      </w:pPr>
    </w:p>
    <w:p w14:paraId="50CE7DF6">
      <w:pPr>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lang w:eastAsia="zh-CN"/>
        </w:rPr>
        <w:t>广州市荔湾发展集团有限责任公司</w:t>
      </w:r>
    </w:p>
    <w:p w14:paraId="4B037DF2">
      <w:pPr>
        <w:jc w:val="center"/>
        <w:rPr>
          <w:rFonts w:hint="eastAsia" w:ascii="宋体" w:hAnsi="宋体"/>
          <w:color w:val="auto"/>
          <w:sz w:val="32"/>
          <w:szCs w:val="32"/>
          <w:highlight w:val="none"/>
        </w:rPr>
      </w:pPr>
      <w:r>
        <w:rPr>
          <w:rFonts w:hint="eastAsia" w:ascii="宋体" w:hAnsi="宋体"/>
          <w:b/>
          <w:color w:val="auto"/>
          <w:sz w:val="32"/>
          <w:szCs w:val="32"/>
          <w:highlight w:val="none"/>
        </w:rPr>
        <w:t>施工单位安全生产管理目标责任书</w:t>
      </w:r>
    </w:p>
    <w:p w14:paraId="7A6F2584">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为保证</w:t>
      </w:r>
      <w:r>
        <w:rPr>
          <w:rFonts w:hint="eastAsia" w:ascii="宋体" w:hAnsi="宋体"/>
          <w:color w:val="auto"/>
          <w:szCs w:val="21"/>
          <w:highlight w:val="none"/>
          <w:lang w:eastAsia="zh-CN"/>
        </w:rPr>
        <w:t>广州市荔湾发展集团有限责任公司</w:t>
      </w:r>
      <w:r>
        <w:rPr>
          <w:rFonts w:hint="eastAsia" w:ascii="宋体" w:hAnsi="宋体"/>
          <w:color w:val="auto"/>
          <w:szCs w:val="21"/>
          <w:highlight w:val="none"/>
        </w:rPr>
        <w:t>向广州市人民政府承诺的安全责任目标的实现，建立安全生产目标责任考核机制，必须与施工单位签订安全生产责任书的要求，特签订本责任书。</w:t>
      </w:r>
    </w:p>
    <w:p w14:paraId="41F724DD">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本责任书由施工单位法定代表人向</w:t>
      </w:r>
      <w:r>
        <w:rPr>
          <w:rFonts w:hint="eastAsia" w:ascii="宋体" w:hAnsi="宋体"/>
          <w:color w:val="auto"/>
          <w:szCs w:val="21"/>
          <w:highlight w:val="none"/>
          <w:lang w:eastAsia="zh-CN"/>
        </w:rPr>
        <w:t>广州市荔湾发展集团有限责任公司</w:t>
      </w:r>
      <w:r>
        <w:rPr>
          <w:rFonts w:hint="eastAsia" w:ascii="宋体" w:hAnsi="宋体"/>
          <w:color w:val="auto"/>
          <w:szCs w:val="21"/>
          <w:highlight w:val="none"/>
        </w:rPr>
        <w:t>签订。</w:t>
      </w:r>
    </w:p>
    <w:p w14:paraId="3E159CFF">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一、责任目标</w:t>
      </w:r>
    </w:p>
    <w:p w14:paraId="4C754445">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目标一：事故隐患排查治理覆盖率100%，一般事故隐患整改率100%，重大事故隐患挂牌督办率100%、整改率100%；安全生产非法违法行为举报投诉查办率达到100%。杜绝发生一般事故等级及以上的伤亡事故且工伤责任事故死亡人数为零。</w:t>
      </w:r>
    </w:p>
    <w:p w14:paraId="5D6A35A5">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目标二：确保</w:t>
      </w:r>
    </w:p>
    <w:p w14:paraId="3FE1F9AC">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s="宋体"/>
          <w:color w:val="auto"/>
          <w:szCs w:val="21"/>
          <w:highlight w:val="none"/>
          <w:lang w:bidi="ar"/>
        </w:rPr>
        <w:t>达到</w:t>
      </w:r>
      <w:r>
        <w:rPr>
          <w:rFonts w:hint="eastAsia" w:ascii="宋体" w:hAnsi="宋体" w:cs="宋体"/>
          <w:color w:val="auto"/>
          <w:kern w:val="0"/>
          <w:szCs w:val="21"/>
          <w:highlight w:val="none"/>
          <w:lang w:bidi="ar"/>
        </w:rPr>
        <w:t>广州市安全文明样板工地。</w:t>
      </w:r>
    </w:p>
    <w:p w14:paraId="19082166">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☑“目标二”未能实现时，参照合同约定的“严重违约”条款对单位处以违约金。</w:t>
      </w:r>
    </w:p>
    <w:p w14:paraId="096A80B7">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☑目标三：确保及时支付工人工资，不出现劳资纠纷或群体维稳事件。</w:t>
      </w:r>
    </w:p>
    <w:p w14:paraId="04787EF1">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二、责任单位和责任人</w:t>
      </w:r>
    </w:p>
    <w:p w14:paraId="41F94B79">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施工单位法定代表人依法对本单位安全生产工作全面负责，项目经理对工程项目的安全施工负责。</w:t>
      </w:r>
    </w:p>
    <w:p w14:paraId="04F35F47">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三、责任事项</w:t>
      </w:r>
    </w:p>
    <w:p w14:paraId="57CAF8D1">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（一）施工单位是安全生产的主体责任单位之一，要切实履行全国人大及其常委会、国务院、住建部、广东省、广州市等颁布的法律、法规、部门规章、地方性法规规定之安全生产义务。</w:t>
      </w:r>
    </w:p>
    <w:p w14:paraId="5C61FDA8">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（二）施工单位要认真履行《</w:t>
      </w:r>
      <w:r>
        <w:rPr>
          <w:rFonts w:hint="eastAsia" w:ascii="宋体" w:hAnsi="宋体"/>
          <w:color w:val="auto"/>
          <w:szCs w:val="21"/>
          <w:highlight w:val="none"/>
          <w:u w:val="single"/>
        </w:rPr>
        <w:t xml:space="preserve">                </w:t>
      </w:r>
      <w:r>
        <w:rPr>
          <w:rFonts w:hint="eastAsia" w:ascii="宋体" w:hAnsi="宋体"/>
          <w:color w:val="auto"/>
          <w:szCs w:val="21"/>
          <w:highlight w:val="none"/>
        </w:rPr>
        <w:t>合同》，认真做到安全事故处理“四不放过”（</w:t>
      </w:r>
      <w:r>
        <w:rPr>
          <w:rFonts w:ascii="宋体" w:hAnsi="宋体"/>
          <w:color w:val="auto"/>
          <w:szCs w:val="21"/>
          <w:highlight w:val="none"/>
        </w:rPr>
        <w:t>事故原因未查清不放过；事故责任人未受到处理不放过；事故责任人和广大群众没有受到教育不放过；事故没有制订切实可行的整改措施不放过</w:t>
      </w:r>
      <w:r>
        <w:rPr>
          <w:rFonts w:hint="eastAsia" w:ascii="宋体" w:hAnsi="宋体"/>
          <w:color w:val="auto"/>
          <w:szCs w:val="21"/>
          <w:highlight w:val="none"/>
        </w:rPr>
        <w:t>）；认真做到重大危险源、重大隐患要有预测、有预警、有预案；认真做到要生产就必须安全，不安全就不能生产。</w:t>
      </w:r>
    </w:p>
    <w:p w14:paraId="2A5E05A0">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四、落实责任的组织架构和措施</w:t>
      </w:r>
    </w:p>
    <w:p w14:paraId="17567D1F">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（一）施工单位要设立在法定代表人指导下，以项目经理为主的安全生产管理组织架构，保证安全生产责任制度的落实。</w:t>
      </w:r>
    </w:p>
    <w:p w14:paraId="452DC6E3">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（二）施工单位要按合同约定确保项目经理和专职安全管理人员到岗履职，并由单位法定代表人与其签署安全责任授权书。</w:t>
      </w:r>
    </w:p>
    <w:p w14:paraId="2A23D088">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（三）施工单位要确保项目经理按照《住房城乡建设部关于印发&lt;建筑施工项目经理质量安全责任十项规定（试行）&gt;的通知》（建质〔2014〕123号）的要求落实安全责任。</w:t>
      </w:r>
    </w:p>
    <w:p w14:paraId="2AC0A34C">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四）施工单位要按《关于印发&lt;广东省建设厅建筑工程安全防护、文明施工措施费用管理办法&gt;的通知》（粤建管字〔2007〕39号）、《关于印发广州市建筑工程安全生产措施费管理办法的通知》（穗建筑［2003］106号）的要求切实将措施费足额用于安全防护和安全措施，不得挪作他用。</w:t>
      </w:r>
    </w:p>
    <w:p w14:paraId="05A2B55F">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（五）施工单位必须按《关于印发广东省建设领域工人工资支付分账管理暂行办法的通知》（粤人社规[2015]3号）执行，切实将工人工资支付专用账户的资金用于发放工人工资，不得挪作他用。</w:t>
      </w:r>
    </w:p>
    <w:p w14:paraId="266615C1">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五、责任追究</w:t>
      </w:r>
    </w:p>
    <w:p w14:paraId="6810F513">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（一）如工程未能实现承诺的“责任目标”时，当属严重失责行为，按照以下违约处理：</w:t>
      </w:r>
    </w:p>
    <w:p w14:paraId="272866A7">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1、“目标一”未能实现时，除按国家、省、市有关规定处罚外，另根据每宗事故等级不同，按合同对单位处以相应违约金。</w:t>
      </w:r>
    </w:p>
    <w:p w14:paraId="1C8AECB1">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□2、“目标二”未能实现时，参照合同约定的“严重违约”条款对单位处以违约金。</w:t>
      </w:r>
    </w:p>
    <w:p w14:paraId="5095EA68">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（二）在责任期内，</w:t>
      </w:r>
      <w:r>
        <w:rPr>
          <w:rFonts w:hint="eastAsia" w:ascii="宋体" w:hAnsi="宋体"/>
          <w:color w:val="auto"/>
          <w:szCs w:val="21"/>
          <w:highlight w:val="none"/>
          <w:lang w:eastAsia="zh-CN"/>
        </w:rPr>
        <w:t>广州市荔湾发展集团有限责任公司</w:t>
      </w:r>
      <w:r>
        <w:rPr>
          <w:rFonts w:hint="eastAsia" w:ascii="宋体" w:hAnsi="宋体"/>
          <w:color w:val="auto"/>
          <w:szCs w:val="21"/>
          <w:highlight w:val="none"/>
        </w:rPr>
        <w:t>检查发现有违本书“三、责任事项”中约定的法律法规、合同、制度的规定时，属失责行为，按照相应条款进行处罚。</w:t>
      </w:r>
    </w:p>
    <w:p w14:paraId="4F4C479F">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六、其他事项</w:t>
      </w:r>
    </w:p>
    <w:p w14:paraId="4E70B7BD">
      <w:pPr>
        <w:numPr>
          <w:ilvl w:val="0"/>
          <w:numId w:val="3"/>
        </w:numPr>
        <w:tabs>
          <w:tab w:val="left" w:pos="360"/>
          <w:tab w:val="clear" w:pos="855"/>
        </w:tabs>
        <w:spacing w:line="440" w:lineRule="exact"/>
        <w:ind w:left="0" w:firstLine="420" w:firstLineChars="200"/>
        <w:rPr>
          <w:rFonts w:hint="eastAsia" w:ascii="宋体" w:hAnsi="宋体"/>
          <w:color w:val="auto"/>
          <w:szCs w:val="21"/>
          <w:highlight w:val="none"/>
        </w:rPr>
      </w:pPr>
      <w:r>
        <w:rPr>
          <w:rFonts w:hint="eastAsia" w:ascii="宋体" w:hAnsi="宋体"/>
          <w:color w:val="auto"/>
          <w:szCs w:val="21"/>
          <w:highlight w:val="none"/>
          <w:lang w:eastAsia="zh-CN"/>
        </w:rPr>
        <w:t>广州市荔湾发展集团有限责任公司</w:t>
      </w:r>
      <w:r>
        <w:rPr>
          <w:rFonts w:hint="eastAsia" w:ascii="宋体" w:hAnsi="宋体"/>
          <w:color w:val="auto"/>
          <w:szCs w:val="21"/>
          <w:highlight w:val="none"/>
        </w:rPr>
        <w:t>将全力支持与促成“责任目标”的实现，与此同时，将严格督促施工单位承担安全责任，发现失责时，按本责任书的条文予以处罚。</w:t>
      </w:r>
    </w:p>
    <w:p w14:paraId="5A1D63D2">
      <w:pPr>
        <w:numPr>
          <w:ilvl w:val="0"/>
          <w:numId w:val="3"/>
        </w:numPr>
        <w:tabs>
          <w:tab w:val="left" w:pos="360"/>
          <w:tab w:val="clear" w:pos="855"/>
        </w:tabs>
        <w:spacing w:line="440" w:lineRule="exact"/>
        <w:ind w:left="0" w:firstLine="420" w:firstLineChars="200"/>
        <w:rPr>
          <w:rFonts w:hint="eastAsia" w:ascii="宋体" w:hAnsi="宋体"/>
          <w:color w:val="auto"/>
          <w:szCs w:val="21"/>
          <w:highlight w:val="none"/>
        </w:rPr>
      </w:pPr>
      <w:r>
        <w:rPr>
          <w:rFonts w:hint="eastAsia" w:ascii="宋体" w:hAnsi="宋体"/>
          <w:color w:val="auto"/>
          <w:szCs w:val="21"/>
          <w:highlight w:val="none"/>
        </w:rPr>
        <w:t>本责任书之责任期限由签订之日起至该项目取得《建设工程施工安全评价书》日期为止。</w:t>
      </w:r>
    </w:p>
    <w:p w14:paraId="5E781E22">
      <w:pPr>
        <w:numPr>
          <w:ilvl w:val="0"/>
          <w:numId w:val="3"/>
        </w:numPr>
        <w:tabs>
          <w:tab w:val="left" w:pos="360"/>
          <w:tab w:val="clear" w:pos="855"/>
        </w:tabs>
        <w:spacing w:line="440" w:lineRule="exact"/>
        <w:ind w:left="0" w:firstLine="420" w:firstLineChars="200"/>
        <w:rPr>
          <w:rFonts w:hint="eastAsia" w:ascii="宋体" w:hAnsi="宋体"/>
          <w:color w:val="auto"/>
          <w:szCs w:val="21"/>
          <w:highlight w:val="none"/>
        </w:rPr>
      </w:pPr>
      <w:r>
        <w:rPr>
          <w:rFonts w:hint="eastAsia" w:ascii="宋体" w:hAnsi="宋体"/>
          <w:color w:val="auto"/>
          <w:szCs w:val="21"/>
          <w:highlight w:val="none"/>
        </w:rPr>
        <w:t>本责任书作为合同附件一式两份，签订方各执一份。如签订人离任，安全责任则由继任人承担。</w:t>
      </w:r>
    </w:p>
    <w:p w14:paraId="44DC76DB">
      <w:pPr>
        <w:spacing w:line="440" w:lineRule="exact"/>
        <w:rPr>
          <w:rFonts w:hint="eastAsia" w:ascii="宋体" w:hAnsi="宋体"/>
          <w:color w:val="auto"/>
          <w:szCs w:val="21"/>
          <w:highlight w:val="none"/>
        </w:rPr>
      </w:pPr>
    </w:p>
    <w:p w14:paraId="7A65A950">
      <w:pPr>
        <w:spacing w:line="440" w:lineRule="exact"/>
        <w:rPr>
          <w:rFonts w:hint="eastAsia" w:ascii="宋体" w:hAnsi="宋体"/>
          <w:color w:val="auto"/>
          <w:szCs w:val="21"/>
          <w:highlight w:val="none"/>
        </w:rPr>
      </w:pPr>
    </w:p>
    <w:p w14:paraId="20CF4231">
      <w:pPr>
        <w:spacing w:line="440" w:lineRule="exact"/>
        <w:rPr>
          <w:rFonts w:hint="eastAsia" w:ascii="宋体" w:hAnsi="宋体"/>
          <w:color w:val="auto"/>
          <w:spacing w:val="-20"/>
          <w:szCs w:val="21"/>
          <w:highlight w:val="none"/>
        </w:rPr>
      </w:pPr>
      <w:r>
        <w:rPr>
          <w:rFonts w:hint="eastAsia" w:ascii="宋体" w:hAnsi="宋体"/>
          <w:b/>
          <w:color w:val="auto"/>
          <w:spacing w:val="-20"/>
          <w:szCs w:val="21"/>
          <w:highlight w:val="none"/>
          <w:lang w:eastAsia="zh-CN"/>
        </w:rPr>
        <w:t>广州市荔湾发展集团有限责任公司</w:t>
      </w:r>
      <w:r>
        <w:rPr>
          <w:rFonts w:hint="eastAsia" w:ascii="宋体" w:hAnsi="宋体"/>
          <w:b/>
          <w:color w:val="auto"/>
          <w:spacing w:val="-20"/>
          <w:szCs w:val="21"/>
          <w:highlight w:val="none"/>
        </w:rPr>
        <w:t>（章）</w:t>
      </w:r>
      <w:r>
        <w:rPr>
          <w:rFonts w:hint="eastAsia" w:ascii="宋体" w:hAnsi="宋体"/>
          <w:color w:val="auto"/>
          <w:spacing w:val="-20"/>
          <w:szCs w:val="21"/>
          <w:highlight w:val="none"/>
        </w:rPr>
        <w:t xml:space="preserve">                       </w:t>
      </w:r>
      <w:r>
        <w:rPr>
          <w:rFonts w:hint="eastAsia" w:ascii="宋体" w:hAnsi="宋体"/>
          <w:b/>
          <w:bCs/>
          <w:snapToGrid w:val="0"/>
          <w:color w:val="auto"/>
          <w:spacing w:val="-20"/>
          <w:kern w:val="0"/>
          <w:szCs w:val="21"/>
          <w:highlight w:val="none"/>
          <w:u w:val="single"/>
        </w:rPr>
        <w:t>施工单位名称（章）</w:t>
      </w:r>
    </w:p>
    <w:p w14:paraId="5EC57D71">
      <w:pPr>
        <w:spacing w:line="440" w:lineRule="exact"/>
        <w:rPr>
          <w:rFonts w:hint="eastAsia" w:ascii="宋体" w:hAnsi="宋体"/>
          <w:color w:val="auto"/>
          <w:szCs w:val="21"/>
          <w:highlight w:val="none"/>
        </w:rPr>
      </w:pPr>
    </w:p>
    <w:p w14:paraId="63C38248">
      <w:pPr>
        <w:spacing w:line="440" w:lineRule="exact"/>
        <w:rPr>
          <w:rFonts w:hint="eastAsia" w:ascii="宋体" w:hAnsi="宋体"/>
          <w:color w:val="auto"/>
          <w:spacing w:val="-20"/>
          <w:szCs w:val="21"/>
          <w:highlight w:val="none"/>
        </w:rPr>
      </w:pPr>
      <w:r>
        <w:rPr>
          <w:rFonts w:hint="eastAsia" w:ascii="宋体" w:hAnsi="宋体"/>
          <w:color w:val="auto"/>
          <w:spacing w:val="-20"/>
          <w:szCs w:val="21"/>
          <w:highlight w:val="none"/>
        </w:rPr>
        <w:t xml:space="preserve">主任（安全责任人）签名：              </w:t>
      </w:r>
      <w:r>
        <w:rPr>
          <w:rFonts w:hint="eastAsia" w:ascii="宋体" w:hAnsi="宋体"/>
          <w:color w:val="auto"/>
          <w:szCs w:val="21"/>
          <w:highlight w:val="none"/>
        </w:rPr>
        <w:t xml:space="preserve">                </w:t>
      </w:r>
      <w:r>
        <w:rPr>
          <w:rFonts w:hint="eastAsia" w:ascii="宋体" w:hAnsi="宋体"/>
          <w:color w:val="auto"/>
          <w:spacing w:val="-20"/>
          <w:szCs w:val="21"/>
          <w:highlight w:val="none"/>
        </w:rPr>
        <w:t>法定代表人（安全责任人）签名：</w:t>
      </w:r>
    </w:p>
    <w:p w14:paraId="78148704">
      <w:pPr>
        <w:spacing w:line="440" w:lineRule="exact"/>
        <w:rPr>
          <w:rFonts w:hint="eastAsia" w:ascii="宋体" w:hAnsi="宋体"/>
          <w:color w:val="auto"/>
          <w:szCs w:val="21"/>
          <w:highlight w:val="none"/>
        </w:rPr>
      </w:pPr>
      <w:r>
        <w:rPr>
          <w:rFonts w:hint="eastAsia" w:ascii="宋体" w:hAnsi="宋体"/>
          <w:color w:val="auto"/>
          <w:spacing w:val="-20"/>
          <w:szCs w:val="21"/>
          <w:highlight w:val="none"/>
        </w:rPr>
        <w:t xml:space="preserve">                             </w:t>
      </w:r>
    </w:p>
    <w:p w14:paraId="7320E3FC">
      <w:pPr>
        <w:spacing w:line="520" w:lineRule="exact"/>
        <w:rPr>
          <w:color w:val="auto"/>
          <w:sz w:val="28"/>
          <w:szCs w:val="28"/>
          <w:highlight w:val="none"/>
        </w:rPr>
      </w:pPr>
      <w:r>
        <w:rPr>
          <w:rFonts w:hint="eastAsia" w:ascii="宋体" w:hAnsi="宋体"/>
          <w:color w:val="auto"/>
          <w:szCs w:val="21"/>
          <w:highlight w:val="none"/>
        </w:rPr>
        <w:t>日期：    年  月  日                        日期：    年  月  日</w:t>
      </w:r>
    </w:p>
    <w:p w14:paraId="6DF6FB98">
      <w:pPr>
        <w:spacing w:line="520" w:lineRule="exact"/>
        <w:rPr>
          <w:rFonts w:hint="eastAsia" w:ascii="宋体" w:hAnsi="宋体"/>
          <w:snapToGrid w:val="0"/>
          <w:color w:val="auto"/>
          <w:kern w:val="0"/>
          <w:sz w:val="24"/>
          <w:szCs w:val="24"/>
          <w:highlight w:val="none"/>
        </w:rPr>
      </w:pPr>
      <w:r>
        <w:rPr>
          <w:color w:val="auto"/>
          <w:sz w:val="28"/>
          <w:szCs w:val="28"/>
          <w:highlight w:val="none"/>
        </w:rPr>
        <w:br w:type="page"/>
      </w:r>
      <w:r>
        <w:rPr>
          <w:rFonts w:hint="eastAsia" w:ascii="宋体" w:hAnsi="宋体"/>
          <w:snapToGrid w:val="0"/>
          <w:color w:val="auto"/>
          <w:kern w:val="0"/>
          <w:sz w:val="24"/>
          <w:szCs w:val="24"/>
          <w:highlight w:val="none"/>
        </w:rPr>
        <w:t>附件8：</w:t>
      </w:r>
    </w:p>
    <w:p w14:paraId="4B2885A8">
      <w:pPr>
        <w:adjustRightInd w:val="0"/>
        <w:snapToGrid w:val="0"/>
        <w:spacing w:line="360" w:lineRule="auto"/>
        <w:jc w:val="center"/>
        <w:rPr>
          <w:rFonts w:hint="eastAsia" w:ascii="宋体" w:hAnsi="宋体"/>
          <w:b/>
          <w:snapToGrid w:val="0"/>
          <w:color w:val="auto"/>
          <w:spacing w:val="-20"/>
          <w:kern w:val="0"/>
          <w:sz w:val="32"/>
          <w:szCs w:val="32"/>
          <w:highlight w:val="none"/>
        </w:rPr>
      </w:pPr>
      <w:r>
        <w:rPr>
          <w:rFonts w:hint="eastAsia" w:ascii="宋体" w:hAnsi="宋体"/>
          <w:b/>
          <w:snapToGrid w:val="0"/>
          <w:color w:val="auto"/>
          <w:spacing w:val="-20"/>
          <w:kern w:val="0"/>
          <w:sz w:val="32"/>
          <w:szCs w:val="32"/>
          <w:highlight w:val="none"/>
          <w:lang w:eastAsia="zh-CN"/>
        </w:rPr>
        <w:t>广州采制药业有限公司厂房改造工程施工总承包</w:t>
      </w:r>
      <w:r>
        <w:rPr>
          <w:rFonts w:hint="eastAsia" w:ascii="宋体" w:hAnsi="宋体"/>
          <w:b/>
          <w:snapToGrid w:val="0"/>
          <w:color w:val="auto"/>
          <w:spacing w:val="-20"/>
          <w:kern w:val="0"/>
          <w:sz w:val="32"/>
          <w:szCs w:val="32"/>
          <w:highlight w:val="none"/>
        </w:rPr>
        <w:t>工程工人工资支付分账管理协议书（格式）</w:t>
      </w:r>
    </w:p>
    <w:p w14:paraId="5052AA09">
      <w:pPr>
        <w:adjustRightInd w:val="0"/>
        <w:snapToGrid w:val="0"/>
        <w:spacing w:line="360" w:lineRule="auto"/>
        <w:rPr>
          <w:rFonts w:hint="eastAsia" w:ascii="宋体" w:hAnsi="宋体"/>
          <w:bCs/>
          <w:snapToGrid w:val="0"/>
          <w:color w:val="auto"/>
          <w:kern w:val="0"/>
          <w:sz w:val="24"/>
          <w:szCs w:val="24"/>
          <w:highlight w:val="none"/>
        </w:rPr>
      </w:pPr>
    </w:p>
    <w:p w14:paraId="15EC8498">
      <w:pPr>
        <w:adjustRightInd w:val="0"/>
        <w:snapToGrid w:val="0"/>
        <w:spacing w:line="360" w:lineRule="auto"/>
        <w:rPr>
          <w:rFonts w:hint="eastAsia" w:ascii="宋体" w:hAnsi="宋体" w:eastAsia="宋体"/>
          <w:b/>
          <w:bCs/>
          <w:snapToGrid w:val="0"/>
          <w:color w:val="auto"/>
          <w:kern w:val="0"/>
          <w:sz w:val="24"/>
          <w:szCs w:val="24"/>
          <w:highlight w:val="none"/>
          <w:lang w:eastAsia="zh-CN"/>
        </w:rPr>
      </w:pPr>
      <w:r>
        <w:rPr>
          <w:rFonts w:hint="eastAsia" w:ascii="宋体" w:hAnsi="宋体"/>
          <w:b/>
          <w:bCs/>
          <w:snapToGrid w:val="0"/>
          <w:color w:val="auto"/>
          <w:kern w:val="0"/>
          <w:sz w:val="24"/>
          <w:szCs w:val="24"/>
          <w:highlight w:val="none"/>
        </w:rPr>
        <w:t>发包人（甲方）：</w:t>
      </w:r>
      <w:r>
        <w:rPr>
          <w:rFonts w:hint="eastAsia" w:ascii="宋体" w:hAnsi="宋体"/>
          <w:b/>
          <w:snapToGrid w:val="0"/>
          <w:color w:val="auto"/>
          <w:spacing w:val="-20"/>
          <w:kern w:val="0"/>
          <w:sz w:val="24"/>
          <w:szCs w:val="24"/>
          <w:highlight w:val="none"/>
          <w:lang w:eastAsia="zh-CN"/>
        </w:rPr>
        <w:t>广州市荔湾发展集团有限责任公司</w:t>
      </w:r>
    </w:p>
    <w:p w14:paraId="41FF67CE">
      <w:pPr>
        <w:adjustRightInd w:val="0"/>
        <w:snapToGrid w:val="0"/>
        <w:spacing w:line="360" w:lineRule="auto"/>
        <w:rPr>
          <w:rFonts w:hint="eastAsia" w:ascii="宋体" w:hAnsi="宋体"/>
          <w:b/>
          <w:snapToGrid w:val="0"/>
          <w:color w:val="auto"/>
          <w:spacing w:val="-20"/>
          <w:kern w:val="0"/>
          <w:sz w:val="24"/>
          <w:szCs w:val="24"/>
          <w:highlight w:val="none"/>
        </w:rPr>
      </w:pPr>
      <w:r>
        <w:rPr>
          <w:rFonts w:hint="eastAsia" w:ascii="宋体" w:hAnsi="宋体"/>
          <w:b/>
          <w:bCs/>
          <w:snapToGrid w:val="0"/>
          <w:color w:val="auto"/>
          <w:kern w:val="0"/>
          <w:sz w:val="24"/>
          <w:szCs w:val="24"/>
          <w:highlight w:val="none"/>
        </w:rPr>
        <w:t>承包人（乙方）：</w:t>
      </w:r>
      <w:r>
        <w:rPr>
          <w:rFonts w:hint="eastAsia" w:ascii="宋体" w:hAnsi="宋体"/>
          <w:b/>
          <w:bCs/>
          <w:snapToGrid w:val="0"/>
          <w:color w:val="auto"/>
          <w:kern w:val="0"/>
          <w:sz w:val="24"/>
          <w:szCs w:val="24"/>
          <w:highlight w:val="none"/>
          <w:u w:val="single"/>
        </w:rPr>
        <w:t xml:space="preserve">                     </w:t>
      </w:r>
    </w:p>
    <w:p w14:paraId="0115D72A">
      <w:pPr>
        <w:adjustRightInd w:val="0"/>
        <w:snapToGrid w:val="0"/>
        <w:spacing w:line="360" w:lineRule="auto"/>
        <w:ind w:firstLine="470" w:firstLineChars="196"/>
        <w:rPr>
          <w:rFonts w:hint="eastAsia" w:ascii="宋体" w:hAnsi="宋体"/>
          <w:color w:val="auto"/>
          <w:kern w:val="0"/>
          <w:sz w:val="24"/>
          <w:szCs w:val="24"/>
          <w:highlight w:val="none"/>
        </w:rPr>
      </w:pPr>
    </w:p>
    <w:p w14:paraId="27B2A0E3">
      <w:pPr>
        <w:adjustRightInd w:val="0"/>
        <w:snapToGrid w:val="0"/>
        <w:spacing w:line="360" w:lineRule="auto"/>
        <w:ind w:firstLine="470" w:firstLineChars="196"/>
        <w:rPr>
          <w:rFonts w:hint="eastAsia" w:ascii="宋体" w:hAnsi="宋体" w:cs="宋体"/>
          <w:snapToGrid w:val="0"/>
          <w:color w:val="auto"/>
          <w:kern w:val="0"/>
          <w:sz w:val="24"/>
          <w:szCs w:val="24"/>
          <w:highlight w:val="none"/>
        </w:rPr>
      </w:pPr>
      <w:r>
        <w:rPr>
          <w:rFonts w:hint="eastAsia" w:ascii="宋体" w:hAnsi="宋体"/>
          <w:color w:val="auto"/>
          <w:kern w:val="0"/>
          <w:sz w:val="24"/>
          <w:szCs w:val="24"/>
          <w:highlight w:val="none"/>
        </w:rPr>
        <w:t>鉴于</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月，发包人</w:t>
      </w:r>
      <w:r>
        <w:rPr>
          <w:rFonts w:hint="eastAsia" w:ascii="宋体" w:hAnsi="宋体" w:cs="宋体"/>
          <w:b/>
          <w:snapToGrid w:val="0"/>
          <w:color w:val="auto"/>
          <w:kern w:val="0"/>
          <w:sz w:val="24"/>
          <w:szCs w:val="24"/>
          <w:highlight w:val="none"/>
          <w:lang w:eastAsia="zh-CN"/>
        </w:rPr>
        <w:t>广州市荔湾发展集团有限责任公司</w:t>
      </w:r>
      <w:r>
        <w:rPr>
          <w:rFonts w:hint="eastAsia" w:ascii="宋体" w:hAnsi="宋体" w:cs="宋体"/>
          <w:snapToGrid w:val="0"/>
          <w:color w:val="auto"/>
          <w:kern w:val="0"/>
          <w:sz w:val="24"/>
          <w:szCs w:val="24"/>
          <w:highlight w:val="none"/>
        </w:rPr>
        <w:t>（以下称甲方）、承包人</w:t>
      </w:r>
      <w:r>
        <w:rPr>
          <w:rFonts w:hint="eastAsia" w:ascii="宋体" w:hAnsi="宋体" w:cs="宋体"/>
          <w:b/>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（以下称乙方）双方就</w:t>
      </w:r>
      <w:r>
        <w:rPr>
          <w:rFonts w:hint="eastAsia" w:ascii="宋体" w:hAnsi="宋体" w:cs="宋体"/>
          <w:b/>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项目施工总承包（以下称本项目）签订《</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施工总承包合同》（合同编号：</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，以下称原合同）。</w:t>
      </w:r>
    </w:p>
    <w:p w14:paraId="5DD92D7A">
      <w:pPr>
        <w:adjustRightInd w:val="0"/>
        <w:snapToGrid w:val="0"/>
        <w:spacing w:line="360" w:lineRule="auto"/>
        <w:ind w:firstLine="470" w:firstLineChars="196"/>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现根据《广东省建设领域工人工资支付分账管理暂行办法》(粤人社规〔2015〕3号)、《广州市建设领域工人工资支付分账管理实施细则》（穗建规字〔2017〕10号）等有关规定，双方就本项目</w:t>
      </w:r>
      <w:r>
        <w:rPr>
          <w:rFonts w:hint="eastAsia" w:ascii="宋体" w:hAnsi="宋体" w:cs="宋体"/>
          <w:snapToGrid w:val="0"/>
          <w:color w:val="auto"/>
          <w:kern w:val="0"/>
          <w:sz w:val="24"/>
          <w:szCs w:val="24"/>
          <w:highlight w:val="none"/>
        </w:rPr>
        <w:t>工人工资支付分账管理</w:t>
      </w:r>
      <w:r>
        <w:rPr>
          <w:rFonts w:hint="eastAsia" w:ascii="宋体" w:hAnsi="宋体"/>
          <w:snapToGrid w:val="0"/>
          <w:color w:val="auto"/>
          <w:kern w:val="0"/>
          <w:sz w:val="24"/>
          <w:szCs w:val="24"/>
          <w:highlight w:val="none"/>
        </w:rPr>
        <w:t>事宜协商一致，达成如下协议，以资共同遵守。</w:t>
      </w:r>
    </w:p>
    <w:p w14:paraId="15BA52DB">
      <w:pPr>
        <w:adjustRightInd w:val="0"/>
        <w:snapToGrid w:val="0"/>
        <w:spacing w:line="360" w:lineRule="auto"/>
        <w:ind w:right="11" w:firstLine="472" w:firstLineChars="196"/>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第一条 </w:t>
      </w:r>
      <w:r>
        <w:rPr>
          <w:rFonts w:hint="eastAsia" w:ascii="宋体" w:hAnsi="宋体"/>
          <w:snapToGrid w:val="0"/>
          <w:color w:val="auto"/>
          <w:kern w:val="0"/>
          <w:sz w:val="24"/>
          <w:szCs w:val="24"/>
          <w:highlight w:val="none"/>
        </w:rPr>
        <w:t>甲方负责监督乙方的工人工资支付情况，协调本项目的工人工资支付事宜。乙方服从甲方有关工人工资支付的监督管理，否则由此导致拖欠或克扣工人工资造成群体性事件或其他不良行为的，由乙方承担全部责任。</w:t>
      </w:r>
    </w:p>
    <w:p w14:paraId="053B7C7B">
      <w:pPr>
        <w:adjustRightInd w:val="0"/>
        <w:snapToGrid w:val="0"/>
        <w:spacing w:line="360" w:lineRule="auto"/>
        <w:ind w:right="11" w:firstLine="472" w:firstLineChars="196"/>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第二条 </w:t>
      </w:r>
      <w:r>
        <w:rPr>
          <w:rFonts w:hint="eastAsia" w:ascii="宋体" w:hAnsi="宋体"/>
          <w:snapToGrid w:val="0"/>
          <w:color w:val="auto"/>
          <w:kern w:val="0"/>
          <w:sz w:val="24"/>
          <w:szCs w:val="24"/>
          <w:highlight w:val="none"/>
        </w:rPr>
        <w:t>乙方须对本项目工程款中的工人工资开立工人工资支付专用账户，严禁挪作他用，确保专款专用，其提供的具体账户信息如下：</w:t>
      </w:r>
    </w:p>
    <w:p w14:paraId="7A790020">
      <w:pPr>
        <w:adjustRightInd w:val="0"/>
        <w:snapToGrid w:val="0"/>
        <w:spacing w:line="360" w:lineRule="auto"/>
        <w:ind w:right="11" w:firstLine="470" w:firstLineChars="196"/>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开户名称：</w:t>
      </w:r>
      <w:r>
        <w:rPr>
          <w:rFonts w:hint="eastAsia" w:ascii="宋体" w:hAnsi="宋体"/>
          <w:snapToGrid w:val="0"/>
          <w:color w:val="auto"/>
          <w:kern w:val="0"/>
          <w:sz w:val="24"/>
          <w:szCs w:val="24"/>
          <w:highlight w:val="none"/>
          <w:u w:val="single"/>
        </w:rPr>
        <w:t xml:space="preserve">                        </w:t>
      </w:r>
      <w:r>
        <w:rPr>
          <w:rFonts w:hint="eastAsia" w:ascii="宋体" w:hAnsi="宋体"/>
          <w:snapToGrid w:val="0"/>
          <w:color w:val="auto"/>
          <w:kern w:val="0"/>
          <w:sz w:val="24"/>
          <w:szCs w:val="24"/>
          <w:highlight w:val="none"/>
        </w:rPr>
        <w:t>；</w:t>
      </w:r>
    </w:p>
    <w:p w14:paraId="6CEDF344">
      <w:pPr>
        <w:adjustRightInd w:val="0"/>
        <w:snapToGrid w:val="0"/>
        <w:spacing w:line="360" w:lineRule="auto"/>
        <w:ind w:right="11" w:firstLine="470" w:firstLineChars="196"/>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开户银行：</w:t>
      </w:r>
      <w:r>
        <w:rPr>
          <w:rFonts w:hint="eastAsia" w:ascii="宋体" w:hAnsi="宋体"/>
          <w:snapToGrid w:val="0"/>
          <w:color w:val="auto"/>
          <w:kern w:val="0"/>
          <w:sz w:val="24"/>
          <w:szCs w:val="24"/>
          <w:highlight w:val="none"/>
          <w:u w:val="single"/>
        </w:rPr>
        <w:t xml:space="preserve">                        </w:t>
      </w:r>
      <w:r>
        <w:rPr>
          <w:rFonts w:hint="eastAsia" w:ascii="宋体" w:hAnsi="宋体"/>
          <w:snapToGrid w:val="0"/>
          <w:color w:val="auto"/>
          <w:kern w:val="0"/>
          <w:sz w:val="24"/>
          <w:szCs w:val="24"/>
          <w:highlight w:val="none"/>
        </w:rPr>
        <w:t>；</w:t>
      </w:r>
    </w:p>
    <w:p w14:paraId="4A99AE9B">
      <w:pPr>
        <w:adjustRightInd w:val="0"/>
        <w:snapToGrid w:val="0"/>
        <w:spacing w:line="360" w:lineRule="auto"/>
        <w:ind w:right="11" w:firstLine="470" w:firstLineChars="196"/>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开户账号：</w:t>
      </w:r>
      <w:r>
        <w:rPr>
          <w:rFonts w:hint="eastAsia" w:ascii="宋体" w:hAnsi="宋体"/>
          <w:snapToGrid w:val="0"/>
          <w:color w:val="auto"/>
          <w:kern w:val="0"/>
          <w:sz w:val="24"/>
          <w:szCs w:val="24"/>
          <w:highlight w:val="none"/>
          <w:u w:val="single"/>
        </w:rPr>
        <w:t xml:space="preserve">                        </w:t>
      </w:r>
      <w:r>
        <w:rPr>
          <w:rFonts w:hint="eastAsia" w:ascii="宋体" w:hAnsi="宋体"/>
          <w:snapToGrid w:val="0"/>
          <w:color w:val="auto"/>
          <w:kern w:val="0"/>
          <w:sz w:val="24"/>
          <w:szCs w:val="24"/>
          <w:highlight w:val="none"/>
        </w:rPr>
        <w:t>。</w:t>
      </w:r>
    </w:p>
    <w:p w14:paraId="53D74852">
      <w:pPr>
        <w:adjustRightInd w:val="0"/>
        <w:snapToGrid w:val="0"/>
        <w:spacing w:line="360" w:lineRule="auto"/>
        <w:ind w:right="11" w:firstLine="470" w:firstLineChars="196"/>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乙方办理工人工资支付专用账户撤销手续的，应当取得甲方对本项目完工的确认意见且乙方已结清工人工资的承诺函。</w:t>
      </w:r>
    </w:p>
    <w:p w14:paraId="68D52B1E">
      <w:pPr>
        <w:adjustRightInd w:val="0"/>
        <w:snapToGrid w:val="0"/>
        <w:spacing w:line="360" w:lineRule="auto"/>
        <w:ind w:right="11" w:firstLine="472" w:firstLineChars="196"/>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第三条 </w:t>
      </w:r>
      <w:r>
        <w:rPr>
          <w:rFonts w:hint="eastAsia" w:ascii="宋体" w:hAnsi="宋体"/>
          <w:snapToGrid w:val="0"/>
          <w:color w:val="auto"/>
          <w:kern w:val="0"/>
          <w:sz w:val="24"/>
          <w:szCs w:val="24"/>
          <w:highlight w:val="none"/>
        </w:rPr>
        <w:t>乙方按照原合同约定申请工程款时，每一期工程款都必须按照规定比例将工程款项中的工人工资单列，以便甲方进行分账支付。如因乙方错误提供工人工资单列金额而导致相关工人工资无法支付的，由乙方承担由此引起的一切法律责任。</w:t>
      </w:r>
    </w:p>
    <w:p w14:paraId="674ED735">
      <w:pPr>
        <w:adjustRightInd w:val="0"/>
        <w:snapToGrid w:val="0"/>
        <w:spacing w:line="360" w:lineRule="auto"/>
        <w:ind w:right="11" w:firstLine="470" w:firstLineChars="196"/>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工人工资款比例按照原合同所附《中标通知书》中单列的人工费金额除以中标金额计算，暂定为</w:t>
      </w:r>
      <w:r>
        <w:rPr>
          <w:rFonts w:hint="eastAsia" w:ascii="宋体" w:hAnsi="宋体"/>
          <w:snapToGrid w:val="0"/>
          <w:color w:val="auto"/>
          <w:kern w:val="0"/>
          <w:sz w:val="24"/>
          <w:szCs w:val="24"/>
          <w:highlight w:val="none"/>
          <w:u w:val="single"/>
        </w:rPr>
        <w:t xml:space="preserve">    </w:t>
      </w:r>
      <w:r>
        <w:rPr>
          <w:rFonts w:hint="eastAsia" w:ascii="宋体" w:hAnsi="宋体"/>
          <w:snapToGrid w:val="0"/>
          <w:color w:val="auto"/>
          <w:kern w:val="0"/>
          <w:sz w:val="24"/>
          <w:szCs w:val="24"/>
          <w:highlight w:val="none"/>
        </w:rPr>
        <w:t>%，由甲方按照原合同约定每一期足额支付至第二条所述乙方工人工资专用账户，且工人工资款金额最终以有权结算终审部门审定为准。</w:t>
      </w:r>
    </w:p>
    <w:p w14:paraId="7613FE16">
      <w:pPr>
        <w:adjustRightInd w:val="0"/>
        <w:snapToGrid w:val="0"/>
        <w:spacing w:line="360" w:lineRule="auto"/>
        <w:ind w:left="105" w:right="11" w:firstLine="390" w:firstLineChars="162"/>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第四条 </w:t>
      </w:r>
      <w:r>
        <w:rPr>
          <w:rFonts w:hint="eastAsia" w:ascii="宋体" w:hAnsi="宋体"/>
          <w:snapToGrid w:val="0"/>
          <w:color w:val="auto"/>
          <w:kern w:val="0"/>
          <w:sz w:val="24"/>
          <w:szCs w:val="24"/>
          <w:highlight w:val="none"/>
        </w:rPr>
        <w:t>乙方须建立工人考勤、工资结算和支付等管理台账，并于每次申请工程款时向甲方报备。</w:t>
      </w:r>
    </w:p>
    <w:p w14:paraId="3BDBECB4">
      <w:pPr>
        <w:adjustRightInd w:val="0"/>
        <w:snapToGrid w:val="0"/>
        <w:spacing w:line="360" w:lineRule="auto"/>
        <w:ind w:right="11" w:firstLine="472" w:firstLineChars="196"/>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第五条</w:t>
      </w:r>
      <w:r>
        <w:rPr>
          <w:rFonts w:hint="eastAsia" w:ascii="宋体" w:hAnsi="宋体"/>
          <w:snapToGrid w:val="0"/>
          <w:color w:val="auto"/>
          <w:kern w:val="0"/>
          <w:sz w:val="24"/>
          <w:szCs w:val="24"/>
          <w:highlight w:val="none"/>
        </w:rPr>
        <w:t xml:space="preserve"> 本协议是原合同的补充完善，与原合同效力等同。本协议与原合同不一致的，以本协议约定为准；本协议未约定的，仍按原合同约定执行。</w:t>
      </w:r>
    </w:p>
    <w:p w14:paraId="677D2E34">
      <w:pPr>
        <w:adjustRightInd w:val="0"/>
        <w:snapToGrid w:val="0"/>
        <w:spacing w:line="360" w:lineRule="auto"/>
        <w:ind w:right="11" w:firstLine="472" w:firstLineChars="196"/>
        <w:rPr>
          <w:rFonts w:hint="eastAsia" w:ascii="宋体" w:hAnsi="宋体"/>
          <w:b/>
          <w:color w:val="auto"/>
          <w:kern w:val="0"/>
          <w:sz w:val="24"/>
          <w:highlight w:val="none"/>
        </w:rPr>
      </w:pPr>
      <w:r>
        <w:rPr>
          <w:rFonts w:hint="eastAsia" w:ascii="宋体" w:hAnsi="宋体"/>
          <w:b/>
          <w:color w:val="auto"/>
          <w:kern w:val="0"/>
          <w:sz w:val="24"/>
          <w:szCs w:val="24"/>
          <w:highlight w:val="none"/>
        </w:rPr>
        <w:t xml:space="preserve">第六条 </w:t>
      </w:r>
      <w:r>
        <w:rPr>
          <w:rFonts w:hint="eastAsia" w:ascii="宋体" w:hAnsi="宋体"/>
          <w:color w:val="auto"/>
          <w:kern w:val="0"/>
          <w:sz w:val="24"/>
          <w:highlight w:val="none"/>
        </w:rPr>
        <w:t>双方因本协议或者履行本协议所产生的争议</w:t>
      </w:r>
      <w:r>
        <w:rPr>
          <w:rFonts w:ascii="宋体" w:hAnsi="宋体"/>
          <w:color w:val="auto"/>
          <w:kern w:val="0"/>
          <w:sz w:val="24"/>
          <w:highlight w:val="none"/>
        </w:rPr>
        <w:t>，</w:t>
      </w:r>
      <w:r>
        <w:rPr>
          <w:rFonts w:hint="eastAsia" w:ascii="宋体" w:hAnsi="宋体"/>
          <w:color w:val="auto"/>
          <w:kern w:val="0"/>
          <w:sz w:val="24"/>
          <w:highlight w:val="none"/>
        </w:rPr>
        <w:t>可先行协商解决，经协商达成一致意见的，应签订补充协议；若协商不成的，可向甲方住所地人民法院提起诉讼。</w:t>
      </w:r>
    </w:p>
    <w:p w14:paraId="7420A7ED">
      <w:pPr>
        <w:adjustRightInd w:val="0"/>
        <w:snapToGrid w:val="0"/>
        <w:spacing w:line="360" w:lineRule="auto"/>
        <w:ind w:right="11" w:firstLine="472" w:firstLineChars="196"/>
        <w:rPr>
          <w:rFonts w:hint="eastAsia" w:ascii="宋体" w:hAnsi="宋体"/>
          <w:color w:val="auto"/>
          <w:kern w:val="0"/>
          <w:sz w:val="24"/>
          <w:szCs w:val="24"/>
          <w:highlight w:val="none"/>
        </w:rPr>
      </w:pPr>
      <w:r>
        <w:rPr>
          <w:rFonts w:hint="eastAsia" w:ascii="宋体" w:hAnsi="宋体"/>
          <w:b/>
          <w:color w:val="auto"/>
          <w:kern w:val="0"/>
          <w:sz w:val="24"/>
          <w:highlight w:val="none"/>
        </w:rPr>
        <w:t xml:space="preserve">第七条 </w:t>
      </w:r>
      <w:r>
        <w:rPr>
          <w:rFonts w:hint="eastAsia" w:ascii="宋体" w:hAnsi="宋体"/>
          <w:color w:val="auto"/>
          <w:kern w:val="0"/>
          <w:sz w:val="24"/>
          <w:szCs w:val="24"/>
          <w:highlight w:val="none"/>
        </w:rPr>
        <w:t>本协议自双方法定代表人（或委托代理人）签字盖章之日起生效。</w:t>
      </w:r>
    </w:p>
    <w:p w14:paraId="0D0DE925">
      <w:pPr>
        <w:adjustRightInd w:val="0"/>
        <w:snapToGrid w:val="0"/>
        <w:spacing w:line="360" w:lineRule="auto"/>
        <w:ind w:right="11" w:firstLine="472" w:firstLineChars="196"/>
        <w:rPr>
          <w:rFonts w:hint="eastAsia" w:ascii="宋体" w:hAnsi="宋体"/>
          <w:bCs/>
          <w:snapToGrid w:val="0"/>
          <w:color w:val="auto"/>
          <w:kern w:val="0"/>
          <w:sz w:val="24"/>
          <w:highlight w:val="none"/>
        </w:rPr>
      </w:pPr>
      <w:r>
        <w:rPr>
          <w:rFonts w:hint="eastAsia" w:ascii="宋体" w:hAnsi="宋体"/>
          <w:b/>
          <w:snapToGrid w:val="0"/>
          <w:color w:val="auto"/>
          <w:kern w:val="0"/>
          <w:sz w:val="24"/>
          <w:szCs w:val="24"/>
          <w:highlight w:val="none"/>
        </w:rPr>
        <w:t xml:space="preserve">第八条 </w:t>
      </w:r>
      <w:r>
        <w:rPr>
          <w:rFonts w:hint="eastAsia" w:ascii="宋体" w:hAnsi="宋体"/>
          <w:color w:val="auto"/>
          <w:kern w:val="0"/>
          <w:sz w:val="24"/>
          <w:szCs w:val="24"/>
          <w:highlight w:val="none"/>
        </w:rPr>
        <w:t>本协议正本</w:t>
      </w:r>
      <w:r>
        <w:rPr>
          <w:rFonts w:hint="eastAsia" w:ascii="宋体" w:hAnsi="宋体"/>
          <w:color w:val="auto"/>
          <w:kern w:val="0"/>
          <w:sz w:val="24"/>
          <w:szCs w:val="24"/>
          <w:highlight w:val="none"/>
          <w:u w:val="single"/>
        </w:rPr>
        <w:t>二</w:t>
      </w:r>
      <w:r>
        <w:rPr>
          <w:rFonts w:hint="eastAsia" w:ascii="宋体" w:hAnsi="宋体"/>
          <w:color w:val="auto"/>
          <w:kern w:val="0"/>
          <w:sz w:val="24"/>
          <w:szCs w:val="24"/>
          <w:highlight w:val="none"/>
        </w:rPr>
        <w:t>份，双方各执一份；副本</w:t>
      </w:r>
      <w:r>
        <w:rPr>
          <w:rFonts w:hint="eastAsia" w:ascii="宋体" w:hAnsi="宋体"/>
          <w:color w:val="auto"/>
          <w:kern w:val="0"/>
          <w:sz w:val="24"/>
          <w:szCs w:val="24"/>
          <w:highlight w:val="none"/>
          <w:u w:val="single"/>
        </w:rPr>
        <w:t>十</w:t>
      </w:r>
      <w:r>
        <w:rPr>
          <w:rFonts w:hint="eastAsia" w:ascii="宋体" w:hAnsi="宋体"/>
          <w:color w:val="auto"/>
          <w:kern w:val="0"/>
          <w:sz w:val="24"/>
          <w:szCs w:val="24"/>
          <w:highlight w:val="none"/>
        </w:rPr>
        <w:t>份，其中甲方执七份，乙方执三份。</w:t>
      </w:r>
      <w:r>
        <w:rPr>
          <w:rFonts w:hint="eastAsia" w:ascii="宋体" w:hAnsi="宋体"/>
          <w:bCs/>
          <w:snapToGrid w:val="0"/>
          <w:color w:val="auto"/>
          <w:kern w:val="0"/>
          <w:sz w:val="24"/>
          <w:highlight w:val="none"/>
        </w:rPr>
        <w:t>协议正、副本具有同等效力，但当协议正本与副本的表述不一致时，以协议正本为准。</w:t>
      </w:r>
    </w:p>
    <w:p w14:paraId="026BED38">
      <w:pPr>
        <w:adjustRightInd w:val="0"/>
        <w:snapToGrid w:val="0"/>
        <w:spacing w:line="360" w:lineRule="auto"/>
        <w:ind w:right="11" w:firstLine="470" w:firstLineChars="196"/>
        <w:rPr>
          <w:rFonts w:hint="eastAsia" w:ascii="宋体" w:hAnsi="宋体"/>
          <w:bCs/>
          <w:strike/>
          <w:snapToGrid w:val="0"/>
          <w:color w:val="auto"/>
          <w:kern w:val="0"/>
          <w:sz w:val="24"/>
          <w:highlight w:val="none"/>
        </w:rPr>
      </w:pPr>
    </w:p>
    <w:p w14:paraId="107C846C">
      <w:pPr>
        <w:adjustRightInd w:val="0"/>
        <w:snapToGrid w:val="0"/>
        <w:spacing w:line="360" w:lineRule="auto"/>
        <w:ind w:right="11"/>
        <w:rPr>
          <w:rFonts w:hint="eastAsia" w:ascii="宋体" w:hAnsi="宋体"/>
          <w:color w:val="auto"/>
          <w:kern w:val="0"/>
          <w:sz w:val="24"/>
          <w:szCs w:val="24"/>
          <w:highlight w:val="none"/>
        </w:rPr>
      </w:pPr>
      <w:r>
        <w:rPr>
          <w:rFonts w:hint="eastAsia" w:ascii="宋体" w:hAnsi="宋体"/>
          <w:color w:val="auto"/>
          <w:kern w:val="0"/>
          <w:sz w:val="24"/>
          <w:szCs w:val="24"/>
          <w:highlight w:val="none"/>
        </w:rPr>
        <w:t>（本页以下无正文）</w:t>
      </w:r>
    </w:p>
    <w:p w14:paraId="2ED1D50C">
      <w:pPr>
        <w:adjustRightInd w:val="0"/>
        <w:snapToGrid w:val="0"/>
        <w:spacing w:line="360" w:lineRule="auto"/>
        <w:ind w:right="11"/>
        <w:rPr>
          <w:rFonts w:hint="eastAsia" w:ascii="宋体" w:hAnsi="宋体"/>
          <w:b/>
          <w:snapToGrid w:val="0"/>
          <w:color w:val="auto"/>
          <w:spacing w:val="-20"/>
          <w:kern w:val="0"/>
          <w:sz w:val="24"/>
          <w:szCs w:val="24"/>
          <w:highlight w:val="none"/>
        </w:rPr>
      </w:pPr>
      <w:r>
        <w:rPr>
          <w:rFonts w:ascii="宋体" w:hAnsi="宋体"/>
          <w:b/>
          <w:snapToGrid w:val="0"/>
          <w:color w:val="auto"/>
          <w:kern w:val="0"/>
          <w:sz w:val="24"/>
          <w:szCs w:val="24"/>
          <w:highlight w:val="none"/>
        </w:rPr>
        <w:br w:type="page"/>
      </w:r>
      <w:r>
        <w:rPr>
          <w:rFonts w:hint="eastAsia" w:ascii="宋体" w:hAnsi="宋体"/>
          <w:b/>
          <w:snapToGrid w:val="0"/>
          <w:color w:val="auto"/>
          <w:kern w:val="0"/>
          <w:sz w:val="24"/>
          <w:szCs w:val="24"/>
          <w:highlight w:val="none"/>
        </w:rPr>
        <w:t>甲方：</w:t>
      </w:r>
      <w:r>
        <w:rPr>
          <w:rFonts w:hint="eastAsia" w:ascii="宋体" w:hAnsi="宋体"/>
          <w:b/>
          <w:snapToGrid w:val="0"/>
          <w:color w:val="auto"/>
          <w:spacing w:val="-20"/>
          <w:kern w:val="0"/>
          <w:sz w:val="24"/>
          <w:szCs w:val="24"/>
          <w:highlight w:val="none"/>
          <w:lang w:eastAsia="zh-CN"/>
        </w:rPr>
        <w:t>广州市荔湾发展集团有限责任公司</w:t>
      </w:r>
      <w:r>
        <w:rPr>
          <w:rFonts w:hint="eastAsia" w:ascii="宋体" w:hAnsi="宋体"/>
          <w:b/>
          <w:snapToGrid w:val="0"/>
          <w:color w:val="auto"/>
          <w:spacing w:val="-20"/>
          <w:kern w:val="0"/>
          <w:sz w:val="24"/>
          <w:szCs w:val="24"/>
          <w:highlight w:val="none"/>
        </w:rPr>
        <w:t xml:space="preserve">        </w:t>
      </w:r>
      <w:r>
        <w:rPr>
          <w:rFonts w:hint="eastAsia" w:ascii="宋体" w:hAnsi="宋体"/>
          <w:b/>
          <w:snapToGrid w:val="0"/>
          <w:color w:val="auto"/>
          <w:kern w:val="0"/>
          <w:sz w:val="24"/>
          <w:szCs w:val="24"/>
          <w:highlight w:val="none"/>
        </w:rPr>
        <w:t>乙方</w:t>
      </w:r>
      <w:r>
        <w:rPr>
          <w:rFonts w:hint="eastAsia" w:ascii="宋体" w:hAnsi="宋体"/>
          <w:snapToGrid w:val="0"/>
          <w:color w:val="auto"/>
          <w:kern w:val="0"/>
          <w:sz w:val="24"/>
          <w:szCs w:val="24"/>
          <w:highlight w:val="none"/>
        </w:rPr>
        <w:t>：</w:t>
      </w:r>
      <w:r>
        <w:rPr>
          <w:rFonts w:hint="eastAsia" w:ascii="宋体" w:hAnsi="宋体"/>
          <w:b/>
          <w:snapToGrid w:val="0"/>
          <w:color w:val="auto"/>
          <w:spacing w:val="-20"/>
          <w:kern w:val="0"/>
          <w:sz w:val="24"/>
          <w:szCs w:val="24"/>
          <w:highlight w:val="none"/>
          <w:u w:val="single"/>
        </w:rPr>
        <w:t xml:space="preserve">                                      </w:t>
      </w:r>
    </w:p>
    <w:p w14:paraId="66438ABD">
      <w:pPr>
        <w:adjustRightInd w:val="0"/>
        <w:snapToGrid w:val="0"/>
        <w:spacing w:line="360" w:lineRule="auto"/>
        <w:ind w:right="11" w:firstLine="1080" w:firstLineChars="45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（盖章）                             （盖章）</w:t>
      </w:r>
    </w:p>
    <w:p w14:paraId="41C23092">
      <w:pPr>
        <w:adjustRightInd w:val="0"/>
        <w:snapToGrid w:val="0"/>
        <w:spacing w:line="360" w:lineRule="auto"/>
        <w:ind w:right="11"/>
        <w:rPr>
          <w:rFonts w:hint="eastAsia" w:ascii="宋体" w:hAnsi="宋体"/>
          <w:snapToGrid w:val="0"/>
          <w:color w:val="auto"/>
          <w:kern w:val="0"/>
          <w:sz w:val="24"/>
          <w:szCs w:val="24"/>
          <w:highlight w:val="none"/>
        </w:rPr>
      </w:pPr>
    </w:p>
    <w:p w14:paraId="1E17486D">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法定代表人：                         法定代表人：</w:t>
      </w:r>
    </w:p>
    <w:p w14:paraId="1E336350">
      <w:pPr>
        <w:adjustRightInd w:val="0"/>
        <w:snapToGrid w:val="0"/>
        <w:spacing w:line="360" w:lineRule="auto"/>
        <w:ind w:left="-2" w:leftChars="-1"/>
        <w:rPr>
          <w:rFonts w:hint="eastAsia" w:ascii="宋体" w:hAnsi="宋体"/>
          <w:snapToGrid w:val="0"/>
          <w:color w:val="auto"/>
          <w:kern w:val="0"/>
          <w:sz w:val="24"/>
          <w:szCs w:val="24"/>
          <w:highlight w:val="none"/>
        </w:rPr>
      </w:pPr>
    </w:p>
    <w:p w14:paraId="0B1806A7">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委托代理人：                         委托代理人：</w:t>
      </w:r>
    </w:p>
    <w:p w14:paraId="54464A61">
      <w:pPr>
        <w:adjustRightInd w:val="0"/>
        <w:snapToGrid w:val="0"/>
        <w:spacing w:line="360" w:lineRule="auto"/>
        <w:ind w:left="-2" w:leftChars="-1"/>
        <w:rPr>
          <w:rFonts w:hint="eastAsia" w:ascii="宋体" w:hAnsi="宋体"/>
          <w:snapToGrid w:val="0"/>
          <w:color w:val="auto"/>
          <w:kern w:val="0"/>
          <w:sz w:val="24"/>
          <w:szCs w:val="24"/>
          <w:highlight w:val="none"/>
        </w:rPr>
      </w:pPr>
    </w:p>
    <w:p w14:paraId="10174EF4">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住址：</w:t>
      </w:r>
      <w:r>
        <w:rPr>
          <w:rFonts w:hint="eastAsia" w:ascii="宋体" w:hAnsi="宋体"/>
          <w:snapToGrid w:val="0"/>
          <w:color w:val="auto"/>
          <w:spacing w:val="-20"/>
          <w:kern w:val="0"/>
          <w:sz w:val="24"/>
          <w:szCs w:val="24"/>
          <w:highlight w:val="none"/>
        </w:rPr>
        <w:t xml:space="preserve">      </w:t>
      </w:r>
      <w:r>
        <w:rPr>
          <w:rFonts w:hint="eastAsia" w:ascii="宋体" w:hAnsi="宋体"/>
          <w:snapToGrid w:val="0"/>
          <w:color w:val="auto"/>
          <w:spacing w:val="-20"/>
          <w:kern w:val="0"/>
          <w:sz w:val="24"/>
          <w:szCs w:val="24"/>
          <w:highlight w:val="none"/>
          <w:lang w:val="en-US" w:eastAsia="zh-CN"/>
        </w:rPr>
        <w:t xml:space="preserve">                                         </w:t>
      </w:r>
      <w:r>
        <w:rPr>
          <w:rFonts w:hint="eastAsia" w:ascii="宋体" w:hAnsi="宋体"/>
          <w:snapToGrid w:val="0"/>
          <w:color w:val="auto"/>
          <w:kern w:val="0"/>
          <w:sz w:val="24"/>
          <w:szCs w:val="24"/>
          <w:highlight w:val="none"/>
        </w:rPr>
        <w:t>住址：</w:t>
      </w:r>
    </w:p>
    <w:p w14:paraId="1E088A5E">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邮编：</w:t>
      </w:r>
      <w:r>
        <w:rPr>
          <w:rFonts w:hint="eastAsia" w:ascii="宋体" w:hAnsi="宋体"/>
          <w:snapToGrid w:val="0"/>
          <w:color w:val="auto"/>
          <w:kern w:val="0"/>
          <w:sz w:val="24"/>
          <w:szCs w:val="24"/>
          <w:highlight w:val="none"/>
          <w:lang w:val="en-US" w:eastAsia="zh-CN"/>
        </w:rPr>
        <w:t xml:space="preserve">      </w:t>
      </w:r>
      <w:r>
        <w:rPr>
          <w:rFonts w:hint="eastAsia" w:ascii="宋体" w:hAnsi="宋体"/>
          <w:snapToGrid w:val="0"/>
          <w:color w:val="auto"/>
          <w:kern w:val="0"/>
          <w:sz w:val="24"/>
          <w:szCs w:val="24"/>
          <w:highlight w:val="none"/>
        </w:rPr>
        <w:t xml:space="preserve">                         邮编：</w:t>
      </w:r>
    </w:p>
    <w:p w14:paraId="2E5A2CE5">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电话：                               电话：</w:t>
      </w:r>
    </w:p>
    <w:p w14:paraId="750D6B3F">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传真：                               传真：</w:t>
      </w:r>
    </w:p>
    <w:p w14:paraId="4CEBD401">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日期：     年  月  日                日期：     年  月  日</w:t>
      </w:r>
    </w:p>
    <w:p w14:paraId="4B2821FF">
      <w:pPr>
        <w:adjustRightInd w:val="0"/>
        <w:snapToGrid w:val="0"/>
        <w:spacing w:line="360" w:lineRule="auto"/>
        <w:rPr>
          <w:rFonts w:hint="eastAsia" w:ascii="宋体" w:hAnsi="宋体"/>
          <w:snapToGrid w:val="0"/>
          <w:color w:val="auto"/>
          <w:kern w:val="0"/>
          <w:sz w:val="24"/>
          <w:szCs w:val="24"/>
          <w:highlight w:val="none"/>
        </w:rPr>
      </w:pPr>
    </w:p>
    <w:p w14:paraId="6160B518">
      <w:pPr>
        <w:adjustRightInd w:val="0"/>
        <w:snapToGrid w:val="0"/>
        <w:spacing w:line="360" w:lineRule="auto"/>
        <w:jc w:val="center"/>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本协议签订于广东省广州市</w:t>
      </w:r>
      <w:r>
        <w:rPr>
          <w:rFonts w:hint="eastAsia" w:ascii="宋体" w:hAnsi="宋体"/>
          <w:snapToGrid w:val="0"/>
          <w:color w:val="auto"/>
          <w:kern w:val="0"/>
          <w:sz w:val="24"/>
          <w:szCs w:val="24"/>
          <w:highlight w:val="none"/>
          <w:lang w:eastAsia="zh-CN"/>
        </w:rPr>
        <w:t>荔湾区</w:t>
      </w:r>
      <w:r>
        <w:rPr>
          <w:rFonts w:hint="eastAsia" w:ascii="宋体" w:hAnsi="宋体"/>
          <w:snapToGrid w:val="0"/>
          <w:color w:val="auto"/>
          <w:kern w:val="0"/>
          <w:sz w:val="24"/>
          <w:szCs w:val="24"/>
          <w:highlight w:val="none"/>
        </w:rPr>
        <w:t>。</w:t>
      </w:r>
    </w:p>
    <w:p w14:paraId="444D0DEF">
      <w:pPr>
        <w:adjustRightInd w:val="0"/>
        <w:snapToGrid w:val="0"/>
        <w:spacing w:line="360" w:lineRule="auto"/>
        <w:rPr>
          <w:rFonts w:hint="eastAsia" w:ascii="宋体" w:hAnsi="宋体"/>
          <w:snapToGrid w:val="0"/>
          <w:color w:val="auto"/>
          <w:kern w:val="0"/>
          <w:sz w:val="24"/>
          <w:szCs w:val="24"/>
          <w:highlight w:val="none"/>
        </w:rPr>
      </w:pPr>
    </w:p>
    <w:p w14:paraId="41FE6B9C">
      <w:pPr>
        <w:rPr>
          <w:snapToGrid w:val="0"/>
          <w:color w:val="auto"/>
          <w:kern w:val="0"/>
          <w:highlight w:val="none"/>
        </w:rPr>
      </w:pPr>
      <w:r>
        <w:rPr>
          <w:snapToGrid w:val="0"/>
          <w:color w:val="auto"/>
          <w:kern w:val="0"/>
          <w:highlight w:val="none"/>
        </w:rPr>
        <w:br w:type="page"/>
      </w:r>
    </w:p>
    <w:p w14:paraId="0EC60A30">
      <w:pPr>
        <w:adjustRightInd w:val="0"/>
        <w:snapToGrid w:val="0"/>
        <w:spacing w:line="360" w:lineRule="auto"/>
        <w:jc w:val="center"/>
        <w:rPr>
          <w:rFonts w:hint="eastAsia" w:ascii="宋体" w:hAnsi="宋体"/>
          <w:b/>
          <w:snapToGrid w:val="0"/>
          <w:color w:val="auto"/>
          <w:kern w:val="0"/>
          <w:sz w:val="32"/>
          <w:szCs w:val="32"/>
          <w:highlight w:val="none"/>
          <w:lang w:bidi="ar"/>
        </w:rPr>
      </w:pPr>
      <w:r>
        <w:rPr>
          <w:rFonts w:hint="eastAsia" w:ascii="宋体" w:hAnsi="宋体"/>
          <w:b/>
          <w:snapToGrid w:val="0"/>
          <w:color w:val="auto"/>
          <w:kern w:val="0"/>
          <w:sz w:val="32"/>
          <w:szCs w:val="32"/>
          <w:highlight w:val="none"/>
          <w:lang w:bidi="ar"/>
        </w:rPr>
        <w:t>《工程工人工资委托代发协议书（格式）》</w:t>
      </w:r>
    </w:p>
    <w:p w14:paraId="01A4F713">
      <w:pPr>
        <w:adjustRightInd w:val="0"/>
        <w:snapToGrid w:val="0"/>
        <w:spacing w:line="360" w:lineRule="auto"/>
        <w:rPr>
          <w:rFonts w:hint="eastAsia" w:ascii="宋体" w:eastAsia="宋体" w:cs="宋体"/>
          <w:b/>
          <w:snapToGrid w:val="0"/>
          <w:color w:val="auto"/>
          <w:spacing w:val="-20"/>
          <w:kern w:val="0"/>
          <w:sz w:val="24"/>
          <w:szCs w:val="24"/>
          <w:highlight w:val="none"/>
          <w:lang w:eastAsia="zh-CN"/>
        </w:rPr>
      </w:pPr>
      <w:r>
        <w:rPr>
          <w:rFonts w:hint="eastAsia" w:ascii="宋体" w:hAnsi="宋体" w:cs="宋体"/>
          <w:b/>
          <w:snapToGrid w:val="0"/>
          <w:color w:val="auto"/>
          <w:kern w:val="0"/>
          <w:sz w:val="24"/>
          <w:szCs w:val="24"/>
          <w:highlight w:val="none"/>
          <w:lang w:bidi="ar"/>
        </w:rPr>
        <w:t>发</w:t>
      </w:r>
      <w:r>
        <w:rPr>
          <w:rFonts w:hint="eastAsia" w:ascii="宋体" w:hAnsi="宋体" w:cs="宋体"/>
          <w:b/>
          <w:color w:val="auto"/>
          <w:kern w:val="0"/>
          <w:sz w:val="24"/>
          <w:szCs w:val="24"/>
          <w:highlight w:val="none"/>
          <w:lang w:bidi="ar"/>
        </w:rPr>
        <w:t xml:space="preserve">  </w:t>
      </w:r>
      <w:r>
        <w:rPr>
          <w:rFonts w:hint="eastAsia" w:ascii="宋体" w:hAnsi="宋体" w:cs="宋体"/>
          <w:b/>
          <w:snapToGrid w:val="0"/>
          <w:color w:val="auto"/>
          <w:kern w:val="0"/>
          <w:sz w:val="24"/>
          <w:szCs w:val="24"/>
          <w:highlight w:val="none"/>
          <w:lang w:bidi="ar"/>
        </w:rPr>
        <w:t>包</w:t>
      </w:r>
      <w:r>
        <w:rPr>
          <w:rFonts w:hint="eastAsia" w:ascii="宋体" w:hAnsi="宋体" w:cs="宋体"/>
          <w:b/>
          <w:color w:val="auto"/>
          <w:kern w:val="0"/>
          <w:sz w:val="24"/>
          <w:szCs w:val="24"/>
          <w:highlight w:val="none"/>
          <w:lang w:bidi="ar"/>
        </w:rPr>
        <w:t xml:space="preserve">  </w:t>
      </w:r>
      <w:r>
        <w:rPr>
          <w:rFonts w:hint="eastAsia" w:ascii="宋体" w:hAnsi="宋体" w:cs="宋体"/>
          <w:b/>
          <w:snapToGrid w:val="0"/>
          <w:color w:val="auto"/>
          <w:kern w:val="0"/>
          <w:sz w:val="24"/>
          <w:szCs w:val="24"/>
          <w:highlight w:val="none"/>
          <w:lang w:bidi="ar"/>
        </w:rPr>
        <w:t>人（甲方）：</w:t>
      </w:r>
      <w:r>
        <w:rPr>
          <w:rFonts w:hint="eastAsia" w:ascii="宋体" w:hAnsi="宋体" w:cs="宋体"/>
          <w:b/>
          <w:snapToGrid w:val="0"/>
          <w:color w:val="auto"/>
          <w:kern w:val="0"/>
          <w:sz w:val="24"/>
          <w:szCs w:val="24"/>
          <w:highlight w:val="none"/>
          <w:lang w:eastAsia="zh-CN" w:bidi="ar"/>
        </w:rPr>
        <w:t>广州市荔湾发展集团有限责任公司</w:t>
      </w:r>
    </w:p>
    <w:p w14:paraId="404FE3C3">
      <w:pPr>
        <w:adjustRightInd w:val="0"/>
        <w:snapToGrid w:val="0"/>
        <w:spacing w:line="360" w:lineRule="auto"/>
        <w:rPr>
          <w:rFonts w:ascii="宋体" w:cs="宋体"/>
          <w:b/>
          <w:snapToGrid w:val="0"/>
          <w:color w:val="auto"/>
          <w:kern w:val="0"/>
          <w:sz w:val="24"/>
          <w:szCs w:val="24"/>
          <w:highlight w:val="none"/>
        </w:rPr>
      </w:pPr>
      <w:r>
        <w:rPr>
          <w:rFonts w:hint="eastAsia" w:ascii="宋体" w:hAnsi="宋体" w:cs="宋体"/>
          <w:b/>
          <w:snapToGrid w:val="0"/>
          <w:color w:val="auto"/>
          <w:kern w:val="0"/>
          <w:sz w:val="24"/>
          <w:szCs w:val="24"/>
          <w:highlight w:val="none"/>
          <w:lang w:bidi="ar"/>
        </w:rPr>
        <w:t>总 承 包人（乙方）：</w:t>
      </w:r>
    </w:p>
    <w:p w14:paraId="5E96A6FA">
      <w:pPr>
        <w:adjustRightInd w:val="0"/>
        <w:snapToGrid w:val="0"/>
        <w:spacing w:line="360" w:lineRule="auto"/>
        <w:rPr>
          <w:rFonts w:ascii="宋体" w:cs="宋体"/>
          <w:b/>
          <w:snapToGrid w:val="0"/>
          <w:color w:val="auto"/>
          <w:spacing w:val="-20"/>
          <w:kern w:val="0"/>
          <w:sz w:val="24"/>
          <w:szCs w:val="24"/>
          <w:highlight w:val="none"/>
        </w:rPr>
      </w:pPr>
      <w:r>
        <w:rPr>
          <w:rFonts w:hint="eastAsia" w:ascii="宋体" w:hAnsi="宋体" w:cs="宋体"/>
          <w:b/>
          <w:snapToGrid w:val="0"/>
          <w:color w:val="auto"/>
          <w:kern w:val="0"/>
          <w:sz w:val="24"/>
          <w:szCs w:val="24"/>
          <w:highlight w:val="none"/>
          <w:lang w:bidi="ar"/>
        </w:rPr>
        <w:t>专业承包人（丙方）：</w:t>
      </w:r>
    </w:p>
    <w:p w14:paraId="3D7F26E1">
      <w:pPr>
        <w:adjustRightInd w:val="0"/>
        <w:snapToGrid w:val="0"/>
        <w:spacing w:line="360" w:lineRule="auto"/>
        <w:rPr>
          <w:rFonts w:ascii="宋体" w:cs="宋体"/>
          <w:b/>
          <w:snapToGrid w:val="0"/>
          <w:color w:val="auto"/>
          <w:spacing w:val="-20"/>
          <w:kern w:val="0"/>
          <w:sz w:val="24"/>
          <w:szCs w:val="24"/>
          <w:highlight w:val="none"/>
        </w:rPr>
      </w:pPr>
    </w:p>
    <w:p w14:paraId="1537A0F0">
      <w:pPr>
        <w:adjustRightInd w:val="0"/>
        <w:snapToGrid w:val="0"/>
        <w:spacing w:line="360" w:lineRule="auto"/>
        <w:rPr>
          <w:rFonts w:ascii="宋体" w:cs="宋体"/>
          <w:snapToGrid w:val="0"/>
          <w:color w:val="auto"/>
          <w:spacing w:val="-20"/>
          <w:kern w:val="0"/>
          <w:sz w:val="24"/>
          <w:szCs w:val="24"/>
          <w:highlight w:val="none"/>
        </w:rPr>
      </w:pPr>
      <w:r>
        <w:rPr>
          <w:rFonts w:hint="eastAsia" w:ascii="宋体" w:hAnsi="宋体" w:cs="宋体"/>
          <w:b/>
          <w:color w:val="auto"/>
          <w:kern w:val="0"/>
          <w:sz w:val="24"/>
          <w:szCs w:val="24"/>
          <w:highlight w:val="none"/>
          <w:lang w:bidi="ar"/>
        </w:rPr>
        <w:t>鉴于：</w:t>
      </w:r>
    </w:p>
    <w:p w14:paraId="78809561">
      <w:pPr>
        <w:adjustRightInd w:val="0"/>
        <w:snapToGrid w:val="0"/>
        <w:spacing w:line="360" w:lineRule="auto"/>
        <w:ind w:left="118" w:leftChars="56" w:right="11" w:firstLine="348" w:firstLineChars="145"/>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1</w:t>
      </w:r>
      <w:r>
        <w:rPr>
          <w:rFonts w:hint="eastAsia" w:ascii="宋体" w:cs="宋体"/>
          <w:snapToGrid w:val="0"/>
          <w:color w:val="auto"/>
          <w:kern w:val="0"/>
          <w:sz w:val="24"/>
          <w:szCs w:val="24"/>
          <w:highlight w:val="none"/>
          <w:lang w:bidi="ar"/>
        </w:rPr>
        <w:t>.</w:t>
      </w:r>
      <w:r>
        <w:rPr>
          <w:rFonts w:hint="eastAsia" w:ascii="宋体" w:hAnsi="宋体" w:cs="宋体"/>
          <w:snapToGrid w:val="0"/>
          <w:color w:val="auto"/>
          <w:kern w:val="0"/>
          <w:sz w:val="24"/>
          <w:szCs w:val="24"/>
          <w:highlight w:val="none"/>
          <w:lang w:bidi="ar"/>
        </w:rPr>
        <w:t>（以下称乙方）为（以下称本项目）施工总承包单位，负责本项目施工总承包及</w:t>
      </w:r>
      <w:r>
        <w:rPr>
          <w:rFonts w:hint="eastAsia" w:ascii="宋体" w:hAnsi="宋体" w:cs="宋体"/>
          <w:bCs/>
          <w:color w:val="auto"/>
          <w:kern w:val="0"/>
          <w:sz w:val="24"/>
          <w:szCs w:val="24"/>
          <w:highlight w:val="none"/>
          <w:lang w:bidi="ar"/>
        </w:rPr>
        <w:t>施工总承包管理与配合服务</w:t>
      </w:r>
      <w:r>
        <w:rPr>
          <w:rFonts w:hint="eastAsia" w:ascii="宋体" w:hAnsi="宋体" w:cs="宋体"/>
          <w:snapToGrid w:val="0"/>
          <w:color w:val="auto"/>
          <w:kern w:val="0"/>
          <w:sz w:val="24"/>
          <w:szCs w:val="24"/>
          <w:highlight w:val="none"/>
          <w:lang w:bidi="ar"/>
        </w:rPr>
        <w:t>。</w:t>
      </w:r>
    </w:p>
    <w:p w14:paraId="669AF4EB">
      <w:pPr>
        <w:adjustRightInd w:val="0"/>
        <w:snapToGrid w:val="0"/>
        <w:spacing w:line="360" w:lineRule="auto"/>
        <w:ind w:left="118" w:leftChars="56" w:right="11" w:firstLine="348" w:firstLineChars="145"/>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2.发包人</w:t>
      </w:r>
      <w:r>
        <w:rPr>
          <w:rFonts w:hint="eastAsia" w:ascii="宋体" w:hAnsi="宋体" w:cs="宋体"/>
          <w:b/>
          <w:snapToGrid w:val="0"/>
          <w:color w:val="auto"/>
          <w:kern w:val="0"/>
          <w:sz w:val="24"/>
          <w:szCs w:val="24"/>
          <w:highlight w:val="none"/>
          <w:lang w:eastAsia="zh-CN" w:bidi="ar"/>
        </w:rPr>
        <w:t>广州市荔湾发展集团有限责任公司</w:t>
      </w:r>
      <w:r>
        <w:rPr>
          <w:rFonts w:hint="eastAsia" w:ascii="宋体" w:hAnsi="宋体" w:cs="宋体"/>
          <w:snapToGrid w:val="0"/>
          <w:color w:val="auto"/>
          <w:kern w:val="0"/>
          <w:sz w:val="24"/>
          <w:szCs w:val="24"/>
          <w:highlight w:val="none"/>
          <w:lang w:bidi="ar"/>
        </w:rPr>
        <w:t>（以下称甲方）依法确定（以下称丙方）为本项目</w:t>
      </w:r>
      <w:r>
        <w:rPr>
          <w:rFonts w:hint="eastAsia" w:ascii="宋体" w:hAnsi="宋体" w:cs="宋体"/>
          <w:color w:val="auto"/>
          <w:kern w:val="0"/>
          <w:sz w:val="24"/>
          <w:szCs w:val="24"/>
          <w:highlight w:val="none"/>
          <w:lang w:bidi="ar"/>
        </w:rPr>
        <w:t>XX</w:t>
      </w:r>
      <w:r>
        <w:rPr>
          <w:rFonts w:hint="eastAsia" w:ascii="宋体" w:hAnsi="宋体" w:cs="宋体"/>
          <w:snapToGrid w:val="0"/>
          <w:color w:val="auto"/>
          <w:kern w:val="0"/>
          <w:sz w:val="24"/>
          <w:szCs w:val="24"/>
          <w:highlight w:val="none"/>
          <w:lang w:bidi="ar"/>
        </w:rPr>
        <w:t>工程的专业承包单位。甲方与丙方签订《》（合同编号：，以下称《</w:t>
      </w:r>
      <w:r>
        <w:rPr>
          <w:rFonts w:hint="eastAsia" w:ascii="宋体" w:hAnsi="宋体" w:cs="宋体"/>
          <w:color w:val="auto"/>
          <w:kern w:val="0"/>
          <w:sz w:val="24"/>
          <w:szCs w:val="24"/>
          <w:highlight w:val="none"/>
          <w:lang w:bidi="ar"/>
        </w:rPr>
        <w:t>XX</w:t>
      </w:r>
      <w:r>
        <w:rPr>
          <w:rFonts w:hint="eastAsia" w:ascii="宋体" w:hAnsi="宋体" w:cs="宋体"/>
          <w:snapToGrid w:val="0"/>
          <w:color w:val="auto"/>
          <w:kern w:val="0"/>
          <w:sz w:val="24"/>
          <w:szCs w:val="24"/>
          <w:highlight w:val="none"/>
          <w:lang w:bidi="ar"/>
        </w:rPr>
        <w:t>承包合同》）。《</w:t>
      </w:r>
      <w:r>
        <w:rPr>
          <w:rFonts w:hint="eastAsia" w:ascii="宋体" w:hAnsi="宋体" w:cs="宋体"/>
          <w:color w:val="auto"/>
          <w:kern w:val="0"/>
          <w:sz w:val="24"/>
          <w:szCs w:val="24"/>
          <w:highlight w:val="none"/>
          <w:lang w:bidi="ar"/>
        </w:rPr>
        <w:t>XX</w:t>
      </w:r>
      <w:r>
        <w:rPr>
          <w:rFonts w:hint="eastAsia" w:ascii="宋体" w:hAnsi="宋体" w:cs="宋体"/>
          <w:snapToGrid w:val="0"/>
          <w:color w:val="auto"/>
          <w:kern w:val="0"/>
          <w:sz w:val="24"/>
          <w:szCs w:val="24"/>
          <w:highlight w:val="none"/>
          <w:lang w:bidi="ar"/>
        </w:rPr>
        <w:t>承包合同》约定由丙方负责本项目</w:t>
      </w:r>
      <w:r>
        <w:rPr>
          <w:rFonts w:hint="eastAsia" w:ascii="宋体" w:hAnsi="宋体" w:cs="宋体"/>
          <w:color w:val="auto"/>
          <w:kern w:val="0"/>
          <w:sz w:val="24"/>
          <w:szCs w:val="24"/>
          <w:highlight w:val="none"/>
          <w:lang w:bidi="ar"/>
        </w:rPr>
        <w:t>XX</w:t>
      </w:r>
      <w:r>
        <w:rPr>
          <w:rFonts w:hint="eastAsia" w:ascii="宋体" w:hAnsi="宋体" w:cs="宋体"/>
          <w:snapToGrid w:val="0"/>
          <w:color w:val="auto"/>
          <w:kern w:val="0"/>
          <w:sz w:val="24"/>
          <w:szCs w:val="24"/>
          <w:highlight w:val="none"/>
          <w:lang w:bidi="ar"/>
        </w:rPr>
        <w:t>工程施工。</w:t>
      </w:r>
    </w:p>
    <w:p w14:paraId="3813F59D">
      <w:pPr>
        <w:adjustRightInd w:val="0"/>
        <w:snapToGrid w:val="0"/>
        <w:spacing w:before="240" w:line="360" w:lineRule="auto"/>
        <w:ind w:right="11" w:firstLine="470" w:firstLineChars="196"/>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现根据《保障农民工工资支付条例》、《广州市根治农民工工资工作领导小组关于</w:t>
      </w:r>
      <w:r>
        <w:rPr>
          <w:rFonts w:hint="eastAsia" w:ascii="宋体" w:hAnsi="宋体" w:cs="宋体"/>
          <w:color w:val="auto"/>
          <w:kern w:val="0"/>
          <w:sz w:val="24"/>
          <w:szCs w:val="24"/>
          <w:highlight w:val="none"/>
          <w:lang w:bidi="ar"/>
        </w:rPr>
        <w:t>&lt;</w:t>
      </w:r>
      <w:r>
        <w:rPr>
          <w:rFonts w:hint="eastAsia" w:ascii="宋体" w:hAnsi="宋体" w:cs="宋体"/>
          <w:snapToGrid w:val="0"/>
          <w:color w:val="auto"/>
          <w:kern w:val="0"/>
          <w:sz w:val="24"/>
          <w:szCs w:val="24"/>
          <w:highlight w:val="none"/>
          <w:lang w:bidi="ar"/>
        </w:rPr>
        <w:t>贯彻落实广东省源头治理欠薪问题实施办法</w:t>
      </w:r>
      <w:r>
        <w:rPr>
          <w:rFonts w:hint="eastAsia" w:ascii="宋体" w:hAnsi="宋体" w:cs="宋体"/>
          <w:color w:val="auto"/>
          <w:kern w:val="0"/>
          <w:sz w:val="24"/>
          <w:szCs w:val="24"/>
          <w:highlight w:val="none"/>
          <w:lang w:bidi="ar"/>
        </w:rPr>
        <w:t>&gt;</w:t>
      </w:r>
      <w:r>
        <w:rPr>
          <w:rFonts w:hint="eastAsia" w:ascii="宋体" w:hAnsi="宋体" w:cs="宋体"/>
          <w:snapToGrid w:val="0"/>
          <w:color w:val="auto"/>
          <w:kern w:val="0"/>
          <w:sz w:val="24"/>
          <w:szCs w:val="24"/>
          <w:highlight w:val="none"/>
          <w:lang w:bidi="ar"/>
        </w:rPr>
        <w:t>实施方案的通知》等相关规定，甲、乙、丙三方经协商一致，就本项目</w:t>
      </w:r>
      <w:r>
        <w:rPr>
          <w:rFonts w:hint="eastAsia" w:ascii="宋体" w:hAnsi="宋体" w:cs="宋体"/>
          <w:color w:val="auto"/>
          <w:kern w:val="0"/>
          <w:sz w:val="24"/>
          <w:szCs w:val="24"/>
          <w:highlight w:val="none"/>
          <w:lang w:bidi="ar"/>
        </w:rPr>
        <w:t>XX</w:t>
      </w:r>
      <w:r>
        <w:rPr>
          <w:rFonts w:hint="eastAsia" w:ascii="宋体" w:hAnsi="宋体" w:cs="宋体"/>
          <w:snapToGrid w:val="0"/>
          <w:color w:val="auto"/>
          <w:kern w:val="0"/>
          <w:sz w:val="24"/>
          <w:szCs w:val="24"/>
          <w:highlight w:val="none"/>
          <w:lang w:bidi="ar"/>
        </w:rPr>
        <w:t>工程</w:t>
      </w:r>
      <w:r>
        <w:rPr>
          <w:rFonts w:hint="eastAsia" w:ascii="宋体" w:hAnsi="宋体" w:cs="宋体"/>
          <w:bCs/>
          <w:color w:val="auto"/>
          <w:kern w:val="0"/>
          <w:sz w:val="24"/>
          <w:szCs w:val="24"/>
          <w:highlight w:val="none"/>
          <w:lang w:bidi="ar"/>
        </w:rPr>
        <w:t>工人工资委托代发</w:t>
      </w:r>
      <w:r>
        <w:rPr>
          <w:rFonts w:hint="eastAsia" w:ascii="宋体" w:hAnsi="宋体" w:cs="宋体"/>
          <w:snapToGrid w:val="0"/>
          <w:color w:val="auto"/>
          <w:kern w:val="0"/>
          <w:sz w:val="24"/>
          <w:szCs w:val="24"/>
          <w:highlight w:val="none"/>
          <w:lang w:bidi="ar"/>
        </w:rPr>
        <w:t>事宜达成以下约定，以资共同遵守。</w:t>
      </w:r>
    </w:p>
    <w:p w14:paraId="6E525E68">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第一条</w:t>
      </w:r>
      <w:r>
        <w:rPr>
          <w:rFonts w:hint="eastAsia" w:ascii="宋体" w:hAnsi="宋体" w:cs="宋体"/>
          <w:color w:val="auto"/>
          <w:kern w:val="0"/>
          <w:sz w:val="24"/>
          <w:szCs w:val="24"/>
          <w:highlight w:val="none"/>
          <w:lang w:bidi="ar"/>
        </w:rPr>
        <w:t>甲、丙方就XX工程应付的工人工资，委托乙方进行总包代收代发。由丙方在广州市建设领域管理应用信息平台提交总包代发申请，经乙方审核后提交本项目总监理工程师审核。</w:t>
      </w:r>
    </w:p>
    <w:p w14:paraId="49A77A89">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第二条</w:t>
      </w:r>
      <w:r>
        <w:rPr>
          <w:rFonts w:hint="eastAsia" w:ascii="宋体" w:hAnsi="宋体" w:cs="宋体"/>
          <w:color w:val="auto"/>
          <w:kern w:val="0"/>
          <w:sz w:val="24"/>
          <w:szCs w:val="24"/>
          <w:highlight w:val="none"/>
          <w:lang w:bidi="ar"/>
        </w:rPr>
        <w:t>丙方负责其工人信息的录入及考勤等操作，并将相关的人员信息（包括与工人签订的合同、施工人员身份证复印件、施工人员本人工资银行卡复印件等）报乙方备案。相关信息与资料的真实性、完整性由丙方负责。</w:t>
      </w:r>
    </w:p>
    <w:p w14:paraId="50C4467A">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第三条</w:t>
      </w:r>
      <w:r>
        <w:rPr>
          <w:rFonts w:hint="eastAsia" w:ascii="宋体" w:hAnsi="宋体" w:cs="宋体"/>
          <w:color w:val="auto"/>
          <w:kern w:val="0"/>
          <w:sz w:val="24"/>
          <w:szCs w:val="24"/>
          <w:highlight w:val="none"/>
          <w:lang w:bidi="ar"/>
        </w:rPr>
        <w:t>丙方就XX工程内应付的工人工资，按照甲方要求及《XX承包合同》的规定，按时向甲方提交支付申请并全额开具发票。乙方不参与甲、丙方的发票往来关系。</w:t>
      </w:r>
    </w:p>
    <w:p w14:paraId="2AB40EEE">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第四条</w:t>
      </w:r>
      <w:r>
        <w:rPr>
          <w:rFonts w:hint="eastAsia" w:ascii="宋体" w:hAnsi="宋体" w:cs="宋体"/>
          <w:color w:val="auto"/>
          <w:kern w:val="0"/>
          <w:sz w:val="24"/>
          <w:szCs w:val="24"/>
          <w:highlight w:val="none"/>
          <w:lang w:bidi="ar"/>
        </w:rPr>
        <w:t>乙方应在甲方按《XX承包合同》约定将应支付的工人工资足额支付至乙方就本项目开立的工人工资支付专用账户，并收到丙方加盖公章后提供的工人花名册、考勤记录、工人工资表等资料后3个工作日内，根据丙方编制并经丙方工人本人签字确认的工资支付表，通过乙方工人工资支付专用账户直接将工资支付到丙方工人本人的银行账户，并向丙方提供代发工资凭证。</w:t>
      </w:r>
    </w:p>
    <w:p w14:paraId="0EB36D6D">
      <w:pPr>
        <w:adjustRightInd w:val="0"/>
        <w:snapToGrid w:val="0"/>
        <w:spacing w:line="360" w:lineRule="auto"/>
        <w:ind w:right="11" w:firstLine="470" w:firstLineChars="196"/>
        <w:rPr>
          <w:rFonts w:ascii="宋体" w:cs="宋体"/>
          <w:color w:val="auto"/>
          <w:kern w:val="0"/>
          <w:sz w:val="24"/>
          <w:szCs w:val="24"/>
          <w:highlight w:val="none"/>
        </w:rPr>
      </w:pPr>
      <w:r>
        <w:rPr>
          <w:rFonts w:hint="eastAsia" w:ascii="宋体" w:hAnsi="宋体" w:cs="宋体"/>
          <w:color w:val="auto"/>
          <w:kern w:val="0"/>
          <w:sz w:val="24"/>
          <w:szCs w:val="24"/>
          <w:highlight w:val="none"/>
          <w:lang w:bidi="ar"/>
        </w:rPr>
        <w:t>乙方工人工资支付专用账户：</w:t>
      </w:r>
    </w:p>
    <w:p w14:paraId="666E1B13">
      <w:pPr>
        <w:adjustRightInd w:val="0"/>
        <w:snapToGrid w:val="0"/>
        <w:spacing w:line="360" w:lineRule="auto"/>
        <w:ind w:right="11" w:firstLine="470" w:firstLineChars="196"/>
        <w:rPr>
          <w:rFonts w:ascii="宋体" w:cs="宋体"/>
          <w:color w:val="auto"/>
          <w:kern w:val="0"/>
          <w:sz w:val="24"/>
          <w:szCs w:val="24"/>
          <w:highlight w:val="none"/>
        </w:rPr>
      </w:pPr>
      <w:r>
        <w:rPr>
          <w:rFonts w:hint="eastAsia" w:ascii="宋体" w:hAnsi="宋体" w:cs="宋体"/>
          <w:color w:val="auto"/>
          <w:kern w:val="0"/>
          <w:sz w:val="24"/>
          <w:szCs w:val="24"/>
          <w:highlight w:val="none"/>
          <w:lang w:bidi="ar"/>
        </w:rPr>
        <w:t>户名：</w:t>
      </w:r>
    </w:p>
    <w:p w14:paraId="24E5EF4E">
      <w:pPr>
        <w:adjustRightInd w:val="0"/>
        <w:snapToGrid w:val="0"/>
        <w:spacing w:line="360" w:lineRule="auto"/>
        <w:ind w:right="11" w:firstLine="470" w:firstLineChars="196"/>
        <w:rPr>
          <w:rFonts w:ascii="宋体" w:cs="宋体"/>
          <w:color w:val="auto"/>
          <w:kern w:val="0"/>
          <w:sz w:val="24"/>
          <w:szCs w:val="24"/>
          <w:highlight w:val="none"/>
        </w:rPr>
      </w:pPr>
      <w:r>
        <w:rPr>
          <w:rFonts w:hint="eastAsia" w:ascii="宋体" w:hAnsi="宋体" w:cs="宋体"/>
          <w:color w:val="auto"/>
          <w:kern w:val="0"/>
          <w:sz w:val="24"/>
          <w:szCs w:val="24"/>
          <w:highlight w:val="none"/>
          <w:lang w:bidi="ar"/>
        </w:rPr>
        <w:t>开户行：</w:t>
      </w:r>
    </w:p>
    <w:p w14:paraId="4233909D">
      <w:pPr>
        <w:adjustRightInd w:val="0"/>
        <w:snapToGrid w:val="0"/>
        <w:spacing w:line="360" w:lineRule="auto"/>
        <w:ind w:right="11" w:firstLine="470" w:firstLineChars="196"/>
        <w:rPr>
          <w:rFonts w:ascii="宋体" w:cs="宋体"/>
          <w:color w:val="auto"/>
          <w:kern w:val="0"/>
          <w:sz w:val="24"/>
          <w:szCs w:val="24"/>
          <w:highlight w:val="none"/>
        </w:rPr>
      </w:pPr>
      <w:r>
        <w:rPr>
          <w:rFonts w:hint="eastAsia" w:ascii="宋体" w:hAnsi="宋体" w:cs="宋体"/>
          <w:color w:val="auto"/>
          <w:kern w:val="0"/>
          <w:sz w:val="24"/>
          <w:szCs w:val="24"/>
          <w:highlight w:val="none"/>
          <w:lang w:bidi="ar"/>
        </w:rPr>
        <w:t>账号：</w:t>
      </w:r>
    </w:p>
    <w:p w14:paraId="37070C95">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第五条</w:t>
      </w:r>
      <w:r>
        <w:rPr>
          <w:rFonts w:hint="eastAsia" w:ascii="宋体" w:hAnsi="宋体" w:cs="宋体"/>
          <w:color w:val="auto"/>
          <w:kern w:val="0"/>
          <w:sz w:val="24"/>
          <w:szCs w:val="24"/>
          <w:highlight w:val="none"/>
          <w:lang w:bidi="ar"/>
        </w:rPr>
        <w:t>丙方应确保工资发放涉及所有人员，不能出现漏发、套用专户资金等问题，避免造成监理单位和乙方信用平台预警、诚信扣分等问题。乙方不得挪用甲方支付至乙方工人工资支付专用账户的丙方资金。</w:t>
      </w:r>
    </w:p>
    <w:p w14:paraId="79DB2FF2">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第六条</w:t>
      </w:r>
      <w:r>
        <w:rPr>
          <w:rFonts w:hint="eastAsia" w:ascii="宋体" w:hAnsi="宋体" w:cs="宋体"/>
          <w:color w:val="auto"/>
          <w:kern w:val="0"/>
          <w:sz w:val="24"/>
          <w:szCs w:val="24"/>
          <w:highlight w:val="none"/>
          <w:lang w:bidi="ar"/>
        </w:rPr>
        <w:t>乙方应及时配合丙方，完成其工人工资账户内剩余的丙方工人工资的结算工作。如在丙方工人工资全额发放后，乙方工人工资支付专用账户仍剩余丙方资金的，由丙方出具相应承诺书交乙方、监理单位审核，乙方办理安全评价书并办理销户手续后</w:t>
      </w:r>
      <w:r>
        <w:rPr>
          <w:rFonts w:ascii="宋体" w:hAnsi="宋体" w:cs="宋体"/>
          <w:color w:val="auto"/>
          <w:kern w:val="0"/>
          <w:sz w:val="24"/>
          <w:szCs w:val="24"/>
          <w:highlight w:val="none"/>
          <w:lang w:bidi="ar"/>
        </w:rPr>
        <w:t>30个工作日内，退还至丙方公司账户。</w:t>
      </w:r>
    </w:p>
    <w:p w14:paraId="57FF8531">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第七条</w:t>
      </w:r>
      <w:r>
        <w:rPr>
          <w:rFonts w:hint="eastAsia" w:ascii="宋体" w:hAnsi="宋体" w:cs="宋体"/>
          <w:color w:val="auto"/>
          <w:kern w:val="0"/>
          <w:sz w:val="24"/>
          <w:szCs w:val="24"/>
          <w:highlight w:val="none"/>
          <w:lang w:bidi="ar"/>
        </w:rPr>
        <w:t>甲方已将应支付的工人工资足额支付至乙方工人工资支付专用账户但乙方未按时足额完成丙方工人工资代付工作的，相关的责任和损失由乙方承担。乙方挪用丙方资金的，丙方有权向乙方追偿，且甲方有权暂停支付本项目施工总承包合同的工程进度款，</w:t>
      </w:r>
      <w:r>
        <w:rPr>
          <w:rFonts w:hint="eastAsia" w:ascii="宋体" w:hAnsi="宋体" w:cs="宋体"/>
          <w:color w:val="auto"/>
          <w:sz w:val="24"/>
          <w:szCs w:val="24"/>
          <w:highlight w:val="none"/>
          <w:lang w:bidi="ar"/>
        </w:rPr>
        <w:t>直至乙方归还挪用资金为止，</w:t>
      </w:r>
      <w:r>
        <w:rPr>
          <w:rFonts w:hint="eastAsia" w:ascii="宋体" w:hAnsi="宋体" w:cs="宋体"/>
          <w:color w:val="auto"/>
          <w:kern w:val="0"/>
          <w:sz w:val="24"/>
          <w:szCs w:val="24"/>
          <w:highlight w:val="none"/>
          <w:lang w:bidi="ar"/>
        </w:rPr>
        <w:t>给甲、丙方造成的损失由乙方承担。因丙方不及时提供资料、提供的相关资料错误或遗漏等原因造成丙方工人工资未能按时足额支付的，相关的责任和损失由丙方承担。丙方伪造出勤信息、提供虚假身份套取、高估冒算工人工资的，乙方可依法向丙方追偿。</w:t>
      </w:r>
    </w:p>
    <w:p w14:paraId="706F79E0">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第八条</w:t>
      </w:r>
      <w:r>
        <w:rPr>
          <w:rFonts w:hint="eastAsia" w:ascii="宋体" w:hAnsi="宋体" w:cs="宋体"/>
          <w:color w:val="auto"/>
          <w:kern w:val="0"/>
          <w:sz w:val="24"/>
          <w:szCs w:val="24"/>
          <w:highlight w:val="none"/>
          <w:lang w:bidi="ar"/>
        </w:rPr>
        <w:t>乙方、丙方承诺：如因工人工资发放问题处置不力，由此造成的相关纠纷、费用以及社会影响全部由乙、丙方各自承担。如因此给甲方造成损失，甲方有权向乙、丙方追偿。</w:t>
      </w:r>
    </w:p>
    <w:p w14:paraId="7DB1D2EF">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第九条</w:t>
      </w:r>
      <w:r>
        <w:rPr>
          <w:rFonts w:hint="eastAsia" w:ascii="宋体" w:hAnsi="宋体" w:cs="宋体"/>
          <w:color w:val="auto"/>
          <w:kern w:val="0"/>
          <w:sz w:val="24"/>
          <w:szCs w:val="24"/>
          <w:highlight w:val="none"/>
          <w:lang w:bidi="ar"/>
        </w:rPr>
        <w:t>本协议仅明确本项目XX工程工人工资代收代发相关事宜，除本协议明确所作修改的条款之外，各方权利及义务按照甲方与乙方、甲方与丙方签订的合同的约定执行。</w:t>
      </w:r>
    </w:p>
    <w:p w14:paraId="6A27A679">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第十条</w:t>
      </w:r>
      <w:r>
        <w:rPr>
          <w:rFonts w:hint="eastAsia" w:ascii="宋体" w:hAnsi="宋体" w:cs="宋体"/>
          <w:color w:val="auto"/>
          <w:kern w:val="0"/>
          <w:sz w:val="24"/>
          <w:szCs w:val="24"/>
          <w:highlight w:val="none"/>
          <w:lang w:bidi="ar"/>
        </w:rPr>
        <w:t>若有其他未尽事宜，由三方另行商议达成补充协议。</w:t>
      </w:r>
    </w:p>
    <w:p w14:paraId="3E8A7AE8">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color w:val="auto"/>
          <w:kern w:val="0"/>
          <w:sz w:val="24"/>
          <w:szCs w:val="24"/>
          <w:highlight w:val="none"/>
          <w:lang w:bidi="ar"/>
        </w:rPr>
        <w:t>第十一条</w:t>
      </w:r>
      <w:r>
        <w:rPr>
          <w:rFonts w:hint="eastAsia" w:ascii="宋体" w:hAnsi="宋体" w:cs="宋体"/>
          <w:color w:val="auto"/>
          <w:kern w:val="0"/>
          <w:sz w:val="24"/>
          <w:szCs w:val="24"/>
          <w:highlight w:val="none"/>
          <w:lang w:bidi="ar"/>
        </w:rPr>
        <w:t>三方因本协议或者履行本协议所产生的争议，可先行协商解决，经协商达成一致意见的，应签订补充协议；若协商不成的，三方均可向本协议签订地人民法院提起诉讼。</w:t>
      </w:r>
    </w:p>
    <w:p w14:paraId="3D84FACF">
      <w:pPr>
        <w:adjustRightInd w:val="0"/>
        <w:snapToGrid w:val="0"/>
        <w:spacing w:line="360" w:lineRule="auto"/>
        <w:ind w:right="11" w:firstLine="472" w:firstLineChars="196"/>
        <w:rPr>
          <w:rFonts w:ascii="宋体" w:cs="宋体"/>
          <w:color w:val="auto"/>
          <w:kern w:val="0"/>
          <w:sz w:val="24"/>
          <w:szCs w:val="24"/>
          <w:highlight w:val="none"/>
        </w:rPr>
      </w:pPr>
      <w:r>
        <w:rPr>
          <w:rFonts w:hint="eastAsia" w:ascii="宋体" w:hAnsi="宋体" w:cs="宋体"/>
          <w:b/>
          <w:snapToGrid w:val="0"/>
          <w:color w:val="auto"/>
          <w:kern w:val="0"/>
          <w:sz w:val="24"/>
          <w:szCs w:val="24"/>
          <w:highlight w:val="none"/>
          <w:lang w:bidi="ar"/>
        </w:rPr>
        <w:t>第十二条</w:t>
      </w:r>
      <w:r>
        <w:rPr>
          <w:rFonts w:hint="eastAsia" w:ascii="宋体" w:hAnsi="宋体" w:cs="宋体"/>
          <w:color w:val="auto"/>
          <w:kern w:val="0"/>
          <w:sz w:val="24"/>
          <w:szCs w:val="24"/>
          <w:highlight w:val="none"/>
          <w:lang w:bidi="ar"/>
        </w:rPr>
        <w:t>本协议自三方法定代表人（或委托代理人）签字并盖章（公章或合同专用章）之日起生效。</w:t>
      </w:r>
    </w:p>
    <w:p w14:paraId="1F563BE8">
      <w:pPr>
        <w:adjustRightInd w:val="0"/>
        <w:snapToGrid w:val="0"/>
        <w:spacing w:line="360" w:lineRule="auto"/>
        <w:ind w:right="11" w:firstLine="472" w:firstLineChars="196"/>
        <w:rPr>
          <w:rFonts w:ascii="宋体" w:cs="宋体"/>
          <w:snapToGrid w:val="0"/>
          <w:color w:val="auto"/>
          <w:kern w:val="0"/>
          <w:sz w:val="24"/>
          <w:szCs w:val="24"/>
          <w:highlight w:val="none"/>
        </w:rPr>
      </w:pPr>
      <w:r>
        <w:rPr>
          <w:rFonts w:hint="eastAsia" w:ascii="宋体" w:hAnsi="宋体" w:cs="宋体"/>
          <w:b/>
          <w:snapToGrid w:val="0"/>
          <w:color w:val="auto"/>
          <w:kern w:val="0"/>
          <w:sz w:val="24"/>
          <w:szCs w:val="24"/>
          <w:highlight w:val="none"/>
          <w:lang w:bidi="ar"/>
        </w:rPr>
        <w:t>第十三条</w:t>
      </w:r>
      <w:r>
        <w:rPr>
          <w:rFonts w:hint="eastAsia" w:ascii="宋体" w:hAnsi="宋体" w:cs="宋体"/>
          <w:color w:val="auto"/>
          <w:kern w:val="0"/>
          <w:sz w:val="24"/>
          <w:szCs w:val="24"/>
          <w:highlight w:val="none"/>
          <w:lang w:bidi="ar"/>
        </w:rPr>
        <w:t>本协议正本三份，三方各执一份；副本十份，乙、丙方各执二份，甲方执六份。</w:t>
      </w:r>
      <w:r>
        <w:rPr>
          <w:rFonts w:hint="eastAsia" w:ascii="宋体" w:hAnsi="宋体" w:cs="宋体"/>
          <w:bCs/>
          <w:snapToGrid w:val="0"/>
          <w:color w:val="auto"/>
          <w:kern w:val="0"/>
          <w:sz w:val="24"/>
          <w:szCs w:val="20"/>
          <w:highlight w:val="none"/>
          <w:lang w:bidi="ar"/>
        </w:rPr>
        <w:t>协议正、副本具有同等效力，但当正本与副本的表述不一致时，以正本为准。</w:t>
      </w:r>
    </w:p>
    <w:p w14:paraId="4A180BC5">
      <w:pPr>
        <w:adjustRightInd w:val="0"/>
        <w:snapToGrid w:val="0"/>
        <w:spacing w:line="360" w:lineRule="auto"/>
        <w:ind w:right="11"/>
        <w:rPr>
          <w:rFonts w:ascii="宋体" w:cs="宋体"/>
          <w:color w:val="auto"/>
          <w:kern w:val="0"/>
          <w:sz w:val="24"/>
          <w:szCs w:val="24"/>
          <w:highlight w:val="none"/>
        </w:rPr>
      </w:pPr>
      <w:r>
        <w:rPr>
          <w:rFonts w:hint="eastAsia" w:ascii="宋体" w:hAnsi="宋体" w:cs="宋体"/>
          <w:color w:val="auto"/>
          <w:kern w:val="0"/>
          <w:sz w:val="24"/>
          <w:szCs w:val="24"/>
          <w:highlight w:val="none"/>
          <w:lang w:bidi="ar"/>
        </w:rPr>
        <w:t>（本页以下无正文）</w:t>
      </w:r>
    </w:p>
    <w:p w14:paraId="3FB64BB6">
      <w:pPr>
        <w:adjustRightInd w:val="0"/>
        <w:snapToGrid w:val="0"/>
        <w:spacing w:line="360" w:lineRule="auto"/>
        <w:ind w:right="11"/>
        <w:rPr>
          <w:rFonts w:ascii="宋体" w:cs="宋体"/>
          <w:color w:val="auto"/>
          <w:kern w:val="0"/>
          <w:sz w:val="24"/>
          <w:szCs w:val="24"/>
          <w:highlight w:val="none"/>
        </w:rPr>
      </w:pPr>
    </w:p>
    <w:p w14:paraId="01894232">
      <w:pPr>
        <w:widowControl/>
        <w:jc w:val="left"/>
        <w:rPr>
          <w:rFonts w:ascii="宋体" w:cs="宋体"/>
          <w:color w:val="auto"/>
          <w:kern w:val="0"/>
          <w:sz w:val="24"/>
          <w:szCs w:val="24"/>
          <w:highlight w:val="none"/>
        </w:rPr>
      </w:pPr>
      <w:r>
        <w:rPr>
          <w:rFonts w:hint="eastAsia" w:ascii="宋体"/>
          <w:color w:val="auto"/>
          <w:sz w:val="24"/>
          <w:szCs w:val="24"/>
          <w:highlight w:val="none"/>
          <w:lang w:bidi="ar"/>
        </w:rPr>
        <w:br w:type="page"/>
      </w:r>
    </w:p>
    <w:p w14:paraId="3CD457B4">
      <w:pPr>
        <w:adjustRightInd w:val="0"/>
        <w:snapToGrid w:val="0"/>
        <w:spacing w:line="360" w:lineRule="auto"/>
        <w:ind w:right="11"/>
        <w:rPr>
          <w:rFonts w:ascii="宋体" w:cs="宋体"/>
          <w:color w:val="auto"/>
          <w:kern w:val="0"/>
          <w:sz w:val="24"/>
          <w:szCs w:val="24"/>
          <w:highlight w:val="none"/>
        </w:rPr>
      </w:pPr>
      <w:r>
        <w:rPr>
          <w:rFonts w:hint="eastAsia" w:ascii="宋体" w:hAnsi="宋体" w:cs="宋体"/>
          <w:color w:val="auto"/>
          <w:kern w:val="0"/>
          <w:sz w:val="24"/>
          <w:szCs w:val="24"/>
          <w:highlight w:val="none"/>
          <w:lang w:bidi="ar"/>
        </w:rPr>
        <w:t>（本页无正文，为签署页）</w:t>
      </w:r>
    </w:p>
    <w:p w14:paraId="56CCC2B6">
      <w:pPr>
        <w:adjustRightInd w:val="0"/>
        <w:snapToGrid w:val="0"/>
        <w:spacing w:line="360" w:lineRule="auto"/>
        <w:ind w:right="11"/>
        <w:rPr>
          <w:rFonts w:ascii="宋体" w:cs="宋体"/>
          <w:b/>
          <w:snapToGrid w:val="0"/>
          <w:color w:val="auto"/>
          <w:spacing w:val="-20"/>
          <w:kern w:val="0"/>
          <w:sz w:val="24"/>
          <w:szCs w:val="24"/>
          <w:highlight w:val="none"/>
        </w:rPr>
      </w:pPr>
      <w:r>
        <w:rPr>
          <w:rFonts w:hint="eastAsia" w:ascii="宋体" w:hAnsi="宋体" w:cs="宋体"/>
          <w:b/>
          <w:snapToGrid w:val="0"/>
          <w:color w:val="auto"/>
          <w:kern w:val="0"/>
          <w:sz w:val="24"/>
          <w:szCs w:val="24"/>
          <w:highlight w:val="none"/>
          <w:lang w:bidi="ar"/>
        </w:rPr>
        <w:t>甲方：</w:t>
      </w:r>
      <w:r>
        <w:rPr>
          <w:rFonts w:hint="eastAsia" w:ascii="宋体" w:hAnsi="宋体" w:cs="宋体"/>
          <w:b/>
          <w:color w:val="auto"/>
          <w:spacing w:val="-6"/>
          <w:kern w:val="0"/>
          <w:sz w:val="24"/>
          <w:szCs w:val="24"/>
          <w:highlight w:val="none"/>
          <w:lang w:eastAsia="zh-CN" w:bidi="ar"/>
        </w:rPr>
        <w:t>广州市荔湾发展集团有限责任公司</w:t>
      </w:r>
      <w:r>
        <w:rPr>
          <w:rFonts w:hint="eastAsia" w:ascii="宋体" w:hAnsi="宋体" w:cs="宋体"/>
          <w:b/>
          <w:color w:val="auto"/>
          <w:spacing w:val="-6"/>
          <w:kern w:val="0"/>
          <w:sz w:val="24"/>
          <w:szCs w:val="24"/>
          <w:highlight w:val="none"/>
          <w:lang w:bidi="ar"/>
        </w:rPr>
        <w:t xml:space="preserve">   </w:t>
      </w:r>
      <w:r>
        <w:rPr>
          <w:rFonts w:hint="eastAsia" w:ascii="宋体" w:hAnsi="宋体" w:cs="宋体"/>
          <w:b/>
          <w:snapToGrid w:val="0"/>
          <w:color w:val="auto"/>
          <w:kern w:val="0"/>
          <w:sz w:val="24"/>
          <w:szCs w:val="24"/>
          <w:highlight w:val="none"/>
          <w:lang w:bidi="ar"/>
        </w:rPr>
        <w:t>乙方</w:t>
      </w:r>
      <w:r>
        <w:rPr>
          <w:rFonts w:hint="eastAsia" w:ascii="宋体" w:hAnsi="宋体" w:cs="宋体"/>
          <w:snapToGrid w:val="0"/>
          <w:color w:val="auto"/>
          <w:kern w:val="0"/>
          <w:sz w:val="24"/>
          <w:szCs w:val="24"/>
          <w:highlight w:val="none"/>
          <w:lang w:bidi="ar"/>
        </w:rPr>
        <w:t>：</w:t>
      </w:r>
    </w:p>
    <w:p w14:paraId="0843571D">
      <w:pPr>
        <w:adjustRightInd w:val="0"/>
        <w:snapToGrid w:val="0"/>
        <w:spacing w:line="360" w:lineRule="auto"/>
        <w:ind w:right="11" w:firstLine="2040" w:firstLineChars="850"/>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（盖章）</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（盖章）</w:t>
      </w:r>
    </w:p>
    <w:p w14:paraId="0C5CFB8D">
      <w:pPr>
        <w:adjustRightInd w:val="0"/>
        <w:snapToGrid w:val="0"/>
        <w:spacing w:line="360" w:lineRule="auto"/>
        <w:ind w:right="11"/>
        <w:rPr>
          <w:rFonts w:ascii="宋体" w:cs="宋体"/>
          <w:snapToGrid w:val="0"/>
          <w:color w:val="auto"/>
          <w:kern w:val="0"/>
          <w:sz w:val="24"/>
          <w:szCs w:val="24"/>
          <w:highlight w:val="none"/>
        </w:rPr>
      </w:pPr>
    </w:p>
    <w:p w14:paraId="70874D89">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法定代表人：</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法定代表人：</w:t>
      </w:r>
    </w:p>
    <w:p w14:paraId="0B03F8CB">
      <w:pPr>
        <w:adjustRightInd w:val="0"/>
        <w:snapToGrid w:val="0"/>
        <w:spacing w:line="360" w:lineRule="auto"/>
        <w:ind w:left="-2" w:leftChars="-1"/>
        <w:rPr>
          <w:rFonts w:ascii="宋体" w:cs="宋体"/>
          <w:snapToGrid w:val="0"/>
          <w:color w:val="auto"/>
          <w:kern w:val="0"/>
          <w:sz w:val="24"/>
          <w:szCs w:val="24"/>
          <w:highlight w:val="none"/>
        </w:rPr>
      </w:pPr>
    </w:p>
    <w:p w14:paraId="1754B38D">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委托代理人：</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委托代理人：</w:t>
      </w:r>
    </w:p>
    <w:p w14:paraId="0725E635">
      <w:pPr>
        <w:adjustRightInd w:val="0"/>
        <w:snapToGrid w:val="0"/>
        <w:spacing w:line="360" w:lineRule="auto"/>
        <w:ind w:left="-2" w:leftChars="-1"/>
        <w:rPr>
          <w:rFonts w:ascii="宋体" w:cs="宋体"/>
          <w:snapToGrid w:val="0"/>
          <w:color w:val="auto"/>
          <w:kern w:val="0"/>
          <w:sz w:val="24"/>
          <w:szCs w:val="24"/>
          <w:highlight w:val="none"/>
        </w:rPr>
      </w:pPr>
    </w:p>
    <w:p w14:paraId="74578482">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住址：</w:t>
      </w:r>
      <w:r>
        <w:rPr>
          <w:rFonts w:hint="eastAsia" w:ascii="宋体" w:hAnsi="宋体" w:cs="宋体"/>
          <w:color w:val="auto"/>
          <w:spacing w:val="-20"/>
          <w:kern w:val="0"/>
          <w:sz w:val="24"/>
          <w:szCs w:val="24"/>
          <w:highlight w:val="none"/>
          <w:lang w:val="en-US" w:eastAsia="zh-CN" w:bidi="ar"/>
        </w:rPr>
        <w:t xml:space="preserve">                                         </w:t>
      </w:r>
      <w:r>
        <w:rPr>
          <w:rFonts w:hint="eastAsia" w:ascii="宋体" w:hAnsi="宋体" w:cs="宋体"/>
          <w:color w:val="auto"/>
          <w:spacing w:val="-20"/>
          <w:kern w:val="0"/>
          <w:sz w:val="24"/>
          <w:szCs w:val="24"/>
          <w:highlight w:val="none"/>
          <w:lang w:bidi="ar"/>
        </w:rPr>
        <w:t xml:space="preserve">     </w:t>
      </w:r>
      <w:r>
        <w:rPr>
          <w:rFonts w:hint="eastAsia" w:ascii="宋体" w:hAnsi="宋体" w:cs="宋体"/>
          <w:snapToGrid w:val="0"/>
          <w:color w:val="auto"/>
          <w:kern w:val="0"/>
          <w:sz w:val="24"/>
          <w:szCs w:val="24"/>
          <w:highlight w:val="none"/>
          <w:lang w:bidi="ar"/>
        </w:rPr>
        <w:t>住址：</w:t>
      </w:r>
    </w:p>
    <w:p w14:paraId="1FD51449">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邮编：</w:t>
      </w:r>
      <w:r>
        <w:rPr>
          <w:rFonts w:hint="eastAsia" w:ascii="宋体" w:hAnsi="宋体" w:cs="宋体"/>
          <w:color w:val="auto"/>
          <w:kern w:val="0"/>
          <w:sz w:val="24"/>
          <w:szCs w:val="24"/>
          <w:highlight w:val="none"/>
          <w:lang w:val="en-US" w:eastAsia="zh-CN" w:bidi="ar"/>
        </w:rPr>
        <w:t xml:space="preserve">      </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邮编：</w:t>
      </w:r>
    </w:p>
    <w:p w14:paraId="3B7CE443">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电话：</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电话：</w:t>
      </w:r>
    </w:p>
    <w:p w14:paraId="75145C07">
      <w:pPr>
        <w:adjustRightInd w:val="0"/>
        <w:snapToGrid w:val="0"/>
        <w:spacing w:line="360" w:lineRule="auto"/>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传真：</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传真：</w:t>
      </w:r>
    </w:p>
    <w:p w14:paraId="13F558AF">
      <w:pPr>
        <w:adjustRightInd w:val="0"/>
        <w:snapToGrid w:val="0"/>
        <w:spacing w:line="360" w:lineRule="auto"/>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日期：</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年</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月</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日</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日期：</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年</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月</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日</w:t>
      </w:r>
    </w:p>
    <w:p w14:paraId="5E717EA0">
      <w:pPr>
        <w:adjustRightInd w:val="0"/>
        <w:snapToGrid w:val="0"/>
        <w:spacing w:line="360" w:lineRule="auto"/>
        <w:rPr>
          <w:rFonts w:ascii="宋体" w:cs="宋体"/>
          <w:snapToGrid w:val="0"/>
          <w:color w:val="auto"/>
          <w:kern w:val="0"/>
          <w:sz w:val="24"/>
          <w:szCs w:val="24"/>
          <w:highlight w:val="none"/>
        </w:rPr>
      </w:pPr>
    </w:p>
    <w:p w14:paraId="419E0698">
      <w:pPr>
        <w:adjustRightInd w:val="0"/>
        <w:snapToGrid w:val="0"/>
        <w:spacing w:line="360" w:lineRule="auto"/>
        <w:rPr>
          <w:rFonts w:ascii="宋体" w:cs="宋体"/>
          <w:snapToGrid w:val="0"/>
          <w:color w:val="auto"/>
          <w:kern w:val="0"/>
          <w:sz w:val="24"/>
          <w:szCs w:val="24"/>
          <w:highlight w:val="none"/>
        </w:rPr>
      </w:pPr>
    </w:p>
    <w:p w14:paraId="220AC22B">
      <w:pPr>
        <w:adjustRightInd w:val="0"/>
        <w:snapToGrid w:val="0"/>
        <w:spacing w:line="360" w:lineRule="auto"/>
        <w:rPr>
          <w:rFonts w:ascii="宋体" w:cs="宋体"/>
          <w:b/>
          <w:snapToGrid w:val="0"/>
          <w:color w:val="auto"/>
          <w:kern w:val="0"/>
          <w:sz w:val="24"/>
          <w:szCs w:val="24"/>
          <w:highlight w:val="none"/>
        </w:rPr>
      </w:pPr>
      <w:r>
        <w:rPr>
          <w:rFonts w:hint="eastAsia" w:ascii="宋体" w:hAnsi="宋体" w:cs="宋体"/>
          <w:b/>
          <w:snapToGrid w:val="0"/>
          <w:color w:val="auto"/>
          <w:kern w:val="0"/>
          <w:sz w:val="24"/>
          <w:szCs w:val="24"/>
          <w:highlight w:val="none"/>
          <w:lang w:bidi="ar"/>
        </w:rPr>
        <w:t>丙方</w:t>
      </w:r>
      <w:r>
        <w:rPr>
          <w:rFonts w:hint="eastAsia" w:ascii="宋体" w:hAnsi="宋体" w:cs="宋体"/>
          <w:snapToGrid w:val="0"/>
          <w:color w:val="auto"/>
          <w:kern w:val="0"/>
          <w:sz w:val="24"/>
          <w:szCs w:val="24"/>
          <w:highlight w:val="none"/>
          <w:lang w:bidi="ar"/>
        </w:rPr>
        <w:t>：</w:t>
      </w:r>
    </w:p>
    <w:p w14:paraId="29CD5CF9">
      <w:pPr>
        <w:adjustRightInd w:val="0"/>
        <w:snapToGrid w:val="0"/>
        <w:spacing w:line="360" w:lineRule="auto"/>
        <w:ind w:right="11" w:firstLine="2040" w:firstLineChars="850"/>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（盖章）</w:t>
      </w:r>
    </w:p>
    <w:p w14:paraId="0A16A358">
      <w:pPr>
        <w:adjustRightInd w:val="0"/>
        <w:snapToGrid w:val="0"/>
        <w:spacing w:line="360" w:lineRule="auto"/>
        <w:ind w:right="11" w:firstLine="840" w:firstLineChars="350"/>
        <w:rPr>
          <w:rFonts w:ascii="宋体" w:cs="宋体"/>
          <w:snapToGrid w:val="0"/>
          <w:color w:val="auto"/>
          <w:kern w:val="0"/>
          <w:sz w:val="24"/>
          <w:szCs w:val="24"/>
          <w:highlight w:val="none"/>
        </w:rPr>
      </w:pPr>
    </w:p>
    <w:p w14:paraId="01EB429F">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 xml:space="preserve">法定代表人： </w:t>
      </w:r>
    </w:p>
    <w:p w14:paraId="7A344B63">
      <w:pPr>
        <w:adjustRightInd w:val="0"/>
        <w:snapToGrid w:val="0"/>
        <w:spacing w:line="360" w:lineRule="auto"/>
        <w:ind w:left="-2" w:leftChars="-1"/>
        <w:rPr>
          <w:rFonts w:ascii="宋体" w:cs="宋体"/>
          <w:snapToGrid w:val="0"/>
          <w:color w:val="auto"/>
          <w:kern w:val="0"/>
          <w:sz w:val="24"/>
          <w:szCs w:val="24"/>
          <w:highlight w:val="none"/>
        </w:rPr>
      </w:pPr>
    </w:p>
    <w:p w14:paraId="45339F5E">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委托代理人：</w:t>
      </w:r>
    </w:p>
    <w:p w14:paraId="536AC356">
      <w:pPr>
        <w:adjustRightInd w:val="0"/>
        <w:snapToGrid w:val="0"/>
        <w:spacing w:line="360" w:lineRule="auto"/>
        <w:ind w:left="-2" w:leftChars="-1"/>
        <w:rPr>
          <w:rFonts w:ascii="宋体" w:cs="宋体"/>
          <w:snapToGrid w:val="0"/>
          <w:color w:val="auto"/>
          <w:kern w:val="0"/>
          <w:sz w:val="24"/>
          <w:szCs w:val="24"/>
          <w:highlight w:val="none"/>
        </w:rPr>
      </w:pPr>
    </w:p>
    <w:p w14:paraId="6E90A9DF">
      <w:pPr>
        <w:adjustRightInd w:val="0"/>
        <w:snapToGrid w:val="0"/>
        <w:spacing w:line="360" w:lineRule="auto"/>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住址：</w:t>
      </w:r>
    </w:p>
    <w:p w14:paraId="4703A96E">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邮编：</w:t>
      </w:r>
    </w:p>
    <w:p w14:paraId="716B40C0">
      <w:pPr>
        <w:adjustRightInd w:val="0"/>
        <w:snapToGrid w:val="0"/>
        <w:spacing w:line="360" w:lineRule="auto"/>
        <w:ind w:left="-2" w:leftChars="-1"/>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电话：</w:t>
      </w:r>
    </w:p>
    <w:p w14:paraId="159A3155">
      <w:pPr>
        <w:adjustRightInd w:val="0"/>
        <w:snapToGrid w:val="0"/>
        <w:spacing w:line="360" w:lineRule="auto"/>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传真：</w:t>
      </w:r>
    </w:p>
    <w:p w14:paraId="3B088707">
      <w:pPr>
        <w:adjustRightInd w:val="0"/>
        <w:snapToGrid w:val="0"/>
        <w:spacing w:line="360" w:lineRule="auto"/>
        <w:rPr>
          <w:rFonts w:ascii="宋体" w:cs="宋体"/>
          <w:snapToGrid w:val="0"/>
          <w:color w:val="auto"/>
          <w:kern w:val="0"/>
          <w:sz w:val="24"/>
          <w:szCs w:val="24"/>
          <w:highlight w:val="none"/>
        </w:rPr>
      </w:pPr>
      <w:r>
        <w:rPr>
          <w:rFonts w:hint="eastAsia" w:ascii="宋体" w:hAnsi="宋体" w:cs="宋体"/>
          <w:snapToGrid w:val="0"/>
          <w:color w:val="auto"/>
          <w:kern w:val="0"/>
          <w:sz w:val="24"/>
          <w:szCs w:val="24"/>
          <w:highlight w:val="none"/>
          <w:lang w:bidi="ar"/>
        </w:rPr>
        <w:t>日期：</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年</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月</w:t>
      </w:r>
      <w:r>
        <w:rPr>
          <w:rFonts w:hint="eastAsia" w:ascii="宋体" w:hAnsi="宋体" w:cs="宋体"/>
          <w:color w:val="auto"/>
          <w:kern w:val="0"/>
          <w:sz w:val="24"/>
          <w:szCs w:val="24"/>
          <w:highlight w:val="none"/>
          <w:lang w:bidi="ar"/>
        </w:rPr>
        <w:t xml:space="preserve">  </w:t>
      </w:r>
      <w:r>
        <w:rPr>
          <w:rFonts w:hint="eastAsia" w:ascii="宋体" w:hAnsi="宋体" w:cs="宋体"/>
          <w:snapToGrid w:val="0"/>
          <w:color w:val="auto"/>
          <w:kern w:val="0"/>
          <w:sz w:val="24"/>
          <w:szCs w:val="24"/>
          <w:highlight w:val="none"/>
          <w:lang w:bidi="ar"/>
        </w:rPr>
        <w:t xml:space="preserve">日 </w:t>
      </w:r>
    </w:p>
    <w:p w14:paraId="154576CA">
      <w:pPr>
        <w:adjustRightInd w:val="0"/>
        <w:snapToGrid w:val="0"/>
        <w:spacing w:line="360" w:lineRule="auto"/>
        <w:rPr>
          <w:rFonts w:ascii="宋体" w:cs="宋体"/>
          <w:snapToGrid w:val="0"/>
          <w:color w:val="auto"/>
          <w:kern w:val="0"/>
          <w:sz w:val="24"/>
          <w:szCs w:val="24"/>
          <w:highlight w:val="none"/>
        </w:rPr>
      </w:pPr>
    </w:p>
    <w:p w14:paraId="2D1C7A84">
      <w:pPr>
        <w:spacing w:line="360" w:lineRule="auto"/>
        <w:ind w:firstLine="480" w:firstLineChars="200"/>
        <w:jc w:val="center"/>
        <w:rPr>
          <w:rFonts w:hint="eastAsia" w:ascii="宋体" w:hAnsi="宋体" w:cs="宋体"/>
          <w:color w:val="auto"/>
          <w:sz w:val="24"/>
          <w:szCs w:val="24"/>
          <w:highlight w:val="none"/>
          <w:lang w:bidi="ar"/>
        </w:rPr>
      </w:pPr>
      <w:r>
        <w:rPr>
          <w:rFonts w:hint="eastAsia" w:ascii="宋体" w:hAnsi="宋体" w:cs="宋体"/>
          <w:snapToGrid w:val="0"/>
          <w:color w:val="auto"/>
          <w:kern w:val="0"/>
          <w:sz w:val="24"/>
          <w:szCs w:val="24"/>
          <w:highlight w:val="none"/>
          <w:lang w:bidi="ar"/>
        </w:rPr>
        <w:t>本协议签订于广东省广州市</w:t>
      </w:r>
      <w:r>
        <w:rPr>
          <w:rFonts w:hint="eastAsia" w:ascii="宋体" w:hAnsi="宋体" w:cs="宋体"/>
          <w:snapToGrid w:val="0"/>
          <w:color w:val="auto"/>
          <w:kern w:val="0"/>
          <w:sz w:val="24"/>
          <w:szCs w:val="24"/>
          <w:highlight w:val="none"/>
          <w:lang w:eastAsia="zh-CN" w:bidi="ar"/>
        </w:rPr>
        <w:t>荔湾区</w:t>
      </w:r>
      <w:r>
        <w:rPr>
          <w:rFonts w:hint="eastAsia" w:ascii="宋体" w:hAnsi="宋体" w:cs="宋体"/>
          <w:snapToGrid w:val="0"/>
          <w:color w:val="auto"/>
          <w:kern w:val="0"/>
          <w:sz w:val="24"/>
          <w:szCs w:val="24"/>
          <w:highlight w:val="none"/>
          <w:lang w:bidi="ar"/>
        </w:rPr>
        <w:t>。</w:t>
      </w:r>
      <w:r>
        <w:rPr>
          <w:rFonts w:hint="eastAsia" w:ascii="宋体" w:hAnsi="宋体" w:cs="宋体"/>
          <w:b/>
          <w:color w:val="auto"/>
          <w:kern w:val="0"/>
          <w:sz w:val="32"/>
          <w:szCs w:val="32"/>
          <w:highlight w:val="none"/>
          <w:lang w:bidi="ar"/>
        </w:rPr>
        <w:t xml:space="preserve">        </w:t>
      </w:r>
    </w:p>
    <w:p w14:paraId="466CE4E2">
      <w:pPr>
        <w:adjustRightInd w:val="0"/>
        <w:snapToGrid w:val="0"/>
        <w:spacing w:line="360" w:lineRule="auto"/>
        <w:rPr>
          <w:rFonts w:hint="eastAsia" w:ascii="宋体" w:hAnsi="宋体"/>
          <w:snapToGrid w:val="0"/>
          <w:color w:val="auto"/>
          <w:kern w:val="0"/>
          <w:sz w:val="24"/>
          <w:szCs w:val="24"/>
          <w:highlight w:val="none"/>
        </w:rPr>
      </w:pPr>
      <w:r>
        <w:rPr>
          <w:snapToGrid w:val="0"/>
          <w:color w:val="auto"/>
          <w:kern w:val="0"/>
          <w:highlight w:val="none"/>
        </w:rPr>
        <w:br w:type="page"/>
      </w:r>
      <w:r>
        <w:rPr>
          <w:rFonts w:hint="eastAsia" w:ascii="宋体" w:hAnsi="宋体"/>
          <w:snapToGrid w:val="0"/>
          <w:color w:val="auto"/>
          <w:kern w:val="0"/>
          <w:sz w:val="24"/>
          <w:szCs w:val="24"/>
          <w:highlight w:val="none"/>
        </w:rPr>
        <w:t>附件9：</w:t>
      </w:r>
    </w:p>
    <w:p w14:paraId="2557B1E9">
      <w:pPr>
        <w:adjustRightInd w:val="0"/>
        <w:snapToGrid w:val="0"/>
        <w:spacing w:line="360" w:lineRule="auto"/>
        <w:jc w:val="center"/>
        <w:outlineLvl w:val="1"/>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承包人法定代表人项目经理（项目负责人）的身份证、职务、职称及通信联系方式</w:t>
      </w:r>
    </w:p>
    <w:tbl>
      <w:tblPr>
        <w:tblStyle w:val="16"/>
        <w:tblW w:w="82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14"/>
        <w:gridCol w:w="1443"/>
        <w:gridCol w:w="1444"/>
        <w:gridCol w:w="1444"/>
        <w:gridCol w:w="2108"/>
      </w:tblGrid>
      <w:tr w14:paraId="3F16B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1814" w:type="dxa"/>
            <w:vAlign w:val="center"/>
          </w:tcPr>
          <w:p w14:paraId="033E747F">
            <w:pPr>
              <w:pStyle w:val="15"/>
              <w:adjustRightInd w:val="0"/>
              <w:snapToGrid w:val="0"/>
              <w:spacing w:after="0"/>
              <w:ind w:firstLine="0"/>
              <w:rPr>
                <w:rFonts w:hint="eastAsia" w:ascii="宋体" w:hAnsi="宋体"/>
                <w:bCs/>
                <w:snapToGrid w:val="0"/>
                <w:color w:val="auto"/>
                <w:kern w:val="0"/>
                <w:sz w:val="24"/>
                <w:szCs w:val="24"/>
                <w:highlight w:val="none"/>
              </w:rPr>
            </w:pPr>
          </w:p>
        </w:tc>
        <w:tc>
          <w:tcPr>
            <w:tcW w:w="1443" w:type="dxa"/>
            <w:vAlign w:val="center"/>
          </w:tcPr>
          <w:p w14:paraId="66EC729C">
            <w:pPr>
              <w:pStyle w:val="15"/>
              <w:adjustRightInd w:val="0"/>
              <w:snapToGrid w:val="0"/>
              <w:spacing w:after="0"/>
              <w:ind w:firstLine="0"/>
              <w:jc w:val="center"/>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姓名</w:t>
            </w:r>
          </w:p>
        </w:tc>
        <w:tc>
          <w:tcPr>
            <w:tcW w:w="1444" w:type="dxa"/>
            <w:vAlign w:val="center"/>
          </w:tcPr>
          <w:p w14:paraId="17E89721">
            <w:pPr>
              <w:pStyle w:val="15"/>
              <w:adjustRightInd w:val="0"/>
              <w:snapToGrid w:val="0"/>
              <w:spacing w:after="0"/>
              <w:ind w:firstLine="0"/>
              <w:jc w:val="center"/>
              <w:rPr>
                <w:rFonts w:hint="eastAsia" w:ascii="宋体" w:hAnsi="宋体"/>
                <w:bCs/>
                <w:snapToGrid w:val="0"/>
                <w:color w:val="auto"/>
                <w:kern w:val="0"/>
                <w:sz w:val="24"/>
                <w:szCs w:val="24"/>
                <w:highlight w:val="none"/>
              </w:rPr>
            </w:pPr>
            <w:r>
              <w:rPr>
                <w:rFonts w:hint="eastAsia" w:ascii="宋体" w:hAnsi="宋体"/>
                <w:snapToGrid w:val="0"/>
                <w:color w:val="auto"/>
                <w:kern w:val="0"/>
                <w:sz w:val="24"/>
                <w:szCs w:val="24"/>
                <w:highlight w:val="none"/>
              </w:rPr>
              <w:t>职务</w:t>
            </w:r>
          </w:p>
        </w:tc>
        <w:tc>
          <w:tcPr>
            <w:tcW w:w="1444" w:type="dxa"/>
            <w:vAlign w:val="center"/>
          </w:tcPr>
          <w:p w14:paraId="5FDFC032">
            <w:pPr>
              <w:pStyle w:val="15"/>
              <w:adjustRightInd w:val="0"/>
              <w:snapToGrid w:val="0"/>
              <w:spacing w:after="0"/>
              <w:ind w:firstLine="0"/>
              <w:jc w:val="center"/>
              <w:rPr>
                <w:rFonts w:hint="eastAsia" w:ascii="宋体" w:hAnsi="宋体"/>
                <w:bCs/>
                <w:snapToGrid w:val="0"/>
                <w:color w:val="auto"/>
                <w:kern w:val="0"/>
                <w:sz w:val="24"/>
                <w:szCs w:val="24"/>
                <w:highlight w:val="none"/>
              </w:rPr>
            </w:pPr>
            <w:r>
              <w:rPr>
                <w:rFonts w:hint="eastAsia" w:ascii="宋体" w:hAnsi="宋体"/>
                <w:snapToGrid w:val="0"/>
                <w:color w:val="auto"/>
                <w:kern w:val="0"/>
                <w:sz w:val="24"/>
                <w:szCs w:val="24"/>
                <w:highlight w:val="none"/>
              </w:rPr>
              <w:t>职称</w:t>
            </w:r>
          </w:p>
        </w:tc>
        <w:tc>
          <w:tcPr>
            <w:tcW w:w="2108" w:type="dxa"/>
            <w:vAlign w:val="center"/>
          </w:tcPr>
          <w:p w14:paraId="07E4E4A3">
            <w:pPr>
              <w:pStyle w:val="15"/>
              <w:adjustRightInd w:val="0"/>
              <w:snapToGrid w:val="0"/>
              <w:spacing w:after="0"/>
              <w:ind w:firstLine="0"/>
              <w:jc w:val="center"/>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通信联系方式</w:t>
            </w:r>
          </w:p>
        </w:tc>
      </w:tr>
      <w:tr w14:paraId="462D1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1814" w:type="dxa"/>
            <w:vAlign w:val="center"/>
          </w:tcPr>
          <w:p w14:paraId="7D9A57F3">
            <w:pPr>
              <w:pStyle w:val="15"/>
              <w:adjustRightInd w:val="0"/>
              <w:snapToGrid w:val="0"/>
              <w:spacing w:after="0"/>
              <w:ind w:firstLine="0"/>
              <w:rPr>
                <w:rFonts w:hint="eastAsia" w:ascii="宋体" w:hAnsi="宋体"/>
                <w:bCs/>
                <w:snapToGrid w:val="0"/>
                <w:color w:val="auto"/>
                <w:kern w:val="0"/>
                <w:sz w:val="24"/>
                <w:szCs w:val="24"/>
                <w:highlight w:val="none"/>
              </w:rPr>
            </w:pPr>
            <w:r>
              <w:rPr>
                <w:rFonts w:hint="eastAsia" w:ascii="宋体" w:hAnsi="宋体"/>
                <w:snapToGrid w:val="0"/>
                <w:color w:val="auto"/>
                <w:kern w:val="0"/>
                <w:sz w:val="24"/>
                <w:szCs w:val="24"/>
                <w:highlight w:val="none"/>
              </w:rPr>
              <w:t>法定代表人</w:t>
            </w:r>
          </w:p>
        </w:tc>
        <w:tc>
          <w:tcPr>
            <w:tcW w:w="1443" w:type="dxa"/>
            <w:vAlign w:val="center"/>
          </w:tcPr>
          <w:p w14:paraId="15626C33">
            <w:pPr>
              <w:pStyle w:val="15"/>
              <w:adjustRightInd w:val="0"/>
              <w:snapToGrid w:val="0"/>
              <w:spacing w:after="0"/>
              <w:ind w:firstLine="0"/>
              <w:jc w:val="center"/>
              <w:rPr>
                <w:rFonts w:hint="eastAsia" w:ascii="宋体" w:hAnsi="宋体"/>
                <w:bCs/>
                <w:snapToGrid w:val="0"/>
                <w:color w:val="auto"/>
                <w:kern w:val="0"/>
                <w:sz w:val="24"/>
                <w:szCs w:val="24"/>
                <w:highlight w:val="none"/>
              </w:rPr>
            </w:pPr>
          </w:p>
        </w:tc>
        <w:tc>
          <w:tcPr>
            <w:tcW w:w="1444" w:type="dxa"/>
            <w:vAlign w:val="center"/>
          </w:tcPr>
          <w:p w14:paraId="4DF60DC1">
            <w:pPr>
              <w:pStyle w:val="15"/>
              <w:adjustRightInd w:val="0"/>
              <w:snapToGrid w:val="0"/>
              <w:spacing w:after="0"/>
              <w:ind w:firstLine="0"/>
              <w:jc w:val="center"/>
              <w:rPr>
                <w:rFonts w:hint="eastAsia" w:ascii="宋体" w:hAnsi="宋体"/>
                <w:bCs/>
                <w:snapToGrid w:val="0"/>
                <w:color w:val="auto"/>
                <w:kern w:val="0"/>
                <w:sz w:val="24"/>
                <w:szCs w:val="24"/>
                <w:highlight w:val="none"/>
              </w:rPr>
            </w:pPr>
          </w:p>
        </w:tc>
        <w:tc>
          <w:tcPr>
            <w:tcW w:w="1444" w:type="dxa"/>
            <w:vAlign w:val="center"/>
          </w:tcPr>
          <w:p w14:paraId="0DFCFAD0">
            <w:pPr>
              <w:pStyle w:val="15"/>
              <w:adjustRightInd w:val="0"/>
              <w:snapToGrid w:val="0"/>
              <w:spacing w:after="0"/>
              <w:ind w:firstLine="0"/>
              <w:jc w:val="center"/>
              <w:rPr>
                <w:rFonts w:hint="eastAsia" w:ascii="宋体" w:hAnsi="宋体"/>
                <w:bCs/>
                <w:snapToGrid w:val="0"/>
                <w:color w:val="auto"/>
                <w:kern w:val="0"/>
                <w:sz w:val="24"/>
                <w:szCs w:val="24"/>
                <w:highlight w:val="none"/>
              </w:rPr>
            </w:pPr>
          </w:p>
        </w:tc>
        <w:tc>
          <w:tcPr>
            <w:tcW w:w="2108" w:type="dxa"/>
            <w:vAlign w:val="center"/>
          </w:tcPr>
          <w:p w14:paraId="350460E5">
            <w:pPr>
              <w:pStyle w:val="15"/>
              <w:adjustRightInd w:val="0"/>
              <w:snapToGrid w:val="0"/>
              <w:spacing w:after="0"/>
              <w:ind w:firstLine="0"/>
              <w:jc w:val="center"/>
              <w:rPr>
                <w:rFonts w:hint="eastAsia" w:ascii="宋体" w:hAnsi="宋体"/>
                <w:bCs/>
                <w:snapToGrid w:val="0"/>
                <w:color w:val="auto"/>
                <w:kern w:val="0"/>
                <w:sz w:val="24"/>
                <w:szCs w:val="24"/>
                <w:highlight w:val="none"/>
              </w:rPr>
            </w:pPr>
          </w:p>
        </w:tc>
      </w:tr>
      <w:tr w14:paraId="1AF99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8" w:hRule="atLeast"/>
          <w:jc w:val="center"/>
        </w:trPr>
        <w:tc>
          <w:tcPr>
            <w:tcW w:w="1814" w:type="dxa"/>
            <w:vAlign w:val="center"/>
          </w:tcPr>
          <w:p w14:paraId="39B63C6C">
            <w:pPr>
              <w:pStyle w:val="15"/>
              <w:adjustRightInd w:val="0"/>
              <w:snapToGrid w:val="0"/>
              <w:spacing w:after="0"/>
              <w:ind w:firstLine="0"/>
              <w:rPr>
                <w:rFonts w:hint="eastAsia" w:ascii="宋体" w:hAnsi="宋体"/>
                <w:bCs/>
                <w:snapToGrid w:val="0"/>
                <w:color w:val="auto"/>
                <w:kern w:val="0"/>
                <w:sz w:val="24"/>
                <w:szCs w:val="24"/>
                <w:highlight w:val="none"/>
              </w:rPr>
            </w:pPr>
            <w:r>
              <w:rPr>
                <w:rFonts w:hint="eastAsia" w:ascii="宋体" w:hAnsi="宋体"/>
                <w:snapToGrid w:val="0"/>
                <w:color w:val="auto"/>
                <w:kern w:val="0"/>
                <w:sz w:val="24"/>
                <w:szCs w:val="24"/>
                <w:highlight w:val="none"/>
              </w:rPr>
              <w:t>项目经理（项目负责人）</w:t>
            </w:r>
          </w:p>
        </w:tc>
        <w:tc>
          <w:tcPr>
            <w:tcW w:w="1443" w:type="dxa"/>
            <w:vAlign w:val="center"/>
          </w:tcPr>
          <w:p w14:paraId="0BAA5711">
            <w:pPr>
              <w:pStyle w:val="15"/>
              <w:adjustRightInd w:val="0"/>
              <w:snapToGrid w:val="0"/>
              <w:spacing w:after="0"/>
              <w:ind w:firstLine="0"/>
              <w:jc w:val="center"/>
              <w:rPr>
                <w:rFonts w:hint="eastAsia" w:ascii="宋体" w:hAnsi="宋体"/>
                <w:bCs/>
                <w:snapToGrid w:val="0"/>
                <w:color w:val="auto"/>
                <w:kern w:val="0"/>
                <w:sz w:val="24"/>
                <w:szCs w:val="24"/>
                <w:highlight w:val="none"/>
              </w:rPr>
            </w:pPr>
          </w:p>
        </w:tc>
        <w:tc>
          <w:tcPr>
            <w:tcW w:w="1444" w:type="dxa"/>
            <w:vAlign w:val="center"/>
          </w:tcPr>
          <w:p w14:paraId="1C4E1B29">
            <w:pPr>
              <w:pStyle w:val="15"/>
              <w:adjustRightInd w:val="0"/>
              <w:snapToGrid w:val="0"/>
              <w:spacing w:after="0"/>
              <w:ind w:firstLine="0"/>
              <w:jc w:val="center"/>
              <w:rPr>
                <w:rFonts w:hint="eastAsia" w:ascii="宋体" w:hAnsi="宋体"/>
                <w:bCs/>
                <w:snapToGrid w:val="0"/>
                <w:color w:val="auto"/>
                <w:kern w:val="0"/>
                <w:sz w:val="24"/>
                <w:szCs w:val="24"/>
                <w:highlight w:val="none"/>
              </w:rPr>
            </w:pPr>
          </w:p>
        </w:tc>
        <w:tc>
          <w:tcPr>
            <w:tcW w:w="1444" w:type="dxa"/>
            <w:vAlign w:val="center"/>
          </w:tcPr>
          <w:p w14:paraId="2F7AE413">
            <w:pPr>
              <w:pStyle w:val="15"/>
              <w:adjustRightInd w:val="0"/>
              <w:snapToGrid w:val="0"/>
              <w:spacing w:after="0"/>
              <w:ind w:firstLine="0"/>
              <w:jc w:val="center"/>
              <w:rPr>
                <w:rFonts w:hint="eastAsia" w:ascii="宋体" w:hAnsi="宋体"/>
                <w:bCs/>
                <w:snapToGrid w:val="0"/>
                <w:color w:val="auto"/>
                <w:kern w:val="0"/>
                <w:sz w:val="24"/>
                <w:szCs w:val="24"/>
                <w:highlight w:val="none"/>
              </w:rPr>
            </w:pPr>
          </w:p>
        </w:tc>
        <w:tc>
          <w:tcPr>
            <w:tcW w:w="2108" w:type="dxa"/>
            <w:vAlign w:val="center"/>
          </w:tcPr>
          <w:p w14:paraId="1DBE6909">
            <w:pPr>
              <w:pStyle w:val="15"/>
              <w:adjustRightInd w:val="0"/>
              <w:snapToGrid w:val="0"/>
              <w:spacing w:after="0"/>
              <w:ind w:firstLine="0"/>
              <w:jc w:val="center"/>
              <w:rPr>
                <w:rFonts w:hint="eastAsia" w:ascii="宋体" w:hAnsi="宋体"/>
                <w:bCs/>
                <w:snapToGrid w:val="0"/>
                <w:color w:val="auto"/>
                <w:kern w:val="0"/>
                <w:sz w:val="24"/>
                <w:szCs w:val="24"/>
                <w:highlight w:val="none"/>
              </w:rPr>
            </w:pPr>
          </w:p>
        </w:tc>
      </w:tr>
    </w:tbl>
    <w:p w14:paraId="4F8A351C">
      <w:pPr>
        <w:pStyle w:val="15"/>
        <w:adjustRightInd w:val="0"/>
        <w:snapToGrid w:val="0"/>
        <w:spacing w:after="0" w:line="360" w:lineRule="auto"/>
        <w:ind w:firstLine="0"/>
        <w:rPr>
          <w:rFonts w:hint="eastAsia" w:ascii="宋体" w:hAnsi="宋体"/>
          <w:b/>
          <w:bCs/>
          <w:snapToGrid w:val="0"/>
          <w:color w:val="auto"/>
          <w:kern w:val="0"/>
          <w:sz w:val="24"/>
          <w:highlight w:val="none"/>
        </w:rPr>
      </w:pPr>
      <w:r>
        <w:rPr>
          <w:rFonts w:hint="eastAsia" w:ascii="宋体" w:hAnsi="宋体"/>
          <w:b/>
          <w:bCs/>
          <w:snapToGrid w:val="0"/>
          <w:color w:val="auto"/>
          <w:kern w:val="0"/>
          <w:sz w:val="24"/>
          <w:highlight w:val="none"/>
        </w:rPr>
        <w:t>附：</w:t>
      </w:r>
    </w:p>
    <w:p w14:paraId="08847CED">
      <w:pPr>
        <w:pStyle w:val="15"/>
        <w:adjustRightInd w:val="0"/>
        <w:snapToGrid w:val="0"/>
        <w:spacing w:after="0" w:line="360" w:lineRule="auto"/>
        <w:ind w:firstLine="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法定代表人身份证（复件）</w:t>
      </w:r>
    </w:p>
    <w:p w14:paraId="13AE78A3">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6FFB4A70">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4EF91526">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2075F9D7">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218FDC6C">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318AB7EE">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456D7115">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302432C0">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4612C721">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77B7464B">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34EF817D">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78C9B59F">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7F9E9508">
      <w:pPr>
        <w:pStyle w:val="15"/>
        <w:adjustRightInd w:val="0"/>
        <w:snapToGrid w:val="0"/>
        <w:spacing w:after="0" w:line="360" w:lineRule="auto"/>
        <w:ind w:firstLine="0"/>
        <w:rPr>
          <w:rFonts w:hint="eastAsia" w:ascii="宋体" w:hAnsi="宋体"/>
          <w:bCs/>
          <w:snapToGrid w:val="0"/>
          <w:color w:val="auto"/>
          <w:kern w:val="0"/>
          <w:sz w:val="24"/>
          <w:highlight w:val="none"/>
        </w:rPr>
      </w:pPr>
      <w:r>
        <w:rPr>
          <w:rFonts w:hint="eastAsia" w:ascii="宋体" w:hAnsi="宋体"/>
          <w:bCs/>
          <w:snapToGrid w:val="0"/>
          <w:color w:val="auto"/>
          <w:kern w:val="0"/>
          <w:sz w:val="24"/>
          <w:highlight w:val="none"/>
        </w:rPr>
        <w:t>项目经理（项目负责人）身份证（复件）</w:t>
      </w:r>
    </w:p>
    <w:p w14:paraId="3FB38209">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1DB91326">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22F3D19E">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3DF34DBA">
      <w:pPr>
        <w:pStyle w:val="15"/>
        <w:adjustRightInd w:val="0"/>
        <w:snapToGrid w:val="0"/>
        <w:spacing w:after="0" w:line="360" w:lineRule="auto"/>
        <w:ind w:firstLine="0"/>
        <w:rPr>
          <w:rFonts w:hint="eastAsia" w:ascii="宋体" w:hAnsi="宋体"/>
          <w:b/>
          <w:bCs/>
          <w:snapToGrid w:val="0"/>
          <w:color w:val="auto"/>
          <w:kern w:val="0"/>
          <w:sz w:val="24"/>
          <w:highlight w:val="none"/>
        </w:rPr>
      </w:pPr>
    </w:p>
    <w:p w14:paraId="7C302A3E">
      <w:pPr>
        <w:adjustRightInd w:val="0"/>
        <w:snapToGrid w:val="0"/>
        <w:spacing w:line="360" w:lineRule="auto"/>
        <w:outlineLvl w:val="1"/>
        <w:rPr>
          <w:rFonts w:hint="eastAsia" w:ascii="宋体" w:hAnsi="宋体"/>
          <w:snapToGrid w:val="0"/>
          <w:color w:val="auto"/>
          <w:kern w:val="0"/>
          <w:sz w:val="24"/>
          <w:highlight w:val="none"/>
        </w:rPr>
      </w:pPr>
      <w:r>
        <w:rPr>
          <w:rFonts w:ascii="宋体" w:hAnsi="宋体"/>
          <w:b/>
          <w:bCs/>
          <w:snapToGrid w:val="0"/>
          <w:color w:val="auto"/>
          <w:kern w:val="0"/>
          <w:sz w:val="24"/>
          <w:highlight w:val="none"/>
        </w:rPr>
        <w:br w:type="page"/>
      </w:r>
      <w:r>
        <w:rPr>
          <w:rFonts w:hint="eastAsia" w:ascii="宋体" w:hAnsi="宋体"/>
          <w:snapToGrid w:val="0"/>
          <w:color w:val="auto"/>
          <w:kern w:val="0"/>
          <w:sz w:val="24"/>
          <w:highlight w:val="none"/>
        </w:rPr>
        <w:t>附件10：中标通知书（复印件，附合同协议书后）</w:t>
      </w:r>
    </w:p>
    <w:p w14:paraId="44C388CB">
      <w:pPr>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br w:type="page"/>
      </w:r>
    </w:p>
    <w:p w14:paraId="34CBCA25">
      <w:pPr>
        <w:adjustRightInd w:val="0"/>
        <w:snapToGrid w:val="0"/>
        <w:spacing w:line="360" w:lineRule="auto"/>
        <w:outlineLvl w:val="1"/>
        <w:rPr>
          <w:rFonts w:hint="eastAsia" w:ascii="宋体" w:hAnsi="宋体"/>
          <w:snapToGrid w:val="0"/>
          <w:color w:val="auto"/>
          <w:kern w:val="0"/>
          <w:sz w:val="24"/>
          <w:highlight w:val="none"/>
        </w:rPr>
      </w:pPr>
    </w:p>
    <w:p w14:paraId="3E09EC2C">
      <w:pPr>
        <w:pStyle w:val="15"/>
        <w:adjustRightInd w:val="0"/>
        <w:snapToGrid w:val="0"/>
        <w:spacing w:after="0" w:line="360" w:lineRule="auto"/>
        <w:ind w:firstLine="0"/>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t>附件11：招标答疑及澄清文件（复印件，附合同协议书后）</w:t>
      </w:r>
    </w:p>
    <w:p w14:paraId="710F5F91">
      <w:pPr>
        <w:rPr>
          <w:rFonts w:hint="eastAsia" w:ascii="宋体" w:hAnsi="宋体"/>
          <w:snapToGrid w:val="0"/>
          <w:color w:val="auto"/>
          <w:kern w:val="0"/>
          <w:sz w:val="24"/>
          <w:highlight w:val="none"/>
        </w:rPr>
      </w:pPr>
      <w:r>
        <w:rPr>
          <w:rFonts w:hint="eastAsia" w:ascii="宋体" w:hAnsi="宋体"/>
          <w:snapToGrid w:val="0"/>
          <w:color w:val="auto"/>
          <w:kern w:val="0"/>
          <w:sz w:val="24"/>
          <w:highlight w:val="none"/>
        </w:rPr>
        <w:br w:type="page"/>
      </w:r>
    </w:p>
    <w:p w14:paraId="4F7C4D80">
      <w:pPr>
        <w:pStyle w:val="15"/>
        <w:adjustRightInd w:val="0"/>
        <w:snapToGrid w:val="0"/>
        <w:spacing w:after="0" w:line="360" w:lineRule="auto"/>
        <w:ind w:firstLine="0"/>
        <w:rPr>
          <w:rFonts w:hint="eastAsia" w:ascii="宋体" w:hAnsi="宋体"/>
          <w:snapToGrid w:val="0"/>
          <w:color w:val="auto"/>
          <w:kern w:val="0"/>
          <w:sz w:val="24"/>
          <w:highlight w:val="none"/>
        </w:rPr>
      </w:pPr>
    </w:p>
    <w:p w14:paraId="36FD45D9">
      <w:pPr>
        <w:pStyle w:val="15"/>
        <w:adjustRightInd w:val="0"/>
        <w:snapToGrid w:val="0"/>
        <w:spacing w:after="0" w:line="360" w:lineRule="auto"/>
        <w:ind w:firstLine="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附件12：工程质量终身责任承诺书(含法定代表人授权书)</w:t>
      </w:r>
    </w:p>
    <w:p w14:paraId="578A2D88">
      <w:pPr>
        <w:spacing w:line="400" w:lineRule="exact"/>
        <w:jc w:val="center"/>
        <w:rPr>
          <w:rFonts w:hint="eastAsia" w:ascii="宋体" w:hAnsi="宋体"/>
          <w:b/>
          <w:color w:val="auto"/>
          <w:szCs w:val="21"/>
          <w:highlight w:val="none"/>
        </w:rPr>
      </w:pPr>
      <w:r>
        <w:rPr>
          <w:rFonts w:hint="eastAsia" w:ascii="宋体" w:hAnsi="宋体"/>
          <w:b/>
          <w:color w:val="auto"/>
          <w:sz w:val="32"/>
          <w:szCs w:val="32"/>
          <w:highlight w:val="none"/>
        </w:rPr>
        <w:t>法定代表人授权书</w:t>
      </w:r>
    </w:p>
    <w:p w14:paraId="1ABCF400">
      <w:pPr>
        <w:spacing w:line="400" w:lineRule="exact"/>
        <w:jc w:val="center"/>
        <w:rPr>
          <w:rFonts w:hint="eastAsia" w:ascii="宋体" w:hAnsi="宋体"/>
          <w:b/>
          <w:color w:val="auto"/>
          <w:szCs w:val="21"/>
          <w:highlight w:val="none"/>
        </w:rPr>
      </w:pPr>
    </w:p>
    <w:p w14:paraId="349405C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兹授权我单位</w:t>
      </w:r>
      <w:r>
        <w:rPr>
          <w:rFonts w:hint="eastAsia" w:ascii="宋体" w:hAnsi="宋体"/>
          <w:color w:val="auto"/>
          <w:sz w:val="24"/>
          <w:highlight w:val="none"/>
          <w:u w:val="single"/>
        </w:rPr>
        <w:t xml:space="preserve">         （姓名） </w:t>
      </w:r>
      <w:r>
        <w:rPr>
          <w:rFonts w:hint="eastAsia" w:ascii="宋体" w:hAnsi="宋体"/>
          <w:color w:val="auto"/>
          <w:sz w:val="24"/>
          <w:highlight w:val="none"/>
        </w:rPr>
        <w:t>担任</w:t>
      </w:r>
      <w:r>
        <w:rPr>
          <w:rFonts w:hint="eastAsia" w:ascii="宋体" w:hAnsi="宋体"/>
          <w:color w:val="auto"/>
          <w:sz w:val="24"/>
          <w:highlight w:val="none"/>
          <w:u w:val="single"/>
        </w:rPr>
        <w:t xml:space="preserve">                 </w:t>
      </w:r>
      <w:r>
        <w:rPr>
          <w:rFonts w:hint="eastAsia" w:ascii="宋体" w:hAnsi="宋体"/>
          <w:color w:val="auto"/>
          <w:sz w:val="24"/>
          <w:highlight w:val="none"/>
        </w:rPr>
        <w:t>工程项目的施工项目负责人，对该工程项目的施工工作实施组织管理，依据国家有关法律法规及标准规范履行职责，并依法对设计使用年限内的工程质量承担相应终身责任。</w:t>
      </w:r>
    </w:p>
    <w:p w14:paraId="3AD5B5F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本授权书自授权之日起生效。</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011"/>
        <w:gridCol w:w="2100"/>
        <w:gridCol w:w="2281"/>
      </w:tblGrid>
      <w:tr w14:paraId="7E01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0A95D004">
            <w:pPr>
              <w:spacing w:line="360" w:lineRule="auto"/>
              <w:jc w:val="center"/>
              <w:rPr>
                <w:rFonts w:hint="eastAsia" w:ascii="宋体" w:hAnsi="宋体"/>
                <w:color w:val="auto"/>
                <w:sz w:val="24"/>
                <w:highlight w:val="none"/>
              </w:rPr>
            </w:pPr>
            <w:r>
              <w:rPr>
                <w:rFonts w:hint="eastAsia" w:ascii="宋体" w:hAnsi="宋体"/>
                <w:b/>
                <w:bCs/>
                <w:color w:val="auto"/>
                <w:sz w:val="24"/>
                <w:highlight w:val="none"/>
              </w:rPr>
              <w:t>被授权人基本情况</w:t>
            </w:r>
          </w:p>
        </w:tc>
      </w:tr>
      <w:tr w14:paraId="3FF9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A55AE68">
            <w:pPr>
              <w:spacing w:line="360" w:lineRule="auto"/>
              <w:jc w:val="center"/>
              <w:rPr>
                <w:rFonts w:hint="eastAsia" w:ascii="宋体" w:hAnsi="宋体"/>
                <w:color w:val="auto"/>
                <w:sz w:val="24"/>
                <w:highlight w:val="none"/>
              </w:rPr>
            </w:pPr>
            <w:r>
              <w:rPr>
                <w:rFonts w:hint="eastAsia" w:ascii="宋体" w:hAnsi="宋体"/>
                <w:color w:val="auto"/>
                <w:sz w:val="24"/>
                <w:highlight w:val="none"/>
              </w:rPr>
              <w:t>姓  名</w:t>
            </w:r>
          </w:p>
        </w:tc>
        <w:tc>
          <w:tcPr>
            <w:tcW w:w="2011" w:type="dxa"/>
          </w:tcPr>
          <w:p w14:paraId="4779AA18">
            <w:pPr>
              <w:spacing w:line="360" w:lineRule="auto"/>
              <w:jc w:val="center"/>
              <w:rPr>
                <w:rFonts w:hint="eastAsia" w:ascii="宋体" w:hAnsi="宋体"/>
                <w:color w:val="auto"/>
                <w:sz w:val="24"/>
                <w:highlight w:val="none"/>
              </w:rPr>
            </w:pPr>
          </w:p>
        </w:tc>
        <w:tc>
          <w:tcPr>
            <w:tcW w:w="2100" w:type="dxa"/>
          </w:tcPr>
          <w:p w14:paraId="5D04B83F">
            <w:pPr>
              <w:spacing w:line="360" w:lineRule="auto"/>
              <w:jc w:val="center"/>
              <w:rPr>
                <w:rFonts w:hint="eastAsia" w:ascii="宋体" w:hAnsi="宋体"/>
                <w:color w:val="auto"/>
                <w:sz w:val="24"/>
                <w:highlight w:val="none"/>
              </w:rPr>
            </w:pPr>
            <w:r>
              <w:rPr>
                <w:rFonts w:hint="eastAsia" w:ascii="宋体" w:hAnsi="宋体"/>
                <w:color w:val="auto"/>
                <w:sz w:val="24"/>
                <w:highlight w:val="none"/>
              </w:rPr>
              <w:t>身份证号</w:t>
            </w:r>
          </w:p>
        </w:tc>
        <w:tc>
          <w:tcPr>
            <w:tcW w:w="2281" w:type="dxa"/>
          </w:tcPr>
          <w:p w14:paraId="53E3AE5E">
            <w:pPr>
              <w:spacing w:line="360" w:lineRule="auto"/>
              <w:rPr>
                <w:rFonts w:hint="eastAsia" w:ascii="宋体" w:hAnsi="宋体"/>
                <w:color w:val="auto"/>
                <w:sz w:val="24"/>
                <w:highlight w:val="none"/>
              </w:rPr>
            </w:pPr>
          </w:p>
        </w:tc>
      </w:tr>
      <w:tr w14:paraId="29AB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3EB3DFE">
            <w:pPr>
              <w:spacing w:line="360" w:lineRule="auto"/>
              <w:jc w:val="center"/>
              <w:rPr>
                <w:rFonts w:hint="eastAsia" w:ascii="宋体" w:hAnsi="宋体"/>
                <w:color w:val="auto"/>
                <w:sz w:val="24"/>
                <w:highlight w:val="none"/>
              </w:rPr>
            </w:pPr>
            <w:r>
              <w:rPr>
                <w:rFonts w:hint="eastAsia" w:ascii="宋体" w:hAnsi="宋体"/>
                <w:color w:val="auto"/>
                <w:sz w:val="24"/>
                <w:highlight w:val="none"/>
              </w:rPr>
              <w:t>注册执业资格</w:t>
            </w:r>
          </w:p>
        </w:tc>
        <w:tc>
          <w:tcPr>
            <w:tcW w:w="2011" w:type="dxa"/>
          </w:tcPr>
          <w:p w14:paraId="5FA3FC6D">
            <w:pPr>
              <w:spacing w:line="360" w:lineRule="auto"/>
              <w:jc w:val="center"/>
              <w:rPr>
                <w:rFonts w:hint="eastAsia" w:ascii="宋体" w:hAnsi="宋体"/>
                <w:color w:val="auto"/>
                <w:sz w:val="24"/>
                <w:highlight w:val="none"/>
              </w:rPr>
            </w:pPr>
          </w:p>
        </w:tc>
        <w:tc>
          <w:tcPr>
            <w:tcW w:w="2100" w:type="dxa"/>
          </w:tcPr>
          <w:p w14:paraId="21375C85">
            <w:pPr>
              <w:spacing w:line="360" w:lineRule="auto"/>
              <w:jc w:val="center"/>
              <w:rPr>
                <w:rFonts w:hint="eastAsia" w:ascii="宋体" w:hAnsi="宋体"/>
                <w:color w:val="auto"/>
                <w:sz w:val="24"/>
                <w:highlight w:val="none"/>
              </w:rPr>
            </w:pPr>
            <w:r>
              <w:rPr>
                <w:rFonts w:hint="eastAsia" w:ascii="宋体" w:hAnsi="宋体"/>
                <w:color w:val="auto"/>
                <w:sz w:val="24"/>
                <w:highlight w:val="none"/>
              </w:rPr>
              <w:t>注册执业证号</w:t>
            </w:r>
          </w:p>
        </w:tc>
        <w:tc>
          <w:tcPr>
            <w:tcW w:w="2281" w:type="dxa"/>
          </w:tcPr>
          <w:p w14:paraId="74F8D8D0">
            <w:pPr>
              <w:spacing w:line="360" w:lineRule="auto"/>
              <w:rPr>
                <w:rFonts w:hint="eastAsia" w:ascii="宋体" w:hAnsi="宋体"/>
                <w:color w:val="auto"/>
                <w:sz w:val="24"/>
                <w:highlight w:val="none"/>
              </w:rPr>
            </w:pPr>
          </w:p>
        </w:tc>
      </w:tr>
      <w:tr w14:paraId="3341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14:paraId="4A585A0B">
            <w:pPr>
              <w:spacing w:line="360" w:lineRule="auto"/>
              <w:rPr>
                <w:rFonts w:hint="eastAsia" w:ascii="宋体" w:hAnsi="宋体"/>
                <w:color w:val="auto"/>
                <w:sz w:val="24"/>
                <w:highlight w:val="none"/>
              </w:rPr>
            </w:pPr>
            <w:r>
              <w:rPr>
                <w:rFonts w:hint="eastAsia" w:ascii="宋体" w:hAnsi="宋体"/>
                <w:color w:val="auto"/>
                <w:sz w:val="24"/>
                <w:highlight w:val="none"/>
              </w:rPr>
              <w:t xml:space="preserve">                              被授权人签字：</w:t>
            </w:r>
          </w:p>
        </w:tc>
      </w:tr>
    </w:tbl>
    <w:p w14:paraId="65EBC4B9">
      <w:pPr>
        <w:spacing w:line="360" w:lineRule="auto"/>
        <w:ind w:firstLine="560" w:firstLineChars="200"/>
        <w:rPr>
          <w:rFonts w:hint="eastAsia" w:ascii="宋体" w:hAnsi="宋体"/>
          <w:color w:val="auto"/>
          <w:sz w:val="28"/>
          <w:szCs w:val="28"/>
          <w:highlight w:val="none"/>
        </w:rPr>
      </w:pPr>
    </w:p>
    <w:p w14:paraId="2A28ECA5">
      <w:pPr>
        <w:spacing w:line="360" w:lineRule="auto"/>
        <w:ind w:firstLine="560" w:firstLineChars="200"/>
        <w:rPr>
          <w:rFonts w:hint="eastAsia" w:ascii="宋体" w:hAnsi="宋体"/>
          <w:color w:val="auto"/>
          <w:sz w:val="28"/>
          <w:szCs w:val="28"/>
          <w:highlight w:val="none"/>
        </w:rPr>
      </w:pPr>
    </w:p>
    <w:p w14:paraId="7FC30E3E">
      <w:pPr>
        <w:spacing w:line="360" w:lineRule="auto"/>
        <w:ind w:firstLine="560" w:firstLineChars="200"/>
        <w:rPr>
          <w:rFonts w:hint="eastAsia" w:ascii="宋体" w:hAnsi="宋体"/>
          <w:color w:val="auto"/>
          <w:sz w:val="24"/>
          <w:highlight w:val="none"/>
          <w:u w:val="single"/>
        </w:rPr>
      </w:pPr>
      <w:r>
        <w:rPr>
          <w:rFonts w:hint="eastAsia" w:ascii="宋体" w:hAnsi="宋体"/>
          <w:color w:val="auto"/>
          <w:sz w:val="28"/>
          <w:szCs w:val="28"/>
          <w:highlight w:val="none"/>
        </w:rPr>
        <w:t xml:space="preserve">                        </w:t>
      </w:r>
      <w:r>
        <w:rPr>
          <w:rFonts w:hint="eastAsia" w:ascii="宋体" w:hAnsi="宋体"/>
          <w:color w:val="auto"/>
          <w:spacing w:val="21"/>
          <w:sz w:val="24"/>
          <w:highlight w:val="none"/>
        </w:rPr>
        <w:t>授权单位（盖章）</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217377CF">
      <w:pPr>
        <w:spacing w:line="360" w:lineRule="auto"/>
        <w:ind w:firstLine="3960" w:firstLineChars="1650"/>
        <w:rPr>
          <w:rFonts w:hint="eastAsia" w:ascii="宋体" w:hAnsi="宋体"/>
          <w:color w:val="auto"/>
          <w:sz w:val="24"/>
          <w:highlight w:val="none"/>
          <w:u w:val="single"/>
        </w:rPr>
      </w:pPr>
      <w:r>
        <w:rPr>
          <w:rFonts w:hint="eastAsia" w:ascii="宋体" w:hAnsi="宋体"/>
          <w:color w:val="auto"/>
          <w:sz w:val="24"/>
          <w:highlight w:val="none"/>
        </w:rPr>
        <w:t>法定代表人（签字）：</w:t>
      </w:r>
      <w:r>
        <w:rPr>
          <w:rFonts w:hint="eastAsia" w:ascii="宋体" w:hAnsi="宋体"/>
          <w:color w:val="auto"/>
          <w:sz w:val="24"/>
          <w:highlight w:val="none"/>
          <w:u w:val="single"/>
        </w:rPr>
        <w:t xml:space="preserve">            </w:t>
      </w:r>
    </w:p>
    <w:p w14:paraId="1B5060A3">
      <w:pPr>
        <w:spacing w:line="360" w:lineRule="auto"/>
        <w:ind w:firstLine="3948" w:firstLineChars="1400"/>
        <w:rPr>
          <w:rFonts w:hint="eastAsia" w:ascii="宋体" w:hAnsi="宋体" w:cs="Calibri"/>
          <w:color w:val="auto"/>
          <w:sz w:val="24"/>
          <w:highlight w:val="none"/>
        </w:rPr>
      </w:pPr>
      <w:r>
        <w:rPr>
          <w:rFonts w:hint="eastAsia" w:ascii="宋体" w:hAnsi="宋体"/>
          <w:color w:val="auto"/>
          <w:spacing w:val="21"/>
          <w:sz w:val="24"/>
          <w:highlight w:val="none"/>
        </w:rPr>
        <w:t>授权日期：</w:t>
      </w:r>
      <w:r>
        <w:rPr>
          <w:rFonts w:hint="eastAsia" w:ascii="宋体" w:hAnsi="宋体"/>
          <w:color w:val="auto"/>
          <w:sz w:val="24"/>
          <w:highlight w:val="none"/>
        </w:rPr>
        <w:t xml:space="preserve">    年   月   日</w:t>
      </w:r>
    </w:p>
    <w:p w14:paraId="73DC6F0B">
      <w:pPr>
        <w:spacing w:line="360" w:lineRule="auto"/>
        <w:rPr>
          <w:rFonts w:hint="eastAsia" w:ascii="宋体" w:hAnsi="宋体" w:cs="Calibri"/>
          <w:color w:val="auto"/>
          <w:sz w:val="24"/>
          <w:highlight w:val="none"/>
        </w:rPr>
      </w:pPr>
    </w:p>
    <w:p w14:paraId="0C761FB6">
      <w:pPr>
        <w:spacing w:line="360" w:lineRule="auto"/>
        <w:rPr>
          <w:rFonts w:hint="eastAsia" w:ascii="宋体" w:hAnsi="宋体" w:cs="Calibri"/>
          <w:color w:val="auto"/>
          <w:sz w:val="24"/>
          <w:highlight w:val="none"/>
        </w:rPr>
      </w:pPr>
      <w:r>
        <w:rPr>
          <w:rFonts w:ascii="宋体" w:hAnsi="宋体" w:cs="Calibri"/>
          <w:color w:val="auto"/>
          <w:sz w:val="24"/>
          <w:highlight w:val="none"/>
        </w:rPr>
        <w:br w:type="page"/>
      </w:r>
    </w:p>
    <w:p w14:paraId="05CA1061">
      <w:pPr>
        <w:spacing w:before="312" w:beforeLines="100" w:after="312" w:afterLines="100" w:line="40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工程质量终身责任承诺书</w:t>
      </w:r>
    </w:p>
    <w:p w14:paraId="1F479118">
      <w:pPr>
        <w:spacing w:before="312" w:beforeLines="100" w:after="312" w:afterLines="10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本人受</w:t>
      </w:r>
      <w:r>
        <w:rPr>
          <w:rFonts w:hint="eastAsia" w:ascii="宋体" w:hAnsi="宋体"/>
          <w:color w:val="auto"/>
          <w:sz w:val="24"/>
          <w:highlight w:val="none"/>
          <w:u w:val="single"/>
        </w:rPr>
        <w:t xml:space="preserve">                         </w:t>
      </w:r>
      <w:r>
        <w:rPr>
          <w:rFonts w:hint="eastAsia" w:ascii="宋体" w:hAnsi="宋体"/>
          <w:color w:val="auto"/>
          <w:sz w:val="24"/>
          <w:highlight w:val="none"/>
        </w:rPr>
        <w:t>单位（法定代表人</w:t>
      </w:r>
      <w:r>
        <w:rPr>
          <w:rFonts w:hint="eastAsia" w:ascii="宋体" w:hAnsi="宋体" w:cs="仿宋"/>
          <w:color w:val="auto"/>
          <w:sz w:val="24"/>
          <w:highlight w:val="none"/>
          <w:u w:val="single"/>
        </w:rPr>
        <w:t xml:space="preserve">          </w:t>
      </w:r>
      <w:r>
        <w:rPr>
          <w:rFonts w:hint="eastAsia" w:ascii="宋体" w:hAnsi="宋体"/>
          <w:color w:val="auto"/>
          <w:sz w:val="24"/>
          <w:highlight w:val="none"/>
        </w:rPr>
        <w:t>）授权，担任</w:t>
      </w:r>
      <w:r>
        <w:rPr>
          <w:rFonts w:hint="eastAsia" w:ascii="宋体" w:hAnsi="宋体"/>
          <w:color w:val="auto"/>
          <w:sz w:val="24"/>
          <w:highlight w:val="none"/>
          <w:u w:val="single"/>
        </w:rPr>
        <w:t xml:space="preserve">                       </w:t>
      </w:r>
      <w:r>
        <w:rPr>
          <w:rFonts w:hint="eastAsia" w:ascii="宋体" w:hAnsi="宋体"/>
          <w:color w:val="auto"/>
          <w:sz w:val="24"/>
          <w:highlight w:val="none"/>
        </w:rPr>
        <w:t>工程项目的施工项目负责人，对该工程项目的施工工作实施组织管理。本人承诺严格依据国家有关法律法规及标准规范履行职责，并对设计使用年限内的工程质量承担相应终身责任。</w:t>
      </w:r>
    </w:p>
    <w:p w14:paraId="667B213E">
      <w:pPr>
        <w:spacing w:line="360" w:lineRule="auto"/>
        <w:ind w:firstLine="480" w:firstLineChars="200"/>
        <w:rPr>
          <w:rFonts w:hint="eastAsia" w:ascii="宋体" w:hAnsi="宋体"/>
          <w:color w:val="auto"/>
          <w:sz w:val="24"/>
          <w:highlight w:val="none"/>
        </w:rPr>
      </w:pPr>
    </w:p>
    <w:p w14:paraId="6663F213">
      <w:pPr>
        <w:spacing w:line="360" w:lineRule="auto"/>
        <w:ind w:firstLine="480" w:firstLineChars="200"/>
        <w:rPr>
          <w:rFonts w:hint="eastAsia" w:ascii="宋体" w:hAnsi="宋体"/>
          <w:color w:val="auto"/>
          <w:sz w:val="24"/>
          <w:highlight w:val="none"/>
        </w:rPr>
      </w:pPr>
    </w:p>
    <w:p w14:paraId="6D35948A">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 xml:space="preserve">                           </w:t>
      </w:r>
      <w:r>
        <w:rPr>
          <w:rFonts w:hint="eastAsia" w:ascii="宋体" w:hAnsi="宋体"/>
          <w:color w:val="auto"/>
          <w:spacing w:val="30"/>
          <w:sz w:val="24"/>
          <w:highlight w:val="none"/>
        </w:rPr>
        <w:t>承诺人签字</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65E0FB84">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                           </w:t>
      </w:r>
      <w:r>
        <w:rPr>
          <w:rFonts w:hint="eastAsia" w:ascii="宋体" w:hAnsi="宋体"/>
          <w:color w:val="auto"/>
          <w:spacing w:val="28"/>
          <w:sz w:val="24"/>
          <w:highlight w:val="none"/>
        </w:rPr>
        <w:t>身份证号</w:t>
      </w:r>
      <w:r>
        <w:rPr>
          <w:rFonts w:hint="eastAsia" w:ascii="宋体" w:hAnsi="宋体"/>
          <w:color w:val="auto"/>
          <w:sz w:val="24"/>
          <w:highlight w:val="none"/>
        </w:rPr>
        <w:t>：</w:t>
      </w:r>
      <w:r>
        <w:rPr>
          <w:rFonts w:hint="eastAsia" w:ascii="宋体" w:hAnsi="宋体"/>
          <w:color w:val="auto"/>
          <w:sz w:val="24"/>
          <w:highlight w:val="none"/>
          <w:u w:val="single"/>
        </w:rPr>
        <w:t xml:space="preserve">                       </w:t>
      </w:r>
    </w:p>
    <w:p w14:paraId="6A32E722">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                           注册执业资格：</w:t>
      </w:r>
      <w:r>
        <w:rPr>
          <w:rFonts w:hint="eastAsia" w:ascii="宋体" w:hAnsi="宋体" w:cs="仿宋"/>
          <w:color w:val="auto"/>
          <w:sz w:val="24"/>
          <w:highlight w:val="none"/>
          <w:u w:val="single"/>
        </w:rPr>
        <w:t xml:space="preserve">                     </w:t>
      </w:r>
    </w:p>
    <w:p w14:paraId="130AD59F">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 xml:space="preserve">                           注册执业证号：</w:t>
      </w:r>
      <w:r>
        <w:rPr>
          <w:rFonts w:hint="eastAsia" w:ascii="宋体" w:hAnsi="宋体" w:cs="仿宋"/>
          <w:color w:val="auto"/>
          <w:sz w:val="24"/>
          <w:highlight w:val="none"/>
          <w:u w:val="single"/>
        </w:rPr>
        <w:t xml:space="preserve">                     </w:t>
      </w:r>
    </w:p>
    <w:p w14:paraId="6ABA8F90">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color w:val="auto"/>
          <w:sz w:val="24"/>
          <w:highlight w:val="none"/>
        </w:rPr>
        <w:t xml:space="preserve">                               </w:t>
      </w:r>
      <w:r>
        <w:rPr>
          <w:rFonts w:hint="eastAsia" w:ascii="宋体" w:hAnsi="宋体"/>
          <w:color w:val="auto"/>
          <w:spacing w:val="28"/>
          <w:sz w:val="24"/>
          <w:highlight w:val="none"/>
        </w:rPr>
        <w:t>签字日期</w:t>
      </w:r>
      <w:r>
        <w:rPr>
          <w:rFonts w:hint="eastAsia" w:ascii="宋体" w:hAnsi="宋体"/>
          <w:color w:val="auto"/>
          <w:sz w:val="24"/>
          <w:highlight w:val="none"/>
        </w:rPr>
        <w:t>：    年  月  日</w:t>
      </w:r>
    </w:p>
    <w:p w14:paraId="6F0C6A67">
      <w:pPr>
        <w:adjustRightInd w:val="0"/>
        <w:snapToGrid w:val="0"/>
        <w:spacing w:line="360" w:lineRule="auto"/>
        <w:rPr>
          <w:rFonts w:hint="eastAsia" w:ascii="宋体" w:hAnsi="宋体"/>
          <w:snapToGrid w:val="0"/>
          <w:color w:val="auto"/>
          <w:kern w:val="0"/>
          <w:sz w:val="24"/>
          <w:szCs w:val="24"/>
          <w:highlight w:val="none"/>
        </w:rPr>
      </w:pPr>
    </w:p>
    <w:p w14:paraId="27B25B7D">
      <w:pPr>
        <w:adjustRightInd w:val="0"/>
        <w:snapToGrid w:val="0"/>
        <w:spacing w:line="360" w:lineRule="auto"/>
        <w:rPr>
          <w:rFonts w:hint="eastAsia" w:ascii="宋体" w:hAnsi="宋体"/>
          <w:color w:val="auto"/>
          <w:sz w:val="24"/>
          <w:highlight w:val="none"/>
        </w:rPr>
      </w:pPr>
      <w:r>
        <w:rPr>
          <w:rFonts w:ascii="宋体" w:hAnsi="宋体"/>
          <w:snapToGrid w:val="0"/>
          <w:color w:val="auto"/>
          <w:kern w:val="0"/>
          <w:sz w:val="24"/>
          <w:szCs w:val="24"/>
          <w:highlight w:val="none"/>
        </w:rPr>
        <w:br w:type="page"/>
      </w:r>
      <w:r>
        <w:rPr>
          <w:rFonts w:hint="eastAsia" w:ascii="宋体" w:hAnsi="宋体"/>
          <w:color w:val="auto"/>
          <w:sz w:val="24"/>
          <w:highlight w:val="none"/>
        </w:rPr>
        <w:t>附件13：</w:t>
      </w:r>
    </w:p>
    <w:p w14:paraId="389BCE88">
      <w:pPr>
        <w:adjustRightInd w:val="0"/>
        <w:snapToGrid w:val="0"/>
        <w:spacing w:line="360" w:lineRule="auto"/>
        <w:jc w:val="center"/>
        <w:rPr>
          <w:rFonts w:hint="eastAsia" w:ascii="宋体" w:hAnsi="宋体"/>
          <w:b/>
          <w:snapToGrid w:val="0"/>
          <w:color w:val="auto"/>
          <w:spacing w:val="-20"/>
          <w:kern w:val="0"/>
          <w:sz w:val="32"/>
          <w:szCs w:val="32"/>
          <w:highlight w:val="none"/>
        </w:rPr>
      </w:pPr>
      <w:r>
        <w:rPr>
          <w:rFonts w:hint="eastAsia" w:ascii="宋体" w:hAnsi="宋体"/>
          <w:b/>
          <w:snapToGrid w:val="0"/>
          <w:color w:val="auto"/>
          <w:spacing w:val="-20"/>
          <w:kern w:val="0"/>
          <w:sz w:val="32"/>
          <w:szCs w:val="32"/>
          <w:highlight w:val="none"/>
          <w:u w:val="single"/>
        </w:rPr>
        <w:t xml:space="preserve">                   </w:t>
      </w:r>
      <w:r>
        <w:rPr>
          <w:rFonts w:hint="eastAsia" w:ascii="宋体" w:hAnsi="宋体"/>
          <w:b/>
          <w:snapToGrid w:val="0"/>
          <w:color w:val="auto"/>
          <w:spacing w:val="-20"/>
          <w:kern w:val="0"/>
          <w:sz w:val="32"/>
          <w:szCs w:val="32"/>
          <w:highlight w:val="none"/>
        </w:rPr>
        <w:t>工程施工总承包管理协议书（格式）</w:t>
      </w:r>
    </w:p>
    <w:p w14:paraId="03E5EF57">
      <w:pPr>
        <w:adjustRightInd w:val="0"/>
        <w:snapToGrid w:val="0"/>
        <w:spacing w:line="360" w:lineRule="auto"/>
        <w:rPr>
          <w:rFonts w:hint="eastAsia" w:ascii="宋体" w:hAnsi="宋体"/>
          <w:bCs/>
          <w:snapToGrid w:val="0"/>
          <w:color w:val="auto"/>
          <w:kern w:val="0"/>
          <w:sz w:val="24"/>
          <w:szCs w:val="24"/>
          <w:highlight w:val="none"/>
        </w:rPr>
      </w:pPr>
    </w:p>
    <w:p w14:paraId="3BC5F4FC">
      <w:pPr>
        <w:adjustRightInd w:val="0"/>
        <w:snapToGrid w:val="0"/>
        <w:spacing w:line="360" w:lineRule="auto"/>
        <w:rPr>
          <w:rFonts w:hint="eastAsia" w:ascii="宋体" w:hAnsi="宋体"/>
          <w:b/>
          <w:bCs/>
          <w:snapToGrid w:val="0"/>
          <w:color w:val="auto"/>
          <w:kern w:val="0"/>
          <w:sz w:val="24"/>
          <w:szCs w:val="24"/>
          <w:highlight w:val="none"/>
        </w:rPr>
      </w:pPr>
      <w:r>
        <w:rPr>
          <w:rFonts w:hint="eastAsia" w:ascii="宋体" w:hAnsi="宋体"/>
          <w:b/>
          <w:bCs/>
          <w:snapToGrid w:val="0"/>
          <w:color w:val="auto"/>
          <w:kern w:val="0"/>
          <w:sz w:val="24"/>
          <w:szCs w:val="24"/>
          <w:highlight w:val="none"/>
        </w:rPr>
        <w:t>总 承 包人（甲方）：</w:t>
      </w:r>
      <w:r>
        <w:rPr>
          <w:rFonts w:hint="eastAsia" w:ascii="宋体" w:hAnsi="宋体"/>
          <w:b/>
          <w:snapToGrid w:val="0"/>
          <w:color w:val="auto"/>
          <w:spacing w:val="-20"/>
          <w:kern w:val="0"/>
          <w:sz w:val="24"/>
          <w:szCs w:val="24"/>
          <w:highlight w:val="none"/>
          <w:u w:val="single"/>
        </w:rPr>
        <w:t xml:space="preserve">                              </w:t>
      </w:r>
    </w:p>
    <w:p w14:paraId="5B92C9EA">
      <w:pPr>
        <w:adjustRightInd w:val="0"/>
        <w:snapToGrid w:val="0"/>
        <w:spacing w:line="360" w:lineRule="auto"/>
        <w:rPr>
          <w:rFonts w:hint="eastAsia" w:ascii="宋体" w:hAnsi="宋体"/>
          <w:b/>
          <w:snapToGrid w:val="0"/>
          <w:color w:val="auto"/>
          <w:spacing w:val="-20"/>
          <w:kern w:val="0"/>
          <w:sz w:val="24"/>
          <w:szCs w:val="24"/>
          <w:highlight w:val="none"/>
        </w:rPr>
      </w:pPr>
      <w:r>
        <w:rPr>
          <w:rFonts w:hint="eastAsia" w:ascii="宋体" w:hAnsi="宋体"/>
          <w:b/>
          <w:bCs/>
          <w:snapToGrid w:val="0"/>
          <w:color w:val="auto"/>
          <w:kern w:val="0"/>
          <w:sz w:val="24"/>
          <w:szCs w:val="24"/>
          <w:highlight w:val="none"/>
        </w:rPr>
        <w:t>专业承包人（乙方）：</w:t>
      </w:r>
      <w:r>
        <w:rPr>
          <w:rFonts w:hint="eastAsia" w:ascii="宋体" w:hAnsi="宋体"/>
          <w:b/>
          <w:snapToGrid w:val="0"/>
          <w:color w:val="auto"/>
          <w:spacing w:val="-20"/>
          <w:kern w:val="0"/>
          <w:sz w:val="24"/>
          <w:szCs w:val="24"/>
          <w:highlight w:val="none"/>
          <w:u w:val="single"/>
        </w:rPr>
        <w:t xml:space="preserve">                              </w:t>
      </w:r>
    </w:p>
    <w:p w14:paraId="265247BD">
      <w:pPr>
        <w:adjustRightInd w:val="0"/>
        <w:snapToGrid w:val="0"/>
        <w:spacing w:line="360" w:lineRule="auto"/>
        <w:rPr>
          <w:rFonts w:hint="eastAsia" w:ascii="宋体" w:hAnsi="宋体" w:eastAsia="宋体"/>
          <w:b/>
          <w:snapToGrid w:val="0"/>
          <w:color w:val="auto"/>
          <w:spacing w:val="-20"/>
          <w:kern w:val="0"/>
          <w:sz w:val="24"/>
          <w:szCs w:val="24"/>
          <w:highlight w:val="none"/>
          <w:lang w:eastAsia="zh-CN"/>
        </w:rPr>
      </w:pPr>
      <w:r>
        <w:rPr>
          <w:rFonts w:hint="eastAsia" w:ascii="宋体" w:hAnsi="宋体"/>
          <w:b/>
          <w:bCs/>
          <w:snapToGrid w:val="0"/>
          <w:color w:val="auto"/>
          <w:kern w:val="0"/>
          <w:sz w:val="24"/>
          <w:szCs w:val="24"/>
          <w:highlight w:val="none"/>
        </w:rPr>
        <w:t>发  包  人（丙方）：</w:t>
      </w:r>
      <w:r>
        <w:rPr>
          <w:rFonts w:hint="eastAsia" w:ascii="宋体" w:hAnsi="宋体"/>
          <w:b/>
          <w:snapToGrid w:val="0"/>
          <w:color w:val="auto"/>
          <w:spacing w:val="-20"/>
          <w:kern w:val="0"/>
          <w:sz w:val="24"/>
          <w:szCs w:val="24"/>
          <w:highlight w:val="none"/>
          <w:lang w:eastAsia="zh-CN"/>
        </w:rPr>
        <w:t>广州市荔湾发展集团有限责任公司</w:t>
      </w:r>
    </w:p>
    <w:p w14:paraId="6D511BDA">
      <w:pPr>
        <w:adjustRightInd w:val="0"/>
        <w:snapToGrid w:val="0"/>
        <w:spacing w:line="360" w:lineRule="auto"/>
        <w:rPr>
          <w:rFonts w:hint="eastAsia" w:ascii="宋体" w:hAnsi="宋体"/>
          <w:b/>
          <w:snapToGrid w:val="0"/>
          <w:color w:val="auto"/>
          <w:spacing w:val="-20"/>
          <w:kern w:val="0"/>
          <w:sz w:val="24"/>
          <w:szCs w:val="24"/>
          <w:highlight w:val="none"/>
        </w:rPr>
      </w:pPr>
    </w:p>
    <w:p w14:paraId="1035C43C">
      <w:pPr>
        <w:adjustRightInd w:val="0"/>
        <w:snapToGrid w:val="0"/>
        <w:spacing w:line="360" w:lineRule="auto"/>
        <w:rPr>
          <w:rFonts w:hint="eastAsia" w:ascii="宋体" w:hAnsi="宋体"/>
          <w:snapToGrid w:val="0"/>
          <w:color w:val="auto"/>
          <w:spacing w:val="-20"/>
          <w:kern w:val="0"/>
          <w:sz w:val="24"/>
          <w:szCs w:val="24"/>
          <w:highlight w:val="none"/>
        </w:rPr>
      </w:pPr>
      <w:r>
        <w:rPr>
          <w:rFonts w:hint="eastAsia" w:ascii="宋体" w:hAnsi="宋体"/>
          <w:b/>
          <w:color w:val="auto"/>
          <w:kern w:val="0"/>
          <w:sz w:val="24"/>
          <w:szCs w:val="24"/>
          <w:highlight w:val="none"/>
        </w:rPr>
        <w:t>鉴于：</w:t>
      </w:r>
    </w:p>
    <w:p w14:paraId="3B4BC7D4">
      <w:pPr>
        <w:adjustRightInd w:val="0"/>
        <w:snapToGrid w:val="0"/>
        <w:spacing w:line="360" w:lineRule="auto"/>
        <w:ind w:left="120" w:leftChars="57" w:right="11" w:firstLine="348" w:firstLineChars="145"/>
        <w:rPr>
          <w:rFonts w:hint="eastAsia"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1、</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月，发包人</w:t>
      </w:r>
      <w:r>
        <w:rPr>
          <w:rFonts w:hint="eastAsia" w:ascii="宋体" w:hAnsi="宋体" w:cs="宋体"/>
          <w:b/>
          <w:snapToGrid w:val="0"/>
          <w:color w:val="auto"/>
          <w:kern w:val="0"/>
          <w:sz w:val="24"/>
          <w:szCs w:val="24"/>
          <w:highlight w:val="none"/>
          <w:lang w:eastAsia="zh-CN"/>
        </w:rPr>
        <w:t>广州市荔湾发展集团有限责任公司</w:t>
      </w:r>
      <w:r>
        <w:rPr>
          <w:rFonts w:hint="eastAsia" w:ascii="宋体" w:hAnsi="宋体" w:cs="宋体"/>
          <w:snapToGrid w:val="0"/>
          <w:color w:val="auto"/>
          <w:kern w:val="0"/>
          <w:sz w:val="24"/>
          <w:szCs w:val="24"/>
          <w:highlight w:val="none"/>
        </w:rPr>
        <w:t>（以下称丙方）与总承包人</w:t>
      </w:r>
      <w:r>
        <w:rPr>
          <w:rFonts w:hint="eastAsia" w:ascii="宋体" w:hAnsi="宋体" w:cs="宋体"/>
          <w:b/>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（以下称甲方）就</w:t>
      </w:r>
      <w:r>
        <w:rPr>
          <w:rFonts w:hint="eastAsia" w:ascii="宋体" w:hAnsi="宋体" w:cs="宋体"/>
          <w:b/>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（以下称本项目）施工总承包签订《</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》（合同编号：</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，以下称《总承包合同》）。《总承包合同》约定由甲方负责本项目施工总承包及</w:t>
      </w:r>
      <w:r>
        <w:rPr>
          <w:rFonts w:hint="eastAsia" w:ascii="宋体" w:hAnsi="宋体"/>
          <w:bCs/>
          <w:snapToGrid w:val="0"/>
          <w:color w:val="auto"/>
          <w:kern w:val="0"/>
          <w:sz w:val="24"/>
          <w:szCs w:val="24"/>
          <w:highlight w:val="none"/>
        </w:rPr>
        <w:t>施工总承包管理与配合服务</w:t>
      </w:r>
      <w:r>
        <w:rPr>
          <w:rFonts w:hint="eastAsia" w:ascii="宋体" w:hAnsi="宋体" w:cs="宋体"/>
          <w:snapToGrid w:val="0"/>
          <w:color w:val="auto"/>
          <w:kern w:val="0"/>
          <w:sz w:val="24"/>
          <w:szCs w:val="24"/>
          <w:highlight w:val="none"/>
        </w:rPr>
        <w:t>。</w:t>
      </w:r>
    </w:p>
    <w:p w14:paraId="34084546">
      <w:pPr>
        <w:adjustRightInd w:val="0"/>
        <w:snapToGrid w:val="0"/>
        <w:spacing w:line="360" w:lineRule="auto"/>
        <w:ind w:left="120" w:leftChars="57" w:right="11" w:firstLine="348" w:firstLineChars="145"/>
        <w:rPr>
          <w:rFonts w:hint="eastAsia"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2、丙方依法确定</w:t>
      </w:r>
      <w:r>
        <w:rPr>
          <w:rFonts w:hint="eastAsia" w:ascii="宋体" w:hAnsi="宋体" w:cs="宋体"/>
          <w:b/>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（以下称乙方）为本项目XX工程的专业承包单位。</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年</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月，丙方与乙方签订《</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》（合同编号：</w:t>
      </w:r>
      <w:r>
        <w:rPr>
          <w:rFonts w:hint="eastAsia" w:ascii="宋体" w:hAnsi="宋体" w:cs="宋体"/>
          <w:snapToGrid w:val="0"/>
          <w:color w:val="auto"/>
          <w:kern w:val="0"/>
          <w:sz w:val="24"/>
          <w:szCs w:val="24"/>
          <w:highlight w:val="none"/>
          <w:u w:val="single"/>
        </w:rPr>
        <w:t xml:space="preserve">             </w:t>
      </w:r>
      <w:r>
        <w:rPr>
          <w:rFonts w:hint="eastAsia" w:ascii="宋体" w:hAnsi="宋体" w:cs="宋体"/>
          <w:snapToGrid w:val="0"/>
          <w:color w:val="auto"/>
          <w:kern w:val="0"/>
          <w:sz w:val="24"/>
          <w:szCs w:val="24"/>
          <w:highlight w:val="none"/>
        </w:rPr>
        <w:t>，以下称《XX承包合同》）。《XX承包合同》约定由乙方负责本项目XX工程施工。</w:t>
      </w:r>
    </w:p>
    <w:p w14:paraId="09197A13">
      <w:pPr>
        <w:adjustRightInd w:val="0"/>
        <w:snapToGrid w:val="0"/>
        <w:spacing w:line="360" w:lineRule="auto"/>
        <w:ind w:right="11" w:firstLine="470" w:firstLineChars="196"/>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现根据《广州市住房和城乡建设局关于规范房屋建筑工程施工承发包管理的通知》（穗建规[2019]10号）等相关规定，甲、乙、丙三方经协商一致，就本项目XX工程施工总承包管理事宜达成以下约定，以资共同遵守。</w:t>
      </w:r>
    </w:p>
    <w:p w14:paraId="403B2336">
      <w:pPr>
        <w:adjustRightInd w:val="0"/>
        <w:snapToGrid w:val="0"/>
        <w:spacing w:line="360" w:lineRule="auto"/>
        <w:ind w:right="11" w:firstLine="472" w:firstLineChars="196"/>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第一条 </w:t>
      </w:r>
      <w:r>
        <w:rPr>
          <w:rFonts w:hint="eastAsia" w:ascii="宋体" w:hAnsi="宋体"/>
          <w:snapToGrid w:val="0"/>
          <w:color w:val="auto"/>
          <w:kern w:val="0"/>
          <w:sz w:val="24"/>
          <w:szCs w:val="24"/>
          <w:highlight w:val="none"/>
        </w:rPr>
        <w:t>甲方同意按照</w:t>
      </w:r>
      <w:r>
        <w:rPr>
          <w:rFonts w:hint="eastAsia" w:ascii="宋体" w:hAnsi="宋体" w:cs="宋体"/>
          <w:snapToGrid w:val="0"/>
          <w:color w:val="auto"/>
          <w:kern w:val="0"/>
          <w:sz w:val="24"/>
          <w:szCs w:val="24"/>
          <w:highlight w:val="none"/>
        </w:rPr>
        <w:t>《总承包合同》的</w:t>
      </w:r>
      <w:r>
        <w:rPr>
          <w:rFonts w:hint="eastAsia" w:ascii="宋体" w:hAnsi="宋体"/>
          <w:snapToGrid w:val="0"/>
          <w:color w:val="auto"/>
          <w:kern w:val="0"/>
          <w:sz w:val="24"/>
          <w:szCs w:val="24"/>
          <w:highlight w:val="none"/>
        </w:rPr>
        <w:t>约定对乙方负责施工的XX工程</w:t>
      </w:r>
      <w:r>
        <w:rPr>
          <w:rFonts w:hint="eastAsia" w:ascii="宋体" w:hAnsi="宋体" w:cs="宋体"/>
          <w:snapToGrid w:val="0"/>
          <w:color w:val="auto"/>
          <w:kern w:val="0"/>
          <w:sz w:val="24"/>
          <w:szCs w:val="24"/>
          <w:highlight w:val="none"/>
        </w:rPr>
        <w:t>实施</w:t>
      </w:r>
      <w:r>
        <w:rPr>
          <w:rFonts w:hint="eastAsia" w:ascii="宋体" w:hAnsi="宋体"/>
          <w:snapToGrid w:val="0"/>
          <w:color w:val="auto"/>
          <w:kern w:val="0"/>
          <w:sz w:val="24"/>
          <w:szCs w:val="24"/>
          <w:highlight w:val="none"/>
        </w:rPr>
        <w:t>施工总承包管理，并为乙方提供专业工程配合服务；同时，乙方同意其所承包的XX工程内容纳入甲方的管理和协调范围，并服从甲方的施工总承包管理，否则由此导致生产质量、安全事故或其他不良行为的，由乙方承担主要责任。</w:t>
      </w:r>
    </w:p>
    <w:p w14:paraId="50084E53">
      <w:pPr>
        <w:adjustRightInd w:val="0"/>
        <w:snapToGrid w:val="0"/>
        <w:spacing w:line="360" w:lineRule="auto"/>
        <w:ind w:right="11" w:firstLine="472" w:firstLineChars="196"/>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第二条</w:t>
      </w:r>
      <w:r>
        <w:rPr>
          <w:rFonts w:hint="eastAsia" w:ascii="宋体" w:hAnsi="宋体"/>
          <w:snapToGrid w:val="0"/>
          <w:color w:val="auto"/>
          <w:kern w:val="0"/>
          <w:sz w:val="24"/>
          <w:szCs w:val="24"/>
          <w:highlight w:val="none"/>
        </w:rPr>
        <w:t xml:space="preserve"> 三方一致同意，乙方保证按照《XX承包合同》进行施工，按该合同约定承担相应责任，并向甲方承担XX工程的质量、安全、工期、文明施工、实名管理等责任，甲方对此向丙方承担责任。</w:t>
      </w:r>
    </w:p>
    <w:p w14:paraId="04E4F9FE">
      <w:pPr>
        <w:adjustRightInd w:val="0"/>
        <w:snapToGrid w:val="0"/>
        <w:spacing w:line="360" w:lineRule="auto"/>
        <w:ind w:left="105" w:right="11" w:firstLine="390" w:firstLineChars="162"/>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第三条 </w:t>
      </w:r>
      <w:r>
        <w:rPr>
          <w:rFonts w:hint="eastAsia" w:ascii="宋体" w:hAnsi="宋体"/>
          <w:snapToGrid w:val="0"/>
          <w:color w:val="auto"/>
          <w:kern w:val="0"/>
          <w:sz w:val="24"/>
          <w:szCs w:val="24"/>
          <w:highlight w:val="none"/>
        </w:rPr>
        <w:t>乙方同意承担XX工程的验收资料编制责任，按现行规范、规定的要求完成，确保提交给甲方的资料符合要求；甲方同意负责相关资料报送工作,如乙方资料被广州市建筑工程质量监督站或广州市城市建设档案馆提出整改要求,乙方有责任整改至符合要求,若因乙方工程资料未能达标或未能按时提交，所产生一切损失由乙方负责。</w:t>
      </w:r>
    </w:p>
    <w:p w14:paraId="6117CAEC">
      <w:pPr>
        <w:adjustRightInd w:val="0"/>
        <w:snapToGrid w:val="0"/>
        <w:spacing w:line="360" w:lineRule="auto"/>
        <w:ind w:left="105" w:right="11" w:firstLine="390" w:firstLineChars="162"/>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第四条 </w:t>
      </w:r>
      <w:r>
        <w:rPr>
          <w:rFonts w:hint="eastAsia" w:ascii="宋体" w:hAnsi="宋体"/>
          <w:snapToGrid w:val="0"/>
          <w:color w:val="auto"/>
          <w:kern w:val="0"/>
          <w:sz w:val="24"/>
          <w:szCs w:val="24"/>
          <w:highlight w:val="none"/>
        </w:rPr>
        <w:t>乙方同意承担XX工程的质量保修责任。XX工程的质量保修按照</w:t>
      </w:r>
      <w:r>
        <w:rPr>
          <w:rFonts w:hint="eastAsia" w:ascii="宋体" w:hAnsi="宋体" w:cs="宋体"/>
          <w:snapToGrid w:val="0"/>
          <w:color w:val="auto"/>
          <w:kern w:val="0"/>
          <w:sz w:val="24"/>
          <w:szCs w:val="24"/>
          <w:highlight w:val="none"/>
        </w:rPr>
        <w:t>《XX承包合同》</w:t>
      </w:r>
      <w:r>
        <w:rPr>
          <w:rFonts w:hint="eastAsia" w:ascii="宋体" w:hAnsi="宋体"/>
          <w:snapToGrid w:val="0"/>
          <w:color w:val="auto"/>
          <w:kern w:val="0"/>
          <w:sz w:val="24"/>
          <w:szCs w:val="24"/>
          <w:highlight w:val="none"/>
        </w:rPr>
        <w:t>的约定执行。</w:t>
      </w:r>
    </w:p>
    <w:p w14:paraId="67E6DAB6">
      <w:pPr>
        <w:adjustRightInd w:val="0"/>
        <w:snapToGrid w:val="0"/>
        <w:spacing w:line="360" w:lineRule="auto"/>
        <w:ind w:right="11" w:firstLine="472" w:firstLineChars="196"/>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第五条 </w:t>
      </w:r>
      <w:r>
        <w:rPr>
          <w:rFonts w:hint="eastAsia" w:ascii="宋体" w:hAnsi="宋体"/>
          <w:snapToGrid w:val="0"/>
          <w:color w:val="auto"/>
          <w:kern w:val="0"/>
          <w:sz w:val="24"/>
          <w:szCs w:val="24"/>
          <w:highlight w:val="none"/>
        </w:rPr>
        <w:t>三方一致同意，施工总承包管理费和专业工程配合服务费如由乙方支付，则其支付和结算按《总承包合同》及</w:t>
      </w:r>
      <w:r>
        <w:rPr>
          <w:rFonts w:hint="eastAsia" w:ascii="宋体" w:hAnsi="宋体" w:cs="宋体"/>
          <w:snapToGrid w:val="0"/>
          <w:color w:val="auto"/>
          <w:kern w:val="0"/>
          <w:sz w:val="24"/>
          <w:szCs w:val="24"/>
          <w:highlight w:val="none"/>
        </w:rPr>
        <w:t>《XX承包合同》</w:t>
      </w:r>
      <w:r>
        <w:rPr>
          <w:rFonts w:hint="eastAsia" w:ascii="宋体" w:hAnsi="宋体"/>
          <w:snapToGrid w:val="0"/>
          <w:color w:val="auto"/>
          <w:kern w:val="0"/>
          <w:sz w:val="24"/>
          <w:szCs w:val="24"/>
          <w:highlight w:val="none"/>
        </w:rPr>
        <w:t>的相关约定执行；如无需乙方支付，则其支付和结算按《总承包合同》的相关约定执行。</w:t>
      </w:r>
    </w:p>
    <w:p w14:paraId="4FDBD6C3">
      <w:pPr>
        <w:adjustRightInd w:val="0"/>
        <w:snapToGrid w:val="0"/>
        <w:spacing w:line="360" w:lineRule="auto"/>
        <w:ind w:right="11" w:firstLine="472" w:firstLineChars="196"/>
        <w:rPr>
          <w:rFonts w:hint="eastAsia" w:ascii="宋体" w:hAnsi="宋体"/>
          <w:color w:val="auto"/>
          <w:kern w:val="0"/>
          <w:sz w:val="24"/>
          <w:szCs w:val="24"/>
          <w:highlight w:val="none"/>
        </w:rPr>
      </w:pPr>
      <w:r>
        <w:rPr>
          <w:rFonts w:hint="eastAsia" w:ascii="宋体" w:hAnsi="宋体"/>
          <w:b/>
          <w:color w:val="auto"/>
          <w:kern w:val="0"/>
          <w:sz w:val="24"/>
          <w:szCs w:val="24"/>
          <w:highlight w:val="none"/>
        </w:rPr>
        <w:t xml:space="preserve">第六条 </w:t>
      </w:r>
      <w:r>
        <w:rPr>
          <w:rFonts w:hint="eastAsia" w:ascii="宋体" w:hAnsi="宋体"/>
          <w:color w:val="auto"/>
          <w:kern w:val="0"/>
          <w:sz w:val="24"/>
          <w:szCs w:val="24"/>
          <w:highlight w:val="none"/>
        </w:rPr>
        <w:t>若有其他未尽事宜，由三方另行商议达成补充协议。</w:t>
      </w:r>
    </w:p>
    <w:p w14:paraId="6AF49057">
      <w:pPr>
        <w:adjustRightInd w:val="0"/>
        <w:snapToGrid w:val="0"/>
        <w:spacing w:line="360" w:lineRule="auto"/>
        <w:ind w:right="11" w:firstLine="472" w:firstLineChars="196"/>
        <w:rPr>
          <w:rFonts w:hint="eastAsia" w:ascii="宋体" w:hAnsi="宋体"/>
          <w:color w:val="auto"/>
          <w:kern w:val="0"/>
          <w:sz w:val="24"/>
          <w:szCs w:val="24"/>
          <w:highlight w:val="none"/>
        </w:rPr>
      </w:pPr>
      <w:r>
        <w:rPr>
          <w:rFonts w:hint="eastAsia" w:ascii="宋体" w:hAnsi="宋体"/>
          <w:b/>
          <w:color w:val="auto"/>
          <w:kern w:val="0"/>
          <w:sz w:val="24"/>
          <w:szCs w:val="24"/>
          <w:highlight w:val="none"/>
        </w:rPr>
        <w:t xml:space="preserve">第七条 </w:t>
      </w:r>
      <w:r>
        <w:rPr>
          <w:rFonts w:hint="eastAsia" w:ascii="宋体" w:hAnsi="宋体"/>
          <w:color w:val="auto"/>
          <w:kern w:val="0"/>
          <w:sz w:val="24"/>
          <w:szCs w:val="24"/>
          <w:highlight w:val="none"/>
        </w:rPr>
        <w:t>三方因本协议或者履行本协议所产生的争议</w:t>
      </w:r>
      <w:r>
        <w:rPr>
          <w:rFonts w:ascii="宋体" w:hAnsi="宋体"/>
          <w:color w:val="auto"/>
          <w:kern w:val="0"/>
          <w:sz w:val="24"/>
          <w:szCs w:val="24"/>
          <w:highlight w:val="none"/>
        </w:rPr>
        <w:t>，</w:t>
      </w:r>
      <w:r>
        <w:rPr>
          <w:rFonts w:hint="eastAsia" w:ascii="宋体" w:hAnsi="宋体"/>
          <w:color w:val="auto"/>
          <w:kern w:val="0"/>
          <w:sz w:val="24"/>
          <w:szCs w:val="24"/>
          <w:highlight w:val="none"/>
        </w:rPr>
        <w:t>可先行协商解决，经协商达成一致意见的，应签订补充协议；若协商不成的，三方均可向丙方住所地人民法院提起诉讼。</w:t>
      </w:r>
    </w:p>
    <w:p w14:paraId="6C565182">
      <w:pPr>
        <w:adjustRightInd w:val="0"/>
        <w:snapToGrid w:val="0"/>
        <w:spacing w:line="360" w:lineRule="auto"/>
        <w:ind w:right="11" w:firstLine="472" w:firstLineChars="196"/>
        <w:rPr>
          <w:rFonts w:hint="eastAsia" w:ascii="宋体" w:hAnsi="宋体"/>
          <w:color w:val="auto"/>
          <w:kern w:val="0"/>
          <w:sz w:val="24"/>
          <w:szCs w:val="24"/>
          <w:highlight w:val="none"/>
        </w:rPr>
      </w:pPr>
      <w:r>
        <w:rPr>
          <w:rFonts w:hint="eastAsia" w:ascii="宋体" w:hAnsi="宋体"/>
          <w:b/>
          <w:color w:val="auto"/>
          <w:kern w:val="0"/>
          <w:sz w:val="24"/>
          <w:szCs w:val="24"/>
          <w:highlight w:val="none"/>
        </w:rPr>
        <w:t xml:space="preserve">第八条 </w:t>
      </w:r>
      <w:r>
        <w:rPr>
          <w:rFonts w:hint="eastAsia" w:ascii="宋体" w:hAnsi="宋体"/>
          <w:color w:val="auto"/>
          <w:kern w:val="0"/>
          <w:sz w:val="24"/>
          <w:szCs w:val="24"/>
          <w:highlight w:val="none"/>
        </w:rPr>
        <w:t>本协议自三方法定代表人（或委托代理人）签字盖章之日起生效。</w:t>
      </w:r>
    </w:p>
    <w:p w14:paraId="05EB0ED9">
      <w:pPr>
        <w:adjustRightInd w:val="0"/>
        <w:snapToGrid w:val="0"/>
        <w:spacing w:line="360" w:lineRule="auto"/>
        <w:ind w:right="11" w:firstLine="472" w:firstLineChars="196"/>
        <w:rPr>
          <w:rFonts w:hint="eastAsia" w:ascii="宋体" w:hAnsi="宋体"/>
          <w:snapToGrid w:val="0"/>
          <w:color w:val="auto"/>
          <w:kern w:val="0"/>
          <w:sz w:val="24"/>
          <w:szCs w:val="24"/>
          <w:highlight w:val="none"/>
        </w:rPr>
      </w:pPr>
      <w:r>
        <w:rPr>
          <w:rFonts w:hint="eastAsia" w:ascii="宋体" w:hAnsi="宋体"/>
          <w:b/>
          <w:snapToGrid w:val="0"/>
          <w:color w:val="auto"/>
          <w:kern w:val="0"/>
          <w:sz w:val="24"/>
          <w:szCs w:val="24"/>
          <w:highlight w:val="none"/>
        </w:rPr>
        <w:t xml:space="preserve">第九条 </w:t>
      </w:r>
      <w:r>
        <w:rPr>
          <w:rFonts w:hint="eastAsia" w:ascii="宋体" w:hAnsi="宋体"/>
          <w:color w:val="auto"/>
          <w:kern w:val="0"/>
          <w:sz w:val="24"/>
          <w:szCs w:val="24"/>
          <w:highlight w:val="none"/>
        </w:rPr>
        <w:t>本协议共</w:t>
      </w:r>
      <w:r>
        <w:rPr>
          <w:rFonts w:hint="eastAsia" w:ascii="宋体" w:hAnsi="宋体"/>
          <w:color w:val="auto"/>
          <w:kern w:val="0"/>
          <w:sz w:val="24"/>
          <w:szCs w:val="24"/>
          <w:highlight w:val="none"/>
          <w:u w:val="single"/>
        </w:rPr>
        <w:t>玖</w:t>
      </w:r>
      <w:r>
        <w:rPr>
          <w:rFonts w:hint="eastAsia" w:ascii="宋体" w:hAnsi="宋体"/>
          <w:color w:val="auto"/>
          <w:kern w:val="0"/>
          <w:sz w:val="24"/>
          <w:szCs w:val="24"/>
          <w:highlight w:val="none"/>
        </w:rPr>
        <w:t>份，三各执叁份。</w:t>
      </w:r>
      <w:r>
        <w:rPr>
          <w:rFonts w:hint="eastAsia" w:ascii="宋体" w:hAnsi="宋体"/>
          <w:bCs/>
          <w:snapToGrid w:val="0"/>
          <w:color w:val="auto"/>
          <w:kern w:val="0"/>
          <w:sz w:val="24"/>
          <w:highlight w:val="none"/>
        </w:rPr>
        <w:t>协议正、副本具有同等效力，但当正本与副本的表述不一致时，以正本为准。</w:t>
      </w:r>
    </w:p>
    <w:p w14:paraId="5855AA93">
      <w:pPr>
        <w:adjustRightInd w:val="0"/>
        <w:snapToGrid w:val="0"/>
        <w:spacing w:line="360" w:lineRule="auto"/>
        <w:ind w:right="11"/>
        <w:rPr>
          <w:rFonts w:hint="eastAsia" w:ascii="宋体" w:hAnsi="宋体"/>
          <w:color w:val="auto"/>
          <w:kern w:val="0"/>
          <w:sz w:val="24"/>
          <w:szCs w:val="24"/>
          <w:highlight w:val="none"/>
        </w:rPr>
      </w:pPr>
    </w:p>
    <w:p w14:paraId="04B1D952">
      <w:pPr>
        <w:adjustRightInd w:val="0"/>
        <w:snapToGrid w:val="0"/>
        <w:spacing w:line="360" w:lineRule="auto"/>
        <w:ind w:right="11"/>
        <w:rPr>
          <w:rFonts w:hint="eastAsia" w:ascii="宋体" w:hAnsi="宋体"/>
          <w:color w:val="auto"/>
          <w:kern w:val="0"/>
          <w:sz w:val="24"/>
          <w:szCs w:val="24"/>
          <w:highlight w:val="none"/>
        </w:rPr>
      </w:pPr>
      <w:r>
        <w:rPr>
          <w:rFonts w:hint="eastAsia" w:ascii="宋体" w:hAnsi="宋体"/>
          <w:color w:val="auto"/>
          <w:kern w:val="0"/>
          <w:sz w:val="24"/>
          <w:szCs w:val="24"/>
          <w:highlight w:val="none"/>
        </w:rPr>
        <w:t>（本页以下无正文）</w:t>
      </w:r>
    </w:p>
    <w:p w14:paraId="1781C18E">
      <w:pPr>
        <w:adjustRightInd w:val="0"/>
        <w:snapToGrid w:val="0"/>
        <w:spacing w:line="360" w:lineRule="auto"/>
        <w:ind w:right="11" w:firstLine="470" w:firstLineChars="196"/>
        <w:rPr>
          <w:rFonts w:hint="eastAsia" w:ascii="宋体" w:hAnsi="宋体"/>
          <w:color w:val="auto"/>
          <w:kern w:val="0"/>
          <w:sz w:val="24"/>
          <w:szCs w:val="24"/>
          <w:highlight w:val="none"/>
        </w:rPr>
      </w:pPr>
    </w:p>
    <w:p w14:paraId="7C9669A5">
      <w:pPr>
        <w:adjustRightInd w:val="0"/>
        <w:snapToGrid w:val="0"/>
        <w:spacing w:line="360" w:lineRule="auto"/>
        <w:ind w:right="11" w:firstLine="470" w:firstLineChars="196"/>
        <w:rPr>
          <w:rFonts w:hint="eastAsia" w:ascii="宋体" w:hAnsi="宋体"/>
          <w:color w:val="auto"/>
          <w:kern w:val="0"/>
          <w:sz w:val="24"/>
          <w:szCs w:val="24"/>
          <w:highlight w:val="none"/>
        </w:rPr>
      </w:pPr>
    </w:p>
    <w:p w14:paraId="186DD694">
      <w:pPr>
        <w:adjustRightInd w:val="0"/>
        <w:snapToGrid w:val="0"/>
        <w:spacing w:line="360" w:lineRule="auto"/>
        <w:ind w:right="11" w:firstLine="470" w:firstLineChars="196"/>
        <w:rPr>
          <w:rFonts w:hint="eastAsia" w:ascii="宋体" w:hAnsi="宋体"/>
          <w:color w:val="auto"/>
          <w:kern w:val="0"/>
          <w:sz w:val="24"/>
          <w:szCs w:val="24"/>
          <w:highlight w:val="none"/>
        </w:rPr>
      </w:pPr>
    </w:p>
    <w:p w14:paraId="0D783442">
      <w:pPr>
        <w:adjustRightInd w:val="0"/>
        <w:snapToGrid w:val="0"/>
        <w:spacing w:line="360" w:lineRule="auto"/>
        <w:ind w:right="11"/>
        <w:rPr>
          <w:rFonts w:hint="eastAsia" w:ascii="宋体" w:hAnsi="宋体"/>
          <w:b/>
          <w:snapToGrid w:val="0"/>
          <w:color w:val="auto"/>
          <w:spacing w:val="-20"/>
          <w:kern w:val="0"/>
          <w:sz w:val="24"/>
          <w:szCs w:val="24"/>
          <w:highlight w:val="none"/>
        </w:rPr>
      </w:pPr>
      <w:r>
        <w:rPr>
          <w:rFonts w:ascii="宋体" w:hAnsi="宋体"/>
          <w:color w:val="auto"/>
          <w:kern w:val="0"/>
          <w:sz w:val="24"/>
          <w:szCs w:val="24"/>
          <w:highlight w:val="none"/>
        </w:rPr>
        <w:br w:type="page"/>
      </w:r>
      <w:r>
        <w:rPr>
          <w:rFonts w:hint="eastAsia" w:ascii="宋体" w:hAnsi="宋体"/>
          <w:b/>
          <w:snapToGrid w:val="0"/>
          <w:color w:val="auto"/>
          <w:kern w:val="0"/>
          <w:sz w:val="24"/>
          <w:szCs w:val="24"/>
          <w:highlight w:val="none"/>
        </w:rPr>
        <w:t>甲方：</w:t>
      </w:r>
      <w:r>
        <w:rPr>
          <w:rFonts w:hint="eastAsia" w:ascii="宋体" w:hAnsi="宋体"/>
          <w:b/>
          <w:snapToGrid w:val="0"/>
          <w:color w:val="auto"/>
          <w:spacing w:val="-20"/>
          <w:kern w:val="0"/>
          <w:sz w:val="24"/>
          <w:szCs w:val="24"/>
          <w:highlight w:val="none"/>
          <w:u w:val="single"/>
        </w:rPr>
        <w:t xml:space="preserve">                                        </w:t>
      </w:r>
      <w:r>
        <w:rPr>
          <w:rFonts w:hint="eastAsia" w:ascii="宋体" w:hAnsi="宋体"/>
          <w:b/>
          <w:snapToGrid w:val="0"/>
          <w:color w:val="auto"/>
          <w:spacing w:val="-20"/>
          <w:kern w:val="0"/>
          <w:sz w:val="24"/>
          <w:szCs w:val="24"/>
          <w:highlight w:val="none"/>
        </w:rPr>
        <w:t xml:space="preserve">    </w:t>
      </w:r>
      <w:r>
        <w:rPr>
          <w:rFonts w:hint="eastAsia" w:ascii="宋体" w:hAnsi="宋体"/>
          <w:b/>
          <w:snapToGrid w:val="0"/>
          <w:color w:val="auto"/>
          <w:kern w:val="0"/>
          <w:sz w:val="24"/>
          <w:szCs w:val="24"/>
          <w:highlight w:val="none"/>
        </w:rPr>
        <w:t>乙方</w:t>
      </w:r>
      <w:r>
        <w:rPr>
          <w:rFonts w:hint="eastAsia" w:ascii="宋体" w:hAnsi="宋体"/>
          <w:snapToGrid w:val="0"/>
          <w:color w:val="auto"/>
          <w:kern w:val="0"/>
          <w:sz w:val="24"/>
          <w:szCs w:val="24"/>
          <w:highlight w:val="none"/>
        </w:rPr>
        <w:t>：</w:t>
      </w:r>
      <w:r>
        <w:rPr>
          <w:rFonts w:hint="eastAsia" w:ascii="宋体" w:hAnsi="宋体"/>
          <w:b/>
          <w:snapToGrid w:val="0"/>
          <w:color w:val="auto"/>
          <w:spacing w:val="-20"/>
          <w:kern w:val="0"/>
          <w:sz w:val="24"/>
          <w:szCs w:val="24"/>
          <w:highlight w:val="none"/>
          <w:u w:val="single"/>
        </w:rPr>
        <w:t xml:space="preserve">                                      </w:t>
      </w:r>
    </w:p>
    <w:p w14:paraId="319899EF">
      <w:pPr>
        <w:adjustRightInd w:val="0"/>
        <w:snapToGrid w:val="0"/>
        <w:spacing w:line="360" w:lineRule="auto"/>
        <w:ind w:right="11" w:firstLine="1080" w:firstLineChars="45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（盖章）                             （盖章）</w:t>
      </w:r>
    </w:p>
    <w:p w14:paraId="4190645B">
      <w:pPr>
        <w:adjustRightInd w:val="0"/>
        <w:snapToGrid w:val="0"/>
        <w:spacing w:line="360" w:lineRule="auto"/>
        <w:ind w:right="11"/>
        <w:rPr>
          <w:rFonts w:hint="eastAsia" w:ascii="宋体" w:hAnsi="宋体"/>
          <w:snapToGrid w:val="0"/>
          <w:color w:val="auto"/>
          <w:kern w:val="0"/>
          <w:sz w:val="24"/>
          <w:szCs w:val="24"/>
          <w:highlight w:val="none"/>
        </w:rPr>
      </w:pPr>
    </w:p>
    <w:p w14:paraId="78B34487">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法定代表人：                        法定代表人：</w:t>
      </w:r>
    </w:p>
    <w:p w14:paraId="3E3995B2">
      <w:pPr>
        <w:adjustRightInd w:val="0"/>
        <w:snapToGrid w:val="0"/>
        <w:spacing w:line="360" w:lineRule="auto"/>
        <w:ind w:left="-2" w:leftChars="-1"/>
        <w:rPr>
          <w:rFonts w:hint="eastAsia" w:ascii="宋体" w:hAnsi="宋体"/>
          <w:snapToGrid w:val="0"/>
          <w:color w:val="auto"/>
          <w:kern w:val="0"/>
          <w:sz w:val="24"/>
          <w:szCs w:val="24"/>
          <w:highlight w:val="none"/>
        </w:rPr>
      </w:pPr>
    </w:p>
    <w:p w14:paraId="07AF7E77">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委托代理人：                        委托代理人：</w:t>
      </w:r>
    </w:p>
    <w:p w14:paraId="17B6CF87">
      <w:pPr>
        <w:adjustRightInd w:val="0"/>
        <w:snapToGrid w:val="0"/>
        <w:spacing w:line="360" w:lineRule="auto"/>
        <w:ind w:left="-2" w:leftChars="-1"/>
        <w:rPr>
          <w:rFonts w:hint="eastAsia" w:ascii="宋体" w:hAnsi="宋体"/>
          <w:snapToGrid w:val="0"/>
          <w:color w:val="auto"/>
          <w:kern w:val="0"/>
          <w:sz w:val="24"/>
          <w:szCs w:val="24"/>
          <w:highlight w:val="none"/>
        </w:rPr>
      </w:pPr>
    </w:p>
    <w:p w14:paraId="331BF76B">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住址：</w:t>
      </w:r>
      <w:r>
        <w:rPr>
          <w:rFonts w:hint="eastAsia" w:ascii="宋体" w:hAnsi="宋体"/>
          <w:snapToGrid w:val="0"/>
          <w:color w:val="auto"/>
          <w:spacing w:val="-20"/>
          <w:kern w:val="0"/>
          <w:sz w:val="24"/>
          <w:szCs w:val="24"/>
          <w:highlight w:val="none"/>
        </w:rPr>
        <w:t xml:space="preserve">                                              </w:t>
      </w:r>
      <w:r>
        <w:rPr>
          <w:rFonts w:hint="eastAsia" w:ascii="宋体" w:hAnsi="宋体"/>
          <w:snapToGrid w:val="0"/>
          <w:color w:val="auto"/>
          <w:kern w:val="0"/>
          <w:sz w:val="24"/>
          <w:szCs w:val="24"/>
          <w:highlight w:val="none"/>
        </w:rPr>
        <w:t>住址：</w:t>
      </w:r>
    </w:p>
    <w:p w14:paraId="1CC228A5">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邮编：                               邮编：</w:t>
      </w:r>
    </w:p>
    <w:p w14:paraId="2FCDEB20">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电话：                               电话：</w:t>
      </w:r>
    </w:p>
    <w:p w14:paraId="08999D37">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传真：                               传真：</w:t>
      </w:r>
    </w:p>
    <w:p w14:paraId="048A6076">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日期：     年  月  日                日期：     年  月  日</w:t>
      </w:r>
    </w:p>
    <w:p w14:paraId="2AF2E2B0">
      <w:pPr>
        <w:adjustRightInd w:val="0"/>
        <w:snapToGrid w:val="0"/>
        <w:spacing w:line="360" w:lineRule="auto"/>
        <w:rPr>
          <w:rFonts w:hint="eastAsia" w:ascii="宋体" w:hAnsi="宋体"/>
          <w:snapToGrid w:val="0"/>
          <w:color w:val="auto"/>
          <w:kern w:val="0"/>
          <w:sz w:val="24"/>
          <w:szCs w:val="24"/>
          <w:highlight w:val="none"/>
        </w:rPr>
      </w:pPr>
    </w:p>
    <w:p w14:paraId="4DDCCB9A">
      <w:pPr>
        <w:adjustRightInd w:val="0"/>
        <w:snapToGrid w:val="0"/>
        <w:spacing w:line="360" w:lineRule="auto"/>
        <w:rPr>
          <w:rFonts w:hint="eastAsia" w:ascii="宋体" w:hAnsi="宋体"/>
          <w:snapToGrid w:val="0"/>
          <w:color w:val="auto"/>
          <w:kern w:val="0"/>
          <w:sz w:val="24"/>
          <w:szCs w:val="24"/>
          <w:highlight w:val="none"/>
        </w:rPr>
      </w:pPr>
    </w:p>
    <w:p w14:paraId="3B30A451">
      <w:pPr>
        <w:adjustRightInd w:val="0"/>
        <w:snapToGrid w:val="0"/>
        <w:spacing w:line="360" w:lineRule="auto"/>
        <w:rPr>
          <w:rFonts w:hint="eastAsia" w:ascii="宋体" w:hAnsi="宋体"/>
          <w:snapToGrid w:val="0"/>
          <w:color w:val="auto"/>
          <w:kern w:val="0"/>
          <w:sz w:val="24"/>
          <w:szCs w:val="24"/>
          <w:highlight w:val="none"/>
        </w:rPr>
      </w:pPr>
    </w:p>
    <w:p w14:paraId="16656204">
      <w:pPr>
        <w:adjustRightInd w:val="0"/>
        <w:snapToGrid w:val="0"/>
        <w:spacing w:line="360" w:lineRule="auto"/>
        <w:rPr>
          <w:rFonts w:hint="eastAsia" w:ascii="宋体" w:hAnsi="宋体" w:eastAsia="宋体"/>
          <w:b/>
          <w:bCs/>
          <w:snapToGrid w:val="0"/>
          <w:color w:val="auto"/>
          <w:kern w:val="0"/>
          <w:sz w:val="24"/>
          <w:szCs w:val="24"/>
          <w:highlight w:val="none"/>
          <w:lang w:eastAsia="zh-CN"/>
        </w:rPr>
      </w:pPr>
      <w:r>
        <w:rPr>
          <w:rFonts w:hint="eastAsia" w:ascii="宋体" w:hAnsi="宋体"/>
          <w:b/>
          <w:snapToGrid w:val="0"/>
          <w:color w:val="auto"/>
          <w:kern w:val="0"/>
          <w:sz w:val="24"/>
          <w:szCs w:val="24"/>
          <w:highlight w:val="none"/>
        </w:rPr>
        <w:t>丙方</w:t>
      </w:r>
      <w:r>
        <w:rPr>
          <w:rFonts w:hint="eastAsia" w:ascii="宋体" w:hAnsi="宋体"/>
          <w:snapToGrid w:val="0"/>
          <w:color w:val="auto"/>
          <w:kern w:val="0"/>
          <w:sz w:val="24"/>
          <w:szCs w:val="24"/>
          <w:highlight w:val="none"/>
        </w:rPr>
        <w:t>：</w:t>
      </w:r>
      <w:r>
        <w:rPr>
          <w:rFonts w:hint="eastAsia" w:ascii="宋体" w:hAnsi="宋体"/>
          <w:b/>
          <w:snapToGrid w:val="0"/>
          <w:color w:val="auto"/>
          <w:kern w:val="0"/>
          <w:sz w:val="24"/>
          <w:szCs w:val="24"/>
          <w:highlight w:val="none"/>
          <w:lang w:eastAsia="zh-CN"/>
        </w:rPr>
        <w:t>广州市荔湾发展集团有限责任公司</w:t>
      </w:r>
    </w:p>
    <w:p w14:paraId="5A341F6C">
      <w:pPr>
        <w:adjustRightInd w:val="0"/>
        <w:snapToGrid w:val="0"/>
        <w:spacing w:line="360" w:lineRule="auto"/>
        <w:ind w:right="11" w:firstLine="3000" w:firstLineChars="1250"/>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（盖章）</w:t>
      </w:r>
    </w:p>
    <w:p w14:paraId="05196A9D">
      <w:pPr>
        <w:adjustRightInd w:val="0"/>
        <w:snapToGrid w:val="0"/>
        <w:spacing w:line="360" w:lineRule="auto"/>
        <w:ind w:right="11" w:firstLine="840" w:firstLineChars="350"/>
        <w:rPr>
          <w:rFonts w:hint="eastAsia" w:ascii="宋体" w:hAnsi="宋体"/>
          <w:snapToGrid w:val="0"/>
          <w:color w:val="auto"/>
          <w:kern w:val="0"/>
          <w:sz w:val="24"/>
          <w:szCs w:val="24"/>
          <w:highlight w:val="none"/>
        </w:rPr>
      </w:pPr>
    </w:p>
    <w:p w14:paraId="239DD1A9">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 xml:space="preserve">法定代表人： </w:t>
      </w:r>
    </w:p>
    <w:p w14:paraId="2DCDC89A">
      <w:pPr>
        <w:adjustRightInd w:val="0"/>
        <w:snapToGrid w:val="0"/>
        <w:spacing w:line="360" w:lineRule="auto"/>
        <w:ind w:left="-2" w:leftChars="-1"/>
        <w:rPr>
          <w:rFonts w:hint="eastAsia" w:ascii="宋体" w:hAnsi="宋体"/>
          <w:snapToGrid w:val="0"/>
          <w:color w:val="auto"/>
          <w:kern w:val="0"/>
          <w:sz w:val="24"/>
          <w:szCs w:val="24"/>
          <w:highlight w:val="none"/>
        </w:rPr>
      </w:pPr>
    </w:p>
    <w:p w14:paraId="64DE2302">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委托代理人：</w:t>
      </w:r>
    </w:p>
    <w:p w14:paraId="2EA9E02A">
      <w:pPr>
        <w:adjustRightInd w:val="0"/>
        <w:snapToGrid w:val="0"/>
        <w:spacing w:line="360" w:lineRule="auto"/>
        <w:ind w:left="-2" w:leftChars="-1"/>
        <w:rPr>
          <w:rFonts w:hint="eastAsia" w:ascii="宋体" w:hAnsi="宋体"/>
          <w:snapToGrid w:val="0"/>
          <w:color w:val="auto"/>
          <w:kern w:val="0"/>
          <w:sz w:val="24"/>
          <w:szCs w:val="24"/>
          <w:highlight w:val="none"/>
        </w:rPr>
      </w:pPr>
    </w:p>
    <w:p w14:paraId="6E658C30">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住址：</w:t>
      </w:r>
    </w:p>
    <w:p w14:paraId="1FD6273D">
      <w:pPr>
        <w:adjustRightInd w:val="0"/>
        <w:snapToGrid w:val="0"/>
        <w:spacing w:line="360" w:lineRule="auto"/>
        <w:ind w:left="-2" w:leftChars="-1"/>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邮编：电话：</w:t>
      </w:r>
    </w:p>
    <w:p w14:paraId="4A63B82E">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传真：</w:t>
      </w:r>
    </w:p>
    <w:p w14:paraId="45C753FB">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 xml:space="preserve">日期：     年  月  日 </w:t>
      </w:r>
    </w:p>
    <w:p w14:paraId="3C4D1760">
      <w:pPr>
        <w:adjustRightInd w:val="0"/>
        <w:snapToGrid w:val="0"/>
        <w:spacing w:line="360" w:lineRule="auto"/>
        <w:rPr>
          <w:rFonts w:hint="eastAsia" w:ascii="宋体" w:hAnsi="宋体"/>
          <w:snapToGrid w:val="0"/>
          <w:color w:val="auto"/>
          <w:kern w:val="0"/>
          <w:sz w:val="24"/>
          <w:szCs w:val="24"/>
          <w:highlight w:val="none"/>
        </w:rPr>
      </w:pPr>
    </w:p>
    <w:p w14:paraId="0E3C318F">
      <w:pPr>
        <w:adjustRightInd w:val="0"/>
        <w:snapToGrid w:val="0"/>
        <w:spacing w:line="360" w:lineRule="auto"/>
        <w:jc w:val="center"/>
        <w:rPr>
          <w:rFonts w:hint="eastAsia" w:ascii="宋体" w:hAnsi="宋体"/>
          <w:color w:val="auto"/>
          <w:sz w:val="24"/>
          <w:highlight w:val="none"/>
        </w:rPr>
      </w:pPr>
      <w:r>
        <w:rPr>
          <w:rFonts w:hint="eastAsia" w:ascii="宋体" w:hAnsi="宋体"/>
          <w:snapToGrid w:val="0"/>
          <w:color w:val="auto"/>
          <w:kern w:val="0"/>
          <w:sz w:val="24"/>
          <w:szCs w:val="24"/>
          <w:highlight w:val="none"/>
        </w:rPr>
        <w:t>本协议签订于广东省广州市</w:t>
      </w:r>
      <w:r>
        <w:rPr>
          <w:rFonts w:hint="eastAsia" w:ascii="宋体" w:hAnsi="宋体"/>
          <w:snapToGrid w:val="0"/>
          <w:color w:val="auto"/>
          <w:kern w:val="0"/>
          <w:sz w:val="24"/>
          <w:szCs w:val="24"/>
          <w:highlight w:val="none"/>
          <w:lang w:eastAsia="zh-CN"/>
        </w:rPr>
        <w:t>荔湾区</w:t>
      </w:r>
      <w:r>
        <w:rPr>
          <w:rFonts w:hint="eastAsia" w:ascii="宋体" w:hAnsi="宋体"/>
          <w:snapToGrid w:val="0"/>
          <w:color w:val="auto"/>
          <w:kern w:val="0"/>
          <w:sz w:val="24"/>
          <w:szCs w:val="24"/>
          <w:highlight w:val="none"/>
        </w:rPr>
        <w:t>。</w:t>
      </w:r>
    </w:p>
    <w:p w14:paraId="0BD0E24B">
      <w:pPr>
        <w:adjustRightInd w:val="0"/>
        <w:snapToGrid w:val="0"/>
        <w:spacing w:line="360" w:lineRule="auto"/>
        <w:rPr>
          <w:rFonts w:hint="eastAsia" w:ascii="宋体" w:hAnsi="宋体"/>
          <w:snapToGrid w:val="0"/>
          <w:color w:val="auto"/>
          <w:kern w:val="0"/>
          <w:sz w:val="24"/>
          <w:szCs w:val="24"/>
          <w:highlight w:val="none"/>
        </w:rPr>
      </w:pPr>
      <w:r>
        <w:rPr>
          <w:rFonts w:ascii="宋体" w:hAnsi="宋体"/>
          <w:snapToGrid w:val="0"/>
          <w:color w:val="auto"/>
          <w:kern w:val="0"/>
          <w:sz w:val="24"/>
          <w:szCs w:val="24"/>
          <w:highlight w:val="none"/>
        </w:rPr>
        <w:br w:type="page"/>
      </w:r>
      <w:r>
        <w:rPr>
          <w:rFonts w:hint="eastAsia" w:ascii="宋体" w:hAnsi="宋体"/>
          <w:snapToGrid w:val="0"/>
          <w:color w:val="auto"/>
          <w:kern w:val="0"/>
          <w:sz w:val="24"/>
          <w:szCs w:val="24"/>
          <w:highlight w:val="none"/>
        </w:rPr>
        <w:t>附件14：</w:t>
      </w:r>
    </w:p>
    <w:p w14:paraId="407EABCD">
      <w:pPr>
        <w:adjustRightInd w:val="0"/>
        <w:snapToGrid w:val="0"/>
        <w:spacing w:line="360" w:lineRule="auto"/>
        <w:jc w:val="center"/>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u w:val="single"/>
        </w:rPr>
        <w:t xml:space="preserve">                        </w:t>
      </w:r>
      <w:r>
        <w:rPr>
          <w:rFonts w:hint="eastAsia" w:ascii="宋体" w:hAnsi="宋体"/>
          <w:b/>
          <w:snapToGrid w:val="0"/>
          <w:color w:val="auto"/>
          <w:kern w:val="0"/>
          <w:sz w:val="32"/>
          <w:szCs w:val="32"/>
          <w:highlight w:val="none"/>
        </w:rPr>
        <w:t>工程</w:t>
      </w:r>
    </w:p>
    <w:p w14:paraId="403DF29F">
      <w:pPr>
        <w:adjustRightInd w:val="0"/>
        <w:snapToGrid w:val="0"/>
        <w:spacing w:line="360" w:lineRule="auto"/>
        <w:jc w:val="center"/>
        <w:rPr>
          <w:rFonts w:hint="eastAsia"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施工组织架构图及投入主要人员汇总表（复印件）</w:t>
      </w:r>
    </w:p>
    <w:p w14:paraId="7A57311E">
      <w:pPr>
        <w:adjustRightInd w:val="0"/>
        <w:snapToGrid w:val="0"/>
        <w:spacing w:line="360" w:lineRule="auto"/>
        <w:rPr>
          <w:rFonts w:hint="eastAsia" w:ascii="宋体" w:hAnsi="宋体"/>
          <w:snapToGrid w:val="0"/>
          <w:color w:val="auto"/>
          <w:kern w:val="0"/>
          <w:sz w:val="24"/>
          <w:szCs w:val="24"/>
          <w:highlight w:val="none"/>
        </w:rPr>
      </w:pPr>
    </w:p>
    <w:p w14:paraId="580EA191">
      <w:pPr>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br w:type="page"/>
      </w:r>
    </w:p>
    <w:p w14:paraId="39D6DFAC">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附件15：承包人营业执照副本(复印件)</w:t>
      </w:r>
    </w:p>
    <w:p w14:paraId="50E99DD3">
      <w:pPr>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br w:type="page"/>
      </w:r>
    </w:p>
    <w:p w14:paraId="358BE79F">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附件16：</w:t>
      </w:r>
    </w:p>
    <w:p w14:paraId="300081E0">
      <w:pPr>
        <w:adjustRightInd w:val="0"/>
        <w:snapToGrid w:val="0"/>
        <w:spacing w:line="360" w:lineRule="auto"/>
        <w:jc w:val="center"/>
        <w:rPr>
          <w:rFonts w:hint="eastAsia" w:ascii="宋体" w:hAnsi="宋体" w:cs="宋体"/>
          <w:b/>
          <w:snapToGrid w:val="0"/>
          <w:color w:val="auto"/>
          <w:kern w:val="0"/>
          <w:sz w:val="32"/>
          <w:szCs w:val="32"/>
          <w:highlight w:val="none"/>
          <w:lang w:bidi="ar"/>
        </w:rPr>
      </w:pPr>
      <w:r>
        <w:rPr>
          <w:rFonts w:hint="eastAsia" w:ascii="宋体" w:hAnsi="宋体" w:cs="宋体"/>
          <w:b/>
          <w:snapToGrid w:val="0"/>
          <w:color w:val="auto"/>
          <w:kern w:val="0"/>
          <w:sz w:val="32"/>
          <w:szCs w:val="32"/>
          <w:highlight w:val="none"/>
          <w:lang w:bidi="ar"/>
        </w:rPr>
        <w:t>《质保期银行履约保函（格式）》</w:t>
      </w:r>
    </w:p>
    <w:p w14:paraId="0036A2B0">
      <w:pPr>
        <w:autoSpaceDE w:val="0"/>
        <w:autoSpaceDN w:val="0"/>
        <w:adjustRightInd w:val="0"/>
        <w:snapToGrid w:val="0"/>
        <w:spacing w:line="360" w:lineRule="auto"/>
        <w:jc w:val="center"/>
        <w:rPr>
          <w:rFonts w:hint="eastAsia" w:ascii="宋体" w:hAnsi="宋体" w:cs="宋体"/>
          <w:color w:val="auto"/>
          <w:kern w:val="0"/>
          <w:sz w:val="24"/>
          <w:szCs w:val="24"/>
          <w:highlight w:val="none"/>
          <w:u w:val="single"/>
        </w:rPr>
      </w:pPr>
      <w:r>
        <w:rPr>
          <w:rFonts w:hint="eastAsia" w:ascii="宋体" w:hAnsi="宋体" w:cs="宋体"/>
          <w:color w:val="auto"/>
          <w:kern w:val="0"/>
          <w:sz w:val="24"/>
          <w:szCs w:val="24"/>
          <w:highlight w:val="none"/>
          <w:lang w:bidi="ar"/>
        </w:rPr>
        <w:t>编号：</w:t>
      </w:r>
      <w:r>
        <w:rPr>
          <w:rFonts w:hint="eastAsia" w:ascii="宋体" w:hAnsi="宋体" w:cs="宋体"/>
          <w:color w:val="auto"/>
          <w:kern w:val="0"/>
          <w:sz w:val="24"/>
          <w:szCs w:val="24"/>
          <w:highlight w:val="none"/>
          <w:u w:val="single"/>
          <w:lang w:bidi="ar"/>
        </w:rPr>
        <w:t xml:space="preserve">     </w:t>
      </w:r>
    </w:p>
    <w:p w14:paraId="78AE8A2F">
      <w:pPr>
        <w:adjustRightInd w:val="0"/>
        <w:snapToGrid w:val="0"/>
        <w:spacing w:line="324" w:lineRule="auto"/>
        <w:jc w:val="left"/>
        <w:rPr>
          <w:rFonts w:hint="eastAsia" w:ascii="宋体" w:hAnsi="宋体" w:cs="宋体"/>
          <w:color w:val="auto"/>
          <w:kern w:val="0"/>
          <w:szCs w:val="21"/>
          <w:highlight w:val="none"/>
        </w:rPr>
      </w:pP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w:t>
      </w:r>
    </w:p>
    <w:p w14:paraId="57FB803B">
      <w:pPr>
        <w:adjustRightInd w:val="0"/>
        <w:snapToGrid w:val="0"/>
        <w:spacing w:line="324"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鉴于</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（以下称承包人）按照《</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招标文件》和承包人中标的投标文件与</w:t>
      </w:r>
      <w:r>
        <w:rPr>
          <w:rFonts w:hint="eastAsia" w:ascii="宋体" w:hAnsi="宋体" w:cs="宋体"/>
          <w:color w:val="auto"/>
          <w:kern w:val="0"/>
          <w:szCs w:val="21"/>
          <w:highlight w:val="none"/>
          <w:lang w:eastAsia="zh-CN" w:bidi="ar"/>
        </w:rPr>
        <w:t>广州市荔湾发展集团有限责任公司</w:t>
      </w:r>
      <w:r>
        <w:rPr>
          <w:rFonts w:hint="eastAsia" w:ascii="宋体" w:hAnsi="宋体" w:cs="宋体"/>
          <w:color w:val="auto"/>
          <w:kern w:val="0"/>
          <w:szCs w:val="21"/>
          <w:highlight w:val="none"/>
          <w:lang w:bidi="ar"/>
        </w:rPr>
        <w:t>订立《</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施工总承包合同》（以下简称合同）。我行同意为承包人出具担保金额为人民币</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）的</w:t>
      </w:r>
      <w:r>
        <w:rPr>
          <w:rFonts w:hint="eastAsia" w:ascii="宋体" w:hAnsi="宋体" w:cs="宋体"/>
          <w:b/>
          <w:color w:val="auto"/>
          <w:kern w:val="0"/>
          <w:szCs w:val="21"/>
          <w:highlight w:val="none"/>
          <w:lang w:bidi="ar"/>
        </w:rPr>
        <w:t>连带责任保证</w:t>
      </w:r>
      <w:r>
        <w:rPr>
          <w:rFonts w:hint="eastAsia" w:ascii="宋体" w:hAnsi="宋体" w:cs="宋体"/>
          <w:color w:val="auto"/>
          <w:kern w:val="0"/>
          <w:szCs w:val="21"/>
          <w:highlight w:val="none"/>
          <w:lang w:bidi="ar"/>
        </w:rPr>
        <w:t>保函作为承包人在</w:t>
      </w:r>
      <w:r>
        <w:rPr>
          <w:rFonts w:hint="eastAsia" w:ascii="宋体" w:hAnsi="宋体" w:cs="宋体"/>
          <w:b/>
          <w:color w:val="auto"/>
          <w:kern w:val="0"/>
          <w:szCs w:val="21"/>
          <w:highlight w:val="none"/>
          <w:lang w:bidi="ar"/>
        </w:rPr>
        <w:t>防水工程质量保修期</w:t>
      </w:r>
      <w:r>
        <w:rPr>
          <w:rFonts w:hint="eastAsia" w:ascii="宋体" w:hAnsi="宋体" w:cs="宋体"/>
          <w:color w:val="auto"/>
          <w:kern w:val="0"/>
          <w:szCs w:val="21"/>
          <w:highlight w:val="none"/>
          <w:lang w:bidi="ar"/>
        </w:rPr>
        <w:t>内对合同约定工程出现的</w:t>
      </w:r>
      <w:r>
        <w:rPr>
          <w:rFonts w:hint="eastAsia" w:ascii="宋体" w:hAnsi="宋体" w:cs="宋体"/>
          <w:b/>
          <w:color w:val="auto"/>
          <w:kern w:val="0"/>
          <w:szCs w:val="21"/>
          <w:highlight w:val="none"/>
          <w:lang w:bidi="ar"/>
        </w:rPr>
        <w:t>防水工程质量问题</w:t>
      </w:r>
      <w:r>
        <w:rPr>
          <w:rFonts w:hint="eastAsia" w:ascii="宋体" w:hAnsi="宋体" w:cs="宋体"/>
          <w:color w:val="auto"/>
          <w:kern w:val="0"/>
          <w:szCs w:val="21"/>
          <w:highlight w:val="none"/>
          <w:lang w:bidi="ar"/>
        </w:rPr>
        <w:t>履行维修义务的担保。担保的范围为承包人按法律规定以及合同约定应向贵方履行的全部义务，包括但不限于</w:t>
      </w:r>
      <w:r>
        <w:rPr>
          <w:rFonts w:hint="eastAsia" w:ascii="宋体" w:hAnsi="宋体" w:cs="宋体"/>
          <w:color w:val="auto"/>
          <w:szCs w:val="21"/>
          <w:highlight w:val="none"/>
          <w:shd w:val="clear" w:color="auto" w:fill="FFFFFF"/>
          <w:lang w:bidi="ar"/>
        </w:rPr>
        <w:t>对建设工程出现的</w:t>
      </w:r>
      <w:r>
        <w:rPr>
          <w:rFonts w:hint="eastAsia" w:ascii="宋体" w:hAnsi="宋体" w:cs="宋体"/>
          <w:b/>
          <w:color w:val="auto"/>
          <w:kern w:val="0"/>
          <w:szCs w:val="21"/>
          <w:highlight w:val="none"/>
          <w:lang w:bidi="ar"/>
        </w:rPr>
        <w:t>防水工程质量问题</w:t>
      </w:r>
      <w:r>
        <w:rPr>
          <w:rFonts w:hint="eastAsia" w:ascii="宋体" w:hAnsi="宋体" w:cs="宋体"/>
          <w:color w:val="auto"/>
          <w:szCs w:val="21"/>
          <w:highlight w:val="none"/>
          <w:shd w:val="clear" w:color="auto" w:fill="FFFFFF"/>
          <w:lang w:bidi="ar"/>
        </w:rPr>
        <w:t>进行维修的费用</w:t>
      </w:r>
      <w:r>
        <w:rPr>
          <w:rFonts w:hint="eastAsia" w:ascii="宋体" w:hAnsi="宋体" w:cs="宋体"/>
          <w:color w:val="auto"/>
          <w:kern w:val="0"/>
          <w:szCs w:val="21"/>
          <w:highlight w:val="none"/>
          <w:lang w:bidi="ar"/>
        </w:rPr>
        <w:t>，应向贵方支付的利息，在人力资源、材料、机械设备投入，施工质量，施工工期，施工人员工资支付，工程分包，施工（总）承包管理和现场整体组织，专业协调及配合等方面的违约金，损害赔偿金，实现债权的费用。</w:t>
      </w:r>
    </w:p>
    <w:p w14:paraId="7A0202AA">
      <w:pPr>
        <w:adjustRightInd w:val="0"/>
        <w:snapToGrid w:val="0"/>
        <w:spacing w:line="324" w:lineRule="auto"/>
        <w:ind w:firstLine="48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我行承诺如下：</w:t>
      </w:r>
    </w:p>
    <w:p w14:paraId="356E4045">
      <w:pPr>
        <w:adjustRightInd w:val="0"/>
        <w:snapToGrid w:val="0"/>
        <w:spacing w:line="324" w:lineRule="auto"/>
        <w:ind w:firstLine="48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1、承包人在按照合同约定及法律规定对建设工程出现的</w:t>
      </w:r>
      <w:r>
        <w:rPr>
          <w:rFonts w:hint="eastAsia" w:ascii="宋体" w:hAnsi="宋体" w:cs="宋体"/>
          <w:b/>
          <w:color w:val="auto"/>
          <w:kern w:val="0"/>
          <w:szCs w:val="21"/>
          <w:highlight w:val="none"/>
          <w:lang w:bidi="ar"/>
        </w:rPr>
        <w:t>防水工程质量问题</w:t>
      </w:r>
      <w:r>
        <w:rPr>
          <w:rFonts w:hint="eastAsia" w:ascii="宋体" w:hAnsi="宋体" w:cs="宋体"/>
          <w:color w:val="auto"/>
          <w:kern w:val="0"/>
          <w:szCs w:val="21"/>
          <w:highlight w:val="none"/>
          <w:lang w:bidi="ar"/>
        </w:rPr>
        <w:t>履行维修义务过程中，由于资金、技术、质量或非不可抗力及其他违约行为等原因需向贵方支付违约金或赔偿金时，在贵方</w:t>
      </w:r>
      <w:r>
        <w:rPr>
          <w:rFonts w:hint="eastAsia" w:ascii="宋体" w:hAnsi="宋体" w:cs="宋体"/>
          <w:color w:val="auto"/>
          <w:szCs w:val="21"/>
          <w:highlight w:val="none"/>
          <w:lang w:bidi="ar"/>
        </w:rPr>
        <w:t>以书面索赔通知纸质原件形式提出要求得到上述金额内的任何付款时（需提供本保函正本原件供我行核对），我行在7个工作日内予以支付累计不超过上述担保金额的款项</w:t>
      </w:r>
      <w:r>
        <w:rPr>
          <w:rFonts w:hint="eastAsia" w:ascii="宋体" w:hAnsi="宋体" w:cs="宋体"/>
          <w:color w:val="auto"/>
          <w:kern w:val="0"/>
          <w:szCs w:val="21"/>
          <w:highlight w:val="none"/>
          <w:lang w:bidi="ar"/>
        </w:rPr>
        <w:t>，不挑剔、不争辩，也不要求贵方出具证明或说明背景、理由。</w:t>
      </w:r>
    </w:p>
    <w:p w14:paraId="369F676C">
      <w:pPr>
        <w:adjustRightInd w:val="0"/>
        <w:snapToGrid w:val="0"/>
        <w:spacing w:line="324" w:lineRule="auto"/>
        <w:ind w:firstLine="48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2、我行放弃贵方应先向承包人要求赔偿上述金额然后再向我行提出要求的权利。</w:t>
      </w:r>
    </w:p>
    <w:p w14:paraId="5B89F9FD">
      <w:pPr>
        <w:adjustRightInd w:val="0"/>
        <w:snapToGrid w:val="0"/>
        <w:spacing w:line="324" w:lineRule="auto"/>
        <w:ind w:firstLine="48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3、我行进一步同意，在贵方和承包人之间的合同条件、合同项下的工程或合同发生变化、补充或修改，在不加重我行担保责任的情况下，我行承担本保函的责任也不改变。有关上述变化、补充和修改也无须通知我行。</w:t>
      </w:r>
    </w:p>
    <w:p w14:paraId="00CFC202">
      <w:pPr>
        <w:adjustRightInd w:val="0"/>
        <w:snapToGrid w:val="0"/>
        <w:spacing w:line="324" w:lineRule="auto"/>
        <w:ind w:firstLine="48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4、</w:t>
      </w:r>
      <w:r>
        <w:rPr>
          <w:rFonts w:hint="eastAsia" w:ascii="宋体" w:hAnsi="宋体" w:cs="宋体"/>
          <w:color w:val="auto"/>
          <w:szCs w:val="21"/>
          <w:highlight w:val="none"/>
          <w:lang w:bidi="ar"/>
        </w:rPr>
        <w:t>本保函有效期间为</w:t>
      </w:r>
      <w:r>
        <w:rPr>
          <w:rFonts w:hint="eastAsia" w:ascii="宋体" w:hAnsi="宋体" w:cs="宋体"/>
          <w:color w:val="auto"/>
          <w:kern w:val="0"/>
          <w:szCs w:val="21"/>
          <w:highlight w:val="none"/>
          <w:lang w:bidi="ar"/>
        </w:rPr>
        <w:t>：自本保函签署之日起至合同约定的</w:t>
      </w:r>
      <w:r>
        <w:rPr>
          <w:rFonts w:hint="eastAsia" w:ascii="宋体" w:hAnsi="宋体" w:cs="宋体"/>
          <w:b/>
          <w:color w:val="auto"/>
          <w:kern w:val="0"/>
          <w:szCs w:val="21"/>
          <w:highlight w:val="none"/>
          <w:lang w:bidi="ar"/>
        </w:rPr>
        <w:t>防水工程质量保修期</w:t>
      </w:r>
      <w:r>
        <w:rPr>
          <w:rFonts w:hint="eastAsia" w:ascii="宋体" w:hAnsi="宋体" w:cs="宋体"/>
          <w:color w:val="auto"/>
          <w:kern w:val="0"/>
          <w:szCs w:val="21"/>
          <w:highlight w:val="none"/>
          <w:lang w:bidi="ar"/>
        </w:rPr>
        <w:t>满后六个月届满之日止，但最迟不超过年月日。</w:t>
      </w:r>
    </w:p>
    <w:p w14:paraId="2418AFFB">
      <w:pPr>
        <w:adjustRightInd w:val="0"/>
        <w:snapToGrid w:val="0"/>
        <w:spacing w:line="324" w:lineRule="auto"/>
        <w:ind w:firstLine="480"/>
        <w:rPr>
          <w:rFonts w:hint="eastAsia" w:ascii="宋体" w:hAnsi="宋体" w:cs="宋体"/>
          <w:color w:val="auto"/>
          <w:szCs w:val="21"/>
          <w:highlight w:val="none"/>
        </w:rPr>
      </w:pPr>
      <w:r>
        <w:rPr>
          <w:rFonts w:hint="eastAsia" w:ascii="宋体" w:hAnsi="宋体" w:cs="宋体"/>
          <w:color w:val="auto"/>
          <w:kern w:val="0"/>
          <w:szCs w:val="21"/>
          <w:highlight w:val="none"/>
          <w:lang w:bidi="ar"/>
        </w:rPr>
        <w:t>5、</w:t>
      </w:r>
      <w:r>
        <w:rPr>
          <w:rFonts w:hint="eastAsia" w:ascii="宋体" w:hAnsi="宋体" w:cs="宋体"/>
          <w:color w:val="auto"/>
          <w:szCs w:val="21"/>
          <w:highlight w:val="none"/>
          <w:lang w:bidi="ar"/>
        </w:rPr>
        <w:t>本保函适用中华人民共和国法律，任何与本保函有关的争议均需提交工程项目所在地人民法院提起诉讼。</w:t>
      </w:r>
    </w:p>
    <w:p w14:paraId="50F161F6">
      <w:pPr>
        <w:adjustRightInd w:val="0"/>
        <w:snapToGrid w:val="0"/>
        <w:spacing w:line="324"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本保函自我行负责人（或委托代理人）签字并加盖公章之日起生效。</w:t>
      </w:r>
    </w:p>
    <w:p w14:paraId="31B1F493">
      <w:pPr>
        <w:adjustRightInd w:val="0"/>
        <w:snapToGrid w:val="0"/>
        <w:spacing w:line="324" w:lineRule="auto"/>
        <w:ind w:firstLine="480"/>
        <w:rPr>
          <w:rFonts w:hint="eastAsia" w:ascii="宋体" w:hAnsi="宋体" w:cs="宋体"/>
          <w:color w:val="auto"/>
          <w:szCs w:val="21"/>
          <w:highlight w:val="none"/>
        </w:rPr>
      </w:pPr>
      <w:r>
        <w:rPr>
          <w:rFonts w:hint="eastAsia" w:ascii="宋体" w:hAnsi="宋体" w:cs="宋体"/>
          <w:color w:val="auto"/>
          <w:szCs w:val="21"/>
          <w:highlight w:val="none"/>
          <w:lang w:bidi="ar"/>
        </w:rPr>
        <w:t xml:space="preserve"> </w:t>
      </w:r>
    </w:p>
    <w:p w14:paraId="3795322F">
      <w:pPr>
        <w:adjustRightInd w:val="0"/>
        <w:snapToGrid w:val="0"/>
        <w:spacing w:line="324" w:lineRule="auto"/>
        <w:ind w:firstLine="4095" w:firstLineChars="195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银行名称：（盖章）</w:t>
      </w:r>
    </w:p>
    <w:p w14:paraId="0156E8DF">
      <w:pPr>
        <w:adjustRightInd w:val="0"/>
        <w:snapToGrid w:val="0"/>
        <w:spacing w:line="324" w:lineRule="auto"/>
        <w:ind w:firstLine="4095" w:firstLineChars="195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银行负责人（或委托代理人）：</w:t>
      </w:r>
    </w:p>
    <w:p w14:paraId="123001DF">
      <w:pPr>
        <w:adjustRightInd w:val="0"/>
        <w:snapToGrid w:val="0"/>
        <w:spacing w:line="324" w:lineRule="auto"/>
        <w:ind w:firstLine="4095" w:firstLineChars="195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地址：</w:t>
      </w:r>
    </w:p>
    <w:p w14:paraId="4831A10D">
      <w:pPr>
        <w:adjustRightInd w:val="0"/>
        <w:snapToGrid w:val="0"/>
        <w:spacing w:line="324" w:lineRule="auto"/>
        <w:ind w:firstLine="4095" w:firstLineChars="195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邮政编码：</w:t>
      </w:r>
    </w:p>
    <w:p w14:paraId="6666A5C7">
      <w:pPr>
        <w:adjustRightInd w:val="0"/>
        <w:snapToGrid w:val="0"/>
        <w:spacing w:line="324" w:lineRule="auto"/>
        <w:ind w:firstLine="4095" w:firstLineChars="1950"/>
        <w:rPr>
          <w:rFonts w:hint="eastAsia" w:ascii="宋体" w:hAnsi="宋体" w:cs="宋体"/>
          <w:color w:val="auto"/>
          <w:kern w:val="0"/>
          <w:szCs w:val="21"/>
          <w:highlight w:val="none"/>
        </w:rPr>
      </w:pPr>
      <w:r>
        <w:rPr>
          <w:rFonts w:hint="eastAsia" w:ascii="宋体" w:hAnsi="宋体" w:cs="宋体"/>
          <w:color w:val="auto"/>
          <w:kern w:val="0"/>
          <w:szCs w:val="21"/>
          <w:highlight w:val="none"/>
          <w:lang w:bidi="ar"/>
        </w:rPr>
        <w:t>联系电话：</w:t>
      </w:r>
    </w:p>
    <w:p w14:paraId="5A0FD53A">
      <w:pPr>
        <w:widowControl/>
        <w:spacing w:line="336" w:lineRule="auto"/>
        <w:jc w:val="left"/>
        <w:rPr>
          <w:rFonts w:hint="eastAsia" w:ascii="宋体" w:hAnsi="宋体" w:cs="宋体"/>
          <w:color w:val="auto"/>
          <w:sz w:val="24"/>
          <w:szCs w:val="24"/>
          <w:highlight w:val="none"/>
          <w:lang w:bidi="ar"/>
        </w:rPr>
      </w:pPr>
      <w:r>
        <w:rPr>
          <w:rFonts w:hint="eastAsia" w:ascii="宋体" w:hAnsi="宋体" w:cs="宋体"/>
          <w:color w:val="auto"/>
          <w:szCs w:val="21"/>
          <w:highlight w:val="none"/>
          <w:lang w:bidi="ar"/>
        </w:rPr>
        <w:t xml:space="preserve">                                       日期：</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年</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月</w:t>
      </w:r>
      <w:r>
        <w:rPr>
          <w:rFonts w:hint="eastAsia" w:ascii="宋体" w:hAnsi="宋体" w:cs="宋体"/>
          <w:color w:val="auto"/>
          <w:szCs w:val="21"/>
          <w:highlight w:val="none"/>
          <w:u w:val="single"/>
          <w:lang w:bidi="ar"/>
        </w:rPr>
        <w:t xml:space="preserve">    </w:t>
      </w:r>
      <w:r>
        <w:rPr>
          <w:rFonts w:hint="eastAsia" w:ascii="宋体" w:hAnsi="宋体" w:cs="宋体"/>
          <w:color w:val="auto"/>
          <w:szCs w:val="21"/>
          <w:highlight w:val="none"/>
          <w:lang w:bidi="ar"/>
        </w:rPr>
        <w:t>日</w:t>
      </w:r>
      <w:r>
        <w:rPr>
          <w:rFonts w:hint="eastAsia" w:ascii="宋体" w:hAnsi="宋体" w:cs="宋体"/>
          <w:color w:val="auto"/>
          <w:sz w:val="24"/>
          <w:szCs w:val="24"/>
          <w:highlight w:val="none"/>
          <w:lang w:bidi="ar"/>
        </w:rPr>
        <w:t xml:space="preserve"> </w:t>
      </w:r>
    </w:p>
    <w:p w14:paraId="0717F888">
      <w:pPr>
        <w:widowControl/>
        <w:jc w:val="left"/>
        <w:rPr>
          <w:rFonts w:hint="eastAsia" w:ascii="宋体" w:hAnsi="宋体" w:cs="宋体"/>
          <w:b/>
          <w:snapToGrid w:val="0"/>
          <w:color w:val="auto"/>
          <w:kern w:val="0"/>
          <w:sz w:val="32"/>
          <w:szCs w:val="32"/>
          <w:highlight w:val="none"/>
          <w:lang w:bidi="ar"/>
        </w:rPr>
      </w:pPr>
      <w:r>
        <w:rPr>
          <w:rFonts w:hint="eastAsia" w:ascii="宋体" w:hAnsi="宋体" w:cs="宋体"/>
          <w:color w:val="auto"/>
          <w:sz w:val="24"/>
          <w:szCs w:val="24"/>
          <w:highlight w:val="none"/>
          <w:lang w:bidi="ar"/>
        </w:rPr>
        <w:br w:type="page"/>
      </w:r>
    </w:p>
    <w:p w14:paraId="16DA7F8A">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附件17：</w:t>
      </w:r>
    </w:p>
    <w:p w14:paraId="249852C1">
      <w:pPr>
        <w:adjustRightInd w:val="0"/>
        <w:snapToGrid w:val="0"/>
        <w:spacing w:line="360" w:lineRule="auto"/>
        <w:jc w:val="center"/>
        <w:rPr>
          <w:rFonts w:hint="eastAsia" w:ascii="宋体" w:hAnsi="宋体" w:cs="宋体"/>
          <w:b/>
          <w:snapToGrid w:val="0"/>
          <w:color w:val="auto"/>
          <w:kern w:val="0"/>
          <w:sz w:val="32"/>
          <w:szCs w:val="32"/>
          <w:highlight w:val="none"/>
          <w:lang w:bidi="ar"/>
        </w:rPr>
      </w:pPr>
      <w:r>
        <w:rPr>
          <w:rFonts w:hint="eastAsia" w:ascii="宋体" w:hAnsi="宋体" w:cs="宋体"/>
          <w:b/>
          <w:snapToGrid w:val="0"/>
          <w:color w:val="auto"/>
          <w:kern w:val="0"/>
          <w:sz w:val="32"/>
          <w:szCs w:val="32"/>
          <w:highlight w:val="none"/>
          <w:lang w:bidi="ar"/>
        </w:rPr>
        <w:t>经评审的主要设备材料品牌/生产厂商选用表</w:t>
      </w:r>
    </w:p>
    <w:p w14:paraId="76AA2482">
      <w:pPr>
        <w:jc w:val="left"/>
        <w:rPr>
          <w:rFonts w:hint="eastAsia" w:ascii="宋体" w:hAnsi="宋体" w:cs="宋体"/>
          <w:b/>
          <w:snapToGrid w:val="0"/>
          <w:color w:val="auto"/>
          <w:kern w:val="0"/>
          <w:sz w:val="32"/>
          <w:szCs w:val="32"/>
          <w:highlight w:val="none"/>
          <w:lang w:bidi="ar"/>
        </w:rPr>
      </w:pPr>
      <w:r>
        <w:rPr>
          <w:rFonts w:hint="eastAsia" w:ascii="宋体" w:hAnsi="宋体" w:cs="宋体"/>
          <w:b/>
          <w:snapToGrid w:val="0"/>
          <w:color w:val="auto"/>
          <w:kern w:val="0"/>
          <w:sz w:val="32"/>
          <w:szCs w:val="32"/>
          <w:highlight w:val="none"/>
          <w:lang w:bidi="ar"/>
        </w:rPr>
        <w:br w:type="page"/>
      </w:r>
    </w:p>
    <w:p w14:paraId="256BEBF8">
      <w:pPr>
        <w:adjustRightInd w:val="0"/>
        <w:snapToGrid w:val="0"/>
        <w:spacing w:line="360" w:lineRule="auto"/>
        <w:jc w:val="center"/>
        <w:rPr>
          <w:rFonts w:hint="eastAsia" w:ascii="宋体" w:hAnsi="宋体" w:cs="宋体"/>
          <w:b/>
          <w:snapToGrid w:val="0"/>
          <w:color w:val="auto"/>
          <w:kern w:val="0"/>
          <w:sz w:val="32"/>
          <w:szCs w:val="32"/>
          <w:highlight w:val="none"/>
          <w:lang w:bidi="ar"/>
        </w:rPr>
      </w:pPr>
    </w:p>
    <w:p w14:paraId="4998EF91">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附件18：</w:t>
      </w:r>
    </w:p>
    <w:p w14:paraId="60287C82">
      <w:pPr>
        <w:adjustRightInd w:val="0"/>
        <w:snapToGrid w:val="0"/>
        <w:spacing w:line="360" w:lineRule="auto"/>
        <w:rPr>
          <w:rFonts w:hint="eastAsia" w:ascii="宋体" w:hAnsi="宋体"/>
          <w:snapToGrid w:val="0"/>
          <w:color w:val="auto"/>
          <w:kern w:val="0"/>
          <w:sz w:val="24"/>
          <w:szCs w:val="24"/>
          <w:highlight w:val="none"/>
        </w:rPr>
      </w:pPr>
      <w:r>
        <w:rPr>
          <w:rFonts w:hint="eastAsia" w:ascii="宋体" w:hAnsi="宋体" w:cs="宋体"/>
          <w:b/>
          <w:snapToGrid w:val="0"/>
          <w:color w:val="auto"/>
          <w:kern w:val="0"/>
          <w:sz w:val="32"/>
          <w:szCs w:val="32"/>
          <w:highlight w:val="none"/>
          <w:lang w:bidi="ar"/>
        </w:rPr>
        <w:t>技术条件（工程建设标准）</w:t>
      </w:r>
    </w:p>
    <w:p w14:paraId="698EA619">
      <w:pPr>
        <w:adjustRightInd w:val="0"/>
        <w:snapToGrid w:val="0"/>
        <w:spacing w:line="360" w:lineRule="auto"/>
        <w:rPr>
          <w:rFonts w:hint="eastAsia" w:ascii="宋体" w:hAnsi="宋体"/>
          <w:snapToGrid w:val="0"/>
          <w:color w:val="auto"/>
          <w:kern w:val="0"/>
          <w:sz w:val="24"/>
          <w:szCs w:val="24"/>
          <w:highlight w:val="none"/>
        </w:rPr>
      </w:pPr>
    </w:p>
    <w:p w14:paraId="4C115D88">
      <w:pPr>
        <w:adjustRightInd w:val="0"/>
        <w:snapToGrid w:val="0"/>
        <w:spacing w:line="360" w:lineRule="auto"/>
        <w:rPr>
          <w:rFonts w:hint="eastAsia" w:ascii="宋体" w:hAnsi="宋体"/>
          <w:snapToGrid w:val="0"/>
          <w:color w:val="auto"/>
          <w:kern w:val="0"/>
          <w:sz w:val="24"/>
          <w:szCs w:val="24"/>
          <w:highlight w:val="none"/>
        </w:rPr>
      </w:pPr>
    </w:p>
    <w:p w14:paraId="02634A57">
      <w:pPr>
        <w:rPr>
          <w:color w:val="auto"/>
          <w:highlight w:val="none"/>
        </w:rPr>
      </w:pPr>
    </w:p>
    <w:p w14:paraId="321EC45E">
      <w:pPr>
        <w:rPr>
          <w:color w:val="auto"/>
          <w:highlight w:val="none"/>
        </w:rPr>
      </w:pPr>
    </w:p>
    <w:p w14:paraId="43E590C4">
      <w:pPr>
        <w:rPr>
          <w:color w:val="auto"/>
          <w:highlight w:val="none"/>
        </w:rPr>
      </w:pPr>
    </w:p>
    <w:p w14:paraId="64981E3D">
      <w:pPr>
        <w:rPr>
          <w:color w:val="auto"/>
          <w:highlight w:val="none"/>
        </w:rPr>
      </w:pPr>
    </w:p>
    <w:sectPr>
      <w:footerReference r:id="rId5" w:type="default"/>
      <w:pgSz w:w="11906" w:h="16838"/>
      <w:pgMar w:top="1417" w:right="1417" w:bottom="1417" w:left="1417"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BF310178-D339-4B71-A780-B1BEC3B0BB52}"/>
  </w:font>
  <w:font w:name="MingLiU">
    <w:altName w:val="PMingLiU-ExtB"/>
    <w:panose1 w:val="02010609000101010101"/>
    <w:charset w:val="88"/>
    <w:family w:val="modern"/>
    <w:pitch w:val="default"/>
    <w:sig w:usb0="00000000" w:usb1="00000000" w:usb2="00000016" w:usb3="00000000" w:csb0="00100001" w:csb1="00000000"/>
    <w:embedRegular r:id="rId2" w:fontKey="{950CFF56-6CAA-4EDD-8996-755B5F6F16A8}"/>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3" w:fontKey="{CFBA99B1-C39C-4B77-A2EC-374924C277E7}"/>
  </w:font>
  <w:font w:name="Wingdings 2">
    <w:altName w:val="Wingdings"/>
    <w:panose1 w:val="05020102010507070707"/>
    <w:charset w:val="02"/>
    <w:family w:val="roman"/>
    <w:pitch w:val="default"/>
    <w:sig w:usb0="00000000" w:usb1="00000000" w:usb2="00000000" w:usb3="00000000" w:csb0="80000000" w:csb1="00000000"/>
    <w:embedRegular r:id="rId4" w:fontKey="{B1852817-E746-4067-B0A7-93350782A9E9}"/>
  </w:font>
  <w:font w:name="Tahoma">
    <w:panose1 w:val="020B0604030504040204"/>
    <w:charset w:val="00"/>
    <w:family w:val="swiss"/>
    <w:pitch w:val="default"/>
    <w:sig w:usb0="E1002EFF" w:usb1="C000605B" w:usb2="00000029" w:usb3="00000000" w:csb0="200101FF" w:csb1="20280000"/>
    <w:embedRegular r:id="rId5" w:fontKey="{915E63AF-6332-4AE1-BF82-AB5E6B9F12E3}"/>
  </w:font>
  <w:font w:name="微软雅黑">
    <w:panose1 w:val="020B0503020204020204"/>
    <w:charset w:val="86"/>
    <w:family w:val="swiss"/>
    <w:pitch w:val="default"/>
    <w:sig w:usb0="80000287" w:usb1="2ACF3C50" w:usb2="00000016" w:usb3="00000000" w:csb0="0004001F" w:csb1="00000000"/>
    <w:embedRegular r:id="rId6" w:fontKey="{17D9C485-5FB7-4DE6-8312-44293C5DE35F}"/>
  </w:font>
  <w:font w:name="楷体_GB2312">
    <w:panose1 w:val="02010609030101010101"/>
    <w:charset w:val="86"/>
    <w:family w:val="modern"/>
    <w:pitch w:val="default"/>
    <w:sig w:usb0="00000001" w:usb1="080E0000" w:usb2="00000000" w:usb3="00000000" w:csb0="00040000" w:csb1="00000000"/>
    <w:embedRegular r:id="rId7" w:fontKey="{4AEFAD1E-5A51-42A7-9E13-BE73CDC4B8F0}"/>
  </w:font>
  <w:font w:name="仿宋">
    <w:panose1 w:val="02010609060101010101"/>
    <w:charset w:val="86"/>
    <w:family w:val="modern"/>
    <w:pitch w:val="default"/>
    <w:sig w:usb0="800002BF" w:usb1="38CF7CFA" w:usb2="00000016" w:usb3="00000000" w:csb0="00040001" w:csb1="00000000"/>
    <w:embedRegular r:id="rId8" w:fontKey="{6FD1028D-966F-453B-B873-A3779AF42C94}"/>
  </w:font>
  <w:font w:name="宋体-18030">
    <w:altName w:val="宋体"/>
    <w:panose1 w:val="00000000000000000000"/>
    <w:charset w:val="86"/>
    <w:family w:val="modern"/>
    <w:pitch w:val="default"/>
    <w:sig w:usb0="00000000" w:usb1="00000000" w:usb2="000A005E" w:usb3="00000000" w:csb0="00040001" w:csb1="00000000"/>
    <w:embedRegular r:id="rId9" w:fontKey="{333F947D-4337-482E-82A0-3DA2DB0B0759}"/>
  </w:font>
  <w:font w:name="仿宋_GB2312">
    <w:panose1 w:val="02010609030101010101"/>
    <w:charset w:val="86"/>
    <w:family w:val="modern"/>
    <w:pitch w:val="default"/>
    <w:sig w:usb0="00000001" w:usb1="080E0000" w:usb2="00000000" w:usb3="00000000" w:csb0="00040000" w:csb1="00000000"/>
    <w:embedRegular r:id="rId10" w:fontKey="{36E0752A-C804-4B17-ADA3-C81082920318}"/>
  </w:font>
  <w:font w:name="_x000B__x000C_">
    <w:altName w:val="Times New Roman"/>
    <w:panose1 w:val="00000000000000000000"/>
    <w:charset w:val="00"/>
    <w:family w:val="roman"/>
    <w:pitch w:val="default"/>
    <w:sig w:usb0="00000000" w:usb1="00000000" w:usb2="00000000" w:usb3="00000000" w:csb0="00040001" w:csb1="00000000"/>
    <w:embedRegular r:id="rId11" w:fontKey="{68B93890-31D6-4B51-87E3-114A8F5649F6}"/>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194C2">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C5753">
    <w:pPr>
      <w:pStyle w:val="11"/>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8778E">
                          <w:pPr>
                            <w:pStyle w:val="11"/>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FF8778E">
                    <w:pPr>
                      <w:pStyle w:val="11"/>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45</w:t>
                    </w:r>
                    <w:r>
                      <w:rPr>
                        <w:rFonts w:ascii="Times New Roman" w:hAnsi="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73BBF">
    <w:pPr>
      <w:pStyle w:val="12"/>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7B2E57"/>
    <w:multiLevelType w:val="singleLevel"/>
    <w:tmpl w:val="B37B2E57"/>
    <w:lvl w:ilvl="0" w:tentative="0">
      <w:start w:val="8"/>
      <w:numFmt w:val="decimal"/>
      <w:suff w:val="nothing"/>
      <w:lvlText w:val="（%1）"/>
      <w:lvlJc w:val="left"/>
    </w:lvl>
  </w:abstractNum>
  <w:abstractNum w:abstractNumId="1">
    <w:nsid w:val="00000008"/>
    <w:multiLevelType w:val="multilevel"/>
    <w:tmpl w:val="00000008"/>
    <w:lvl w:ilvl="0" w:tentative="0">
      <w:start w:val="1"/>
      <w:numFmt w:val="bullet"/>
      <w:lvlText w:val=""/>
      <w:lvlJc w:val="left"/>
      <w:pPr>
        <w:tabs>
          <w:tab w:val="left" w:pos="855"/>
        </w:tabs>
        <w:ind w:left="855"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70FAB74"/>
    <w:multiLevelType w:val="singleLevel"/>
    <w:tmpl w:val="570FAB74"/>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MjQyYmM4MjNiODFiYzlkMDlhY2M2MGZjMmYwMjYifQ=="/>
  </w:docVars>
  <w:rsids>
    <w:rsidRoot w:val="7D28387E"/>
    <w:rsid w:val="00010F33"/>
    <w:rsid w:val="00015F12"/>
    <w:rsid w:val="000D1F44"/>
    <w:rsid w:val="0013230C"/>
    <w:rsid w:val="0015492E"/>
    <w:rsid w:val="00196643"/>
    <w:rsid w:val="001A318F"/>
    <w:rsid w:val="001F6041"/>
    <w:rsid w:val="00210B21"/>
    <w:rsid w:val="00215259"/>
    <w:rsid w:val="002377EC"/>
    <w:rsid w:val="00272A27"/>
    <w:rsid w:val="00386BBA"/>
    <w:rsid w:val="003F55A8"/>
    <w:rsid w:val="00424558"/>
    <w:rsid w:val="004F14F1"/>
    <w:rsid w:val="00565BF8"/>
    <w:rsid w:val="005852D1"/>
    <w:rsid w:val="005A2832"/>
    <w:rsid w:val="005C6420"/>
    <w:rsid w:val="005D1F86"/>
    <w:rsid w:val="0064165E"/>
    <w:rsid w:val="006F22BF"/>
    <w:rsid w:val="007F3847"/>
    <w:rsid w:val="00846D7A"/>
    <w:rsid w:val="00917E2C"/>
    <w:rsid w:val="00924849"/>
    <w:rsid w:val="0095686D"/>
    <w:rsid w:val="00974079"/>
    <w:rsid w:val="009B4337"/>
    <w:rsid w:val="009C7964"/>
    <w:rsid w:val="00A41339"/>
    <w:rsid w:val="00A65CC9"/>
    <w:rsid w:val="00AF3043"/>
    <w:rsid w:val="00B075A3"/>
    <w:rsid w:val="00B2205F"/>
    <w:rsid w:val="00B22BA0"/>
    <w:rsid w:val="00BE2DFE"/>
    <w:rsid w:val="00C44152"/>
    <w:rsid w:val="00CC7498"/>
    <w:rsid w:val="00D959B4"/>
    <w:rsid w:val="00DC557A"/>
    <w:rsid w:val="00E4417D"/>
    <w:rsid w:val="00E636CB"/>
    <w:rsid w:val="00ED23C9"/>
    <w:rsid w:val="00F05E0F"/>
    <w:rsid w:val="00F31BB9"/>
    <w:rsid w:val="00F646AD"/>
    <w:rsid w:val="00F66D6A"/>
    <w:rsid w:val="00FE36CF"/>
    <w:rsid w:val="010B405F"/>
    <w:rsid w:val="0156177E"/>
    <w:rsid w:val="01633E9B"/>
    <w:rsid w:val="016C65B6"/>
    <w:rsid w:val="01722330"/>
    <w:rsid w:val="017C1EF5"/>
    <w:rsid w:val="01AF5332"/>
    <w:rsid w:val="01EC0FD7"/>
    <w:rsid w:val="01F571E8"/>
    <w:rsid w:val="01FC58F7"/>
    <w:rsid w:val="01FD609D"/>
    <w:rsid w:val="022859F3"/>
    <w:rsid w:val="02C26F6C"/>
    <w:rsid w:val="031F751A"/>
    <w:rsid w:val="032272CF"/>
    <w:rsid w:val="03264CD5"/>
    <w:rsid w:val="03483348"/>
    <w:rsid w:val="043D1586"/>
    <w:rsid w:val="04842AA6"/>
    <w:rsid w:val="04A6353E"/>
    <w:rsid w:val="04B52C5F"/>
    <w:rsid w:val="04D23811"/>
    <w:rsid w:val="050318E0"/>
    <w:rsid w:val="05203DF5"/>
    <w:rsid w:val="0526732E"/>
    <w:rsid w:val="05A71EBD"/>
    <w:rsid w:val="05AA5A19"/>
    <w:rsid w:val="05BD10D5"/>
    <w:rsid w:val="05C66D01"/>
    <w:rsid w:val="05CE19E6"/>
    <w:rsid w:val="05E118CB"/>
    <w:rsid w:val="05E508E5"/>
    <w:rsid w:val="05EE6CB4"/>
    <w:rsid w:val="05EF4270"/>
    <w:rsid w:val="065F79ED"/>
    <w:rsid w:val="06703003"/>
    <w:rsid w:val="06B31420"/>
    <w:rsid w:val="06D27AF8"/>
    <w:rsid w:val="071579E5"/>
    <w:rsid w:val="073153FB"/>
    <w:rsid w:val="07550729"/>
    <w:rsid w:val="077D1368"/>
    <w:rsid w:val="07F444C9"/>
    <w:rsid w:val="07F862DD"/>
    <w:rsid w:val="084367D4"/>
    <w:rsid w:val="08472F35"/>
    <w:rsid w:val="08B642C2"/>
    <w:rsid w:val="08B651F8"/>
    <w:rsid w:val="08CB0C98"/>
    <w:rsid w:val="08D613F6"/>
    <w:rsid w:val="08EE1C75"/>
    <w:rsid w:val="0957742A"/>
    <w:rsid w:val="095C3362"/>
    <w:rsid w:val="098B3F8E"/>
    <w:rsid w:val="09905A49"/>
    <w:rsid w:val="09963A83"/>
    <w:rsid w:val="09C63218"/>
    <w:rsid w:val="09D354EA"/>
    <w:rsid w:val="09F93DAC"/>
    <w:rsid w:val="0A030DF0"/>
    <w:rsid w:val="0A122902"/>
    <w:rsid w:val="0A4D35F0"/>
    <w:rsid w:val="0A5E1430"/>
    <w:rsid w:val="0A87442D"/>
    <w:rsid w:val="0AA142F1"/>
    <w:rsid w:val="0AE81E15"/>
    <w:rsid w:val="0B04224A"/>
    <w:rsid w:val="0B0570ED"/>
    <w:rsid w:val="0B0E3485"/>
    <w:rsid w:val="0B1C380B"/>
    <w:rsid w:val="0B41524D"/>
    <w:rsid w:val="0B4C117B"/>
    <w:rsid w:val="0B772A1C"/>
    <w:rsid w:val="0B8415DD"/>
    <w:rsid w:val="0B881445"/>
    <w:rsid w:val="0B8C1D89"/>
    <w:rsid w:val="0BF665E1"/>
    <w:rsid w:val="0BFC181C"/>
    <w:rsid w:val="0C39659A"/>
    <w:rsid w:val="0C5A5FF6"/>
    <w:rsid w:val="0C5F1C70"/>
    <w:rsid w:val="0C873E5B"/>
    <w:rsid w:val="0C8C24F7"/>
    <w:rsid w:val="0CA45BCF"/>
    <w:rsid w:val="0CB61189"/>
    <w:rsid w:val="0CD93263"/>
    <w:rsid w:val="0D470AFD"/>
    <w:rsid w:val="0D4B0D9C"/>
    <w:rsid w:val="0D5A6456"/>
    <w:rsid w:val="0D6F1859"/>
    <w:rsid w:val="0D810663"/>
    <w:rsid w:val="0D9A4EE0"/>
    <w:rsid w:val="0D9C6D69"/>
    <w:rsid w:val="0DB22432"/>
    <w:rsid w:val="0DCE6B40"/>
    <w:rsid w:val="0E2107F6"/>
    <w:rsid w:val="0E4B1F3E"/>
    <w:rsid w:val="0E7521BB"/>
    <w:rsid w:val="0E9B2163"/>
    <w:rsid w:val="0EEC0056"/>
    <w:rsid w:val="0F0A73CB"/>
    <w:rsid w:val="0F251DB3"/>
    <w:rsid w:val="0F3F1AA3"/>
    <w:rsid w:val="0F803E6A"/>
    <w:rsid w:val="0FBC7598"/>
    <w:rsid w:val="0FD207A1"/>
    <w:rsid w:val="10002C17"/>
    <w:rsid w:val="10047227"/>
    <w:rsid w:val="102E6331"/>
    <w:rsid w:val="10701067"/>
    <w:rsid w:val="10DD3999"/>
    <w:rsid w:val="10F13C45"/>
    <w:rsid w:val="10F42D61"/>
    <w:rsid w:val="110A7E8F"/>
    <w:rsid w:val="11263022"/>
    <w:rsid w:val="116752E1"/>
    <w:rsid w:val="11926505"/>
    <w:rsid w:val="11BF326F"/>
    <w:rsid w:val="1232029D"/>
    <w:rsid w:val="12AF6F40"/>
    <w:rsid w:val="12B018DC"/>
    <w:rsid w:val="12F45AE3"/>
    <w:rsid w:val="13067820"/>
    <w:rsid w:val="132344BD"/>
    <w:rsid w:val="133D0373"/>
    <w:rsid w:val="14196170"/>
    <w:rsid w:val="144933C4"/>
    <w:rsid w:val="14E67F9C"/>
    <w:rsid w:val="150D6579"/>
    <w:rsid w:val="15282FD9"/>
    <w:rsid w:val="15490356"/>
    <w:rsid w:val="1594452D"/>
    <w:rsid w:val="15A802E7"/>
    <w:rsid w:val="15B8435D"/>
    <w:rsid w:val="15E34588"/>
    <w:rsid w:val="15FB7EA0"/>
    <w:rsid w:val="16125BBA"/>
    <w:rsid w:val="1624770D"/>
    <w:rsid w:val="165D6B56"/>
    <w:rsid w:val="167345BF"/>
    <w:rsid w:val="16B32D77"/>
    <w:rsid w:val="16BB05CF"/>
    <w:rsid w:val="16C3120C"/>
    <w:rsid w:val="16CA382D"/>
    <w:rsid w:val="173252D2"/>
    <w:rsid w:val="173E5960"/>
    <w:rsid w:val="17520F2D"/>
    <w:rsid w:val="17634AF7"/>
    <w:rsid w:val="177210A2"/>
    <w:rsid w:val="17966D1B"/>
    <w:rsid w:val="17A06E74"/>
    <w:rsid w:val="17C52D3B"/>
    <w:rsid w:val="182C71F7"/>
    <w:rsid w:val="184D2A06"/>
    <w:rsid w:val="188B152B"/>
    <w:rsid w:val="18AE1B8A"/>
    <w:rsid w:val="18E84F59"/>
    <w:rsid w:val="18ED431E"/>
    <w:rsid w:val="19110095"/>
    <w:rsid w:val="191E6883"/>
    <w:rsid w:val="19502AFF"/>
    <w:rsid w:val="196F5BAA"/>
    <w:rsid w:val="19AF5A77"/>
    <w:rsid w:val="1A004427"/>
    <w:rsid w:val="1A4C5456"/>
    <w:rsid w:val="1A5D7AFD"/>
    <w:rsid w:val="1A843352"/>
    <w:rsid w:val="1A8B6DD7"/>
    <w:rsid w:val="1AF56A95"/>
    <w:rsid w:val="1AF776D6"/>
    <w:rsid w:val="1B04112F"/>
    <w:rsid w:val="1B1D7B9C"/>
    <w:rsid w:val="1B6B251D"/>
    <w:rsid w:val="1B836D75"/>
    <w:rsid w:val="1BAA0BEC"/>
    <w:rsid w:val="1BAE6A81"/>
    <w:rsid w:val="1C7D12C5"/>
    <w:rsid w:val="1CA70C88"/>
    <w:rsid w:val="1CB6711D"/>
    <w:rsid w:val="1CC47A8B"/>
    <w:rsid w:val="1D1F1B5E"/>
    <w:rsid w:val="1D230C56"/>
    <w:rsid w:val="1D594678"/>
    <w:rsid w:val="1D8C4288"/>
    <w:rsid w:val="1DB93368"/>
    <w:rsid w:val="1DF6698D"/>
    <w:rsid w:val="1E311151"/>
    <w:rsid w:val="1E90231B"/>
    <w:rsid w:val="1E9173C4"/>
    <w:rsid w:val="1EA454A4"/>
    <w:rsid w:val="1EB91F96"/>
    <w:rsid w:val="1ECE31D0"/>
    <w:rsid w:val="1EF16A24"/>
    <w:rsid w:val="1EF560D0"/>
    <w:rsid w:val="1F234AA9"/>
    <w:rsid w:val="1F3B7074"/>
    <w:rsid w:val="1F52138B"/>
    <w:rsid w:val="1F8F4FA9"/>
    <w:rsid w:val="1F971487"/>
    <w:rsid w:val="1FAE28C3"/>
    <w:rsid w:val="1FB929AF"/>
    <w:rsid w:val="1FFD441B"/>
    <w:rsid w:val="20230CC1"/>
    <w:rsid w:val="202A20D6"/>
    <w:rsid w:val="206C021E"/>
    <w:rsid w:val="2096198E"/>
    <w:rsid w:val="20A94716"/>
    <w:rsid w:val="20AF7DD3"/>
    <w:rsid w:val="20EF6839"/>
    <w:rsid w:val="211803A6"/>
    <w:rsid w:val="212154AC"/>
    <w:rsid w:val="21473070"/>
    <w:rsid w:val="21621621"/>
    <w:rsid w:val="220017F6"/>
    <w:rsid w:val="22A0260D"/>
    <w:rsid w:val="22BB0875"/>
    <w:rsid w:val="22BC3ECA"/>
    <w:rsid w:val="22E06CA1"/>
    <w:rsid w:val="22E36792"/>
    <w:rsid w:val="23051479"/>
    <w:rsid w:val="230F0FB4"/>
    <w:rsid w:val="231D1CA3"/>
    <w:rsid w:val="23244DE0"/>
    <w:rsid w:val="235142FA"/>
    <w:rsid w:val="23750CF8"/>
    <w:rsid w:val="23A979DB"/>
    <w:rsid w:val="23B37E79"/>
    <w:rsid w:val="244C3CDA"/>
    <w:rsid w:val="24885612"/>
    <w:rsid w:val="24C911FD"/>
    <w:rsid w:val="257A0EB6"/>
    <w:rsid w:val="25970DEA"/>
    <w:rsid w:val="25BB60BD"/>
    <w:rsid w:val="26314922"/>
    <w:rsid w:val="264754AE"/>
    <w:rsid w:val="264D5528"/>
    <w:rsid w:val="26577A4B"/>
    <w:rsid w:val="26647BE9"/>
    <w:rsid w:val="26935299"/>
    <w:rsid w:val="26F13111"/>
    <w:rsid w:val="26F53EFE"/>
    <w:rsid w:val="26FD2518"/>
    <w:rsid w:val="26FE3B9A"/>
    <w:rsid w:val="270E3379"/>
    <w:rsid w:val="27232809"/>
    <w:rsid w:val="2768034F"/>
    <w:rsid w:val="27C9662E"/>
    <w:rsid w:val="28066B6B"/>
    <w:rsid w:val="281F201A"/>
    <w:rsid w:val="283C2BCC"/>
    <w:rsid w:val="28676DA1"/>
    <w:rsid w:val="288D78CB"/>
    <w:rsid w:val="289B274B"/>
    <w:rsid w:val="291500CD"/>
    <w:rsid w:val="291678C1"/>
    <w:rsid w:val="293A169F"/>
    <w:rsid w:val="294060BC"/>
    <w:rsid w:val="29F3375E"/>
    <w:rsid w:val="2A455ED8"/>
    <w:rsid w:val="2A605414"/>
    <w:rsid w:val="2B130915"/>
    <w:rsid w:val="2B55037E"/>
    <w:rsid w:val="2BEF5291"/>
    <w:rsid w:val="2C8763E0"/>
    <w:rsid w:val="2D104627"/>
    <w:rsid w:val="2D15497D"/>
    <w:rsid w:val="2D216834"/>
    <w:rsid w:val="2D8B35DD"/>
    <w:rsid w:val="2DAC4AFC"/>
    <w:rsid w:val="2DC255EE"/>
    <w:rsid w:val="2E3F3C04"/>
    <w:rsid w:val="2E4E0235"/>
    <w:rsid w:val="2E836B5A"/>
    <w:rsid w:val="2EAE49BC"/>
    <w:rsid w:val="2EBA484A"/>
    <w:rsid w:val="2ED01248"/>
    <w:rsid w:val="2EDC64EE"/>
    <w:rsid w:val="2F1C095A"/>
    <w:rsid w:val="2F1F443A"/>
    <w:rsid w:val="2F556ADA"/>
    <w:rsid w:val="2F923A19"/>
    <w:rsid w:val="2FAD1984"/>
    <w:rsid w:val="2FF16992"/>
    <w:rsid w:val="2FF56B74"/>
    <w:rsid w:val="30100E46"/>
    <w:rsid w:val="30306201"/>
    <w:rsid w:val="306B0444"/>
    <w:rsid w:val="307936C0"/>
    <w:rsid w:val="307E578D"/>
    <w:rsid w:val="308C5F1F"/>
    <w:rsid w:val="308E41E1"/>
    <w:rsid w:val="30D75B88"/>
    <w:rsid w:val="30F46739"/>
    <w:rsid w:val="31057A14"/>
    <w:rsid w:val="310D3357"/>
    <w:rsid w:val="3115220C"/>
    <w:rsid w:val="31222A0B"/>
    <w:rsid w:val="31266B06"/>
    <w:rsid w:val="312A749C"/>
    <w:rsid w:val="31732022"/>
    <w:rsid w:val="317433D6"/>
    <w:rsid w:val="31D019F0"/>
    <w:rsid w:val="31EF4885"/>
    <w:rsid w:val="31F3725E"/>
    <w:rsid w:val="32061705"/>
    <w:rsid w:val="32365739"/>
    <w:rsid w:val="3275477B"/>
    <w:rsid w:val="328C29A2"/>
    <w:rsid w:val="32B67A1F"/>
    <w:rsid w:val="32D4342F"/>
    <w:rsid w:val="32F72F7C"/>
    <w:rsid w:val="33361358"/>
    <w:rsid w:val="334C6AA1"/>
    <w:rsid w:val="338B4087"/>
    <w:rsid w:val="347302D5"/>
    <w:rsid w:val="347D62EB"/>
    <w:rsid w:val="34BD5094"/>
    <w:rsid w:val="34DA27FE"/>
    <w:rsid w:val="34EE4A74"/>
    <w:rsid w:val="3512449E"/>
    <w:rsid w:val="35666459"/>
    <w:rsid w:val="359062C3"/>
    <w:rsid w:val="359A7184"/>
    <w:rsid w:val="35B51DC6"/>
    <w:rsid w:val="35BC69A0"/>
    <w:rsid w:val="35F13BF4"/>
    <w:rsid w:val="361433DA"/>
    <w:rsid w:val="362717A7"/>
    <w:rsid w:val="36C46BAE"/>
    <w:rsid w:val="371D006C"/>
    <w:rsid w:val="37632816"/>
    <w:rsid w:val="376908C3"/>
    <w:rsid w:val="37722584"/>
    <w:rsid w:val="377264D1"/>
    <w:rsid w:val="37C52BDE"/>
    <w:rsid w:val="37E41D03"/>
    <w:rsid w:val="37F214F9"/>
    <w:rsid w:val="37FC5ED4"/>
    <w:rsid w:val="381D5782"/>
    <w:rsid w:val="38221221"/>
    <w:rsid w:val="382228A5"/>
    <w:rsid w:val="38575800"/>
    <w:rsid w:val="38613005"/>
    <w:rsid w:val="389404A2"/>
    <w:rsid w:val="38FE2BEA"/>
    <w:rsid w:val="392747CC"/>
    <w:rsid w:val="3960069F"/>
    <w:rsid w:val="39C42A21"/>
    <w:rsid w:val="39DF3CFF"/>
    <w:rsid w:val="39E05DF0"/>
    <w:rsid w:val="3A4A32E3"/>
    <w:rsid w:val="3A83468A"/>
    <w:rsid w:val="3AB111F7"/>
    <w:rsid w:val="3AB74334"/>
    <w:rsid w:val="3AC03D6F"/>
    <w:rsid w:val="3B080AE3"/>
    <w:rsid w:val="3B2C4D22"/>
    <w:rsid w:val="3B31058A"/>
    <w:rsid w:val="3B806E1C"/>
    <w:rsid w:val="3BD176B6"/>
    <w:rsid w:val="3C535771"/>
    <w:rsid w:val="3C540AF0"/>
    <w:rsid w:val="3CD71855"/>
    <w:rsid w:val="3D3D3216"/>
    <w:rsid w:val="3DEB4A20"/>
    <w:rsid w:val="3E0B326E"/>
    <w:rsid w:val="3E123689"/>
    <w:rsid w:val="3EF47905"/>
    <w:rsid w:val="3F325FF1"/>
    <w:rsid w:val="3FA07A8C"/>
    <w:rsid w:val="3FE75549"/>
    <w:rsid w:val="401C5DE6"/>
    <w:rsid w:val="40916FFB"/>
    <w:rsid w:val="40A44D18"/>
    <w:rsid w:val="40B530C4"/>
    <w:rsid w:val="40C003E6"/>
    <w:rsid w:val="40D43E92"/>
    <w:rsid w:val="40F46D4D"/>
    <w:rsid w:val="413B7A6D"/>
    <w:rsid w:val="41536F35"/>
    <w:rsid w:val="41691C89"/>
    <w:rsid w:val="41AB76E2"/>
    <w:rsid w:val="41AE7AAC"/>
    <w:rsid w:val="41C21F3C"/>
    <w:rsid w:val="41D02A92"/>
    <w:rsid w:val="421A083E"/>
    <w:rsid w:val="425C413F"/>
    <w:rsid w:val="428E64BE"/>
    <w:rsid w:val="429A7CFF"/>
    <w:rsid w:val="42AB67C4"/>
    <w:rsid w:val="430E6623"/>
    <w:rsid w:val="4315087C"/>
    <w:rsid w:val="433F0E43"/>
    <w:rsid w:val="43466CF8"/>
    <w:rsid w:val="435117C9"/>
    <w:rsid w:val="436941C2"/>
    <w:rsid w:val="43870BA2"/>
    <w:rsid w:val="43C81360"/>
    <w:rsid w:val="43D23960"/>
    <w:rsid w:val="4400619E"/>
    <w:rsid w:val="440B2A75"/>
    <w:rsid w:val="44846A52"/>
    <w:rsid w:val="448D6CA3"/>
    <w:rsid w:val="44C304A5"/>
    <w:rsid w:val="44C47D79"/>
    <w:rsid w:val="44C67F95"/>
    <w:rsid w:val="457400B6"/>
    <w:rsid w:val="4588349D"/>
    <w:rsid w:val="458E500C"/>
    <w:rsid w:val="45E75F62"/>
    <w:rsid w:val="45EF494B"/>
    <w:rsid w:val="4628043A"/>
    <w:rsid w:val="4632205E"/>
    <w:rsid w:val="46344B75"/>
    <w:rsid w:val="46666EAC"/>
    <w:rsid w:val="46761A29"/>
    <w:rsid w:val="4698326B"/>
    <w:rsid w:val="46E55236"/>
    <w:rsid w:val="4700675C"/>
    <w:rsid w:val="4730368C"/>
    <w:rsid w:val="478802F1"/>
    <w:rsid w:val="47AB7AB3"/>
    <w:rsid w:val="47F34F5A"/>
    <w:rsid w:val="47FD3CCE"/>
    <w:rsid w:val="48CF4ABA"/>
    <w:rsid w:val="48DA7ECC"/>
    <w:rsid w:val="49231F89"/>
    <w:rsid w:val="494E5A37"/>
    <w:rsid w:val="495C67D2"/>
    <w:rsid w:val="49D92519"/>
    <w:rsid w:val="49DA204D"/>
    <w:rsid w:val="49DC0353"/>
    <w:rsid w:val="49F84706"/>
    <w:rsid w:val="4A055E16"/>
    <w:rsid w:val="4A1177E6"/>
    <w:rsid w:val="4A273284"/>
    <w:rsid w:val="4A4554B8"/>
    <w:rsid w:val="4A583852"/>
    <w:rsid w:val="4AA43C41"/>
    <w:rsid w:val="4AA77F21"/>
    <w:rsid w:val="4ABC159A"/>
    <w:rsid w:val="4AC133E9"/>
    <w:rsid w:val="4ADA6379"/>
    <w:rsid w:val="4B3C2D5F"/>
    <w:rsid w:val="4B8B0B87"/>
    <w:rsid w:val="4BE60ADE"/>
    <w:rsid w:val="4C76404F"/>
    <w:rsid w:val="4C783A15"/>
    <w:rsid w:val="4C8B7654"/>
    <w:rsid w:val="4D072EF9"/>
    <w:rsid w:val="4D1E4C36"/>
    <w:rsid w:val="4D240E22"/>
    <w:rsid w:val="4D437474"/>
    <w:rsid w:val="4D8C0873"/>
    <w:rsid w:val="4D935498"/>
    <w:rsid w:val="4DB34AEF"/>
    <w:rsid w:val="4DDC01B9"/>
    <w:rsid w:val="4E233D62"/>
    <w:rsid w:val="4E3B3312"/>
    <w:rsid w:val="4E8A5B90"/>
    <w:rsid w:val="4EAD5E51"/>
    <w:rsid w:val="4EB175C0"/>
    <w:rsid w:val="4EE06AC2"/>
    <w:rsid w:val="4F03473D"/>
    <w:rsid w:val="4F0F4CFB"/>
    <w:rsid w:val="4F281AC6"/>
    <w:rsid w:val="4F5962D7"/>
    <w:rsid w:val="4FD55530"/>
    <w:rsid w:val="50327DD9"/>
    <w:rsid w:val="50475269"/>
    <w:rsid w:val="50493828"/>
    <w:rsid w:val="504F274C"/>
    <w:rsid w:val="507D6642"/>
    <w:rsid w:val="509816CA"/>
    <w:rsid w:val="51257DF2"/>
    <w:rsid w:val="512773BB"/>
    <w:rsid w:val="514E2DC4"/>
    <w:rsid w:val="514E3623"/>
    <w:rsid w:val="515F6D42"/>
    <w:rsid w:val="51D4092D"/>
    <w:rsid w:val="51D86284"/>
    <w:rsid w:val="51E43809"/>
    <w:rsid w:val="52233CC2"/>
    <w:rsid w:val="52862DFA"/>
    <w:rsid w:val="528B4028"/>
    <w:rsid w:val="52C75604"/>
    <w:rsid w:val="52E2243E"/>
    <w:rsid w:val="52EC2075"/>
    <w:rsid w:val="53210083"/>
    <w:rsid w:val="53374580"/>
    <w:rsid w:val="53890B0C"/>
    <w:rsid w:val="538C7D2A"/>
    <w:rsid w:val="53A257C3"/>
    <w:rsid w:val="53B116C3"/>
    <w:rsid w:val="53DA54C4"/>
    <w:rsid w:val="53DE4CA3"/>
    <w:rsid w:val="53E4039C"/>
    <w:rsid w:val="53FD24DA"/>
    <w:rsid w:val="540678A5"/>
    <w:rsid w:val="54101392"/>
    <w:rsid w:val="5426635A"/>
    <w:rsid w:val="54493DF7"/>
    <w:rsid w:val="545974F0"/>
    <w:rsid w:val="54635AC5"/>
    <w:rsid w:val="547C26F7"/>
    <w:rsid w:val="548F2152"/>
    <w:rsid w:val="54A411C3"/>
    <w:rsid w:val="54C165F9"/>
    <w:rsid w:val="54DF08A6"/>
    <w:rsid w:val="55200E06"/>
    <w:rsid w:val="552D1B87"/>
    <w:rsid w:val="55302983"/>
    <w:rsid w:val="553671E1"/>
    <w:rsid w:val="55791781"/>
    <w:rsid w:val="55842843"/>
    <w:rsid w:val="55EE15A0"/>
    <w:rsid w:val="5682571F"/>
    <w:rsid w:val="56952225"/>
    <w:rsid w:val="56C63E25"/>
    <w:rsid w:val="57C54BA6"/>
    <w:rsid w:val="57DD3EC6"/>
    <w:rsid w:val="58136338"/>
    <w:rsid w:val="58310760"/>
    <w:rsid w:val="585E52CF"/>
    <w:rsid w:val="58DC7930"/>
    <w:rsid w:val="590C5197"/>
    <w:rsid w:val="592139A9"/>
    <w:rsid w:val="59420E9E"/>
    <w:rsid w:val="59611BE3"/>
    <w:rsid w:val="599B3FCA"/>
    <w:rsid w:val="59CA7788"/>
    <w:rsid w:val="5A1A7735"/>
    <w:rsid w:val="5A250E62"/>
    <w:rsid w:val="5A317807"/>
    <w:rsid w:val="5A7D0C9E"/>
    <w:rsid w:val="5ACA4A89"/>
    <w:rsid w:val="5AD13972"/>
    <w:rsid w:val="5B014032"/>
    <w:rsid w:val="5B6B4F9B"/>
    <w:rsid w:val="5B742F70"/>
    <w:rsid w:val="5BB406F0"/>
    <w:rsid w:val="5BC408F6"/>
    <w:rsid w:val="5C471564"/>
    <w:rsid w:val="5C6B16B5"/>
    <w:rsid w:val="5C787AB7"/>
    <w:rsid w:val="5CCB7A9F"/>
    <w:rsid w:val="5CF43277"/>
    <w:rsid w:val="5D487342"/>
    <w:rsid w:val="5D616F47"/>
    <w:rsid w:val="5D6A7CFA"/>
    <w:rsid w:val="5DA51747"/>
    <w:rsid w:val="5DAC4A8C"/>
    <w:rsid w:val="5DE54B90"/>
    <w:rsid w:val="5E0A7F37"/>
    <w:rsid w:val="5E541D16"/>
    <w:rsid w:val="5E941DA6"/>
    <w:rsid w:val="5EDC1B78"/>
    <w:rsid w:val="5F0A6945"/>
    <w:rsid w:val="5F2E1F96"/>
    <w:rsid w:val="5F3B1A5F"/>
    <w:rsid w:val="5F4A5685"/>
    <w:rsid w:val="5F6557A4"/>
    <w:rsid w:val="5F7637D8"/>
    <w:rsid w:val="5F7D5EE3"/>
    <w:rsid w:val="5F7D6162"/>
    <w:rsid w:val="5F9574C1"/>
    <w:rsid w:val="5FB01588"/>
    <w:rsid w:val="60602BF4"/>
    <w:rsid w:val="60936B26"/>
    <w:rsid w:val="60AB4309"/>
    <w:rsid w:val="60C42FDA"/>
    <w:rsid w:val="60D0217E"/>
    <w:rsid w:val="60E01F5B"/>
    <w:rsid w:val="610F1736"/>
    <w:rsid w:val="6154475C"/>
    <w:rsid w:val="618F527A"/>
    <w:rsid w:val="61BF2475"/>
    <w:rsid w:val="61D71DCF"/>
    <w:rsid w:val="62173786"/>
    <w:rsid w:val="628054E0"/>
    <w:rsid w:val="62826A20"/>
    <w:rsid w:val="62881A95"/>
    <w:rsid w:val="629952BB"/>
    <w:rsid w:val="62C0016F"/>
    <w:rsid w:val="639A641D"/>
    <w:rsid w:val="639C08FA"/>
    <w:rsid w:val="639D01D5"/>
    <w:rsid w:val="63AB4186"/>
    <w:rsid w:val="644B14E1"/>
    <w:rsid w:val="64755921"/>
    <w:rsid w:val="64DE4E98"/>
    <w:rsid w:val="650E052E"/>
    <w:rsid w:val="652C579B"/>
    <w:rsid w:val="65461E70"/>
    <w:rsid w:val="658C5A49"/>
    <w:rsid w:val="66157691"/>
    <w:rsid w:val="663672D5"/>
    <w:rsid w:val="664636F4"/>
    <w:rsid w:val="664D59C9"/>
    <w:rsid w:val="668138C2"/>
    <w:rsid w:val="66BC597A"/>
    <w:rsid w:val="66D8709A"/>
    <w:rsid w:val="67050744"/>
    <w:rsid w:val="67075603"/>
    <w:rsid w:val="67140294"/>
    <w:rsid w:val="674566A0"/>
    <w:rsid w:val="67605BBA"/>
    <w:rsid w:val="67980EC5"/>
    <w:rsid w:val="67C85FEE"/>
    <w:rsid w:val="67CD7020"/>
    <w:rsid w:val="67D25912"/>
    <w:rsid w:val="67D93FCA"/>
    <w:rsid w:val="67FC76A6"/>
    <w:rsid w:val="681A4127"/>
    <w:rsid w:val="68633281"/>
    <w:rsid w:val="688721DA"/>
    <w:rsid w:val="68E16785"/>
    <w:rsid w:val="69390220"/>
    <w:rsid w:val="694A61EF"/>
    <w:rsid w:val="697A0DE5"/>
    <w:rsid w:val="697B5374"/>
    <w:rsid w:val="69831701"/>
    <w:rsid w:val="698E2580"/>
    <w:rsid w:val="69A13283"/>
    <w:rsid w:val="69D66510"/>
    <w:rsid w:val="69D677F0"/>
    <w:rsid w:val="6A3D5D54"/>
    <w:rsid w:val="6A5238F5"/>
    <w:rsid w:val="6A615EE7"/>
    <w:rsid w:val="6A72030D"/>
    <w:rsid w:val="6A921C4E"/>
    <w:rsid w:val="6A970C41"/>
    <w:rsid w:val="6AB52057"/>
    <w:rsid w:val="6ABA16A1"/>
    <w:rsid w:val="6AC4262B"/>
    <w:rsid w:val="6B410CC1"/>
    <w:rsid w:val="6B431BB7"/>
    <w:rsid w:val="6B5B5A1F"/>
    <w:rsid w:val="6BAF67DE"/>
    <w:rsid w:val="6BCC7390"/>
    <w:rsid w:val="6BD86947"/>
    <w:rsid w:val="6CD33EA1"/>
    <w:rsid w:val="6D050DAB"/>
    <w:rsid w:val="6D1234C8"/>
    <w:rsid w:val="6D314BEF"/>
    <w:rsid w:val="6D4852BD"/>
    <w:rsid w:val="6D4F0278"/>
    <w:rsid w:val="6D986AFC"/>
    <w:rsid w:val="6E05302D"/>
    <w:rsid w:val="6E663BD8"/>
    <w:rsid w:val="6E7837FF"/>
    <w:rsid w:val="6E9A5523"/>
    <w:rsid w:val="6EA463A2"/>
    <w:rsid w:val="6EC415B3"/>
    <w:rsid w:val="6EDA6267"/>
    <w:rsid w:val="6EE13152"/>
    <w:rsid w:val="6F0A74D2"/>
    <w:rsid w:val="6FA128E1"/>
    <w:rsid w:val="6FA6240F"/>
    <w:rsid w:val="700F1F41"/>
    <w:rsid w:val="70377D19"/>
    <w:rsid w:val="703E47C6"/>
    <w:rsid w:val="70B14DA6"/>
    <w:rsid w:val="70F4614A"/>
    <w:rsid w:val="70F91ECF"/>
    <w:rsid w:val="70FA031D"/>
    <w:rsid w:val="715056C2"/>
    <w:rsid w:val="71630796"/>
    <w:rsid w:val="71926986"/>
    <w:rsid w:val="71A55F82"/>
    <w:rsid w:val="71AE587A"/>
    <w:rsid w:val="71C77373"/>
    <w:rsid w:val="72076BB3"/>
    <w:rsid w:val="72570A8B"/>
    <w:rsid w:val="7265409A"/>
    <w:rsid w:val="727F33AE"/>
    <w:rsid w:val="729C3F60"/>
    <w:rsid w:val="73223D39"/>
    <w:rsid w:val="732950C8"/>
    <w:rsid w:val="73452FD9"/>
    <w:rsid w:val="736B6C46"/>
    <w:rsid w:val="737C4CA7"/>
    <w:rsid w:val="73D9598B"/>
    <w:rsid w:val="73FC7753"/>
    <w:rsid w:val="74161AF0"/>
    <w:rsid w:val="744C3764"/>
    <w:rsid w:val="74C848CA"/>
    <w:rsid w:val="74C85D66"/>
    <w:rsid w:val="74C94139"/>
    <w:rsid w:val="75012F00"/>
    <w:rsid w:val="75167A5B"/>
    <w:rsid w:val="75627849"/>
    <w:rsid w:val="75632A86"/>
    <w:rsid w:val="75C33C40"/>
    <w:rsid w:val="75D27C98"/>
    <w:rsid w:val="761A519B"/>
    <w:rsid w:val="768715A5"/>
    <w:rsid w:val="76BD26F7"/>
    <w:rsid w:val="76FB2CF6"/>
    <w:rsid w:val="77185B7F"/>
    <w:rsid w:val="777262EE"/>
    <w:rsid w:val="777728A5"/>
    <w:rsid w:val="780B739F"/>
    <w:rsid w:val="78130B3E"/>
    <w:rsid w:val="783B1B25"/>
    <w:rsid w:val="7856695F"/>
    <w:rsid w:val="785D4A7A"/>
    <w:rsid w:val="78801C2E"/>
    <w:rsid w:val="78812A48"/>
    <w:rsid w:val="78AA0A59"/>
    <w:rsid w:val="78EC1071"/>
    <w:rsid w:val="79501600"/>
    <w:rsid w:val="796D219D"/>
    <w:rsid w:val="79BF6786"/>
    <w:rsid w:val="79DC2E94"/>
    <w:rsid w:val="79FD591A"/>
    <w:rsid w:val="7A0B5527"/>
    <w:rsid w:val="7A1268B5"/>
    <w:rsid w:val="7A21574D"/>
    <w:rsid w:val="7A855EF9"/>
    <w:rsid w:val="7A9A6469"/>
    <w:rsid w:val="7AB67B89"/>
    <w:rsid w:val="7B2E730D"/>
    <w:rsid w:val="7B482DAD"/>
    <w:rsid w:val="7BA15D4D"/>
    <w:rsid w:val="7BB5411C"/>
    <w:rsid w:val="7BBC11CF"/>
    <w:rsid w:val="7BE177D3"/>
    <w:rsid w:val="7C3F3BAE"/>
    <w:rsid w:val="7C686C61"/>
    <w:rsid w:val="7C9932A4"/>
    <w:rsid w:val="7CAA30A3"/>
    <w:rsid w:val="7CB442AD"/>
    <w:rsid w:val="7CB73744"/>
    <w:rsid w:val="7CE522E7"/>
    <w:rsid w:val="7CF57658"/>
    <w:rsid w:val="7D231D04"/>
    <w:rsid w:val="7D28387E"/>
    <w:rsid w:val="7D4F1BCF"/>
    <w:rsid w:val="7DCE3789"/>
    <w:rsid w:val="7DF376E4"/>
    <w:rsid w:val="7DF6029C"/>
    <w:rsid w:val="7E132855"/>
    <w:rsid w:val="7E37386A"/>
    <w:rsid w:val="7E4E6DAC"/>
    <w:rsid w:val="7E8A527D"/>
    <w:rsid w:val="7E9F29C9"/>
    <w:rsid w:val="7EA14244"/>
    <w:rsid w:val="7EA75C7C"/>
    <w:rsid w:val="7EE73A14"/>
    <w:rsid w:val="7F3E7AED"/>
    <w:rsid w:val="7FAD6A16"/>
    <w:rsid w:val="7FD14881"/>
    <w:rsid w:val="7FD27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after="120"/>
      <w:ind w:left="420" w:leftChars="200" w:firstLine="420" w:firstLineChars="200"/>
      <w:jc w:val="left"/>
      <w:textAlignment w:val="baseline"/>
    </w:pPr>
    <w:rPr>
      <w:rFonts w:ascii="MingLiU" w:eastAsia="MingLiU"/>
      <w:sz w:val="20"/>
      <w:lang w:eastAsia="zh-TW"/>
    </w:rPr>
  </w:style>
  <w:style w:type="paragraph" w:styleId="3">
    <w:name w:val="Body Text Indent"/>
    <w:basedOn w:val="1"/>
    <w:next w:val="4"/>
    <w:link w:val="25"/>
    <w:semiHidden/>
    <w:unhideWhenUsed/>
    <w:qFormat/>
    <w:uiPriority w:val="99"/>
    <w:pPr>
      <w:ind w:firstLine="570"/>
    </w:pPr>
    <w:rPr>
      <w:rFonts w:ascii="Times New Roman" w:hAnsi="Times New Roman"/>
      <w:kern w:val="0"/>
      <w:sz w:val="28"/>
      <w:szCs w:val="20"/>
    </w:rPr>
  </w:style>
  <w:style w:type="paragraph" w:styleId="4">
    <w:name w:val="envelope return"/>
    <w:basedOn w:val="1"/>
    <w:qFormat/>
    <w:uiPriority w:val="0"/>
    <w:pPr>
      <w:snapToGrid w:val="0"/>
    </w:pPr>
    <w:rPr>
      <w:rFonts w:ascii="Arial" w:hAnsi="Arial"/>
    </w:rPr>
  </w:style>
  <w:style w:type="paragraph" w:styleId="5">
    <w:name w:val="annotation text"/>
    <w:basedOn w:val="1"/>
    <w:link w:val="35"/>
    <w:qFormat/>
    <w:uiPriority w:val="0"/>
    <w:pPr>
      <w:jc w:val="left"/>
    </w:pPr>
  </w:style>
  <w:style w:type="paragraph" w:styleId="6">
    <w:name w:val="Body Text"/>
    <w:basedOn w:val="1"/>
    <w:link w:val="28"/>
    <w:semiHidden/>
    <w:unhideWhenUsed/>
    <w:qFormat/>
    <w:uiPriority w:val="99"/>
    <w:pPr>
      <w:spacing w:after="120"/>
    </w:pPr>
    <w:rPr>
      <w:rFonts w:ascii="Times New Roman" w:hAnsi="Times New Roman"/>
      <w:szCs w:val="20"/>
    </w:rPr>
  </w:style>
  <w:style w:type="paragraph" w:styleId="7">
    <w:name w:val="Block Text"/>
    <w:basedOn w:val="1"/>
    <w:qFormat/>
    <w:uiPriority w:val="99"/>
    <w:pPr>
      <w:autoSpaceDE w:val="0"/>
      <w:autoSpaceDN w:val="0"/>
      <w:adjustRightInd w:val="0"/>
      <w:spacing w:line="360" w:lineRule="auto"/>
      <w:ind w:left="420" w:leftChars="200" w:right="11" w:firstLine="479" w:firstLineChars="228"/>
    </w:pPr>
    <w:rPr>
      <w:rFonts w:ascii="宋体" w:hAnsi="Arial"/>
      <w:szCs w:val="21"/>
      <w:lang w:val="zh-CN"/>
    </w:rPr>
  </w:style>
  <w:style w:type="paragraph" w:styleId="8">
    <w:name w:val="Plain Text"/>
    <w:basedOn w:val="1"/>
    <w:link w:val="23"/>
    <w:semiHidden/>
    <w:unhideWhenUsed/>
    <w:qFormat/>
    <w:uiPriority w:val="99"/>
    <w:rPr>
      <w:rFonts w:hint="eastAsia" w:ascii="宋体" w:hAnsi="Courier New"/>
      <w:szCs w:val="21"/>
    </w:rPr>
  </w:style>
  <w:style w:type="paragraph" w:styleId="9">
    <w:name w:val="Date"/>
    <w:basedOn w:val="1"/>
    <w:next w:val="1"/>
    <w:link w:val="24"/>
    <w:semiHidden/>
    <w:unhideWhenUsed/>
    <w:qFormat/>
    <w:uiPriority w:val="99"/>
    <w:rPr>
      <w:rFonts w:ascii="Times New Roman" w:hAnsi="Times New Roman"/>
      <w:szCs w:val="20"/>
    </w:rPr>
  </w:style>
  <w:style w:type="paragraph" w:styleId="10">
    <w:name w:val="Balloon Text"/>
    <w:basedOn w:val="1"/>
    <w:link w:val="22"/>
    <w:qFormat/>
    <w:uiPriority w:val="0"/>
    <w:rPr>
      <w:sz w:val="18"/>
      <w:szCs w:val="18"/>
    </w:rPr>
  </w:style>
  <w:style w:type="paragraph" w:styleId="11">
    <w:name w:val="footer"/>
    <w:basedOn w:val="1"/>
    <w:link w:val="30"/>
    <w:unhideWhenUsed/>
    <w:qFormat/>
    <w:uiPriority w:val="99"/>
    <w:pPr>
      <w:tabs>
        <w:tab w:val="center" w:pos="4153"/>
        <w:tab w:val="right" w:pos="8306"/>
      </w:tabs>
      <w:snapToGrid w:val="0"/>
      <w:jc w:val="left"/>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next w:val="1"/>
    <w:unhideWhenUsed/>
    <w:qFormat/>
    <w:uiPriority w:val="99"/>
    <w:pPr>
      <w:widowControl/>
      <w:spacing w:before="100" w:beforeAutospacing="1" w:after="100" w:afterAutospacing="1"/>
      <w:jc w:val="left"/>
    </w:pPr>
    <w:rPr>
      <w:rFonts w:ascii="宋体" w:hAnsi="宋体"/>
      <w:kern w:val="0"/>
      <w:sz w:val="24"/>
      <w:szCs w:val="24"/>
    </w:rPr>
  </w:style>
  <w:style w:type="paragraph" w:styleId="14">
    <w:name w:val="annotation subject"/>
    <w:basedOn w:val="5"/>
    <w:next w:val="5"/>
    <w:link w:val="36"/>
    <w:qFormat/>
    <w:uiPriority w:val="0"/>
    <w:rPr>
      <w:b/>
      <w:bCs/>
    </w:rPr>
  </w:style>
  <w:style w:type="paragraph" w:styleId="15">
    <w:name w:val="Body Text First Indent"/>
    <w:basedOn w:val="6"/>
    <w:link w:val="27"/>
    <w:unhideWhenUsed/>
    <w:qFormat/>
    <w:uiPriority w:val="99"/>
    <w:pPr>
      <w:ind w:firstLine="420"/>
    </w:pPr>
  </w:style>
  <w:style w:type="character" w:styleId="18">
    <w:name w:val="annotation reference"/>
    <w:basedOn w:val="17"/>
    <w:qFormat/>
    <w:uiPriority w:val="0"/>
    <w:rPr>
      <w:sz w:val="21"/>
      <w:szCs w:val="21"/>
    </w:rPr>
  </w:style>
  <w:style w:type="character" w:customStyle="1" w:styleId="19">
    <w:name w:val="16"/>
    <w:basedOn w:val="17"/>
    <w:qFormat/>
    <w:uiPriority w:val="0"/>
    <w:rPr>
      <w:rFonts w:hint="eastAsia" w:ascii="宋体" w:hAnsi="宋体" w:eastAsia="宋体" w:cs="宋体"/>
      <w:b/>
      <w:color w:val="FF0000"/>
      <w:sz w:val="24"/>
      <w:szCs w:val="24"/>
      <w:u w:val="single"/>
    </w:rPr>
  </w:style>
  <w:style w:type="paragraph" w:customStyle="1" w:styleId="20">
    <w:name w:val="文一"/>
    <w:basedOn w:val="1"/>
    <w:qFormat/>
    <w:uiPriority w:val="0"/>
    <w:pPr>
      <w:widowControl/>
      <w:topLinePunct/>
      <w:adjustRightInd w:val="0"/>
      <w:snapToGrid w:val="0"/>
      <w:spacing w:after="200" w:line="360" w:lineRule="auto"/>
      <w:ind w:firstLine="200" w:firstLineChars="200"/>
      <w:jc w:val="left"/>
    </w:pPr>
    <w:rPr>
      <w:rFonts w:ascii="等线" w:hAnsi="等线" w:eastAsia="等线"/>
      <w:spacing w:val="4"/>
      <w:kern w:val="0"/>
      <w:sz w:val="24"/>
      <w:szCs w:val="24"/>
    </w:rPr>
  </w:style>
  <w:style w:type="paragraph" w:customStyle="1" w:styleId="21">
    <w:name w:val="文二"/>
    <w:basedOn w:val="1"/>
    <w:qFormat/>
    <w:uiPriority w:val="0"/>
    <w:pPr>
      <w:jc w:val="left"/>
    </w:pPr>
    <w:rPr>
      <w:rFonts w:ascii="宋体" w:hAnsi="宋体"/>
      <w:szCs w:val="21"/>
    </w:rPr>
  </w:style>
  <w:style w:type="character" w:customStyle="1" w:styleId="22">
    <w:name w:val="批注框文本 字符"/>
    <w:basedOn w:val="17"/>
    <w:link w:val="10"/>
    <w:qFormat/>
    <w:uiPriority w:val="0"/>
    <w:rPr>
      <w:rFonts w:ascii="Calibri" w:hAnsi="Calibri" w:eastAsia="宋体" w:cs="Times New Roman"/>
      <w:kern w:val="2"/>
      <w:sz w:val="18"/>
      <w:szCs w:val="18"/>
    </w:rPr>
  </w:style>
  <w:style w:type="character" w:customStyle="1" w:styleId="23">
    <w:name w:val="纯文本 字符"/>
    <w:basedOn w:val="17"/>
    <w:link w:val="8"/>
    <w:semiHidden/>
    <w:qFormat/>
    <w:uiPriority w:val="99"/>
    <w:rPr>
      <w:rFonts w:ascii="宋体" w:hAnsi="Courier New" w:eastAsia="宋体" w:cs="Times New Roman"/>
      <w:kern w:val="2"/>
      <w:sz w:val="21"/>
      <w:szCs w:val="21"/>
    </w:rPr>
  </w:style>
  <w:style w:type="character" w:customStyle="1" w:styleId="24">
    <w:name w:val="日期 字符"/>
    <w:basedOn w:val="17"/>
    <w:link w:val="9"/>
    <w:semiHidden/>
    <w:qFormat/>
    <w:uiPriority w:val="99"/>
    <w:rPr>
      <w:rFonts w:ascii="Times New Roman" w:hAnsi="Times New Roman" w:eastAsia="宋体" w:cs="Times New Roman"/>
      <w:kern w:val="2"/>
      <w:sz w:val="21"/>
    </w:rPr>
  </w:style>
  <w:style w:type="character" w:customStyle="1" w:styleId="25">
    <w:name w:val="正文文本缩进 字符"/>
    <w:basedOn w:val="17"/>
    <w:link w:val="3"/>
    <w:semiHidden/>
    <w:qFormat/>
    <w:uiPriority w:val="99"/>
    <w:rPr>
      <w:rFonts w:ascii="Times New Roman" w:hAnsi="Times New Roman" w:eastAsia="宋体" w:cs="Times New Roman"/>
      <w:sz w:val="28"/>
    </w:rPr>
  </w:style>
  <w:style w:type="character" w:customStyle="1" w:styleId="26">
    <w:name w:val="正文文本 Char"/>
    <w:basedOn w:val="17"/>
    <w:qFormat/>
    <w:uiPriority w:val="99"/>
    <w:rPr>
      <w:rFonts w:ascii="Calibri" w:hAnsi="Calibri" w:eastAsia="宋体" w:cs="Times New Roman"/>
      <w:kern w:val="2"/>
      <w:sz w:val="21"/>
      <w:szCs w:val="21"/>
    </w:rPr>
  </w:style>
  <w:style w:type="character" w:customStyle="1" w:styleId="27">
    <w:name w:val="正文文本首行缩进 字符"/>
    <w:basedOn w:val="26"/>
    <w:link w:val="15"/>
    <w:qFormat/>
    <w:uiPriority w:val="99"/>
    <w:rPr>
      <w:rFonts w:ascii="Times New Roman" w:hAnsi="Times New Roman" w:eastAsia="宋体" w:cs="Times New Roman"/>
      <w:kern w:val="2"/>
      <w:sz w:val="21"/>
      <w:szCs w:val="21"/>
    </w:rPr>
  </w:style>
  <w:style w:type="character" w:customStyle="1" w:styleId="28">
    <w:name w:val="正文文本 字符"/>
    <w:basedOn w:val="17"/>
    <w:link w:val="6"/>
    <w:semiHidden/>
    <w:qFormat/>
    <w:uiPriority w:val="99"/>
    <w:rPr>
      <w:rFonts w:ascii="Times New Roman" w:hAnsi="Times New Roman" w:eastAsia="宋体" w:cs="Times New Roman"/>
      <w:kern w:val="2"/>
      <w:sz w:val="21"/>
    </w:rPr>
  </w:style>
  <w:style w:type="character" w:customStyle="1" w:styleId="29">
    <w:name w:val="页眉 字符"/>
    <w:basedOn w:val="17"/>
    <w:link w:val="12"/>
    <w:qFormat/>
    <w:uiPriority w:val="99"/>
    <w:rPr>
      <w:rFonts w:ascii="Calibri" w:hAnsi="Calibri" w:eastAsia="宋体" w:cs="Times New Roman"/>
      <w:kern w:val="2"/>
      <w:sz w:val="18"/>
      <w:szCs w:val="18"/>
    </w:rPr>
  </w:style>
  <w:style w:type="character" w:customStyle="1" w:styleId="30">
    <w:name w:val="页脚 字符"/>
    <w:basedOn w:val="17"/>
    <w:link w:val="11"/>
    <w:qFormat/>
    <w:uiPriority w:val="99"/>
    <w:rPr>
      <w:rFonts w:ascii="Calibri" w:hAnsi="Calibri" w:eastAsia="宋体" w:cs="Times New Roman"/>
      <w:kern w:val="2"/>
      <w:sz w:val="18"/>
      <w:szCs w:val="18"/>
    </w:rPr>
  </w:style>
  <w:style w:type="character" w:customStyle="1" w:styleId="31">
    <w:name w:val="10"/>
    <w:basedOn w:val="17"/>
    <w:qFormat/>
    <w:uiPriority w:val="0"/>
    <w:rPr>
      <w:rFonts w:hint="default" w:ascii="Times New Roman" w:hAnsi="Times New Roman" w:cs="Times New Roman"/>
    </w:rPr>
  </w:style>
  <w:style w:type="character" w:customStyle="1" w:styleId="32">
    <w:name w:val="15"/>
    <w:basedOn w:val="17"/>
    <w:qFormat/>
    <w:uiPriority w:val="0"/>
    <w:rPr>
      <w:rFonts w:hint="eastAsia" w:ascii="宋体" w:hAnsi="宋体" w:eastAsia="宋体"/>
      <w:b/>
      <w:color w:val="FF0000"/>
      <w:sz w:val="24"/>
      <w:szCs w:val="24"/>
      <w:u w:val="single"/>
    </w:rPr>
  </w:style>
  <w:style w:type="paragraph" w:customStyle="1" w:styleId="33">
    <w:name w:val="修订1"/>
    <w:hidden/>
    <w:unhideWhenUsed/>
    <w:qFormat/>
    <w:uiPriority w:val="99"/>
    <w:rPr>
      <w:rFonts w:ascii="Calibri" w:hAnsi="Calibri" w:eastAsia="宋体" w:cs="Times New Roman"/>
      <w:kern w:val="2"/>
      <w:sz w:val="21"/>
      <w:szCs w:val="22"/>
      <w:lang w:val="en-US" w:eastAsia="zh-CN" w:bidi="ar-SA"/>
    </w:rPr>
  </w:style>
  <w:style w:type="paragraph" w:customStyle="1" w:styleId="34">
    <w:name w:val="修订2"/>
    <w:hidden/>
    <w:unhideWhenUsed/>
    <w:qFormat/>
    <w:uiPriority w:val="99"/>
    <w:rPr>
      <w:rFonts w:ascii="Calibri" w:hAnsi="Calibri" w:eastAsia="宋体" w:cs="Times New Roman"/>
      <w:kern w:val="2"/>
      <w:sz w:val="21"/>
      <w:szCs w:val="22"/>
      <w:lang w:val="en-US" w:eastAsia="zh-CN" w:bidi="ar-SA"/>
    </w:rPr>
  </w:style>
  <w:style w:type="character" w:customStyle="1" w:styleId="35">
    <w:name w:val="批注文字 字符"/>
    <w:basedOn w:val="17"/>
    <w:link w:val="5"/>
    <w:qFormat/>
    <w:uiPriority w:val="0"/>
    <w:rPr>
      <w:rFonts w:ascii="Calibri" w:hAnsi="Calibri"/>
      <w:kern w:val="2"/>
      <w:sz w:val="21"/>
      <w:szCs w:val="22"/>
    </w:rPr>
  </w:style>
  <w:style w:type="character" w:customStyle="1" w:styleId="36">
    <w:name w:val="批注主题 字符"/>
    <w:basedOn w:val="35"/>
    <w:link w:val="14"/>
    <w:qFormat/>
    <w:uiPriority w:val="0"/>
    <w:rPr>
      <w:rFonts w:ascii="Calibri" w:hAnsi="Calibri"/>
      <w:b/>
      <w:bCs/>
      <w:kern w:val="2"/>
      <w:sz w:val="21"/>
      <w:szCs w:val="22"/>
    </w:rPr>
  </w:style>
  <w:style w:type="paragraph" w:customStyle="1" w:styleId="37">
    <w:name w:val="修订3"/>
    <w:hidden/>
    <w:unhideWhenUsed/>
    <w:qFormat/>
    <w:uiPriority w:val="99"/>
    <w:rPr>
      <w:rFonts w:ascii="Calibri" w:hAnsi="Calibri" w:eastAsia="宋体" w:cs="Times New Roman"/>
      <w:kern w:val="2"/>
      <w:sz w:val="21"/>
      <w:szCs w:val="22"/>
      <w:lang w:val="en-US" w:eastAsia="zh-CN" w:bidi="ar-SA"/>
    </w:rPr>
  </w:style>
  <w:style w:type="paragraph" w:customStyle="1" w:styleId="38">
    <w:name w:val="修订4"/>
    <w:hidden/>
    <w:unhideWhenUsed/>
    <w:qFormat/>
    <w:uiPriority w:val="99"/>
    <w:rPr>
      <w:rFonts w:ascii="Calibri" w:hAnsi="Calibri" w:eastAsia="宋体" w:cs="Times New Roman"/>
      <w:kern w:val="2"/>
      <w:sz w:val="21"/>
      <w:szCs w:val="22"/>
      <w:lang w:val="en-US" w:eastAsia="zh-CN" w:bidi="ar-SA"/>
    </w:rPr>
  </w:style>
  <w:style w:type="paragraph" w:customStyle="1" w:styleId="39">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14C8EE-2A1A-4D05-AAB9-0448BF1134D6}">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151</Pages>
  <Words>7802</Words>
  <Characters>8132</Characters>
  <Lines>832</Lines>
  <Paragraphs>234</Paragraphs>
  <TotalTime>3</TotalTime>
  <ScaleCrop>false</ScaleCrop>
  <LinksUpToDate>false</LinksUpToDate>
  <CharactersWithSpaces>8646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2025-08-08T09:13:00Z</dcterms:created>
  <dc:creator>胡娅妮</dc:creator>
  <cp:lastModifiedBy>QXZ</cp:lastModifiedBy>
  <dcterms:modified xsi:type="dcterms:W3CDTF">2025-10-31T07:08:22Z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8FB1E029617C4DDE96813C2E953873F5_13</vt:lpwstr>
  </property>
  <property fmtid="{D5CDD505-2E9C-101B-9397-08002B2CF9AE}" pid="4" name="KSOTemplateDocerSaveRecord">
    <vt:lpwstr>eyJoZGlkIjoiZGRmNzc5Y2MxMDA3ZGE2YjY4MzZlYzRkYTFlNmJhOWYiLCJ1c2VySWQiOiIxOTAzOTY1NjUifQ==</vt:lpwstr>
  </property>
</Properties>
</file>