
<file path=[Content_Types].xml><?xml version="1.0" encoding="utf-8"?>
<Types xmlns="http://schemas.openxmlformats.org/package/2006/content-types">
  <Default Extension="xml" ContentType="application/xml"/>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A1E29A">
      <w:pPr>
        <w:pStyle w:val="76"/>
        <w:snapToGrid w:val="0"/>
        <w:spacing w:line="360" w:lineRule="auto"/>
        <w:ind w:right="25" w:rightChars="12"/>
        <w:jc w:val="center"/>
        <w:rPr>
          <w:rFonts w:ascii="宋体" w:hAnsi="宋体" w:eastAsia="宋体" w:cs="宋体"/>
          <w:b/>
          <w:color w:val="auto"/>
          <w:sz w:val="48"/>
          <w:szCs w:val="48"/>
          <w:highlight w:val="none"/>
        </w:rPr>
      </w:pPr>
    </w:p>
    <w:p w14:paraId="6954DFC5">
      <w:pPr>
        <w:snapToGrid w:val="0"/>
        <w:spacing w:line="360" w:lineRule="auto"/>
        <w:jc w:val="center"/>
        <w:rPr>
          <w:rFonts w:ascii="宋体" w:hAnsi="宋体" w:eastAsia="宋体" w:cs="宋体"/>
          <w:color w:val="auto"/>
          <w:sz w:val="48"/>
          <w:szCs w:val="48"/>
          <w:highlight w:val="none"/>
          <w:u w:val="single"/>
        </w:rPr>
      </w:pPr>
      <w:r>
        <w:rPr>
          <w:rFonts w:hint="eastAsia" w:ascii="宋体" w:hAnsi="宋体" w:eastAsia="宋体" w:cs="宋体"/>
          <w:b/>
          <w:color w:val="auto"/>
          <w:sz w:val="48"/>
          <w:szCs w:val="48"/>
          <w:highlight w:val="none"/>
        </w:rPr>
        <w:t>黄埔区公安分局永和派出所扩建工程施工总承包</w:t>
      </w:r>
    </w:p>
    <w:p w14:paraId="2332C24F">
      <w:pPr>
        <w:snapToGrid w:val="0"/>
        <w:spacing w:line="360" w:lineRule="auto"/>
        <w:jc w:val="center"/>
        <w:rPr>
          <w:rFonts w:ascii="宋体" w:hAnsi="宋体" w:eastAsia="宋体" w:cs="宋体"/>
          <w:color w:val="auto"/>
          <w:sz w:val="36"/>
          <w:szCs w:val="36"/>
          <w:highlight w:val="none"/>
          <w:u w:val="single"/>
        </w:rPr>
      </w:pPr>
    </w:p>
    <w:p w14:paraId="0913B7BF">
      <w:pPr>
        <w:pStyle w:val="46"/>
        <w:snapToGrid w:val="0"/>
        <w:spacing w:line="360" w:lineRule="auto"/>
        <w:rPr>
          <w:rFonts w:hAnsi="宋体" w:eastAsia="宋体" w:cs="宋体"/>
          <w:color w:val="auto"/>
          <w:highlight w:val="none"/>
        </w:rPr>
      </w:pPr>
    </w:p>
    <w:p w14:paraId="108689CF">
      <w:pPr>
        <w:pStyle w:val="46"/>
        <w:snapToGrid w:val="0"/>
        <w:spacing w:line="360" w:lineRule="auto"/>
        <w:rPr>
          <w:rFonts w:hAnsi="宋体" w:eastAsia="宋体" w:cs="宋体"/>
          <w:color w:val="auto"/>
          <w:sz w:val="36"/>
          <w:szCs w:val="36"/>
          <w:highlight w:val="none"/>
          <w:u w:val="single"/>
        </w:rPr>
      </w:pPr>
    </w:p>
    <w:p w14:paraId="67C7767A">
      <w:pPr>
        <w:pStyle w:val="46"/>
        <w:snapToGrid w:val="0"/>
        <w:spacing w:line="360" w:lineRule="auto"/>
        <w:rPr>
          <w:rFonts w:hAnsi="宋体" w:eastAsia="宋体" w:cs="宋体"/>
          <w:color w:val="auto"/>
          <w:sz w:val="36"/>
          <w:szCs w:val="36"/>
          <w:highlight w:val="none"/>
          <w:u w:val="single"/>
        </w:rPr>
      </w:pPr>
    </w:p>
    <w:p w14:paraId="1A46A2FF">
      <w:pPr>
        <w:snapToGrid w:val="0"/>
        <w:spacing w:line="360" w:lineRule="auto"/>
        <w:jc w:val="center"/>
        <w:rPr>
          <w:rFonts w:ascii="宋体" w:hAnsi="宋体" w:eastAsia="宋体" w:cs="宋体"/>
          <w:b/>
          <w:bCs/>
          <w:color w:val="auto"/>
          <w:spacing w:val="26"/>
          <w:sz w:val="110"/>
          <w:szCs w:val="110"/>
          <w:highlight w:val="none"/>
        </w:rPr>
      </w:pPr>
      <w:r>
        <w:rPr>
          <w:rFonts w:hint="eastAsia" w:ascii="宋体" w:hAnsi="宋体" w:eastAsia="宋体" w:cs="宋体"/>
          <w:b/>
          <w:bCs/>
          <w:color w:val="auto"/>
          <w:spacing w:val="26"/>
          <w:sz w:val="110"/>
          <w:szCs w:val="110"/>
          <w:highlight w:val="none"/>
        </w:rPr>
        <w:t>招标文件</w:t>
      </w:r>
    </w:p>
    <w:p w14:paraId="1B0A9739">
      <w:pPr>
        <w:snapToGrid w:val="0"/>
        <w:spacing w:line="360" w:lineRule="auto"/>
        <w:jc w:val="center"/>
        <w:rPr>
          <w:rFonts w:ascii="宋体" w:hAnsi="宋体" w:eastAsia="宋体" w:cs="宋体"/>
          <w:color w:val="auto"/>
          <w:sz w:val="32"/>
          <w:szCs w:val="32"/>
          <w:highlight w:val="none"/>
        </w:rPr>
      </w:pPr>
    </w:p>
    <w:p w14:paraId="0F613D12">
      <w:pPr>
        <w:snapToGrid w:val="0"/>
        <w:spacing w:line="360" w:lineRule="auto"/>
        <w:ind w:firstLine="2560" w:firstLineChars="800"/>
        <w:rPr>
          <w:rFonts w:ascii="宋体" w:hAnsi="宋体" w:eastAsia="宋体" w:cs="宋体"/>
          <w:color w:val="auto"/>
          <w:sz w:val="32"/>
          <w:szCs w:val="32"/>
          <w:highlight w:val="none"/>
        </w:rPr>
      </w:pPr>
    </w:p>
    <w:p w14:paraId="4C3EC60E">
      <w:pPr>
        <w:rPr>
          <w:rFonts w:ascii="宋体" w:hAnsi="宋体" w:eastAsia="宋体" w:cs="宋体"/>
          <w:color w:val="auto"/>
          <w:sz w:val="32"/>
          <w:szCs w:val="32"/>
          <w:highlight w:val="none"/>
        </w:rPr>
      </w:pPr>
    </w:p>
    <w:p w14:paraId="098FAF1E">
      <w:pPr>
        <w:rPr>
          <w:rStyle w:val="237"/>
          <w:rFonts w:ascii="宋体" w:hAnsi="宋体" w:eastAsia="宋体" w:cs="宋体"/>
          <w:b/>
          <w:bCs/>
          <w:color w:val="auto"/>
          <w:szCs w:val="21"/>
          <w:highlight w:val="none"/>
          <w:u w:val="none"/>
        </w:rPr>
      </w:pPr>
    </w:p>
    <w:p w14:paraId="5915F7A4">
      <w:pPr>
        <w:snapToGrid w:val="0"/>
        <w:spacing w:line="360" w:lineRule="auto"/>
        <w:ind w:firstLine="1200" w:firstLineChars="400"/>
        <w:rPr>
          <w:rFonts w:ascii="宋体" w:hAnsi="宋体" w:eastAsia="宋体" w:cs="宋体"/>
          <w:color w:val="auto"/>
          <w:sz w:val="30"/>
          <w:szCs w:val="30"/>
          <w:highlight w:val="none"/>
        </w:rPr>
      </w:pPr>
    </w:p>
    <w:p w14:paraId="6171B91D">
      <w:pPr>
        <w:pStyle w:val="46"/>
        <w:snapToGrid w:val="0"/>
        <w:spacing w:line="360" w:lineRule="auto"/>
        <w:rPr>
          <w:rFonts w:hAnsi="宋体" w:eastAsia="宋体" w:cs="宋体"/>
          <w:color w:val="auto"/>
          <w:highlight w:val="none"/>
        </w:rPr>
      </w:pPr>
    </w:p>
    <w:p w14:paraId="564AFE71">
      <w:pPr>
        <w:snapToGrid w:val="0"/>
        <w:spacing w:line="360" w:lineRule="auto"/>
        <w:ind w:firstLine="639" w:firstLineChars="213"/>
        <w:rPr>
          <w:rFonts w:ascii="宋体" w:hAnsi="宋体" w:eastAsia="宋体" w:cs="宋体"/>
          <w:bCs/>
          <w:color w:val="auto"/>
          <w:sz w:val="30"/>
          <w:szCs w:val="30"/>
          <w:highlight w:val="none"/>
        </w:rPr>
      </w:pPr>
      <w:r>
        <w:rPr>
          <w:rFonts w:hint="eastAsia" w:ascii="宋体" w:hAnsi="宋体" w:eastAsia="宋体" w:cs="Times New Roman"/>
          <w:color w:val="auto"/>
          <w:sz w:val="30"/>
          <w:szCs w:val="30"/>
          <w:highlight w:val="none"/>
        </w:rPr>
        <w:t>招</w:t>
      </w:r>
      <w:r>
        <w:rPr>
          <w:rFonts w:ascii="宋体" w:hAnsi="宋体" w:eastAsia="宋体" w:cs="Times New Roman"/>
          <w:color w:val="auto"/>
          <w:sz w:val="30"/>
          <w:szCs w:val="30"/>
          <w:highlight w:val="none"/>
        </w:rPr>
        <w:t xml:space="preserve">  </w:t>
      </w:r>
      <w:r>
        <w:rPr>
          <w:rFonts w:hint="eastAsia" w:ascii="宋体" w:hAnsi="宋体" w:eastAsia="宋体" w:cs="Times New Roman"/>
          <w:color w:val="auto"/>
          <w:sz w:val="30"/>
          <w:szCs w:val="30"/>
          <w:highlight w:val="none"/>
        </w:rPr>
        <w:t>标</w:t>
      </w:r>
      <w:r>
        <w:rPr>
          <w:rFonts w:ascii="宋体" w:hAnsi="宋体" w:eastAsia="宋体" w:cs="Times New Roman"/>
          <w:color w:val="auto"/>
          <w:sz w:val="30"/>
          <w:szCs w:val="30"/>
          <w:highlight w:val="none"/>
        </w:rPr>
        <w:t xml:space="preserve"> </w:t>
      </w:r>
      <w:r>
        <w:rPr>
          <w:rFonts w:hint="eastAsia" w:ascii="宋体" w:hAnsi="宋体" w:eastAsia="宋体" w:cs="Times New Roman"/>
          <w:color w:val="auto"/>
          <w:sz w:val="30"/>
          <w:szCs w:val="30"/>
          <w:highlight w:val="none"/>
        </w:rPr>
        <w:t>单</w:t>
      </w:r>
      <w:r>
        <w:rPr>
          <w:rFonts w:ascii="宋体" w:hAnsi="宋体" w:eastAsia="宋体" w:cs="Times New Roman"/>
          <w:color w:val="auto"/>
          <w:sz w:val="30"/>
          <w:szCs w:val="30"/>
          <w:highlight w:val="none"/>
        </w:rPr>
        <w:t xml:space="preserve"> </w:t>
      </w:r>
      <w:r>
        <w:rPr>
          <w:rFonts w:hint="eastAsia" w:ascii="宋体" w:hAnsi="宋体" w:eastAsia="宋体" w:cs="Times New Roman"/>
          <w:color w:val="auto"/>
          <w:sz w:val="30"/>
          <w:szCs w:val="30"/>
          <w:highlight w:val="none"/>
        </w:rPr>
        <w:t>位</w:t>
      </w:r>
      <w:r>
        <w:rPr>
          <w:rFonts w:hint="eastAsia" w:ascii="宋体" w:hAnsi="宋体" w:eastAsia="宋体" w:cs="宋体"/>
          <w:bCs/>
          <w:color w:val="auto"/>
          <w:sz w:val="30"/>
          <w:szCs w:val="30"/>
          <w:highlight w:val="none"/>
        </w:rPr>
        <w:t>：</w:t>
      </w:r>
      <w:r>
        <w:rPr>
          <w:rFonts w:hint="eastAsia" w:ascii="宋体" w:hAnsi="宋体" w:eastAsia="宋体" w:cs="宋体"/>
          <w:bCs/>
          <w:color w:val="auto"/>
          <w:sz w:val="30"/>
          <w:szCs w:val="30"/>
          <w:highlight w:val="none"/>
          <w:u w:val="single"/>
        </w:rPr>
        <w:t>广州开发区财政投资建设项目管理中心</w:t>
      </w:r>
    </w:p>
    <w:p w14:paraId="71DCD3BD">
      <w:pPr>
        <w:snapToGrid w:val="0"/>
        <w:spacing w:line="360" w:lineRule="auto"/>
        <w:ind w:firstLine="639" w:firstLineChars="213"/>
        <w:rPr>
          <w:rFonts w:ascii="宋体" w:hAnsi="宋体" w:eastAsia="宋体" w:cs="宋体"/>
          <w:bCs/>
          <w:color w:val="auto"/>
          <w:sz w:val="30"/>
          <w:szCs w:val="30"/>
          <w:highlight w:val="none"/>
        </w:rPr>
      </w:pPr>
      <w:r>
        <w:rPr>
          <w:rFonts w:hint="eastAsia" w:ascii="宋体" w:hAnsi="宋体" w:eastAsia="宋体" w:cs="宋体"/>
          <w:bCs/>
          <w:color w:val="auto"/>
          <w:sz w:val="30"/>
          <w:szCs w:val="30"/>
          <w:highlight w:val="none"/>
        </w:rPr>
        <w:t>招标代理机构：</w:t>
      </w:r>
      <w:r>
        <w:rPr>
          <w:rFonts w:hint="eastAsia" w:ascii="宋体" w:hAnsi="宋体" w:eastAsia="宋体" w:cs="宋体"/>
          <w:bCs/>
          <w:color w:val="auto"/>
          <w:sz w:val="30"/>
          <w:szCs w:val="30"/>
          <w:highlight w:val="none"/>
          <w:u w:val="single"/>
        </w:rPr>
        <w:t>广东建发工程管理有限公司</w:t>
      </w:r>
    </w:p>
    <w:p w14:paraId="2F6B0A22">
      <w:pPr>
        <w:snapToGrid w:val="0"/>
        <w:spacing w:line="360" w:lineRule="auto"/>
        <w:ind w:firstLine="639" w:firstLineChars="213"/>
        <w:rPr>
          <w:rFonts w:ascii="宋体" w:hAnsi="宋体" w:eastAsia="宋体" w:cs="宋体"/>
          <w:b/>
          <w:bCs/>
          <w:color w:val="auto"/>
          <w:sz w:val="30"/>
          <w:szCs w:val="30"/>
          <w:highlight w:val="none"/>
          <w:u w:val="single"/>
        </w:rPr>
      </w:pPr>
      <w:r>
        <w:rPr>
          <w:rFonts w:hint="eastAsia" w:ascii="宋体" w:hAnsi="宋体" w:eastAsia="宋体" w:cs="宋体"/>
          <w:bCs/>
          <w:color w:val="auto"/>
          <w:sz w:val="30"/>
          <w:szCs w:val="30"/>
          <w:highlight w:val="none"/>
        </w:rPr>
        <w:t>日        期：</w:t>
      </w:r>
      <w:r>
        <w:rPr>
          <w:rFonts w:ascii="宋体" w:hAnsi="宋体" w:eastAsia="宋体" w:cs="宋体"/>
          <w:bCs/>
          <w:color w:val="auto"/>
          <w:sz w:val="30"/>
          <w:szCs w:val="30"/>
          <w:highlight w:val="none"/>
          <w:u w:val="single"/>
        </w:rPr>
        <w:t>2025</w:t>
      </w:r>
      <w:r>
        <w:rPr>
          <w:rFonts w:ascii="宋体" w:hAnsi="宋体" w:eastAsia="宋体" w:cs="宋体"/>
          <w:bCs/>
          <w:color w:val="auto"/>
          <w:sz w:val="30"/>
          <w:szCs w:val="30"/>
          <w:highlight w:val="none"/>
        </w:rPr>
        <w:t>年</w:t>
      </w:r>
      <w:r>
        <w:rPr>
          <w:rFonts w:hint="eastAsia" w:ascii="宋体" w:hAnsi="宋体" w:eastAsia="宋体" w:cs="宋体"/>
          <w:bCs/>
          <w:color w:val="auto"/>
          <w:sz w:val="30"/>
          <w:szCs w:val="30"/>
          <w:highlight w:val="none"/>
          <w:u w:val="single"/>
        </w:rPr>
        <w:t>10</w:t>
      </w:r>
      <w:r>
        <w:rPr>
          <w:rFonts w:hint="eastAsia" w:ascii="宋体" w:hAnsi="宋体" w:eastAsia="宋体" w:cs="宋体"/>
          <w:bCs/>
          <w:color w:val="auto"/>
          <w:sz w:val="30"/>
          <w:szCs w:val="30"/>
          <w:highlight w:val="none"/>
        </w:rPr>
        <w:t>月</w:t>
      </w:r>
    </w:p>
    <w:p w14:paraId="1E6AEA55">
      <w:pPr>
        <w:pStyle w:val="2"/>
        <w:tabs>
          <w:tab w:val="right" w:leader="dot" w:pos="9060"/>
        </w:tabs>
        <w:ind w:left="0" w:leftChars="0"/>
        <w:rPr>
          <w:rFonts w:ascii="宋体" w:hAnsi="宋体" w:eastAsia="宋体" w:cs="宋体"/>
          <w:color w:val="auto"/>
          <w:szCs w:val="21"/>
          <w:highlight w:val="none"/>
        </w:rPr>
      </w:pPr>
    </w:p>
    <w:p w14:paraId="1C357D92">
      <w:pPr>
        <w:snapToGrid w:val="0"/>
        <w:rPr>
          <w:rStyle w:val="237"/>
          <w:rFonts w:ascii="宋体" w:hAnsi="宋体" w:eastAsia="宋体" w:cs="宋体"/>
          <w:b/>
          <w:bCs/>
          <w:color w:val="auto"/>
          <w:szCs w:val="21"/>
          <w:highlight w:val="none"/>
          <w:u w:val="none"/>
        </w:rPr>
        <w:sectPr>
          <w:footerReference r:id="rId6" w:type="first"/>
          <w:footerReference r:id="rId4" w:type="default"/>
          <w:headerReference r:id="rId3" w:type="even"/>
          <w:footerReference r:id="rId5" w:type="even"/>
          <w:endnotePr>
            <w:numFmt w:val="decimal"/>
          </w:endnotePr>
          <w:pgSz w:w="11906" w:h="16838"/>
          <w:pgMar w:top="1440" w:right="1440" w:bottom="1440" w:left="1440" w:header="851" w:footer="992" w:gutter="0"/>
          <w:cols w:space="425" w:num="1"/>
          <w:titlePg/>
          <w:docGrid w:type="lines" w:linePitch="312" w:charSpace="0"/>
        </w:sectPr>
      </w:pPr>
    </w:p>
    <w:p w14:paraId="02404575">
      <w:pPr>
        <w:snapToGrid w:val="0"/>
        <w:rPr>
          <w:rStyle w:val="237"/>
          <w:rFonts w:ascii="宋体" w:hAnsi="宋体" w:eastAsia="宋体" w:cs="宋体"/>
          <w:b/>
          <w:bCs/>
          <w:color w:val="auto"/>
          <w:szCs w:val="21"/>
          <w:highlight w:val="none"/>
          <w:u w:val="none"/>
        </w:rPr>
      </w:pPr>
    </w:p>
    <w:p w14:paraId="3CA18940">
      <w:pPr>
        <w:snapToGrid w:val="0"/>
        <w:spacing w:line="360" w:lineRule="auto"/>
        <w:jc w:val="center"/>
        <w:rPr>
          <w:rStyle w:val="237"/>
          <w:rFonts w:ascii="宋体" w:hAnsi="宋体" w:eastAsia="宋体" w:cs="宋体"/>
          <w:b/>
          <w:bCs/>
          <w:color w:val="auto"/>
          <w:sz w:val="36"/>
          <w:szCs w:val="36"/>
          <w:highlight w:val="none"/>
        </w:rPr>
      </w:pPr>
      <w:r>
        <w:rPr>
          <w:rStyle w:val="237"/>
          <w:rFonts w:hint="eastAsia" w:ascii="宋体" w:hAnsi="宋体" w:eastAsia="宋体" w:cs="宋体"/>
          <w:b/>
          <w:bCs/>
          <w:color w:val="auto"/>
          <w:sz w:val="36"/>
          <w:szCs w:val="36"/>
          <w:highlight w:val="none"/>
          <w:u w:val="none"/>
        </w:rPr>
        <w:t>目</w:t>
      </w:r>
      <w:r>
        <w:rPr>
          <w:rStyle w:val="237"/>
          <w:rFonts w:ascii="宋体" w:hAnsi="宋体" w:eastAsia="宋体" w:cs="宋体"/>
          <w:b/>
          <w:bCs/>
          <w:color w:val="auto"/>
          <w:sz w:val="36"/>
          <w:szCs w:val="36"/>
          <w:highlight w:val="none"/>
          <w:u w:val="none"/>
        </w:rPr>
        <w:t xml:space="preserve">  </w:t>
      </w:r>
      <w:r>
        <w:rPr>
          <w:rStyle w:val="237"/>
          <w:rFonts w:hint="eastAsia" w:ascii="宋体" w:hAnsi="宋体" w:eastAsia="宋体" w:cs="宋体"/>
          <w:b/>
          <w:bCs/>
          <w:color w:val="auto"/>
          <w:sz w:val="36"/>
          <w:szCs w:val="36"/>
          <w:highlight w:val="none"/>
          <w:u w:val="none"/>
        </w:rPr>
        <w:t>录</w:t>
      </w:r>
    </w:p>
    <w:p w14:paraId="54EE5F8E">
      <w:pPr>
        <w:snapToGrid w:val="0"/>
        <w:spacing w:line="360" w:lineRule="auto"/>
        <w:jc w:val="center"/>
        <w:rPr>
          <w:rFonts w:ascii="宋体" w:hAnsi="宋体" w:eastAsia="宋体" w:cs="宋体"/>
          <w:b/>
          <w:caps/>
          <w:color w:val="auto"/>
          <w:kern w:val="0"/>
          <w:sz w:val="36"/>
          <w:szCs w:val="36"/>
          <w:highlight w:val="none"/>
        </w:rPr>
      </w:pPr>
    </w:p>
    <w:p w14:paraId="3318390F">
      <w:pPr>
        <w:pStyle w:val="60"/>
        <w:tabs>
          <w:tab w:val="right" w:leader="dot" w:pos="9040"/>
        </w:tabs>
        <w:rPr>
          <w:rFonts w:ascii="宋体" w:hAnsi="宋体" w:eastAsia="宋体" w:cs="宋体"/>
          <w:color w:val="auto"/>
          <w:highlight w:val="none"/>
        </w:rPr>
      </w:pP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TOC \o "1-3" \h \z \u </w:instrText>
      </w:r>
      <w:r>
        <w:rPr>
          <w:rFonts w:hint="eastAsia" w:ascii="宋体" w:hAnsi="宋体" w:eastAsia="宋体" w:cs="宋体"/>
          <w:color w:val="auto"/>
          <w:highlight w:val="none"/>
        </w:rPr>
        <w:fldChar w:fldCharType="separate"/>
      </w:r>
      <w:r>
        <w:rPr>
          <w:rFonts w:hint="eastAsia"/>
          <w:color w:val="auto"/>
          <w:highlight w:val="none"/>
        </w:rPr>
        <w:fldChar w:fldCharType="begin"/>
      </w:r>
      <w:r>
        <w:rPr>
          <w:color w:val="auto"/>
          <w:highlight w:val="none"/>
        </w:rPr>
        <w:instrText xml:space="preserve"> HYPERLINK \l "_Toc6280" </w:instrText>
      </w:r>
      <w:r>
        <w:rPr>
          <w:rFonts w:hint="eastAsia"/>
          <w:color w:val="auto"/>
          <w:highlight w:val="none"/>
        </w:rPr>
        <w:fldChar w:fldCharType="separate"/>
      </w:r>
      <w:r>
        <w:rPr>
          <w:rFonts w:hint="eastAsia" w:ascii="宋体" w:hAnsi="宋体" w:eastAsia="宋体" w:cs="宋体"/>
          <w:bCs/>
          <w:color w:val="auto"/>
          <w:highlight w:val="none"/>
        </w:rPr>
        <w:t>第一章</w:t>
      </w:r>
      <w:r>
        <w:rPr>
          <w:rFonts w:ascii="宋体" w:hAnsi="宋体" w:eastAsia="宋体" w:cs="宋体"/>
          <w:bCs/>
          <w:color w:val="auto"/>
          <w:highlight w:val="none"/>
        </w:rPr>
        <w:t xml:space="preserve">  </w:t>
      </w:r>
      <w:r>
        <w:rPr>
          <w:rFonts w:hint="eastAsia" w:ascii="宋体" w:hAnsi="宋体" w:eastAsia="宋体" w:cs="宋体"/>
          <w:bCs/>
          <w:color w:val="auto"/>
          <w:highlight w:val="none"/>
        </w:rPr>
        <w:t>投标须知</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_Toc6280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25EF00E">
      <w:pPr>
        <w:pStyle w:val="2"/>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"_Toc27735" </w:instrText>
      </w:r>
      <w:r>
        <w:rPr>
          <w:rFonts w:hint="eastAsia"/>
          <w:color w:val="auto"/>
          <w:highlight w:val="none"/>
        </w:rPr>
        <w:fldChar w:fldCharType="separate"/>
      </w:r>
      <w:r>
        <w:rPr>
          <w:rFonts w:hint="eastAsia" w:ascii="宋体" w:hAnsi="宋体" w:eastAsia="宋体" w:cs="宋体"/>
          <w:color w:val="auto"/>
          <w:highlight w:val="none"/>
        </w:rPr>
        <w:t>一、投标须知前附表</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_Toc27735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F4F4EBA">
      <w:pPr>
        <w:pStyle w:val="2"/>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"_Toc6608" </w:instrText>
      </w:r>
      <w:r>
        <w:rPr>
          <w:rFonts w:hint="eastAsia"/>
          <w:color w:val="auto"/>
          <w:highlight w:val="none"/>
        </w:rPr>
        <w:fldChar w:fldCharType="separate"/>
      </w:r>
      <w:r>
        <w:rPr>
          <w:rFonts w:hint="eastAsia" w:ascii="宋体" w:hAnsi="宋体" w:eastAsia="宋体" w:cs="宋体"/>
          <w:color w:val="auto"/>
          <w:szCs w:val="32"/>
          <w:highlight w:val="none"/>
        </w:rPr>
        <w:t>二、投标须知修改表</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_Toc6608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AAF7148">
      <w:pPr>
        <w:pStyle w:val="2"/>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"_Toc31334" </w:instrText>
      </w:r>
      <w:r>
        <w:rPr>
          <w:rFonts w:hint="eastAsia"/>
          <w:color w:val="auto"/>
          <w:highlight w:val="none"/>
        </w:rPr>
        <w:fldChar w:fldCharType="separate"/>
      </w:r>
      <w:r>
        <w:rPr>
          <w:rFonts w:hint="eastAsia" w:ascii="宋体" w:hAnsi="宋体" w:eastAsia="宋体" w:cs="宋体"/>
          <w:color w:val="auto"/>
          <w:highlight w:val="none"/>
        </w:rPr>
        <w:t>三、投标须知通用条款</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_Toc31334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9912016">
      <w:pPr>
        <w:pStyle w:val="45"/>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"_Toc12947" </w:instrText>
      </w:r>
      <w:r>
        <w:rPr>
          <w:rFonts w:hint="eastAsia"/>
          <w:color w:val="auto"/>
          <w:highlight w:val="none"/>
        </w:rPr>
        <w:fldChar w:fldCharType="separate"/>
      </w:r>
      <w:r>
        <w:rPr>
          <w:rFonts w:hint="eastAsia" w:ascii="宋体" w:hAnsi="宋体" w:eastAsia="宋体" w:cs="宋体"/>
          <w:color w:val="auto"/>
          <w:szCs w:val="21"/>
          <w:highlight w:val="none"/>
        </w:rPr>
        <w:t>（一）总则</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_Toc12947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28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53611C">
      <w:pPr>
        <w:pStyle w:val="45"/>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"_Toc32111" </w:instrText>
      </w:r>
      <w:r>
        <w:rPr>
          <w:rFonts w:hint="eastAsia"/>
          <w:color w:val="auto"/>
          <w:highlight w:val="none"/>
        </w:rPr>
        <w:fldChar w:fldCharType="separate"/>
      </w:r>
      <w:r>
        <w:rPr>
          <w:rFonts w:hint="eastAsia" w:ascii="宋体" w:hAnsi="宋体" w:eastAsia="宋体" w:cs="宋体"/>
          <w:color w:val="auto"/>
          <w:szCs w:val="21"/>
          <w:highlight w:val="none"/>
        </w:rPr>
        <w:t>（二）招标文件</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_Toc32111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29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2A79A4">
      <w:pPr>
        <w:pStyle w:val="45"/>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"_Toc32542" </w:instrText>
      </w:r>
      <w:r>
        <w:rPr>
          <w:rFonts w:hint="eastAsia"/>
          <w:color w:val="auto"/>
          <w:highlight w:val="none"/>
        </w:rPr>
        <w:fldChar w:fldCharType="separate"/>
      </w:r>
      <w:r>
        <w:rPr>
          <w:rFonts w:hint="eastAsia" w:ascii="宋体" w:hAnsi="宋体" w:eastAsia="宋体" w:cs="宋体"/>
          <w:color w:val="auto"/>
          <w:szCs w:val="21"/>
          <w:highlight w:val="none"/>
        </w:rPr>
        <w:t>（三）投标文件的编制</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_Toc32542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30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5EBE81A">
      <w:pPr>
        <w:pStyle w:val="45"/>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"_Toc24057" </w:instrText>
      </w:r>
      <w:r>
        <w:rPr>
          <w:rFonts w:hint="eastAsia"/>
          <w:color w:val="auto"/>
          <w:highlight w:val="none"/>
        </w:rPr>
        <w:fldChar w:fldCharType="separate"/>
      </w:r>
      <w:r>
        <w:rPr>
          <w:rFonts w:hint="eastAsia" w:ascii="宋体" w:hAnsi="宋体" w:eastAsia="宋体" w:cs="宋体"/>
          <w:color w:val="auto"/>
          <w:szCs w:val="21"/>
          <w:highlight w:val="none"/>
        </w:rPr>
        <w:t>（四）投标文件的提交</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_Toc24057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36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C01DAB0">
      <w:pPr>
        <w:pStyle w:val="45"/>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"_Toc13732" </w:instrText>
      </w:r>
      <w:r>
        <w:rPr>
          <w:rFonts w:hint="eastAsia"/>
          <w:color w:val="auto"/>
          <w:highlight w:val="none"/>
        </w:rPr>
        <w:fldChar w:fldCharType="separate"/>
      </w:r>
      <w:r>
        <w:rPr>
          <w:rFonts w:hint="eastAsia" w:ascii="宋体" w:hAnsi="宋体" w:eastAsia="宋体" w:cs="宋体"/>
          <w:color w:val="auto"/>
          <w:szCs w:val="21"/>
          <w:highlight w:val="none"/>
        </w:rPr>
        <w:t>（五）开标、评标、定标及合同签定</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_Toc13732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37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E4A3C6F">
      <w:pPr>
        <w:pStyle w:val="60"/>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"_Toc12835" </w:instrText>
      </w:r>
      <w:r>
        <w:rPr>
          <w:rFonts w:hint="eastAsia"/>
          <w:color w:val="auto"/>
          <w:highlight w:val="none"/>
        </w:rPr>
        <w:fldChar w:fldCharType="separate"/>
      </w:r>
      <w:r>
        <w:rPr>
          <w:rFonts w:hint="eastAsia" w:ascii="宋体" w:hAnsi="宋体" w:eastAsia="宋体" w:cs="宋体"/>
          <w:bCs/>
          <w:color w:val="auto"/>
          <w:highlight w:val="none"/>
        </w:rPr>
        <w:t>第二章</w:t>
      </w:r>
      <w:r>
        <w:rPr>
          <w:rFonts w:ascii="宋体" w:hAnsi="宋体" w:eastAsia="宋体" w:cs="宋体"/>
          <w:bCs/>
          <w:color w:val="auto"/>
          <w:highlight w:val="none"/>
        </w:rPr>
        <w:t xml:space="preserve">  </w:t>
      </w:r>
      <w:r>
        <w:rPr>
          <w:rFonts w:hint="eastAsia" w:ascii="宋体" w:hAnsi="宋体" w:eastAsia="宋体" w:cs="宋体"/>
          <w:bCs/>
          <w:color w:val="auto"/>
          <w:highlight w:val="none"/>
        </w:rPr>
        <w:t>开标、评标及定标办法</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_Toc12835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A080789">
      <w:pPr>
        <w:pStyle w:val="2"/>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"_Toc20882" </w:instrText>
      </w:r>
      <w:r>
        <w:rPr>
          <w:rFonts w:hint="eastAsia"/>
          <w:color w:val="auto"/>
          <w:highlight w:val="none"/>
        </w:rPr>
        <w:fldChar w:fldCharType="separate"/>
      </w:r>
      <w:r>
        <w:rPr>
          <w:rFonts w:hint="eastAsia" w:ascii="宋体" w:hAnsi="宋体" w:eastAsia="宋体" w:cs="宋体"/>
          <w:color w:val="auto"/>
          <w:highlight w:val="none"/>
        </w:rPr>
        <w:t>一、开标、评标及定标办法修改表</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_Toc20882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39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D9FE90D">
      <w:pPr>
        <w:pStyle w:val="2"/>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"_Toc5678" </w:instrText>
      </w:r>
      <w:r>
        <w:rPr>
          <w:rFonts w:hint="eastAsia"/>
          <w:color w:val="auto"/>
          <w:highlight w:val="none"/>
        </w:rPr>
        <w:fldChar w:fldCharType="separate"/>
      </w:r>
      <w:r>
        <w:rPr>
          <w:rFonts w:hint="eastAsia" w:ascii="宋体" w:hAnsi="宋体" w:eastAsia="宋体" w:cs="宋体"/>
          <w:color w:val="auto"/>
          <w:highlight w:val="none"/>
        </w:rPr>
        <w:t>二、开标、评标及定标办法</w:t>
      </w:r>
      <w:r>
        <w:rPr>
          <w:rFonts w:hint="eastAsia" w:ascii="宋体" w:hAnsi="宋体" w:eastAsia="宋体" w:cs="宋体"/>
          <w:color w:val="auto"/>
          <w:szCs w:val="30"/>
          <w:highlight w:val="none"/>
        </w:rPr>
        <w:t>通用条款</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_Toc5678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587F8F5">
      <w:pPr>
        <w:pStyle w:val="45"/>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"_Toc31373" </w:instrText>
      </w:r>
      <w:r>
        <w:rPr>
          <w:rFonts w:hint="eastAsia"/>
          <w:color w:val="auto"/>
          <w:highlight w:val="none"/>
        </w:rPr>
        <w:fldChar w:fldCharType="separate"/>
      </w:r>
      <w:r>
        <w:rPr>
          <w:rFonts w:hint="eastAsia" w:ascii="宋体" w:hAnsi="宋体" w:eastAsia="宋体" w:cs="宋体"/>
          <w:bCs/>
          <w:color w:val="auto"/>
          <w:highlight w:val="none"/>
        </w:rPr>
        <w:t>（一）总则</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_Toc31373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50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1545038">
      <w:pPr>
        <w:pStyle w:val="45"/>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"_Toc9740" </w:instrText>
      </w:r>
      <w:r>
        <w:rPr>
          <w:rFonts w:hint="eastAsia"/>
          <w:color w:val="auto"/>
          <w:highlight w:val="none"/>
        </w:rPr>
        <w:fldChar w:fldCharType="separate"/>
      </w:r>
      <w:r>
        <w:rPr>
          <w:rFonts w:hint="eastAsia" w:ascii="宋体" w:hAnsi="宋体" w:eastAsia="宋体" w:cs="宋体"/>
          <w:bCs/>
          <w:color w:val="auto"/>
          <w:highlight w:val="none"/>
        </w:rPr>
        <w:t>（二）开标评标办法程序和细则</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_Toc9740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C93EC9F">
      <w:pPr>
        <w:pStyle w:val="45"/>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"_Toc3121" </w:instrText>
      </w:r>
      <w:r>
        <w:rPr>
          <w:rFonts w:hint="eastAsia"/>
          <w:color w:val="auto"/>
          <w:highlight w:val="none"/>
        </w:rPr>
        <w:fldChar w:fldCharType="separate"/>
      </w:r>
      <w:r>
        <w:rPr>
          <w:rFonts w:hint="eastAsia" w:ascii="宋体" w:hAnsi="宋体" w:eastAsia="宋体" w:cs="宋体"/>
          <w:color w:val="auto"/>
          <w:highlight w:val="none"/>
        </w:rPr>
        <w:t>可选办法八（适合经评审的最低投标价法，技术标与经济标同时开启）</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_Toc3121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52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5935E2">
      <w:pPr>
        <w:pStyle w:val="60"/>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"_Toc5789" </w:instrText>
      </w:r>
      <w:r>
        <w:rPr>
          <w:rFonts w:hint="eastAsia"/>
          <w:color w:val="auto"/>
          <w:highlight w:val="none"/>
        </w:rPr>
        <w:fldChar w:fldCharType="separate"/>
      </w:r>
      <w:r>
        <w:rPr>
          <w:rFonts w:hint="eastAsia" w:ascii="宋体" w:hAnsi="宋体" w:eastAsia="宋体" w:cs="宋体"/>
          <w:color w:val="auto"/>
          <w:szCs w:val="44"/>
          <w:highlight w:val="none"/>
        </w:rPr>
        <w:t>第三章</w:t>
      </w:r>
      <w:r>
        <w:rPr>
          <w:rFonts w:ascii="宋体" w:hAnsi="宋体" w:eastAsia="宋体" w:cs="宋体"/>
          <w:color w:val="auto"/>
          <w:szCs w:val="44"/>
          <w:highlight w:val="none"/>
        </w:rPr>
        <w:t xml:space="preserve">  </w:t>
      </w:r>
      <w:r>
        <w:rPr>
          <w:rFonts w:hint="eastAsia" w:ascii="宋体" w:hAnsi="宋体" w:eastAsia="宋体" w:cs="宋体"/>
          <w:color w:val="auto"/>
          <w:szCs w:val="44"/>
          <w:highlight w:val="none"/>
        </w:rPr>
        <w:t>合同条款</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_Toc5789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75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442F7F9">
      <w:pPr>
        <w:pStyle w:val="60"/>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"_Toc30083" </w:instrText>
      </w:r>
      <w:r>
        <w:rPr>
          <w:rFonts w:hint="eastAsia"/>
          <w:color w:val="auto"/>
          <w:highlight w:val="none"/>
        </w:rPr>
        <w:fldChar w:fldCharType="separate"/>
      </w:r>
      <w:r>
        <w:rPr>
          <w:rFonts w:hint="eastAsia" w:ascii="宋体" w:hAnsi="宋体" w:eastAsia="宋体" w:cs="宋体"/>
          <w:color w:val="auto"/>
          <w:highlight w:val="none"/>
        </w:rPr>
        <w:t>第四章</w:t>
      </w:r>
      <w:r>
        <w:rPr>
          <w:rFonts w:ascii="宋体" w:hAnsi="宋体" w:eastAsia="宋体" w:cs="宋体"/>
          <w:color w:val="auto"/>
          <w:highlight w:val="none"/>
        </w:rPr>
        <w:t xml:space="preserve">  </w:t>
      </w:r>
      <w:r>
        <w:rPr>
          <w:rFonts w:hint="eastAsia" w:ascii="宋体" w:hAnsi="宋体" w:eastAsia="宋体" w:cs="宋体"/>
          <w:color w:val="auto"/>
          <w:highlight w:val="none"/>
        </w:rPr>
        <w:t>投标文件格式</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_Toc30083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146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14CC3CE">
      <w:pPr>
        <w:pStyle w:val="60"/>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"_Toc9312" </w:instrText>
      </w:r>
      <w:r>
        <w:rPr>
          <w:rFonts w:hint="eastAsia"/>
          <w:color w:val="auto"/>
          <w:highlight w:val="none"/>
        </w:rPr>
        <w:fldChar w:fldCharType="separate"/>
      </w:r>
      <w:r>
        <w:rPr>
          <w:rFonts w:hint="eastAsia" w:ascii="宋体" w:hAnsi="宋体" w:eastAsia="宋体" w:cs="宋体"/>
          <w:color w:val="auto"/>
          <w:highlight w:val="none"/>
        </w:rPr>
        <w:t>第五章</w:t>
      </w:r>
      <w:r>
        <w:rPr>
          <w:rFonts w:ascii="宋体" w:hAnsi="宋体" w:eastAsia="宋体" w:cs="宋体"/>
          <w:color w:val="auto"/>
          <w:highlight w:val="none"/>
        </w:rPr>
        <w:t xml:space="preserve">  </w:t>
      </w:r>
      <w:r>
        <w:rPr>
          <w:rFonts w:hint="eastAsia" w:ascii="宋体" w:hAnsi="宋体" w:eastAsia="宋体" w:cs="宋体"/>
          <w:color w:val="auto"/>
          <w:highlight w:val="none"/>
        </w:rPr>
        <w:t>技术条件（工程建设标准）</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_Toc9312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170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0C25521">
      <w:pPr>
        <w:pStyle w:val="60"/>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"_Toc9353" </w:instrText>
      </w:r>
      <w:r>
        <w:rPr>
          <w:rFonts w:hint="eastAsia"/>
          <w:color w:val="auto"/>
          <w:highlight w:val="none"/>
        </w:rPr>
        <w:fldChar w:fldCharType="separate"/>
      </w:r>
      <w:r>
        <w:rPr>
          <w:rFonts w:hint="eastAsia" w:ascii="宋体" w:hAnsi="宋体" w:eastAsia="宋体" w:cs="宋体"/>
          <w:color w:val="auto"/>
          <w:highlight w:val="none"/>
        </w:rPr>
        <w:t>第六章</w:t>
      </w:r>
      <w:r>
        <w:rPr>
          <w:rFonts w:ascii="宋体" w:hAnsi="宋体" w:eastAsia="宋体" w:cs="宋体"/>
          <w:color w:val="auto"/>
          <w:highlight w:val="none"/>
        </w:rPr>
        <w:t xml:space="preserve">  </w:t>
      </w:r>
      <w:r>
        <w:rPr>
          <w:rFonts w:hint="eastAsia" w:ascii="宋体" w:hAnsi="宋体" w:eastAsia="宋体" w:cs="宋体"/>
          <w:color w:val="auto"/>
          <w:highlight w:val="none"/>
        </w:rPr>
        <w:t>图纸及勘察资料</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_Toc9353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173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414598F">
      <w:pPr>
        <w:pStyle w:val="60"/>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"_Toc22481" </w:instrText>
      </w:r>
      <w:r>
        <w:rPr>
          <w:rFonts w:hint="eastAsia"/>
          <w:color w:val="auto"/>
          <w:highlight w:val="none"/>
        </w:rPr>
        <w:fldChar w:fldCharType="separate"/>
      </w:r>
      <w:r>
        <w:rPr>
          <w:rFonts w:hint="eastAsia" w:ascii="宋体" w:hAnsi="宋体" w:eastAsia="宋体" w:cs="宋体"/>
          <w:color w:val="auto"/>
          <w:highlight w:val="none"/>
        </w:rPr>
        <w:t>第七章</w:t>
      </w:r>
      <w:r>
        <w:rPr>
          <w:rFonts w:ascii="宋体" w:hAnsi="宋体" w:eastAsia="宋体" w:cs="宋体"/>
          <w:color w:val="auto"/>
          <w:highlight w:val="none"/>
        </w:rPr>
        <w:t xml:space="preserve">  </w:t>
      </w:r>
      <w:r>
        <w:rPr>
          <w:rFonts w:hint="eastAsia" w:ascii="宋体" w:hAnsi="宋体" w:eastAsia="宋体" w:cs="宋体"/>
          <w:color w:val="auto"/>
          <w:highlight w:val="none"/>
        </w:rPr>
        <w:t>工程量清单</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_Toc22481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174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B55EB53">
      <w:pPr>
        <w:pStyle w:val="60"/>
        <w:tabs>
          <w:tab w:val="right" w:leader="dot" w:pos="9040"/>
        </w:tabs>
        <w:rPr>
          <w:rFonts w:ascii="宋体" w:hAnsi="宋体" w:eastAsia="宋体" w:cs="宋体"/>
          <w:color w:val="auto"/>
          <w:highlight w:val="none"/>
        </w:rPr>
      </w:pPr>
      <w:r>
        <w:rPr>
          <w:rFonts w:hint="eastAsia"/>
          <w:color w:val="auto"/>
          <w:highlight w:val="none"/>
        </w:rPr>
        <w:fldChar w:fldCharType="begin"/>
      </w:r>
      <w:r>
        <w:rPr>
          <w:color w:val="auto"/>
          <w:highlight w:val="none"/>
        </w:rPr>
        <w:instrText xml:space="preserve"> HYPERLINK \l "_Toc3710" </w:instrText>
      </w:r>
      <w:r>
        <w:rPr>
          <w:rFonts w:hint="eastAsia"/>
          <w:color w:val="auto"/>
          <w:highlight w:val="none"/>
        </w:rPr>
        <w:fldChar w:fldCharType="separate"/>
      </w:r>
      <w:r>
        <w:rPr>
          <w:rFonts w:hint="eastAsia" w:ascii="宋体" w:hAnsi="宋体" w:eastAsia="宋体" w:cs="宋体"/>
          <w:color w:val="auto"/>
          <w:highlight w:val="none"/>
        </w:rPr>
        <w:t>第八章</w:t>
      </w:r>
      <w:r>
        <w:rPr>
          <w:rFonts w:ascii="宋体" w:hAnsi="宋体" w:eastAsia="宋体" w:cs="宋体"/>
          <w:color w:val="auto"/>
          <w:highlight w:val="none"/>
        </w:rPr>
        <w:t xml:space="preserve">  </w:t>
      </w:r>
      <w:r>
        <w:rPr>
          <w:rFonts w:hint="eastAsia" w:ascii="宋体" w:hAnsi="宋体" w:eastAsia="宋体" w:cs="宋体"/>
          <w:color w:val="auto"/>
          <w:highlight w:val="none"/>
        </w:rPr>
        <w:t>最高投标限价</w:t>
      </w:r>
      <w:r>
        <w:rPr>
          <w:rFonts w:ascii="宋体" w:hAnsi="宋体" w:eastAsia="宋体" w:cs="宋体"/>
          <w:color w:val="auto"/>
          <w:highlight w:val="none"/>
        </w:rPr>
        <w:tab/>
      </w:r>
      <w:r>
        <w:rPr>
          <w:rFonts w:hint="eastAsia" w:ascii="宋体" w:hAnsi="宋体" w:eastAsia="宋体" w:cs="宋体"/>
          <w:color w:val="auto"/>
          <w:highlight w:val="none"/>
        </w:rPr>
        <w:fldChar w:fldCharType="begin"/>
      </w:r>
      <w:r>
        <w:rPr>
          <w:rFonts w:ascii="宋体" w:hAnsi="宋体" w:eastAsia="宋体" w:cs="宋体"/>
          <w:color w:val="auto"/>
          <w:highlight w:val="none"/>
        </w:rPr>
        <w:instrText xml:space="preserve"> PAGEREF _Toc3710 \h </w:instrText>
      </w:r>
      <w:r>
        <w:rPr>
          <w:rFonts w:hint="eastAsia" w:ascii="宋体" w:hAnsi="宋体" w:eastAsia="宋体" w:cs="宋体"/>
          <w:color w:val="auto"/>
          <w:highlight w:val="none"/>
        </w:rPr>
        <w:fldChar w:fldCharType="separate"/>
      </w:r>
      <w:r>
        <w:rPr>
          <w:rFonts w:ascii="宋体" w:hAnsi="宋体" w:eastAsia="宋体" w:cs="宋体"/>
          <w:color w:val="auto"/>
          <w:highlight w:val="none"/>
        </w:rPr>
        <w:t>175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DE2E56">
      <w:pPr>
        <w:pStyle w:val="86"/>
        <w:ind w:firstLine="210"/>
        <w:rPr>
          <w:rFonts w:ascii="宋体" w:hAnsi="宋体" w:eastAsia="宋体" w:cs="宋体"/>
          <w:color w:val="auto"/>
          <w:highlight w:val="none"/>
        </w:rPr>
      </w:pPr>
      <w:r>
        <w:rPr>
          <w:rFonts w:hint="eastAsia" w:ascii="宋体" w:hAnsi="宋体" w:eastAsia="宋体" w:cs="宋体"/>
          <w:color w:val="auto"/>
          <w:highlight w:val="none"/>
        </w:rPr>
        <w:fldChar w:fldCharType="end"/>
      </w:r>
    </w:p>
    <w:p w14:paraId="73BC5A03">
      <w:pPr>
        <w:snapToGrid w:val="0"/>
        <w:spacing w:line="360" w:lineRule="auto"/>
        <w:rPr>
          <w:rFonts w:ascii="宋体" w:hAnsi="宋体" w:eastAsia="宋体" w:cs="宋体"/>
          <w:b/>
          <w:bCs/>
          <w:color w:val="auto"/>
          <w:sz w:val="32"/>
          <w:szCs w:val="32"/>
          <w:highlight w:val="none"/>
        </w:rPr>
      </w:pPr>
      <w:r>
        <w:rPr>
          <w:rFonts w:ascii="宋体" w:hAnsi="宋体" w:eastAsia="宋体" w:cs="宋体"/>
          <w:b/>
          <w:bCs/>
          <w:color w:val="auto"/>
          <w:sz w:val="32"/>
          <w:szCs w:val="32"/>
          <w:highlight w:val="none"/>
        </w:rPr>
        <w:br w:type="page"/>
      </w:r>
    </w:p>
    <w:p w14:paraId="49AE3C9E">
      <w:pPr>
        <w:pStyle w:val="4"/>
        <w:tabs>
          <w:tab w:val="left" w:pos="0"/>
        </w:tabs>
        <w:snapToGrid w:val="0"/>
        <w:spacing w:before="0" w:after="0"/>
        <w:jc w:val="center"/>
        <w:rPr>
          <w:rFonts w:ascii="宋体" w:hAnsi="宋体" w:eastAsia="宋体" w:cs="宋体"/>
          <w:color w:val="auto"/>
          <w:sz w:val="32"/>
          <w:szCs w:val="32"/>
          <w:highlight w:val="none"/>
        </w:rPr>
      </w:pPr>
      <w:bookmarkStart w:id="0" w:name="_Toc6280"/>
      <w:r>
        <w:rPr>
          <w:rFonts w:hint="eastAsia" w:ascii="宋体" w:hAnsi="宋体" w:eastAsia="宋体" w:cs="宋体"/>
          <w:color w:val="auto"/>
          <w:sz w:val="32"/>
          <w:szCs w:val="32"/>
          <w:highlight w:val="none"/>
        </w:rPr>
        <w:t>第一章</w:t>
      </w:r>
      <w:r>
        <w:rPr>
          <w:rFonts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rPr>
        <w:t>投标须知</w:t>
      </w:r>
      <w:bookmarkEnd w:id="0"/>
    </w:p>
    <w:p w14:paraId="7E91D8C7">
      <w:pPr>
        <w:pStyle w:val="5"/>
        <w:tabs>
          <w:tab w:val="left" w:pos="0"/>
        </w:tabs>
        <w:snapToGrid w:val="0"/>
        <w:spacing w:before="0" w:after="0" w:line="360" w:lineRule="auto"/>
        <w:jc w:val="center"/>
        <w:rPr>
          <w:rFonts w:ascii="宋体" w:hAnsi="宋体" w:eastAsia="宋体" w:cs="宋体"/>
          <w:color w:val="auto"/>
          <w:highlight w:val="none"/>
        </w:rPr>
      </w:pPr>
      <w:bookmarkStart w:id="1" w:name="_Toc27735"/>
      <w:r>
        <w:rPr>
          <w:rFonts w:hint="eastAsia" w:ascii="宋体" w:hAnsi="宋体" w:eastAsia="宋体" w:cs="宋体"/>
          <w:color w:val="auto"/>
          <w:highlight w:val="none"/>
        </w:rPr>
        <w:t>一、投标须知前附表</w:t>
      </w:r>
      <w:bookmarkEnd w:id="1"/>
    </w:p>
    <w:p w14:paraId="7D265506">
      <w:pPr>
        <w:pStyle w:val="22"/>
        <w:snapToGrid w:val="0"/>
        <w:spacing w:line="360" w:lineRule="auto"/>
        <w:ind w:firstLine="0" w:firstLineChars="0"/>
        <w:rPr>
          <w:rFonts w:ascii="宋体" w:hAnsi="宋体" w:eastAsia="宋体" w:cs="宋体"/>
          <w:b/>
          <w:color w:val="auto"/>
          <w:szCs w:val="21"/>
          <w:highlight w:val="none"/>
        </w:rPr>
      </w:pPr>
      <w:r>
        <w:rPr>
          <w:rFonts w:hint="eastAsia" w:ascii="宋体" w:hAnsi="宋体" w:eastAsia="宋体" w:cs="宋体"/>
          <w:b/>
          <w:color w:val="auto"/>
          <w:szCs w:val="21"/>
          <w:highlight w:val="none"/>
        </w:rPr>
        <w:t>声明：本投标须知前附表使用</w:t>
      </w:r>
      <w:r>
        <w:rPr>
          <w:rFonts w:ascii="宋体" w:hAnsi="宋体" w:eastAsia="宋体" w:cs="宋体"/>
          <w:b/>
          <w:color w:val="auto"/>
          <w:szCs w:val="21"/>
          <w:highlight w:val="none"/>
        </w:rPr>
        <w:t>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Style w:val="88"/>
        <w:tblW w:w="5000" w:type="pct"/>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851"/>
        <w:gridCol w:w="1701"/>
        <w:gridCol w:w="6062"/>
      </w:tblGrid>
      <w:tr w14:paraId="268D5F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trPr>
        <w:tc>
          <w:tcPr>
            <w:tcW w:w="362" w:type="pct"/>
            <w:tcBorders>
              <w:top w:val="double" w:color="auto" w:sz="4" w:space="0"/>
              <w:left w:val="double" w:color="auto" w:sz="4" w:space="0"/>
            </w:tcBorders>
            <w:noWrap/>
            <w:vAlign w:val="center"/>
          </w:tcPr>
          <w:p w14:paraId="56784BBE">
            <w:pPr>
              <w:snapToGrid w:val="0"/>
              <w:spacing w:line="288" w:lineRule="auto"/>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项目</w:t>
            </w:r>
          </w:p>
        </w:tc>
        <w:tc>
          <w:tcPr>
            <w:tcW w:w="458" w:type="pct"/>
            <w:tcBorders>
              <w:top w:val="double" w:color="auto" w:sz="4" w:space="0"/>
            </w:tcBorders>
            <w:noWrap/>
            <w:vAlign w:val="center"/>
          </w:tcPr>
          <w:p w14:paraId="08564E35">
            <w:pPr>
              <w:snapToGrid w:val="0"/>
              <w:spacing w:line="288" w:lineRule="auto"/>
              <w:ind w:left="-71" w:leftChars="-34"/>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条款号</w:t>
            </w:r>
          </w:p>
        </w:tc>
        <w:tc>
          <w:tcPr>
            <w:tcW w:w="915" w:type="pct"/>
            <w:tcBorders>
              <w:top w:val="double" w:color="auto" w:sz="4" w:space="0"/>
            </w:tcBorders>
            <w:noWrap/>
            <w:vAlign w:val="center"/>
          </w:tcPr>
          <w:p w14:paraId="34C66FA2">
            <w:pPr>
              <w:snapToGrid w:val="0"/>
              <w:spacing w:line="288" w:lineRule="auto"/>
              <w:ind w:left="-50" w:leftChars="-24"/>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内容</w:t>
            </w:r>
          </w:p>
        </w:tc>
        <w:tc>
          <w:tcPr>
            <w:tcW w:w="3262" w:type="pct"/>
            <w:tcBorders>
              <w:top w:val="double" w:color="auto" w:sz="4" w:space="0"/>
              <w:right w:val="double" w:color="auto" w:sz="4" w:space="0"/>
            </w:tcBorders>
            <w:noWrap/>
            <w:vAlign w:val="center"/>
          </w:tcPr>
          <w:p w14:paraId="4F5D3DDE">
            <w:pPr>
              <w:pStyle w:val="51"/>
              <w:snapToGrid w:val="0"/>
              <w:spacing w:line="288" w:lineRule="auto"/>
              <w:ind w:left="0" w:leftChars="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rPr>
              <w:t>说明与要求</w:t>
            </w:r>
          </w:p>
        </w:tc>
      </w:tr>
      <w:tr w14:paraId="6C86EB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52635205">
            <w:pPr>
              <w:snapToGrid w:val="0"/>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458" w:type="pct"/>
            <w:noWrap/>
            <w:vAlign w:val="center"/>
          </w:tcPr>
          <w:p w14:paraId="7972C14E">
            <w:pPr>
              <w:snapToGrid w:val="0"/>
              <w:spacing w:after="120"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915" w:type="pct"/>
            <w:noWrap/>
            <w:vAlign w:val="center"/>
          </w:tcPr>
          <w:p w14:paraId="1C94D4BE">
            <w:pPr>
              <w:snapToGrid w:val="0"/>
              <w:spacing w:after="120"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定义</w:t>
            </w:r>
          </w:p>
        </w:tc>
        <w:tc>
          <w:tcPr>
            <w:tcW w:w="3262" w:type="pct"/>
            <w:tcBorders>
              <w:right w:val="double" w:color="auto" w:sz="4" w:space="0"/>
            </w:tcBorders>
            <w:noWrap/>
            <w:vAlign w:val="center"/>
          </w:tcPr>
          <w:p w14:paraId="4F5AADC6">
            <w:pPr>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招标人（即发包人）：</w:t>
            </w:r>
            <w:r>
              <w:rPr>
                <w:rFonts w:hint="eastAsia" w:ascii="宋体" w:hAnsi="宋体" w:eastAsia="宋体" w:cs="宋体"/>
                <w:color w:val="auto"/>
                <w:szCs w:val="21"/>
                <w:highlight w:val="none"/>
                <w:u w:val="single"/>
              </w:rPr>
              <w:t>广州开发区财政投资建设项目管理中心</w:t>
            </w:r>
          </w:p>
          <w:p w14:paraId="62B322E5">
            <w:pPr>
              <w:rPr>
                <w:rFonts w:ascii="宋体" w:hAnsi="宋体" w:eastAsia="宋体" w:cs="宋体"/>
                <w:color w:val="auto"/>
                <w:szCs w:val="21"/>
                <w:highlight w:val="none"/>
              </w:rPr>
            </w:pPr>
            <w:r>
              <w:rPr>
                <w:rFonts w:hint="eastAsia" w:ascii="宋体" w:hAnsi="宋体" w:eastAsia="宋体" w:cs="宋体"/>
                <w:color w:val="auto"/>
                <w:szCs w:val="21"/>
                <w:highlight w:val="none"/>
              </w:rPr>
              <w:t>项目建设管理单位：</w:t>
            </w:r>
            <w:r>
              <w:rPr>
                <w:rFonts w:ascii="宋体" w:hAnsi="宋体" w:eastAsia="宋体" w:cs="宋体"/>
                <w:color w:val="auto"/>
                <w:szCs w:val="21"/>
                <w:highlight w:val="none"/>
                <w:u w:val="single"/>
              </w:rPr>
              <w:t xml:space="preserve">           /             </w:t>
            </w:r>
          </w:p>
          <w:p w14:paraId="442FD03A">
            <w:pPr>
              <w:rPr>
                <w:rFonts w:ascii="宋体" w:hAnsi="宋体" w:eastAsia="宋体" w:cs="宋体"/>
                <w:color w:val="auto"/>
                <w:szCs w:val="21"/>
                <w:highlight w:val="none"/>
                <w:u w:val="single"/>
              </w:rPr>
            </w:pPr>
            <w:r>
              <w:rPr>
                <w:rFonts w:hint="eastAsia" w:ascii="宋体" w:hAnsi="宋体" w:eastAsia="宋体" w:cs="宋体"/>
                <w:color w:val="auto"/>
                <w:szCs w:val="21"/>
                <w:highlight w:val="none"/>
              </w:rPr>
              <w:t>招标代理：</w:t>
            </w:r>
            <w:r>
              <w:rPr>
                <w:rFonts w:hint="eastAsia" w:ascii="宋体" w:hAnsi="宋体" w:eastAsia="宋体" w:cs="宋体"/>
                <w:color w:val="auto"/>
                <w:szCs w:val="21"/>
                <w:highlight w:val="none"/>
                <w:u w:val="single"/>
              </w:rPr>
              <w:t>广东建发工程管理有限公司</w:t>
            </w:r>
          </w:p>
          <w:p w14:paraId="2E52A0B7">
            <w:pPr>
              <w:rPr>
                <w:rFonts w:ascii="宋体" w:hAnsi="宋体" w:eastAsia="宋体" w:cs="宋体"/>
                <w:color w:val="auto"/>
                <w:szCs w:val="21"/>
                <w:highlight w:val="none"/>
                <w:u w:val="single"/>
              </w:rPr>
            </w:pPr>
            <w:r>
              <w:rPr>
                <w:rFonts w:hint="eastAsia" w:ascii="宋体" w:hAnsi="宋体" w:eastAsia="宋体" w:cs="宋体"/>
                <w:color w:val="auto"/>
                <w:szCs w:val="21"/>
                <w:highlight w:val="none"/>
              </w:rPr>
              <w:t>设计单位：</w:t>
            </w:r>
            <w:r>
              <w:rPr>
                <w:rFonts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u w:val="single"/>
              </w:rPr>
              <w:t>广东人防建筑设计院有限公司</w:t>
            </w:r>
            <w:r>
              <w:rPr>
                <w:rFonts w:ascii="宋体" w:hAnsi="宋体" w:eastAsia="宋体" w:cs="Times New Roman"/>
                <w:color w:val="auto"/>
                <w:szCs w:val="21"/>
                <w:highlight w:val="none"/>
                <w:u w:val="single"/>
              </w:rPr>
              <w:t xml:space="preserve">   </w:t>
            </w:r>
          </w:p>
          <w:p w14:paraId="450434A3">
            <w:pPr>
              <w:rPr>
                <w:rFonts w:ascii="宋体" w:hAnsi="宋体" w:eastAsia="宋体" w:cs="宋体"/>
                <w:color w:val="auto"/>
                <w:szCs w:val="21"/>
                <w:highlight w:val="none"/>
                <w:u w:val="single"/>
              </w:rPr>
            </w:pPr>
            <w:r>
              <w:rPr>
                <w:rFonts w:hint="eastAsia" w:ascii="宋体" w:hAnsi="宋体" w:eastAsia="宋体" w:cs="宋体"/>
                <w:color w:val="auto"/>
                <w:szCs w:val="21"/>
                <w:highlight w:val="none"/>
              </w:rPr>
              <w:t>监理单位：</w:t>
            </w:r>
            <w:r>
              <w:rPr>
                <w:rFonts w:hint="eastAsia" w:ascii="宋体" w:hAnsi="宋体" w:eastAsia="宋体" w:cs="宋体"/>
                <w:color w:val="auto"/>
                <w:szCs w:val="21"/>
                <w:highlight w:val="none"/>
                <w:u w:val="single"/>
              </w:rPr>
              <w:t xml:space="preserve">           /             </w:t>
            </w:r>
          </w:p>
          <w:p w14:paraId="3BB78A5D">
            <w:pPr>
              <w:rPr>
                <w:rFonts w:ascii="宋体" w:hAnsi="宋体" w:eastAsia="宋体" w:cs="宋体"/>
                <w:color w:val="auto"/>
                <w:szCs w:val="21"/>
                <w:highlight w:val="none"/>
              </w:rPr>
            </w:pPr>
            <w:r>
              <w:rPr>
                <w:rFonts w:hint="eastAsia" w:ascii="宋体" w:hAnsi="宋体" w:eastAsia="宋体" w:cs="宋体"/>
                <w:color w:val="auto"/>
                <w:szCs w:val="21"/>
                <w:highlight w:val="none"/>
              </w:rPr>
              <w:t>检测机构：</w:t>
            </w:r>
            <w:r>
              <w:rPr>
                <w:rFonts w:hint="eastAsia" w:ascii="宋体" w:hAnsi="宋体" w:eastAsia="宋体" w:cs="宋体"/>
                <w:color w:val="auto"/>
                <w:szCs w:val="21"/>
                <w:highlight w:val="none"/>
                <w:u w:val="single"/>
              </w:rPr>
              <w:t xml:space="preserve">           /             </w:t>
            </w:r>
          </w:p>
        </w:tc>
      </w:tr>
      <w:tr w14:paraId="05DA9CF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1A3AC84A">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w:t>
            </w:r>
          </w:p>
        </w:tc>
        <w:tc>
          <w:tcPr>
            <w:tcW w:w="458" w:type="pct"/>
            <w:noWrap/>
            <w:vAlign w:val="center"/>
          </w:tcPr>
          <w:p w14:paraId="0F84132D">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w:t>
            </w:r>
          </w:p>
        </w:tc>
        <w:tc>
          <w:tcPr>
            <w:tcW w:w="915" w:type="pct"/>
            <w:noWrap/>
            <w:vAlign w:val="center"/>
          </w:tcPr>
          <w:p w14:paraId="58ED8EB2">
            <w:pPr>
              <w:rPr>
                <w:rFonts w:ascii="宋体" w:hAnsi="宋体" w:eastAsia="宋体" w:cs="宋体"/>
                <w:color w:val="auto"/>
                <w:szCs w:val="21"/>
                <w:highlight w:val="none"/>
              </w:rPr>
            </w:pPr>
            <w:r>
              <w:rPr>
                <w:rFonts w:hint="eastAsia" w:ascii="宋体" w:hAnsi="宋体" w:eastAsia="宋体" w:cs="宋体"/>
                <w:color w:val="auto"/>
                <w:szCs w:val="21"/>
                <w:highlight w:val="none"/>
              </w:rPr>
              <w:t>工程名称</w:t>
            </w:r>
          </w:p>
        </w:tc>
        <w:tc>
          <w:tcPr>
            <w:tcW w:w="3262" w:type="pct"/>
            <w:tcBorders>
              <w:right w:val="double" w:color="auto" w:sz="4" w:space="0"/>
            </w:tcBorders>
            <w:noWrap/>
            <w:vAlign w:val="center"/>
          </w:tcPr>
          <w:p w14:paraId="6497D906">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黄埔区公安分局永和派出所扩建工程施工总承包</w:t>
            </w:r>
          </w:p>
        </w:tc>
      </w:tr>
      <w:tr w14:paraId="5BFFEC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51794AD7">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3</w:t>
            </w:r>
          </w:p>
        </w:tc>
        <w:tc>
          <w:tcPr>
            <w:tcW w:w="458" w:type="pct"/>
            <w:noWrap/>
            <w:vAlign w:val="center"/>
          </w:tcPr>
          <w:p w14:paraId="0FBE0CD1">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w:t>
            </w:r>
          </w:p>
        </w:tc>
        <w:tc>
          <w:tcPr>
            <w:tcW w:w="915" w:type="pct"/>
            <w:noWrap/>
            <w:vAlign w:val="center"/>
          </w:tcPr>
          <w:p w14:paraId="2A1F323B">
            <w:pPr>
              <w:spacing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建设地点</w:t>
            </w:r>
          </w:p>
        </w:tc>
        <w:tc>
          <w:tcPr>
            <w:tcW w:w="3262" w:type="pct"/>
            <w:tcBorders>
              <w:right w:val="double" w:color="auto" w:sz="4" w:space="0"/>
            </w:tcBorders>
            <w:noWrap/>
            <w:vAlign w:val="center"/>
          </w:tcPr>
          <w:p w14:paraId="114CA39E">
            <w:pPr>
              <w:spacing w:line="288" w:lineRule="auto"/>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w:t>
            </w:r>
          </w:p>
        </w:tc>
      </w:tr>
      <w:tr w14:paraId="5321358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342421B7">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4</w:t>
            </w:r>
          </w:p>
        </w:tc>
        <w:tc>
          <w:tcPr>
            <w:tcW w:w="458" w:type="pct"/>
            <w:noWrap/>
            <w:vAlign w:val="center"/>
          </w:tcPr>
          <w:p w14:paraId="2E3895D5">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w:t>
            </w:r>
          </w:p>
        </w:tc>
        <w:tc>
          <w:tcPr>
            <w:tcW w:w="915" w:type="pct"/>
            <w:noWrap/>
            <w:vAlign w:val="center"/>
          </w:tcPr>
          <w:p w14:paraId="04811C8D">
            <w:pPr>
              <w:rPr>
                <w:rFonts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3262" w:type="pct"/>
            <w:tcBorders>
              <w:right w:val="double" w:color="auto" w:sz="4" w:space="0"/>
            </w:tcBorders>
            <w:noWrap/>
            <w:vAlign w:val="center"/>
          </w:tcPr>
          <w:p w14:paraId="402EC7A2">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详见本工程招标公告，具体以工程量清单及图纸为准。</w:t>
            </w:r>
          </w:p>
        </w:tc>
      </w:tr>
      <w:tr w14:paraId="40246C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362" w:type="pct"/>
            <w:tcBorders>
              <w:left w:val="double" w:color="auto" w:sz="4" w:space="0"/>
            </w:tcBorders>
            <w:noWrap/>
            <w:vAlign w:val="center"/>
          </w:tcPr>
          <w:p w14:paraId="6B441E57">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5</w:t>
            </w:r>
          </w:p>
        </w:tc>
        <w:tc>
          <w:tcPr>
            <w:tcW w:w="458" w:type="pct"/>
            <w:noWrap/>
            <w:vAlign w:val="center"/>
          </w:tcPr>
          <w:p w14:paraId="58F3DB3D">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w:t>
            </w:r>
          </w:p>
        </w:tc>
        <w:tc>
          <w:tcPr>
            <w:tcW w:w="915" w:type="pct"/>
            <w:noWrap/>
            <w:vAlign w:val="center"/>
          </w:tcPr>
          <w:p w14:paraId="03620E29">
            <w:pPr>
              <w:rPr>
                <w:rFonts w:ascii="宋体" w:hAnsi="宋体" w:eastAsia="宋体" w:cs="宋体"/>
                <w:color w:val="auto"/>
                <w:szCs w:val="21"/>
                <w:highlight w:val="none"/>
              </w:rPr>
            </w:pPr>
            <w:r>
              <w:rPr>
                <w:rFonts w:hint="eastAsia" w:ascii="宋体" w:hAnsi="宋体" w:eastAsia="宋体" w:cs="宋体"/>
                <w:color w:val="auto"/>
                <w:szCs w:val="21"/>
                <w:highlight w:val="none"/>
              </w:rPr>
              <w:t>承包方式</w:t>
            </w:r>
          </w:p>
        </w:tc>
        <w:tc>
          <w:tcPr>
            <w:tcW w:w="3262" w:type="pct"/>
            <w:tcBorders>
              <w:right w:val="double" w:color="auto" w:sz="4" w:space="0"/>
            </w:tcBorders>
            <w:noWrap/>
            <w:vAlign w:val="center"/>
          </w:tcPr>
          <w:p w14:paraId="2C884458">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包工、包料、包工期、包质量、包安全、包文明施工、包验收、包保修。综合单价包干；措施项目费（除施工围蔽费用外）包干，施工围蔽清单综合单价包干，工程量按实计量。</w:t>
            </w:r>
          </w:p>
        </w:tc>
      </w:tr>
      <w:tr w14:paraId="081195C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362" w:type="pct"/>
            <w:tcBorders>
              <w:left w:val="double" w:color="auto" w:sz="4" w:space="0"/>
            </w:tcBorders>
            <w:noWrap/>
            <w:vAlign w:val="center"/>
          </w:tcPr>
          <w:p w14:paraId="67C32D1E">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6</w:t>
            </w:r>
          </w:p>
        </w:tc>
        <w:tc>
          <w:tcPr>
            <w:tcW w:w="458" w:type="pct"/>
            <w:noWrap/>
            <w:vAlign w:val="center"/>
          </w:tcPr>
          <w:p w14:paraId="46C8C16B">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w:t>
            </w:r>
          </w:p>
        </w:tc>
        <w:tc>
          <w:tcPr>
            <w:tcW w:w="915" w:type="pct"/>
            <w:noWrap/>
            <w:vAlign w:val="center"/>
          </w:tcPr>
          <w:p w14:paraId="6EA5CF04">
            <w:pPr>
              <w:rPr>
                <w:rFonts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3262" w:type="pct"/>
            <w:tcBorders>
              <w:right w:val="double" w:color="auto" w:sz="4" w:space="0"/>
            </w:tcBorders>
            <w:noWrap/>
            <w:vAlign w:val="center"/>
          </w:tcPr>
          <w:p w14:paraId="18C3E347">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工程质量达到国家或行业质量检验评定的合格标准。</w:t>
            </w:r>
          </w:p>
          <w:p w14:paraId="181178DD">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注：本工程正式签署合同时，质量标准按中标人投标文件承诺质量标准。</w:t>
            </w:r>
          </w:p>
        </w:tc>
      </w:tr>
      <w:tr w14:paraId="197F11C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11F8A1A7">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7</w:t>
            </w:r>
          </w:p>
        </w:tc>
        <w:tc>
          <w:tcPr>
            <w:tcW w:w="458" w:type="pct"/>
            <w:noWrap/>
            <w:vAlign w:val="center"/>
          </w:tcPr>
          <w:p w14:paraId="22526D9F">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w:t>
            </w:r>
          </w:p>
        </w:tc>
        <w:tc>
          <w:tcPr>
            <w:tcW w:w="915" w:type="pct"/>
            <w:noWrap/>
            <w:vAlign w:val="center"/>
          </w:tcPr>
          <w:p w14:paraId="03C53EBE">
            <w:pPr>
              <w:rPr>
                <w:rFonts w:ascii="宋体" w:hAnsi="宋体" w:eastAsia="宋体" w:cs="宋体"/>
                <w:color w:val="auto"/>
                <w:szCs w:val="21"/>
                <w:highlight w:val="none"/>
              </w:rPr>
            </w:pPr>
            <w:r>
              <w:rPr>
                <w:rFonts w:hint="eastAsia" w:ascii="宋体" w:hAnsi="宋体" w:eastAsia="宋体" w:cs="宋体"/>
                <w:color w:val="auto"/>
                <w:szCs w:val="21"/>
                <w:highlight w:val="none"/>
              </w:rPr>
              <w:t>招标范围</w:t>
            </w:r>
          </w:p>
        </w:tc>
        <w:tc>
          <w:tcPr>
            <w:tcW w:w="3262" w:type="pct"/>
            <w:tcBorders>
              <w:right w:val="double" w:color="auto" w:sz="4" w:space="0"/>
            </w:tcBorders>
            <w:noWrap/>
            <w:vAlign w:val="center"/>
          </w:tcPr>
          <w:p w14:paraId="5A9BFA0F">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详见本工程招标公告，具体以工程量清单及图纸为准。</w:t>
            </w:r>
          </w:p>
        </w:tc>
      </w:tr>
      <w:tr w14:paraId="5F2C91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362" w:type="pct"/>
            <w:tcBorders>
              <w:left w:val="double" w:color="auto" w:sz="4" w:space="0"/>
            </w:tcBorders>
            <w:noWrap/>
            <w:vAlign w:val="center"/>
          </w:tcPr>
          <w:p w14:paraId="528E58E7">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8</w:t>
            </w:r>
          </w:p>
        </w:tc>
        <w:tc>
          <w:tcPr>
            <w:tcW w:w="458" w:type="pct"/>
            <w:noWrap/>
            <w:vAlign w:val="center"/>
          </w:tcPr>
          <w:p w14:paraId="15CAA512">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w:t>
            </w:r>
          </w:p>
        </w:tc>
        <w:tc>
          <w:tcPr>
            <w:tcW w:w="915" w:type="pct"/>
            <w:noWrap/>
            <w:vAlign w:val="center"/>
          </w:tcPr>
          <w:p w14:paraId="60BA2CB3">
            <w:pPr>
              <w:rPr>
                <w:rFonts w:ascii="宋体" w:hAnsi="宋体" w:eastAsia="宋体" w:cs="宋体"/>
                <w:color w:val="auto"/>
                <w:szCs w:val="21"/>
                <w:highlight w:val="none"/>
              </w:rPr>
            </w:pPr>
            <w:r>
              <w:rPr>
                <w:rFonts w:hint="eastAsia" w:ascii="宋体" w:hAnsi="宋体" w:eastAsia="宋体" w:cs="宋体"/>
                <w:color w:val="auto"/>
                <w:szCs w:val="21"/>
                <w:highlight w:val="none"/>
              </w:rPr>
              <w:t>工期要求</w:t>
            </w:r>
          </w:p>
        </w:tc>
        <w:tc>
          <w:tcPr>
            <w:tcW w:w="3262" w:type="pct"/>
            <w:tcBorders>
              <w:right w:val="double" w:color="auto" w:sz="4" w:space="0"/>
            </w:tcBorders>
            <w:noWrap/>
            <w:vAlign w:val="center"/>
          </w:tcPr>
          <w:p w14:paraId="49015081">
            <w:pPr>
              <w:rPr>
                <w:rFonts w:ascii="宋体" w:hAnsi="宋体" w:eastAsia="宋体" w:cs="宋体"/>
                <w:color w:val="auto"/>
                <w:szCs w:val="21"/>
                <w:highlight w:val="none"/>
                <w:u w:val="single"/>
              </w:rPr>
            </w:pPr>
            <w:r>
              <w:rPr>
                <w:rFonts w:ascii="宋体" w:hAnsi="宋体" w:eastAsia="宋体" w:cs="宋体"/>
                <w:color w:val="auto"/>
                <w:szCs w:val="21"/>
                <w:highlight w:val="none"/>
                <w:u w:val="single"/>
              </w:rPr>
              <w:t>2025</w:t>
            </w:r>
            <w:r>
              <w:rPr>
                <w:rFonts w:hint="eastAsia" w:ascii="宋体" w:hAnsi="宋体" w:eastAsia="宋体" w:cs="宋体"/>
                <w:color w:val="auto"/>
                <w:szCs w:val="21"/>
                <w:highlight w:val="none"/>
                <w:u w:val="single"/>
              </w:rPr>
              <w:t>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日计划开工，</w:t>
            </w:r>
            <w:r>
              <w:rPr>
                <w:rFonts w:hint="eastAsia" w:ascii="宋体" w:hAnsi="宋体" w:eastAsia="宋体" w:cs="宋体"/>
                <w:color w:val="auto"/>
                <w:szCs w:val="21"/>
                <w:highlight w:val="none"/>
              </w:rPr>
              <w:t>施工总期：</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365</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w:t>
            </w:r>
          </w:p>
          <w:p w14:paraId="69756136">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注：本工程正式签署合同时，施工工期按中标投标文件承诺工期。</w:t>
            </w:r>
          </w:p>
        </w:tc>
      </w:tr>
      <w:tr w14:paraId="0404391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617F243E">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9</w:t>
            </w:r>
          </w:p>
        </w:tc>
        <w:tc>
          <w:tcPr>
            <w:tcW w:w="458" w:type="pct"/>
            <w:noWrap/>
            <w:vAlign w:val="center"/>
          </w:tcPr>
          <w:p w14:paraId="5EE0B3FE">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3.1</w:t>
            </w:r>
          </w:p>
        </w:tc>
        <w:tc>
          <w:tcPr>
            <w:tcW w:w="915" w:type="pct"/>
            <w:noWrap/>
            <w:vAlign w:val="center"/>
          </w:tcPr>
          <w:p w14:paraId="32B3DAF3">
            <w:pPr>
              <w:rPr>
                <w:rFonts w:ascii="宋体" w:hAnsi="宋体" w:eastAsia="宋体" w:cs="宋体"/>
                <w:color w:val="auto"/>
                <w:szCs w:val="21"/>
                <w:highlight w:val="none"/>
              </w:rPr>
            </w:pPr>
            <w:r>
              <w:rPr>
                <w:rFonts w:hint="eastAsia" w:ascii="宋体" w:hAnsi="宋体" w:eastAsia="宋体" w:cs="宋体"/>
                <w:color w:val="auto"/>
                <w:szCs w:val="21"/>
                <w:highlight w:val="none"/>
              </w:rPr>
              <w:t>资金来源</w:t>
            </w:r>
          </w:p>
        </w:tc>
        <w:tc>
          <w:tcPr>
            <w:tcW w:w="3262" w:type="pct"/>
            <w:tcBorders>
              <w:right w:val="double" w:color="auto" w:sz="4" w:space="0"/>
            </w:tcBorders>
            <w:noWrap/>
            <w:vAlign w:val="center"/>
          </w:tcPr>
          <w:p w14:paraId="7965EBA9">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区财政资金</w:t>
            </w:r>
          </w:p>
        </w:tc>
      </w:tr>
      <w:tr w14:paraId="33F30B8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517D309B">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10</w:t>
            </w:r>
          </w:p>
        </w:tc>
        <w:tc>
          <w:tcPr>
            <w:tcW w:w="458" w:type="pct"/>
            <w:noWrap/>
            <w:vAlign w:val="center"/>
          </w:tcPr>
          <w:p w14:paraId="1DBF3052">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4.1</w:t>
            </w:r>
          </w:p>
        </w:tc>
        <w:tc>
          <w:tcPr>
            <w:tcW w:w="915" w:type="pct"/>
            <w:noWrap/>
            <w:vAlign w:val="center"/>
          </w:tcPr>
          <w:p w14:paraId="38AC3211">
            <w:pPr>
              <w:adjustRightInd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rPr>
              <w:t>投标人资质等级及项目负责人等级要求</w:t>
            </w:r>
          </w:p>
        </w:tc>
        <w:tc>
          <w:tcPr>
            <w:tcW w:w="3262" w:type="pct"/>
            <w:tcBorders>
              <w:right w:val="double" w:color="auto" w:sz="4" w:space="0"/>
            </w:tcBorders>
            <w:noWrap/>
            <w:vAlign w:val="center"/>
          </w:tcPr>
          <w:p w14:paraId="16C0B7BD">
            <w:pPr>
              <w:rPr>
                <w:rFonts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14:paraId="57153B7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31D076EA">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11</w:t>
            </w:r>
          </w:p>
        </w:tc>
        <w:tc>
          <w:tcPr>
            <w:tcW w:w="458" w:type="pct"/>
            <w:noWrap/>
            <w:vAlign w:val="center"/>
          </w:tcPr>
          <w:p w14:paraId="41314B5D">
            <w:pPr>
              <w:snapToGrid w:val="0"/>
              <w:spacing w:line="288" w:lineRule="auto"/>
              <w:ind w:firstLine="458"/>
              <w:jc w:val="center"/>
              <w:rPr>
                <w:rFonts w:ascii="宋体" w:hAnsi="宋体" w:eastAsia="宋体" w:cs="宋体"/>
                <w:color w:val="auto"/>
                <w:szCs w:val="21"/>
                <w:highlight w:val="none"/>
              </w:rPr>
            </w:pPr>
          </w:p>
        </w:tc>
        <w:tc>
          <w:tcPr>
            <w:tcW w:w="915" w:type="pct"/>
            <w:noWrap/>
            <w:vAlign w:val="center"/>
          </w:tcPr>
          <w:p w14:paraId="7DD0E5D3">
            <w:pPr>
              <w:rPr>
                <w:rFonts w:ascii="宋体" w:hAnsi="宋体" w:eastAsia="宋体" w:cs="宋体"/>
                <w:color w:val="auto"/>
                <w:szCs w:val="21"/>
                <w:highlight w:val="none"/>
              </w:rPr>
            </w:pPr>
            <w:r>
              <w:rPr>
                <w:rFonts w:hint="eastAsia" w:ascii="宋体" w:hAnsi="宋体" w:eastAsia="宋体" w:cs="宋体"/>
                <w:color w:val="auto"/>
                <w:szCs w:val="21"/>
                <w:highlight w:val="none"/>
              </w:rPr>
              <w:t>资格审查方式</w:t>
            </w:r>
          </w:p>
        </w:tc>
        <w:tc>
          <w:tcPr>
            <w:tcW w:w="3262" w:type="pct"/>
            <w:tcBorders>
              <w:right w:val="double" w:color="auto" w:sz="4" w:space="0"/>
            </w:tcBorders>
            <w:noWrap/>
            <w:vAlign w:val="center"/>
          </w:tcPr>
          <w:p w14:paraId="0ED1D589">
            <w:pPr>
              <w:rPr>
                <w:rFonts w:ascii="宋体" w:hAnsi="宋体" w:eastAsia="宋体" w:cs="宋体"/>
                <w:color w:val="auto"/>
                <w:szCs w:val="21"/>
                <w:highlight w:val="none"/>
              </w:rPr>
            </w:pPr>
            <w:r>
              <w:rPr>
                <w:rFonts w:hint="eastAsia" w:ascii="宋体" w:hAnsi="宋体" w:eastAsia="宋体" w:cs="宋体"/>
                <w:color w:val="auto"/>
                <w:szCs w:val="21"/>
                <w:highlight w:val="none"/>
              </w:rPr>
              <w:t>详见本工程招标公告。</w:t>
            </w:r>
          </w:p>
        </w:tc>
      </w:tr>
      <w:tr w14:paraId="089D95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622B06DB">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12</w:t>
            </w:r>
          </w:p>
        </w:tc>
        <w:tc>
          <w:tcPr>
            <w:tcW w:w="458" w:type="pct"/>
            <w:noWrap/>
            <w:vAlign w:val="center"/>
          </w:tcPr>
          <w:p w14:paraId="3AFA5685">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13.1</w:t>
            </w:r>
          </w:p>
        </w:tc>
        <w:tc>
          <w:tcPr>
            <w:tcW w:w="915" w:type="pct"/>
            <w:noWrap/>
            <w:vAlign w:val="center"/>
          </w:tcPr>
          <w:p w14:paraId="43E117C5">
            <w:pPr>
              <w:rPr>
                <w:rFonts w:ascii="宋体" w:hAnsi="宋体" w:eastAsia="宋体" w:cs="宋体"/>
                <w:color w:val="auto"/>
                <w:szCs w:val="21"/>
                <w:highlight w:val="none"/>
              </w:rPr>
            </w:pPr>
            <w:r>
              <w:rPr>
                <w:rFonts w:hint="eastAsia" w:ascii="宋体" w:hAnsi="宋体" w:eastAsia="宋体" w:cs="宋体"/>
                <w:color w:val="auto"/>
                <w:szCs w:val="21"/>
                <w:highlight w:val="none"/>
              </w:rPr>
              <w:t>报价以及单价和总价计算方式</w:t>
            </w:r>
          </w:p>
        </w:tc>
        <w:tc>
          <w:tcPr>
            <w:tcW w:w="3262" w:type="pct"/>
            <w:tcBorders>
              <w:right w:val="double" w:color="auto" w:sz="4" w:space="0"/>
            </w:tcBorders>
            <w:noWrap/>
            <w:vAlign w:val="center"/>
          </w:tcPr>
          <w:p w14:paraId="7B8A35DE">
            <w:pPr>
              <w:snapToGrid w:val="0"/>
              <w:spacing w:after="120" w:line="288" w:lineRule="auto"/>
              <w:rPr>
                <w:rFonts w:ascii="宋体" w:hAnsi="宋体" w:eastAsia="宋体" w:cs="宋体"/>
                <w:color w:val="auto"/>
                <w:szCs w:val="21"/>
                <w:highlight w:val="none"/>
              </w:rPr>
            </w:pPr>
            <w:bookmarkStart w:id="2" w:name="EBdfd7e3fe86a241738f1c1d356c309534"/>
            <w:r>
              <w:rPr>
                <w:rFonts w:hint="eastAsia" w:ascii="宋体" w:hAnsi="宋体" w:eastAsia="宋体" w:cs="宋体"/>
                <w:color w:val="auto"/>
                <w:szCs w:val="21"/>
                <w:highlight w:val="none"/>
              </w:rPr>
              <w:t>工程量清单计价</w:t>
            </w:r>
            <w:r>
              <w:rPr>
                <w:rFonts w:hint="eastAsia" w:ascii="宋体" w:hAnsi="宋体" w:eastAsia="宋体" w:cs="宋体"/>
                <w:color w:val="auto"/>
                <w:szCs w:val="21"/>
                <w:highlight w:val="none"/>
                <w:u w:val="single"/>
              </w:rPr>
              <w:t>，按国家、省有关计价规范执行。</w:t>
            </w:r>
            <w:bookmarkEnd w:id="2"/>
          </w:p>
        </w:tc>
      </w:tr>
      <w:tr w14:paraId="6225E3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362" w:type="pct"/>
            <w:tcBorders>
              <w:left w:val="double" w:color="auto" w:sz="4" w:space="0"/>
            </w:tcBorders>
            <w:noWrap/>
            <w:vAlign w:val="center"/>
          </w:tcPr>
          <w:p w14:paraId="150C94BD">
            <w:pPr>
              <w:jc w:val="center"/>
              <w:rPr>
                <w:rFonts w:ascii="宋体" w:hAnsi="宋体" w:eastAsia="宋体" w:cs="宋体"/>
                <w:color w:val="auto"/>
                <w:szCs w:val="21"/>
                <w:highlight w:val="none"/>
              </w:rPr>
            </w:pPr>
            <w:r>
              <w:rPr>
                <w:rFonts w:ascii="宋体" w:hAnsi="宋体" w:eastAsia="宋体" w:cs="宋体"/>
                <w:color w:val="auto"/>
                <w:szCs w:val="21"/>
                <w:highlight w:val="none"/>
              </w:rPr>
              <w:t>13</w:t>
            </w:r>
          </w:p>
        </w:tc>
        <w:tc>
          <w:tcPr>
            <w:tcW w:w="458" w:type="pct"/>
            <w:noWrap/>
            <w:vAlign w:val="center"/>
          </w:tcPr>
          <w:p w14:paraId="151E9905">
            <w:pPr>
              <w:jc w:val="center"/>
              <w:rPr>
                <w:rFonts w:ascii="宋体" w:hAnsi="宋体" w:eastAsia="宋体" w:cs="宋体"/>
                <w:color w:val="auto"/>
                <w:szCs w:val="21"/>
                <w:highlight w:val="none"/>
              </w:rPr>
            </w:pPr>
            <w:r>
              <w:rPr>
                <w:rFonts w:ascii="宋体" w:hAnsi="宋体" w:eastAsia="宋体" w:cs="宋体"/>
                <w:color w:val="auto"/>
                <w:szCs w:val="21"/>
                <w:highlight w:val="none"/>
              </w:rPr>
              <w:t>15.1</w:t>
            </w:r>
          </w:p>
        </w:tc>
        <w:tc>
          <w:tcPr>
            <w:tcW w:w="915" w:type="pct"/>
            <w:noWrap/>
            <w:vAlign w:val="center"/>
          </w:tcPr>
          <w:p w14:paraId="7A3C6638">
            <w:pPr>
              <w:rPr>
                <w:rFonts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3262" w:type="pct"/>
            <w:tcBorders>
              <w:right w:val="double" w:color="auto" w:sz="4" w:space="0"/>
            </w:tcBorders>
            <w:noWrap/>
            <w:vAlign w:val="center"/>
          </w:tcPr>
          <w:p w14:paraId="069D367B">
            <w:pPr>
              <w:rPr>
                <w:rFonts w:ascii="宋体" w:hAnsi="宋体" w:eastAsia="宋体" w:cs="宋体"/>
                <w:color w:val="auto"/>
                <w:szCs w:val="21"/>
                <w:highlight w:val="none"/>
                <w:u w:val="single"/>
              </w:rPr>
            </w:pPr>
            <w:r>
              <w:rPr>
                <w:rFonts w:ascii="宋体" w:hAnsi="宋体" w:eastAsia="宋体" w:cs="宋体"/>
                <w:color w:val="auto"/>
                <w:szCs w:val="21"/>
                <w:highlight w:val="none"/>
                <w:u w:val="single"/>
              </w:rPr>
              <w:t>90</w:t>
            </w:r>
            <w:r>
              <w:rPr>
                <w:rFonts w:hint="eastAsia" w:ascii="宋体" w:hAnsi="宋体" w:eastAsia="宋体" w:cs="宋体"/>
                <w:color w:val="auto"/>
                <w:szCs w:val="21"/>
                <w:highlight w:val="none"/>
              </w:rPr>
              <w:t>日历天。（从投标截止之日计起）。</w:t>
            </w:r>
            <w:r>
              <w:rPr>
                <w:rFonts w:hint="eastAsia" w:ascii="宋体" w:hAnsi="宋体" w:eastAsia="宋体" w:cs="宋体"/>
                <w:color w:val="auto"/>
                <w:szCs w:val="21"/>
                <w:highlight w:val="none"/>
                <w:u w:val="single"/>
              </w:rPr>
              <w:t>如投标有效期内发生异议或投诉的，则投标有效期自动延长至异议或投诉处理结束后</w:t>
            </w:r>
            <w:r>
              <w:rPr>
                <w:rFonts w:ascii="宋体" w:hAnsi="宋体" w:eastAsia="宋体" w:cs="宋体"/>
                <w:color w:val="auto"/>
                <w:szCs w:val="21"/>
                <w:highlight w:val="none"/>
                <w:u w:val="single"/>
              </w:rPr>
              <w:t>90日历天。中标人的投标有效期自动延期至合同履行完毕。</w:t>
            </w:r>
          </w:p>
        </w:tc>
      </w:tr>
      <w:tr w14:paraId="5C5A49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362" w:type="pct"/>
            <w:tcBorders>
              <w:left w:val="double" w:color="auto" w:sz="4" w:space="0"/>
            </w:tcBorders>
            <w:noWrap/>
            <w:vAlign w:val="center"/>
          </w:tcPr>
          <w:p w14:paraId="1B4B6177">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14</w:t>
            </w:r>
          </w:p>
        </w:tc>
        <w:tc>
          <w:tcPr>
            <w:tcW w:w="458" w:type="pct"/>
            <w:noWrap/>
            <w:vAlign w:val="center"/>
          </w:tcPr>
          <w:p w14:paraId="2CAFB868">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16.1</w:t>
            </w:r>
          </w:p>
        </w:tc>
        <w:tc>
          <w:tcPr>
            <w:tcW w:w="915" w:type="pct"/>
            <w:noWrap/>
            <w:vAlign w:val="center"/>
          </w:tcPr>
          <w:p w14:paraId="4EB7C69A">
            <w:pPr>
              <w:rPr>
                <w:rFonts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3262" w:type="pct"/>
            <w:tcBorders>
              <w:right w:val="double" w:color="auto" w:sz="4" w:space="0"/>
            </w:tcBorders>
            <w:noWrap/>
            <w:vAlign w:val="center"/>
          </w:tcPr>
          <w:p w14:paraId="530B4348">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本项目不收投标保证金。</w:t>
            </w:r>
          </w:p>
        </w:tc>
      </w:tr>
      <w:tr w14:paraId="3D862E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trPr>
        <w:tc>
          <w:tcPr>
            <w:tcW w:w="362" w:type="pct"/>
            <w:tcBorders>
              <w:left w:val="double" w:color="auto" w:sz="4" w:space="0"/>
            </w:tcBorders>
            <w:noWrap/>
            <w:vAlign w:val="center"/>
          </w:tcPr>
          <w:p w14:paraId="624E9D01">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15</w:t>
            </w:r>
          </w:p>
        </w:tc>
        <w:tc>
          <w:tcPr>
            <w:tcW w:w="458" w:type="pct"/>
            <w:noWrap/>
            <w:vAlign w:val="center"/>
          </w:tcPr>
          <w:p w14:paraId="469E6FD0">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5</w:t>
            </w:r>
          </w:p>
        </w:tc>
        <w:tc>
          <w:tcPr>
            <w:tcW w:w="915" w:type="pct"/>
            <w:noWrap/>
            <w:vAlign w:val="center"/>
          </w:tcPr>
          <w:p w14:paraId="770AEDA3">
            <w:pPr>
              <w:rPr>
                <w:rFonts w:ascii="宋体" w:hAnsi="宋体" w:eastAsia="宋体" w:cs="宋体"/>
                <w:color w:val="auto"/>
                <w:szCs w:val="21"/>
                <w:highlight w:val="none"/>
              </w:rPr>
            </w:pPr>
            <w:r>
              <w:rPr>
                <w:rFonts w:hint="eastAsia" w:ascii="宋体" w:hAnsi="宋体" w:eastAsia="宋体" w:cs="宋体"/>
                <w:color w:val="auto"/>
                <w:szCs w:val="21"/>
                <w:highlight w:val="none"/>
              </w:rPr>
              <w:t>踏勘现场</w:t>
            </w:r>
          </w:p>
        </w:tc>
        <w:tc>
          <w:tcPr>
            <w:tcW w:w="3262" w:type="pct"/>
            <w:tcBorders>
              <w:right w:val="double" w:color="auto" w:sz="4" w:space="0"/>
            </w:tcBorders>
            <w:noWrap/>
            <w:vAlign w:val="center"/>
          </w:tcPr>
          <w:p w14:paraId="03F0BC6D">
            <w:pPr>
              <w:rPr>
                <w:rFonts w:ascii="宋体" w:hAnsi="宋体" w:eastAsia="宋体" w:cs="宋体"/>
                <w:color w:val="auto"/>
                <w:szCs w:val="21"/>
                <w:highlight w:val="none"/>
                <w:u w:val="single"/>
              </w:rPr>
            </w:pPr>
            <w:r>
              <w:rPr>
                <w:rFonts w:hint="eastAsia" w:ascii="宋体" w:hAnsi="宋体" w:cs="宋体"/>
                <w:color w:val="auto"/>
                <w:szCs w:val="21"/>
                <w:highlight w:val="none"/>
                <w:u w:val="single"/>
              </w:rPr>
              <w:t>招标人不集中组织，由</w:t>
            </w:r>
            <w:r>
              <w:rPr>
                <w:rFonts w:hint="eastAsia" w:ascii="宋体" w:hAnsi="宋体" w:eastAsia="宋体" w:cs="宋体"/>
                <w:color w:val="auto"/>
                <w:szCs w:val="21"/>
                <w:highlight w:val="none"/>
                <w:u w:val="single"/>
              </w:rPr>
              <w:t>自行踏勘；投标人不进行踏勘的，视为已熟知现场条件，自行承担相关风险。</w:t>
            </w:r>
          </w:p>
        </w:tc>
      </w:tr>
      <w:tr w14:paraId="7803870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69" w:hRule="atLeast"/>
        </w:trPr>
        <w:tc>
          <w:tcPr>
            <w:tcW w:w="362" w:type="pct"/>
            <w:tcBorders>
              <w:left w:val="double" w:color="auto" w:sz="4" w:space="0"/>
            </w:tcBorders>
            <w:noWrap/>
            <w:vAlign w:val="center"/>
          </w:tcPr>
          <w:p w14:paraId="4B104019">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16</w:t>
            </w:r>
          </w:p>
        </w:tc>
        <w:tc>
          <w:tcPr>
            <w:tcW w:w="458" w:type="pct"/>
            <w:noWrap/>
            <w:vAlign w:val="center"/>
          </w:tcPr>
          <w:p w14:paraId="4603E794">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8</w:t>
            </w:r>
          </w:p>
        </w:tc>
        <w:tc>
          <w:tcPr>
            <w:tcW w:w="915" w:type="pct"/>
            <w:noWrap/>
            <w:vAlign w:val="center"/>
          </w:tcPr>
          <w:p w14:paraId="7F54F89A">
            <w:pPr>
              <w:rPr>
                <w:rFonts w:ascii="宋体" w:hAnsi="宋体" w:eastAsia="宋体" w:cs="宋体"/>
                <w:color w:val="auto"/>
                <w:szCs w:val="21"/>
                <w:highlight w:val="none"/>
              </w:rPr>
            </w:pPr>
            <w:r>
              <w:rPr>
                <w:rFonts w:hint="eastAsia" w:ascii="宋体" w:hAnsi="宋体" w:eastAsia="宋体" w:cs="宋体"/>
                <w:color w:val="auto"/>
                <w:szCs w:val="21"/>
                <w:highlight w:val="none"/>
              </w:rPr>
              <w:t>投标答疑</w:t>
            </w:r>
          </w:p>
        </w:tc>
        <w:tc>
          <w:tcPr>
            <w:tcW w:w="3262" w:type="pct"/>
            <w:tcBorders>
              <w:right w:val="double" w:color="auto" w:sz="4" w:space="0"/>
            </w:tcBorders>
            <w:noWrap/>
            <w:vAlign w:val="center"/>
          </w:tcPr>
          <w:p w14:paraId="0E7BC539">
            <w:pPr>
              <w:rPr>
                <w:rFonts w:ascii="宋体" w:hAnsi="宋体" w:eastAsia="宋体" w:cs="宋体"/>
                <w:color w:val="auto"/>
                <w:szCs w:val="21"/>
                <w:highlight w:val="none"/>
                <w:u w:val="single"/>
              </w:rPr>
            </w:pPr>
            <w:r>
              <w:rPr>
                <w:rFonts w:hint="eastAsia" w:ascii="宋体" w:hAnsi="宋体" w:eastAsia="宋体" w:cs="宋体"/>
                <w:color w:val="auto"/>
                <w:szCs w:val="21"/>
                <w:highlight w:val="none"/>
              </w:rPr>
              <w:t>1.疑问提交时间：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分前；</w:t>
            </w:r>
            <w:r>
              <w:rPr>
                <w:rFonts w:ascii="宋体" w:hAnsi="宋体" w:eastAsia="宋体" w:cs="宋体"/>
                <w:color w:val="auto"/>
                <w:szCs w:val="21"/>
                <w:highlight w:val="none"/>
                <w:u w:val="single"/>
              </w:rPr>
              <w:t>(在递交投标文件截止日期前18日)</w:t>
            </w:r>
          </w:p>
          <w:p w14:paraId="5CB21B16">
            <w:pPr>
              <w:rPr>
                <w:rFonts w:ascii="宋体" w:hAnsi="宋体" w:eastAsia="宋体" w:cs="宋体"/>
                <w:color w:val="auto"/>
                <w:szCs w:val="21"/>
                <w:highlight w:val="none"/>
              </w:rPr>
            </w:pPr>
            <w:r>
              <w:rPr>
                <w:rFonts w:hint="eastAsia" w:ascii="宋体" w:hAnsi="宋体" w:eastAsia="宋体" w:cs="宋体"/>
                <w:color w:val="auto"/>
                <w:szCs w:val="21"/>
                <w:highlight w:val="none"/>
              </w:rPr>
              <w:t>2.形式：投标人的疑问通过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交易平台提交。</w:t>
            </w:r>
          </w:p>
          <w:p w14:paraId="26763F92">
            <w:pPr>
              <w:rPr>
                <w:rFonts w:ascii="宋体" w:hAnsi="宋体" w:eastAsia="宋体" w:cs="宋体"/>
                <w:color w:val="auto"/>
                <w:szCs w:val="21"/>
                <w:highlight w:val="none"/>
              </w:rPr>
            </w:pPr>
            <w:r>
              <w:rPr>
                <w:rFonts w:hint="eastAsia" w:ascii="宋体" w:hAnsi="宋体" w:eastAsia="宋体" w:cs="宋体"/>
                <w:color w:val="auto"/>
                <w:szCs w:val="21"/>
                <w:highlight w:val="none"/>
              </w:rPr>
              <w:t>3.具体要求：按照</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交易平台关于全流程电子化项目的相关指南进行操作，详见：</w:t>
            </w:r>
            <w:r>
              <w:rPr>
                <w:rFonts w:hint="eastAsia" w:ascii="宋体" w:hAnsi="宋体" w:eastAsia="宋体" w:cs="宋体"/>
                <w:color w:val="auto"/>
                <w:szCs w:val="21"/>
                <w:highlight w:val="none"/>
                <w:u w:val="single"/>
              </w:rPr>
              <w:t>广州交易集团有限公司（广州公共资源交易中心）最新指引</w:t>
            </w:r>
            <w:r>
              <w:rPr>
                <w:rFonts w:hint="eastAsia" w:ascii="宋体" w:hAnsi="宋体" w:eastAsia="宋体" w:cs="宋体"/>
                <w:color w:val="auto"/>
                <w:szCs w:val="21"/>
                <w:highlight w:val="none"/>
              </w:rPr>
              <w:t>。提问一律不得署名。</w:t>
            </w:r>
          </w:p>
          <w:p w14:paraId="570FBD0F">
            <w:pPr>
              <w:rPr>
                <w:color w:val="auto"/>
                <w:highlight w:val="none"/>
              </w:rPr>
            </w:pPr>
            <w:r>
              <w:rPr>
                <w:rFonts w:hint="eastAsia" w:ascii="宋体" w:hAnsi="宋体" w:cs="宋体"/>
                <w:color w:val="auto"/>
                <w:szCs w:val="21"/>
                <w:highlight w:val="none"/>
                <w:u w:val="single"/>
              </w:rPr>
              <w:t>4.招标人澄清、修补或答疑期限：在递交投标文件截止日期前15日。</w:t>
            </w:r>
          </w:p>
        </w:tc>
      </w:tr>
      <w:tr w14:paraId="28CB84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564B96FC">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17</w:t>
            </w:r>
          </w:p>
        </w:tc>
        <w:tc>
          <w:tcPr>
            <w:tcW w:w="458" w:type="pct"/>
            <w:noWrap/>
            <w:vAlign w:val="center"/>
          </w:tcPr>
          <w:p w14:paraId="41EF68C7">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20.1</w:t>
            </w:r>
          </w:p>
        </w:tc>
        <w:tc>
          <w:tcPr>
            <w:tcW w:w="915" w:type="pct"/>
            <w:noWrap/>
            <w:vAlign w:val="center"/>
          </w:tcPr>
          <w:p w14:paraId="2BD94E07">
            <w:pPr>
              <w:rPr>
                <w:rFonts w:ascii="宋体" w:hAnsi="宋体" w:eastAsia="宋体" w:cs="宋体"/>
                <w:color w:val="auto"/>
                <w:szCs w:val="21"/>
                <w:highlight w:val="none"/>
              </w:rPr>
            </w:pPr>
            <w:r>
              <w:rPr>
                <w:rFonts w:hint="eastAsia" w:ascii="宋体" w:hAnsi="宋体" w:eastAsia="宋体" w:cs="宋体"/>
                <w:color w:val="auto"/>
                <w:szCs w:val="21"/>
                <w:highlight w:val="none"/>
              </w:rPr>
              <w:t>投标截止时间</w:t>
            </w:r>
          </w:p>
        </w:tc>
        <w:tc>
          <w:tcPr>
            <w:tcW w:w="3262" w:type="pct"/>
            <w:tcBorders>
              <w:right w:val="double" w:color="auto" w:sz="4" w:space="0"/>
            </w:tcBorders>
            <w:noWrap/>
            <w:vAlign w:val="center"/>
          </w:tcPr>
          <w:p w14:paraId="7EA39AAA">
            <w:pPr>
              <w:rPr>
                <w:rFonts w:ascii="宋体" w:hAnsi="宋体"/>
                <w:strike/>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rPr>
              <w:t>年</w:t>
            </w:r>
            <w:r>
              <w:rPr>
                <w:rFonts w:ascii="宋体" w:hAnsi="宋体"/>
                <w:color w:val="auto"/>
                <w:szCs w:val="21"/>
                <w:highlight w:val="none"/>
                <w:u w:val="single"/>
              </w:rPr>
              <w:t xml:space="preserve">   </w:t>
            </w:r>
            <w:r>
              <w:rPr>
                <w:rFonts w:hint="eastAsia" w:ascii="宋体" w:hAnsi="宋体"/>
                <w:color w:val="auto"/>
                <w:szCs w:val="21"/>
                <w:highlight w:val="none"/>
              </w:rPr>
              <w:t>月</w:t>
            </w:r>
            <w:r>
              <w:rPr>
                <w:rFonts w:ascii="宋体" w:hAnsi="宋体"/>
                <w:color w:val="auto"/>
                <w:szCs w:val="21"/>
                <w:highlight w:val="none"/>
                <w:u w:val="single"/>
              </w:rPr>
              <w:t xml:space="preserve">    </w:t>
            </w:r>
            <w:r>
              <w:rPr>
                <w:rFonts w:hint="eastAsia" w:ascii="宋体" w:hAnsi="宋体"/>
                <w:color w:val="auto"/>
                <w:szCs w:val="21"/>
                <w:highlight w:val="none"/>
              </w:rPr>
              <w:t>日</w:t>
            </w:r>
            <w:r>
              <w:rPr>
                <w:rFonts w:ascii="宋体" w:hAnsi="宋体"/>
                <w:color w:val="auto"/>
                <w:szCs w:val="21"/>
                <w:highlight w:val="none"/>
                <w:u w:val="single"/>
              </w:rPr>
              <w:t xml:space="preserve">   </w:t>
            </w:r>
            <w:r>
              <w:rPr>
                <w:rFonts w:hint="eastAsia" w:ascii="宋体" w:hAnsi="宋体"/>
                <w:color w:val="auto"/>
                <w:szCs w:val="21"/>
                <w:highlight w:val="none"/>
              </w:rPr>
              <w:t>时（北京时间）。</w:t>
            </w:r>
          </w:p>
        </w:tc>
      </w:tr>
      <w:tr w14:paraId="310CDC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47" w:hRule="atLeast"/>
        </w:trPr>
        <w:tc>
          <w:tcPr>
            <w:tcW w:w="362" w:type="pct"/>
            <w:tcBorders>
              <w:left w:val="double" w:color="auto" w:sz="4" w:space="0"/>
            </w:tcBorders>
            <w:noWrap/>
            <w:vAlign w:val="center"/>
          </w:tcPr>
          <w:p w14:paraId="1DD5D2B0">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18</w:t>
            </w:r>
          </w:p>
        </w:tc>
        <w:tc>
          <w:tcPr>
            <w:tcW w:w="458" w:type="pct"/>
            <w:noWrap/>
            <w:vAlign w:val="center"/>
          </w:tcPr>
          <w:p w14:paraId="35201B2C">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20.1</w:t>
            </w:r>
          </w:p>
        </w:tc>
        <w:tc>
          <w:tcPr>
            <w:tcW w:w="915" w:type="pct"/>
            <w:noWrap/>
            <w:vAlign w:val="center"/>
          </w:tcPr>
          <w:p w14:paraId="72118BFC">
            <w:pPr>
              <w:rPr>
                <w:rFonts w:ascii="宋体" w:hAnsi="宋体" w:eastAsia="宋体" w:cs="宋体"/>
                <w:color w:val="auto"/>
                <w:szCs w:val="21"/>
                <w:highlight w:val="none"/>
              </w:rPr>
            </w:pPr>
            <w:r>
              <w:rPr>
                <w:rFonts w:hint="eastAsia" w:ascii="宋体" w:hAnsi="宋体" w:eastAsia="宋体" w:cs="宋体"/>
                <w:color w:val="auto"/>
                <w:szCs w:val="21"/>
                <w:highlight w:val="none"/>
              </w:rPr>
              <w:t>开标开始时间和地点</w:t>
            </w:r>
          </w:p>
        </w:tc>
        <w:tc>
          <w:tcPr>
            <w:tcW w:w="3262" w:type="pct"/>
            <w:tcBorders>
              <w:right w:val="double" w:color="auto" w:sz="4" w:space="0"/>
            </w:tcBorders>
            <w:noWrap/>
            <w:vAlign w:val="center"/>
          </w:tcPr>
          <w:p w14:paraId="3C8D77FF">
            <w:pPr>
              <w:rPr>
                <w:rFonts w:ascii="宋体" w:hAnsi="宋体" w:eastAsia="宋体" w:cs="宋体"/>
                <w:color w:val="auto"/>
                <w:szCs w:val="21"/>
                <w:highlight w:val="none"/>
              </w:rPr>
            </w:pPr>
            <w:r>
              <w:rPr>
                <w:rFonts w:hint="eastAsia" w:ascii="宋体" w:hAnsi="宋体" w:eastAsia="宋体" w:cs="宋体"/>
                <w:color w:val="auto"/>
                <w:szCs w:val="21"/>
                <w:highlight w:val="none"/>
              </w:rPr>
              <w:t>（技术标和经济标同时开标）</w:t>
            </w:r>
          </w:p>
          <w:p w14:paraId="11BC5E10">
            <w:pPr>
              <w:jc w:val="left"/>
              <w:rPr>
                <w:rFonts w:ascii="宋体" w:hAnsi="宋体" w:eastAsia="宋体" w:cs="宋体"/>
                <w:color w:val="auto"/>
                <w:szCs w:val="21"/>
                <w:highlight w:val="none"/>
              </w:rPr>
            </w:pPr>
            <w:r>
              <w:rPr>
                <w:rFonts w:ascii="宋体" w:hAnsi="宋体" w:eastAsia="宋体" w:cs="宋体"/>
                <w:color w:val="auto"/>
                <w:szCs w:val="21"/>
                <w:highlight w:val="none"/>
              </w:rPr>
              <w:t>1、开标开始时间：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分（与投标截止时间为同一时间），地点：</w:t>
            </w:r>
            <w:r>
              <w:rPr>
                <w:rFonts w:hint="eastAsia" w:ascii="宋体" w:hAnsi="宋体" w:eastAsia="宋体" w:cs="宋体"/>
                <w:color w:val="auto"/>
                <w:szCs w:val="21"/>
                <w:highlight w:val="none"/>
                <w:u w:val="single"/>
              </w:rPr>
              <w:t>广州交易集团有限公司（广州公共资源交易中心）黄埔交易部指定开标室</w:t>
            </w:r>
            <w:r>
              <w:rPr>
                <w:rFonts w:hint="eastAsia" w:ascii="宋体" w:hAnsi="宋体" w:eastAsia="宋体" w:cs="宋体"/>
                <w:color w:val="auto"/>
                <w:szCs w:val="21"/>
                <w:highlight w:val="none"/>
              </w:rPr>
              <w:t>。投标人也可选择参加在线开标，具体按照交易平台相关指南进行操作。详见：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49782F12">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注：投标文件解密问题。投标人只用执行一次解密，招标人执行解密次数根据招标文件开标次数确定。</w:t>
            </w:r>
          </w:p>
          <w:p w14:paraId="66B4D93E">
            <w:pPr>
              <w:jc w:val="left"/>
              <w:rPr>
                <w:rFonts w:ascii="宋体" w:hAnsi="宋体" w:eastAsia="宋体" w:cs="宋体"/>
                <w:color w:val="auto"/>
                <w:szCs w:val="21"/>
                <w:highlight w:val="none"/>
              </w:rPr>
            </w:pPr>
            <w:r>
              <w:rPr>
                <w:rFonts w:ascii="宋体" w:hAnsi="宋体" w:eastAsia="宋体" w:cs="宋体"/>
                <w:color w:val="auto"/>
                <w:szCs w:val="21"/>
                <w:highlight w:val="none"/>
              </w:rPr>
              <w:t>2、递交投标文件备用光盘时间：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分至</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分；递交地点：</w:t>
            </w:r>
            <w:r>
              <w:rPr>
                <w:rFonts w:hint="eastAsia" w:ascii="宋体" w:hAnsi="宋体" w:eastAsia="宋体" w:cs="宋体"/>
                <w:color w:val="auto"/>
                <w:szCs w:val="21"/>
                <w:highlight w:val="none"/>
                <w:u w:val="single"/>
              </w:rPr>
              <w:t>广州交易集团有限公司（广州公共资源交易中心）黄埔交易部指定开标室</w:t>
            </w:r>
            <w:r>
              <w:rPr>
                <w:rFonts w:hint="eastAsia" w:ascii="宋体" w:hAnsi="宋体" w:eastAsia="宋体" w:cs="宋体"/>
                <w:color w:val="auto"/>
                <w:szCs w:val="21"/>
                <w:highlight w:val="none"/>
              </w:rPr>
              <w:t>。</w:t>
            </w:r>
          </w:p>
          <w:p w14:paraId="35E2D592">
            <w:pPr>
              <w:jc w:val="left"/>
              <w:rPr>
                <w:rFonts w:ascii="宋体" w:hAnsi="宋体" w:eastAsia="宋体" w:cs="宋体"/>
                <w:color w:val="auto"/>
                <w:szCs w:val="21"/>
                <w:highlight w:val="none"/>
              </w:rPr>
            </w:pPr>
            <w:r>
              <w:rPr>
                <w:rFonts w:ascii="宋体" w:hAnsi="宋体" w:eastAsia="宋体" w:cs="宋体"/>
                <w:color w:val="auto"/>
                <w:szCs w:val="21"/>
                <w:highlight w:val="none"/>
                <w:u w:val="single"/>
              </w:rPr>
              <w:t>3、投标人应在投标文件递交截止时间前通过广州交易集团有限公司（广州公共资源交易中心）电子招标投标交易平台递交电子投标文件。</w:t>
            </w:r>
          </w:p>
          <w:p w14:paraId="47196BA2">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上述时间及地点是否有改变，请密切留意补充公告（如有）和招标澄清答疑纪要（如有）的相关信息。</w:t>
            </w:r>
          </w:p>
          <w:p w14:paraId="2EEBED58">
            <w:pPr>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本项目各项投标活动可通过广州交易集团有限公司（广州公共资源交易中心）网站查询具体的时间和场地安排。投标人可登录广州交易集团有限公司（广州公共资源交易中心）网站首页，点击“交易业务</w:t>
            </w:r>
            <w:r>
              <w:rPr>
                <w:rFonts w:ascii="宋体" w:hAnsi="宋体" w:eastAsia="宋体" w:cs="宋体"/>
                <w:color w:val="auto"/>
                <w:szCs w:val="21"/>
                <w:highlight w:val="none"/>
                <w:u w:val="single"/>
              </w:rPr>
              <w:t>-建设工程”专栏中的“项目查询（日程安排、答疑纪要）”，输入项目编号或项目名称查询最新信息。</w:t>
            </w:r>
          </w:p>
        </w:tc>
      </w:tr>
      <w:tr w14:paraId="73889DB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55A53D27">
            <w:pPr>
              <w:snapToGrid w:val="0"/>
              <w:spacing w:after="120" w:line="288" w:lineRule="auto"/>
              <w:ind w:right="-2"/>
              <w:jc w:val="center"/>
              <w:rPr>
                <w:rFonts w:ascii="宋体" w:hAnsi="宋体" w:eastAsia="宋体" w:cs="宋体"/>
                <w:color w:val="auto"/>
                <w:szCs w:val="21"/>
                <w:highlight w:val="none"/>
              </w:rPr>
            </w:pPr>
            <w:r>
              <w:rPr>
                <w:rFonts w:ascii="宋体" w:hAnsi="宋体" w:eastAsia="宋体" w:cs="宋体"/>
                <w:color w:val="auto"/>
                <w:szCs w:val="21"/>
                <w:highlight w:val="none"/>
              </w:rPr>
              <w:t>19</w:t>
            </w:r>
          </w:p>
        </w:tc>
        <w:tc>
          <w:tcPr>
            <w:tcW w:w="458" w:type="pct"/>
            <w:noWrap/>
            <w:vAlign w:val="center"/>
          </w:tcPr>
          <w:p w14:paraId="57C50CC1">
            <w:pPr>
              <w:snapToGrid w:val="0"/>
              <w:spacing w:after="120" w:line="288" w:lineRule="auto"/>
              <w:ind w:left="-107" w:leftChars="-51"/>
              <w:jc w:val="center"/>
              <w:rPr>
                <w:rFonts w:ascii="宋体" w:hAnsi="宋体" w:eastAsia="宋体" w:cs="宋体"/>
                <w:color w:val="auto"/>
                <w:szCs w:val="21"/>
                <w:highlight w:val="none"/>
              </w:rPr>
            </w:pPr>
            <w:r>
              <w:rPr>
                <w:rFonts w:ascii="宋体" w:hAnsi="宋体" w:eastAsia="宋体" w:cs="宋体"/>
                <w:color w:val="auto"/>
                <w:szCs w:val="21"/>
                <w:highlight w:val="none"/>
              </w:rPr>
              <w:t>26</w:t>
            </w:r>
          </w:p>
        </w:tc>
        <w:tc>
          <w:tcPr>
            <w:tcW w:w="915" w:type="pct"/>
            <w:noWrap/>
            <w:vAlign w:val="center"/>
          </w:tcPr>
          <w:p w14:paraId="77208D30">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评标办法采用评定分离</w:t>
            </w:r>
          </w:p>
        </w:tc>
        <w:tc>
          <w:tcPr>
            <w:tcW w:w="3262" w:type="pct"/>
            <w:tcBorders>
              <w:right w:val="double" w:color="auto" w:sz="4" w:space="0"/>
            </w:tcBorders>
            <w:noWrap/>
            <w:vAlign w:val="center"/>
          </w:tcPr>
          <w:p w14:paraId="6E61BE22">
            <w:pPr>
              <w:pStyle w:val="86"/>
              <w:snapToGrid w:val="0"/>
              <w:spacing w:after="0" w:line="288" w:lineRule="auto"/>
              <w:ind w:firstLine="0" w:firstLineChars="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本项目采用评定分离评标定标办法：</w:t>
            </w:r>
          </w:p>
          <w:p w14:paraId="36088D83">
            <w:pPr>
              <w:pStyle w:val="86"/>
              <w:snapToGrid w:val="0"/>
              <w:spacing w:after="0" w:line="288" w:lineRule="auto"/>
              <w:ind w:firstLine="0" w:firstLineChars="0"/>
              <w:rPr>
                <w:rFonts w:ascii="宋体" w:hAnsi="宋体" w:eastAsia="宋体" w:cs="宋体"/>
                <w:color w:val="auto"/>
                <w:szCs w:val="21"/>
                <w:highlight w:val="none"/>
              </w:rPr>
            </w:pPr>
            <w:r>
              <w:rPr>
                <w:rFonts w:ascii="宋体" w:hAnsi="宋体" w:eastAsia="宋体" w:cs="宋体"/>
                <w:color w:val="auto"/>
                <w:szCs w:val="21"/>
                <w:highlight w:val="none"/>
              </w:rPr>
              <w:t>1、</w:t>
            </w:r>
            <w:r>
              <w:rPr>
                <w:rFonts w:hint="eastAsia" w:ascii="宋体" w:hAnsi="宋体" w:eastAsia="宋体" w:cs="宋体"/>
                <w:color w:val="auto"/>
                <w:szCs w:val="21"/>
                <w:highlight w:val="none"/>
              </w:rPr>
              <w:t>评标方式选用：</w:t>
            </w:r>
            <w:r>
              <w:rPr>
                <w:rFonts w:hint="eastAsia" w:ascii="宋体" w:hAnsi="宋体" w:eastAsia="宋体" w:cs="宋体"/>
                <w:b/>
                <w:color w:val="auto"/>
                <w:szCs w:val="21"/>
                <w:highlight w:val="none"/>
              </w:rPr>
              <w:t>选取方法八（</w:t>
            </w:r>
            <w:r>
              <w:rPr>
                <w:rFonts w:ascii="宋体" w:hAnsi="宋体" w:eastAsia="宋体" w:cs="宋体"/>
                <w:b/>
                <w:color w:val="auto"/>
                <w:szCs w:val="21"/>
                <w:highlight w:val="none"/>
              </w:rPr>
              <w:t>经评审的最低投标价法</w:t>
            </w:r>
            <w:r>
              <w:rPr>
                <w:rFonts w:hint="eastAsia" w:ascii="宋体" w:hAnsi="宋体" w:eastAsia="宋体" w:cs="宋体"/>
                <w:b/>
                <w:color w:val="auto"/>
                <w:szCs w:val="21"/>
                <w:highlight w:val="none"/>
              </w:rPr>
              <w:t>，经济标与技术标同时开启）</w:t>
            </w:r>
            <w:r>
              <w:rPr>
                <w:rFonts w:hint="eastAsia" w:ascii="宋体" w:hAnsi="宋体" w:eastAsia="宋体" w:cs="宋体"/>
                <w:color w:val="auto"/>
                <w:szCs w:val="21"/>
                <w:highlight w:val="none"/>
              </w:rPr>
              <w:t>，内容如下：</w:t>
            </w:r>
          </w:p>
          <w:p w14:paraId="3B7F30EB">
            <w:pPr>
              <w:pStyle w:val="86"/>
              <w:snapToGrid w:val="0"/>
              <w:spacing w:after="0" w:line="288" w:lineRule="auto"/>
              <w:ind w:firstLine="0" w:firstLineChars="0"/>
              <w:rPr>
                <w:rFonts w:ascii="宋体" w:hAnsi="宋体" w:eastAsia="宋体" w:cs="宋体"/>
                <w:color w:val="auto"/>
                <w:szCs w:val="21"/>
                <w:highlight w:val="none"/>
              </w:rPr>
            </w:pPr>
            <w:r>
              <w:rPr>
                <w:rFonts w:hint="eastAsia" w:ascii="宋体" w:hAnsi="宋体" w:eastAsia="宋体" w:cs="宋体"/>
                <w:color w:val="auto"/>
                <w:szCs w:val="21"/>
                <w:highlight w:val="none"/>
              </w:rPr>
              <w:t>只有满足招标文件实质性要求的投标人才能进入详细评审。通过投标人的信用情况（即按投标人在</w:t>
            </w:r>
            <w:r>
              <w:rPr>
                <w:rFonts w:hint="eastAsia" w:ascii="宋体" w:hAnsi="宋体" w:eastAsia="宋体" w:cs="宋体"/>
                <w:color w:val="auto"/>
                <w:szCs w:val="21"/>
                <w:highlight w:val="none"/>
              </w:rPr>
              <w:t>广州交易集团有限公司（广州公共资源交易中心）门户网站-信用信息-</w:t>
            </w:r>
            <w:r>
              <w:rPr>
                <w:rFonts w:hint="eastAsia" w:ascii="宋体" w:hAnsi="宋体" w:eastAsia="宋体" w:cs="宋体"/>
                <w:color w:val="auto"/>
                <w:szCs w:val="21"/>
                <w:highlight w:val="none"/>
              </w:rPr>
              <w:t>广州市住房和城乡建设局诚信</w:t>
            </w:r>
            <w:r>
              <w:rPr>
                <w:rFonts w:hint="eastAsia" w:ascii="宋体" w:hAnsi="宋体" w:eastAsia="宋体" w:cs="宋体"/>
                <w:color w:val="auto"/>
                <w:szCs w:val="21"/>
                <w:highlight w:val="none"/>
              </w:rPr>
              <w:t>综合</w:t>
            </w:r>
            <w:r>
              <w:rPr>
                <w:rFonts w:hint="eastAsia" w:ascii="宋体" w:hAnsi="宋体" w:eastAsia="宋体" w:cs="宋体"/>
                <w:color w:val="auto"/>
                <w:szCs w:val="21"/>
                <w:highlight w:val="none"/>
              </w:rPr>
              <w:t>评价专栏-</w:t>
            </w:r>
            <w:r>
              <w:rPr>
                <w:rFonts w:hint="eastAsia" w:ascii="宋体" w:hAnsi="宋体" w:eastAsia="宋体" w:cs="宋体"/>
                <w:color w:val="auto"/>
                <w:szCs w:val="21"/>
                <w:highlight w:val="none"/>
              </w:rPr>
              <w:t>“施工企业”专栏</w:t>
            </w:r>
            <w:r>
              <w:rPr>
                <w:rFonts w:hint="eastAsia" w:ascii="宋体" w:hAnsi="宋体" w:eastAsia="宋体" w:cs="宋体"/>
                <w:color w:val="auto"/>
                <w:szCs w:val="21"/>
                <w:highlight w:val="none"/>
              </w:rPr>
              <w:t>投标截止当日公布的</w:t>
            </w:r>
            <w:r>
              <w:rPr>
                <w:rFonts w:hint="eastAsia" w:ascii="宋体" w:hAnsi="宋体" w:eastAsia="宋体" w:cs="宋体"/>
                <w:bCs/>
                <w:color w:val="auto"/>
                <w:szCs w:val="21"/>
                <w:highlight w:val="none"/>
              </w:rPr>
              <w:t>“施工</w:t>
            </w:r>
            <w:r>
              <w:rPr>
                <w:rFonts w:ascii="宋体" w:hAnsi="宋体" w:eastAsia="宋体" w:cs="宋体"/>
                <w:bCs/>
                <w:color w:val="auto"/>
                <w:szCs w:val="21"/>
                <w:highlight w:val="none"/>
              </w:rPr>
              <w:t>-房建排名”【即“施工企业房建诚信评价排名”】</w:t>
            </w:r>
            <w:r>
              <w:rPr>
                <w:rFonts w:ascii="宋体" w:hAnsi="宋体" w:eastAsia="宋体" w:cs="宋体"/>
                <w:color w:val="auto"/>
                <w:szCs w:val="21"/>
                <w:highlight w:val="none"/>
              </w:rPr>
              <w:t>中的“60日诚信分”）对其投标报价进行折算</w:t>
            </w:r>
            <w:r>
              <w:rPr>
                <w:rFonts w:hint="eastAsia" w:ascii="宋体" w:hAnsi="宋体" w:eastAsia="宋体" w:cs="宋体"/>
                <w:color w:val="auto"/>
                <w:szCs w:val="22"/>
                <w:highlight w:val="none"/>
              </w:rPr>
              <w:t>（折算规则详见招标文件第二章附</w:t>
            </w:r>
            <w:r>
              <w:rPr>
                <w:rFonts w:hint="eastAsia" w:ascii="宋体" w:hAnsi="宋体" w:eastAsia="宋体" w:cs="宋体"/>
                <w:color w:val="auto"/>
                <w:szCs w:val="22"/>
                <w:highlight w:val="none"/>
              </w:rPr>
              <w:t>表</w:t>
            </w:r>
            <w:r>
              <w:rPr>
                <w:rFonts w:hint="eastAsia" w:ascii="宋体" w:hAnsi="宋体" w:eastAsia="宋体" w:cs="宋体"/>
                <w:color w:val="auto"/>
                <w:szCs w:val="22"/>
                <w:highlight w:val="none"/>
              </w:rPr>
              <w:t>《投标报价折算标准表》），得到各投标人经评审的投标报价。以所有经评审的投标报价中金额最小的投标报价作为经评审的最低投标价，并以经评审的最低投标价作为推荐合格中标候选人的依据</w:t>
            </w:r>
            <w:r>
              <w:rPr>
                <w:rFonts w:hint="eastAsia" w:ascii="宋体" w:hAnsi="宋体" w:eastAsia="宋体" w:cs="宋体"/>
                <w:color w:val="auto"/>
                <w:szCs w:val="21"/>
                <w:highlight w:val="none"/>
              </w:rPr>
              <w:t>。</w:t>
            </w:r>
          </w:p>
          <w:p w14:paraId="5EEED382">
            <w:pPr>
              <w:spacing w:line="276" w:lineRule="auto"/>
              <w:rPr>
                <w:rFonts w:ascii="宋体" w:hAnsi="宋体" w:eastAsia="宋体" w:cs="宋体"/>
                <w:color w:val="auto"/>
                <w:szCs w:val="22"/>
                <w:highlight w:val="none"/>
              </w:rPr>
            </w:pPr>
            <w:r>
              <w:rPr>
                <w:rFonts w:ascii="宋体" w:hAnsi="宋体" w:eastAsia="宋体" w:cs="宋体"/>
                <w:color w:val="auto"/>
                <w:szCs w:val="22"/>
                <w:highlight w:val="none"/>
              </w:rPr>
              <w:t>2、</w:t>
            </w:r>
            <w:r>
              <w:rPr>
                <w:rFonts w:hint="eastAsia" w:ascii="宋体" w:hAnsi="宋体" w:eastAsia="宋体" w:cs="宋体"/>
                <w:bCs/>
                <w:color w:val="auto"/>
                <w:szCs w:val="22"/>
                <w:highlight w:val="none"/>
              </w:rPr>
              <w:t>在评标评审完成后，评标委员会编写评标报告，评标委员会采用“有限数量制评审法”推荐不超过</w:t>
            </w:r>
            <w:r>
              <w:rPr>
                <w:rFonts w:ascii="宋体" w:hAnsi="宋体" w:eastAsia="宋体" w:cs="宋体"/>
                <w:bCs/>
                <w:color w:val="auto"/>
                <w:szCs w:val="22"/>
                <w:highlight w:val="none"/>
              </w:rPr>
              <w:t>5家（经评审的投标报价介于经评审的最低投标价（含本数）与工程</w:t>
            </w:r>
            <w:r>
              <w:rPr>
                <w:rFonts w:hint="eastAsia" w:ascii="宋体" w:hAnsi="宋体" w:eastAsia="宋体" w:cs="宋体"/>
                <w:bCs/>
                <w:color w:val="auto"/>
                <w:szCs w:val="22"/>
                <w:highlight w:val="none"/>
              </w:rPr>
              <w:t>成本警示价</w:t>
            </w:r>
            <w:r>
              <w:rPr>
                <w:rFonts w:ascii="宋体" w:hAnsi="宋体" w:eastAsia="宋体" w:cs="宋体"/>
                <w:bCs/>
                <w:color w:val="auto"/>
                <w:szCs w:val="22"/>
                <w:highlight w:val="none"/>
              </w:rPr>
              <w:t>（含本数）之间的投标人数量≥5家时除外）不排序的合格中标候选人进入定标阶段</w:t>
            </w:r>
            <w:r>
              <w:rPr>
                <w:rFonts w:hint="eastAsia" w:ascii="宋体" w:hAnsi="宋体" w:eastAsia="宋体" w:cs="宋体"/>
                <w:color w:val="auto"/>
                <w:szCs w:val="22"/>
                <w:highlight w:val="none"/>
              </w:rPr>
              <w:t>。推荐规则如下：</w:t>
            </w:r>
          </w:p>
          <w:p w14:paraId="4EC04A71">
            <w:pPr>
              <w:spacing w:line="276" w:lineRule="auto"/>
              <w:rPr>
                <w:rFonts w:ascii="宋体" w:hAnsi="宋体" w:eastAsia="宋体" w:cs="宋体"/>
                <w:color w:val="auto"/>
                <w:szCs w:val="22"/>
                <w:highlight w:val="none"/>
              </w:rPr>
            </w:pPr>
            <w:r>
              <w:rPr>
                <w:rFonts w:hint="eastAsia" w:ascii="宋体" w:hAnsi="宋体" w:eastAsia="宋体" w:cs="宋体"/>
                <w:color w:val="auto"/>
                <w:szCs w:val="22"/>
                <w:highlight w:val="none"/>
              </w:rPr>
              <w:t>（</w:t>
            </w:r>
            <w:r>
              <w:rPr>
                <w:rFonts w:ascii="宋体" w:hAnsi="宋体" w:eastAsia="宋体" w:cs="宋体"/>
                <w:color w:val="auto"/>
                <w:szCs w:val="22"/>
                <w:highlight w:val="none"/>
              </w:rPr>
              <w:t>1）当通过有效性审查的投标人数＜3家时，招标人应重新招标。</w:t>
            </w:r>
          </w:p>
          <w:p w14:paraId="3C8CB154">
            <w:pPr>
              <w:spacing w:line="276" w:lineRule="auto"/>
              <w:rPr>
                <w:rFonts w:ascii="宋体" w:hAnsi="宋体" w:eastAsia="宋体" w:cs="宋体"/>
                <w:color w:val="auto"/>
                <w:szCs w:val="22"/>
                <w:highlight w:val="none"/>
              </w:rPr>
            </w:pPr>
            <w:r>
              <w:rPr>
                <w:rFonts w:hint="eastAsia" w:ascii="宋体" w:hAnsi="宋体" w:eastAsia="宋体" w:cs="宋体"/>
                <w:color w:val="auto"/>
                <w:szCs w:val="22"/>
                <w:highlight w:val="none"/>
              </w:rPr>
              <w:t>（</w:t>
            </w:r>
            <w:r>
              <w:rPr>
                <w:rFonts w:ascii="宋体" w:hAnsi="宋体" w:eastAsia="宋体" w:cs="宋体"/>
                <w:color w:val="auto"/>
                <w:szCs w:val="22"/>
                <w:highlight w:val="none"/>
              </w:rPr>
              <w:t>2）当通过有效性审查的投标人数≥3家且</w:t>
            </w:r>
            <w:r>
              <w:rPr>
                <w:rFonts w:hint="eastAsia" w:ascii="宋体" w:hAnsi="宋体" w:eastAsia="宋体" w:cs="宋体"/>
                <w:color w:val="auto"/>
                <w:szCs w:val="22"/>
                <w:highlight w:val="none"/>
              </w:rPr>
              <w:t>≤</w:t>
            </w:r>
            <w:r>
              <w:rPr>
                <w:rFonts w:ascii="宋体" w:hAnsi="宋体" w:eastAsia="宋体" w:cs="宋体"/>
                <w:color w:val="auto"/>
                <w:szCs w:val="22"/>
                <w:highlight w:val="none"/>
              </w:rPr>
              <w:t>5家时，则通过有效性审查的所有投标人全部进入定标阶段。</w:t>
            </w:r>
          </w:p>
          <w:p w14:paraId="2966E4A6">
            <w:pPr>
              <w:spacing w:line="276" w:lineRule="auto"/>
              <w:rPr>
                <w:rFonts w:ascii="宋体" w:hAnsi="宋体" w:eastAsia="宋体" w:cs="宋体"/>
                <w:color w:val="auto"/>
                <w:szCs w:val="22"/>
                <w:highlight w:val="none"/>
              </w:rPr>
            </w:pPr>
            <w:r>
              <w:rPr>
                <w:rFonts w:hint="eastAsia" w:ascii="宋体" w:hAnsi="宋体" w:eastAsia="宋体" w:cs="宋体"/>
                <w:color w:val="auto"/>
                <w:szCs w:val="22"/>
                <w:highlight w:val="none"/>
              </w:rPr>
              <w:t>（</w:t>
            </w:r>
            <w:r>
              <w:rPr>
                <w:rFonts w:ascii="宋体" w:hAnsi="宋体" w:eastAsia="宋体" w:cs="宋体"/>
                <w:color w:val="auto"/>
                <w:szCs w:val="22"/>
                <w:highlight w:val="none"/>
              </w:rPr>
              <w:t>3）当通过有效性审查的投标人数</w:t>
            </w:r>
            <w:r>
              <w:rPr>
                <w:rFonts w:hint="eastAsia" w:ascii="宋体" w:hAnsi="宋体" w:eastAsia="宋体" w:cs="宋体"/>
                <w:color w:val="auto"/>
                <w:szCs w:val="22"/>
                <w:highlight w:val="none"/>
              </w:rPr>
              <w:t>＞</w:t>
            </w:r>
            <w:r>
              <w:rPr>
                <w:rFonts w:ascii="宋体" w:hAnsi="宋体" w:eastAsia="宋体" w:cs="宋体"/>
                <w:color w:val="auto"/>
                <w:szCs w:val="22"/>
                <w:highlight w:val="none"/>
              </w:rPr>
              <w:t>5家时，则：</w:t>
            </w:r>
          </w:p>
          <w:p w14:paraId="7D56E91D">
            <w:pPr>
              <w:spacing w:line="276" w:lineRule="auto"/>
              <w:rPr>
                <w:rFonts w:ascii="宋体" w:hAnsi="宋体" w:eastAsia="宋体" w:cs="宋体"/>
                <w:color w:val="auto"/>
                <w:szCs w:val="22"/>
                <w:highlight w:val="none"/>
              </w:rPr>
            </w:pPr>
            <w:r>
              <w:rPr>
                <w:rFonts w:hint="eastAsia" w:ascii="宋体" w:hAnsi="宋体" w:eastAsia="宋体" w:cs="宋体"/>
                <w:color w:val="auto"/>
                <w:szCs w:val="22"/>
                <w:highlight w:val="none"/>
              </w:rPr>
              <w:t>①若经评审的投标报价介于经评审的最低投标价（含本数）与工程成本警示价（含本数）之间的数量≥</w:t>
            </w:r>
            <w:r>
              <w:rPr>
                <w:rFonts w:ascii="宋体" w:hAnsi="宋体" w:eastAsia="宋体" w:cs="宋体"/>
                <w:color w:val="auto"/>
                <w:szCs w:val="22"/>
                <w:highlight w:val="none"/>
              </w:rPr>
              <w:t>5家时,则经评审的投标报价介于经评审的最低投标价（含本数）与工程</w:t>
            </w:r>
            <w:r>
              <w:rPr>
                <w:rFonts w:hint="eastAsia" w:ascii="宋体" w:hAnsi="宋体" w:eastAsia="宋体" w:cs="宋体"/>
                <w:color w:val="auto"/>
                <w:szCs w:val="22"/>
                <w:highlight w:val="none"/>
              </w:rPr>
              <w:t>成本警示价</w:t>
            </w:r>
            <w:r>
              <w:rPr>
                <w:rFonts w:ascii="宋体" w:hAnsi="宋体" w:eastAsia="宋体" w:cs="宋体"/>
                <w:color w:val="auto"/>
                <w:szCs w:val="22"/>
                <w:highlight w:val="none"/>
              </w:rPr>
              <w:t>（含本数）之间的投标人全部进入定标阶段</w:t>
            </w:r>
            <w:r>
              <w:rPr>
                <w:rFonts w:hint="eastAsia" w:ascii="宋体" w:hAnsi="宋体" w:eastAsia="宋体" w:cs="宋体"/>
                <w:color w:val="auto"/>
                <w:szCs w:val="22"/>
                <w:highlight w:val="none"/>
              </w:rPr>
              <w:t>；</w:t>
            </w:r>
          </w:p>
          <w:p w14:paraId="7B06A94C">
            <w:pPr>
              <w:spacing w:line="276" w:lineRule="auto"/>
              <w:rPr>
                <w:rFonts w:ascii="宋体" w:hAnsi="宋体" w:eastAsia="宋体" w:cs="宋体"/>
                <w:color w:val="auto"/>
                <w:szCs w:val="22"/>
                <w:highlight w:val="none"/>
              </w:rPr>
            </w:pPr>
            <w:r>
              <w:rPr>
                <w:rFonts w:hint="eastAsia" w:ascii="宋体" w:hAnsi="宋体" w:eastAsia="宋体" w:cs="宋体"/>
                <w:color w:val="auto"/>
                <w:szCs w:val="22"/>
                <w:highlight w:val="none"/>
              </w:rPr>
              <w:t>②若经评审的投标报价介于经评审的最低投标价（含本数）与工程成本警示价（含本数）之间的数量＜</w:t>
            </w:r>
            <w:r>
              <w:rPr>
                <w:rFonts w:ascii="宋体" w:hAnsi="宋体" w:eastAsia="宋体" w:cs="宋体"/>
                <w:color w:val="auto"/>
                <w:szCs w:val="22"/>
                <w:highlight w:val="none"/>
              </w:rPr>
              <w:t>5家时</w:t>
            </w:r>
            <w:r>
              <w:rPr>
                <w:rFonts w:hint="eastAsia" w:ascii="宋体" w:hAnsi="宋体" w:eastAsia="宋体" w:cs="宋体"/>
                <w:color w:val="auto"/>
                <w:szCs w:val="22"/>
                <w:highlight w:val="none"/>
              </w:rPr>
              <w:t>，</w:t>
            </w:r>
            <w:r>
              <w:rPr>
                <w:rFonts w:ascii="宋体" w:hAnsi="宋体" w:eastAsia="宋体" w:cs="宋体"/>
                <w:color w:val="auto"/>
                <w:szCs w:val="22"/>
                <w:highlight w:val="none"/>
              </w:rPr>
              <w:t>则按经评审的投标报价由低到高选取5家不排序的合格中标候选人进入定标阶段。</w:t>
            </w:r>
          </w:p>
          <w:p w14:paraId="6DFA691E">
            <w:pPr>
              <w:pStyle w:val="2"/>
              <w:ind w:left="0" w:leftChars="0"/>
              <w:rPr>
                <w:color w:val="auto"/>
                <w:highlight w:val="none"/>
              </w:rPr>
            </w:pPr>
            <w:r>
              <w:rPr>
                <w:rFonts w:hint="eastAsia"/>
                <w:color w:val="auto"/>
                <w:highlight w:val="none"/>
              </w:rPr>
              <w:t>若投标人经评审的投标报价相同，以企业综合诚信评价分数高的排前；若经评审的投标报价、企业综合诚信评价分数均相同，则对具有相同情况的投标人，按入围合格中标候选人数量规定，由评标委员会采用记名投票方式，确定投标人的排序，并确定进入定标阶段的合格中标候选人。记名投票方式确定排序的具体操作步骤为：由评标委员会对出现该情况的投标人采取记名投票的方式确定，按得票数高低进行排序，以得票数高的排前，根据得票数高低确定投标人排序。</w:t>
            </w:r>
          </w:p>
          <w:p w14:paraId="05C9CE44">
            <w:pPr>
              <w:spacing w:line="276" w:lineRule="auto"/>
              <w:rPr>
                <w:rFonts w:ascii="宋体" w:hAnsi="宋体" w:eastAsia="宋体" w:cs="宋体"/>
                <w:color w:val="auto"/>
                <w:szCs w:val="22"/>
                <w:highlight w:val="none"/>
              </w:rPr>
            </w:pPr>
            <w:r>
              <w:rPr>
                <w:rFonts w:hint="eastAsia" w:ascii="宋体" w:hAnsi="宋体" w:eastAsia="宋体" w:cs="宋体"/>
                <w:color w:val="auto"/>
                <w:szCs w:val="22"/>
                <w:highlight w:val="none"/>
              </w:rPr>
              <w:t>注：进入定标阶段的合格中标候选人不排序【按统一社会信用代码后</w:t>
            </w:r>
            <w:r>
              <w:rPr>
                <w:rFonts w:ascii="宋体" w:hAnsi="宋体" w:eastAsia="宋体" w:cs="宋体"/>
                <w:color w:val="auto"/>
                <w:szCs w:val="22"/>
                <w:highlight w:val="none"/>
              </w:rPr>
              <w:t>4位(除校验码外)大小排位，如统一社会信用代码后4位出现字母情况的，字母以“0”进行代替大小排位</w:t>
            </w:r>
            <w:r>
              <w:rPr>
                <w:rFonts w:hint="eastAsia" w:ascii="宋体" w:hAnsi="宋体" w:eastAsia="宋体" w:cs="宋体"/>
                <w:color w:val="auto"/>
                <w:szCs w:val="22"/>
                <w:highlight w:val="none"/>
              </w:rPr>
              <w:t>；</w:t>
            </w:r>
            <w:r>
              <w:rPr>
                <w:rFonts w:ascii="宋体" w:hAnsi="宋体" w:eastAsia="宋体" w:cs="宋体"/>
                <w:color w:val="auto"/>
                <w:szCs w:val="22"/>
                <w:highlight w:val="none"/>
              </w:rPr>
              <w:t>如出现后4位(除校验码外)大小一致的，则随机排位】。</w:t>
            </w:r>
          </w:p>
          <w:p w14:paraId="2F9C6875">
            <w:pPr>
              <w:pStyle w:val="86"/>
              <w:snapToGrid w:val="0"/>
              <w:spacing w:after="0" w:line="288" w:lineRule="auto"/>
              <w:ind w:firstLine="0" w:firstLineChars="0"/>
              <w:rPr>
                <w:rFonts w:ascii="宋体" w:hAnsi="宋体" w:eastAsia="宋体" w:cs="宋体"/>
                <w:color w:val="auto"/>
                <w:szCs w:val="21"/>
                <w:highlight w:val="none"/>
              </w:rPr>
            </w:pPr>
            <w:r>
              <w:rPr>
                <w:rFonts w:ascii="宋体" w:hAnsi="宋体" w:eastAsia="宋体" w:cs="宋体"/>
                <w:color w:val="auto"/>
                <w:szCs w:val="21"/>
                <w:highlight w:val="none"/>
              </w:rPr>
              <w:t>3、</w:t>
            </w:r>
            <w:r>
              <w:rPr>
                <w:rFonts w:hint="eastAsia" w:ascii="宋体" w:hAnsi="宋体" w:eastAsia="宋体" w:cs="宋体"/>
                <w:color w:val="auto"/>
                <w:szCs w:val="21"/>
                <w:highlight w:val="none"/>
              </w:rPr>
              <w:t>定标办法：采用“方案因素＋价格因素评分法”</w:t>
            </w:r>
          </w:p>
          <w:p w14:paraId="3AEE10FC">
            <w:pPr>
              <w:pStyle w:val="86"/>
              <w:snapToGrid w:val="0"/>
              <w:spacing w:after="0" w:line="288" w:lineRule="auto"/>
              <w:ind w:firstLine="0" w:firstLineChars="0"/>
              <w:rPr>
                <w:rFonts w:ascii="宋体" w:hAnsi="宋体" w:eastAsia="宋体" w:cs="宋体"/>
                <w:color w:val="auto"/>
                <w:szCs w:val="21"/>
                <w:highlight w:val="none"/>
              </w:rPr>
            </w:pPr>
            <w:r>
              <w:rPr>
                <w:rFonts w:ascii="宋体" w:hAnsi="宋体" w:eastAsia="宋体" w:cs="宋体"/>
                <w:color w:val="auto"/>
                <w:szCs w:val="21"/>
                <w:highlight w:val="none"/>
              </w:rPr>
              <w:t>4、</w:t>
            </w:r>
            <w:r>
              <w:rPr>
                <w:rFonts w:hint="eastAsia" w:ascii="宋体" w:hAnsi="宋体" w:eastAsia="宋体" w:cs="宋体"/>
                <w:color w:val="auto"/>
                <w:szCs w:val="21"/>
                <w:highlight w:val="none"/>
              </w:rPr>
              <w:t>定标因素：详见《定标因素表（定标阶段用表）》（详见招标文件第二章附表）</w:t>
            </w:r>
          </w:p>
        </w:tc>
      </w:tr>
      <w:tr w14:paraId="2FDCD9A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7714F993">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20</w:t>
            </w:r>
          </w:p>
        </w:tc>
        <w:tc>
          <w:tcPr>
            <w:tcW w:w="458" w:type="pct"/>
            <w:noWrap/>
            <w:vAlign w:val="center"/>
          </w:tcPr>
          <w:p w14:paraId="7E49B623">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29.1</w:t>
            </w:r>
          </w:p>
        </w:tc>
        <w:tc>
          <w:tcPr>
            <w:tcW w:w="915" w:type="pct"/>
            <w:noWrap/>
            <w:vAlign w:val="center"/>
          </w:tcPr>
          <w:p w14:paraId="1F1C07CB">
            <w:pPr>
              <w:rPr>
                <w:rFonts w:ascii="宋体" w:hAnsi="宋体" w:eastAsia="宋体" w:cs="宋体"/>
                <w:color w:val="auto"/>
                <w:szCs w:val="21"/>
                <w:highlight w:val="none"/>
              </w:rPr>
            </w:pPr>
            <w:r>
              <w:rPr>
                <w:rFonts w:hint="eastAsia" w:ascii="宋体" w:hAnsi="宋体" w:eastAsia="宋体" w:cs="宋体"/>
                <w:color w:val="auto"/>
                <w:szCs w:val="21"/>
                <w:highlight w:val="none"/>
              </w:rPr>
              <w:t>履约担保</w:t>
            </w:r>
          </w:p>
        </w:tc>
        <w:tc>
          <w:tcPr>
            <w:tcW w:w="3262" w:type="pct"/>
            <w:tcBorders>
              <w:right w:val="double" w:color="auto" w:sz="4" w:space="0"/>
            </w:tcBorders>
            <w:noWrap/>
            <w:vAlign w:val="center"/>
          </w:tcPr>
          <w:p w14:paraId="01A10C91">
            <w:pPr>
              <w:rPr>
                <w:rFonts w:ascii="宋体" w:hAnsi="宋体" w:eastAsia="宋体" w:cs="宋体"/>
                <w:color w:val="auto"/>
                <w:szCs w:val="21"/>
                <w:highlight w:val="none"/>
              </w:rPr>
            </w:pPr>
            <w:r>
              <w:rPr>
                <w:rFonts w:hint="eastAsia" w:ascii="宋体" w:hAnsi="宋体" w:eastAsia="宋体" w:cs="宋体"/>
                <w:color w:val="auto"/>
                <w:szCs w:val="21"/>
                <w:highlight w:val="none"/>
              </w:rPr>
              <w:t>方式一：中标人提供的履约担保金额为中标价款的</w:t>
            </w:r>
            <w:r>
              <w:rPr>
                <w:rFonts w:ascii="宋体" w:hAnsi="宋体" w:eastAsia="宋体" w:cs="宋体"/>
                <w:color w:val="auto"/>
                <w:szCs w:val="21"/>
                <w:highlight w:val="none"/>
              </w:rPr>
              <w:t>10%。</w:t>
            </w:r>
          </w:p>
          <w:p w14:paraId="73EC4B9B">
            <w:pPr>
              <w:rPr>
                <w:color w:val="auto"/>
                <w:highlight w:val="none"/>
              </w:rPr>
            </w:pPr>
            <w:r>
              <w:rPr>
                <w:rFonts w:hint="eastAsia" w:ascii="宋体" w:hAnsi="宋体" w:eastAsia="宋体" w:cs="宋体"/>
                <w:color w:val="auto"/>
                <w:szCs w:val="21"/>
                <w:highlight w:val="none"/>
                <w:u w:val="single"/>
              </w:rPr>
              <w:t>履约担保的形式：按《关于规范招投标领域工程建设保证金收取有关工作的通知》（粤发改法规函〔2022〕1178号）执行合同约定。</w:t>
            </w:r>
          </w:p>
        </w:tc>
      </w:tr>
      <w:tr w14:paraId="3B7F955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362" w:type="pct"/>
            <w:tcBorders>
              <w:left w:val="double" w:color="auto" w:sz="4" w:space="0"/>
            </w:tcBorders>
            <w:noWrap/>
            <w:vAlign w:val="center"/>
          </w:tcPr>
          <w:p w14:paraId="097AAB24">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21</w:t>
            </w:r>
          </w:p>
        </w:tc>
        <w:tc>
          <w:tcPr>
            <w:tcW w:w="458" w:type="pct"/>
            <w:noWrap/>
            <w:vAlign w:val="center"/>
          </w:tcPr>
          <w:p w14:paraId="5F93DA5B">
            <w:pPr>
              <w:spacing w:line="288" w:lineRule="auto"/>
              <w:jc w:val="center"/>
              <w:rPr>
                <w:rFonts w:ascii="宋体" w:hAnsi="宋体" w:eastAsia="宋体" w:cs="宋体"/>
                <w:color w:val="auto"/>
                <w:szCs w:val="21"/>
                <w:highlight w:val="none"/>
              </w:rPr>
            </w:pPr>
          </w:p>
        </w:tc>
        <w:tc>
          <w:tcPr>
            <w:tcW w:w="915" w:type="pct"/>
            <w:noWrap/>
            <w:vAlign w:val="center"/>
          </w:tcPr>
          <w:p w14:paraId="20B0876D">
            <w:pPr>
              <w:rPr>
                <w:rFonts w:ascii="宋体" w:hAnsi="宋体" w:eastAsia="宋体" w:cs="宋体"/>
                <w:color w:val="auto"/>
                <w:szCs w:val="21"/>
                <w:highlight w:val="none"/>
              </w:rPr>
            </w:pPr>
            <w:r>
              <w:rPr>
                <w:rFonts w:hint="eastAsia" w:ascii="宋体" w:hAnsi="宋体" w:eastAsia="宋体" w:cs="宋体"/>
                <w:color w:val="auto"/>
                <w:szCs w:val="21"/>
                <w:highlight w:val="none"/>
              </w:rPr>
              <w:t>最高投标限价</w:t>
            </w:r>
          </w:p>
        </w:tc>
        <w:tc>
          <w:tcPr>
            <w:tcW w:w="3262" w:type="pct"/>
            <w:tcBorders>
              <w:right w:val="double" w:color="auto" w:sz="4" w:space="0"/>
            </w:tcBorders>
            <w:noWrap/>
            <w:vAlign w:val="center"/>
          </w:tcPr>
          <w:p w14:paraId="5A436C17">
            <w:pPr>
              <w:rPr>
                <w:rFonts w:ascii="宋体" w:hAnsi="宋体" w:eastAsia="宋体" w:cs="宋体"/>
                <w:color w:val="auto"/>
                <w:szCs w:val="21"/>
                <w:highlight w:val="none"/>
              </w:rPr>
            </w:pPr>
            <w:r>
              <w:rPr>
                <w:rFonts w:hint="eastAsia" w:ascii="宋体" w:hAnsi="宋体" w:eastAsia="宋体" w:cs="宋体"/>
                <w:color w:val="auto"/>
                <w:szCs w:val="21"/>
                <w:highlight w:val="none"/>
              </w:rPr>
              <w:t>本项目最高投标限价为人民币</w:t>
            </w:r>
            <w:r>
              <w:rPr>
                <w:rFonts w:ascii="宋体" w:hAnsi="宋体" w:eastAsia="宋体" w:cs="宋体"/>
                <w:color w:val="auto"/>
                <w:szCs w:val="21"/>
                <w:highlight w:val="none"/>
                <w:u w:val="single"/>
              </w:rPr>
              <w:t>14730907.02</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详见招标人最终发出的《最高投标限价公布函》，投标总报价超过最高投标限价的投标文件将被拒绝。</w:t>
            </w:r>
          </w:p>
        </w:tc>
      </w:tr>
      <w:tr w14:paraId="5C583BF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7933E792">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22</w:t>
            </w:r>
          </w:p>
        </w:tc>
        <w:tc>
          <w:tcPr>
            <w:tcW w:w="458" w:type="pct"/>
            <w:noWrap/>
            <w:vAlign w:val="center"/>
          </w:tcPr>
          <w:p w14:paraId="252B1715">
            <w:pPr>
              <w:spacing w:line="288" w:lineRule="auto"/>
              <w:jc w:val="center"/>
              <w:rPr>
                <w:rFonts w:ascii="宋体" w:hAnsi="宋体" w:eastAsia="宋体" w:cs="宋体"/>
                <w:color w:val="auto"/>
                <w:szCs w:val="21"/>
                <w:highlight w:val="none"/>
              </w:rPr>
            </w:pPr>
          </w:p>
        </w:tc>
        <w:tc>
          <w:tcPr>
            <w:tcW w:w="915" w:type="pct"/>
            <w:noWrap/>
            <w:vAlign w:val="center"/>
          </w:tcPr>
          <w:p w14:paraId="1CB04255">
            <w:pPr>
              <w:rPr>
                <w:rFonts w:ascii="宋体" w:hAnsi="宋体" w:eastAsia="宋体" w:cs="宋体"/>
                <w:color w:val="auto"/>
                <w:szCs w:val="21"/>
                <w:highlight w:val="none"/>
              </w:rPr>
            </w:pPr>
            <w:r>
              <w:rPr>
                <w:rFonts w:hint="eastAsia" w:ascii="宋体" w:hAnsi="宋体" w:eastAsia="宋体" w:cs="宋体"/>
                <w:color w:val="auto"/>
                <w:szCs w:val="21"/>
                <w:highlight w:val="none"/>
              </w:rPr>
              <w:t>非竞争费用</w:t>
            </w:r>
          </w:p>
        </w:tc>
        <w:tc>
          <w:tcPr>
            <w:tcW w:w="3262" w:type="pct"/>
            <w:tcBorders>
              <w:right w:val="double" w:color="auto" w:sz="4" w:space="0"/>
            </w:tcBorders>
            <w:noWrap/>
            <w:vAlign w:val="center"/>
          </w:tcPr>
          <w:p w14:paraId="0F18BBF4">
            <w:pPr>
              <w:rPr>
                <w:rFonts w:ascii="宋体" w:hAnsi="宋体" w:eastAsia="宋体" w:cs="宋体"/>
                <w:color w:val="auto"/>
                <w:szCs w:val="21"/>
                <w:highlight w:val="none"/>
              </w:rPr>
            </w:pPr>
            <w:r>
              <w:rPr>
                <w:rFonts w:hint="eastAsia" w:ascii="宋体" w:hAnsi="宋体" w:eastAsia="宋体" w:cs="宋体"/>
                <w:color w:val="auto"/>
                <w:szCs w:val="21"/>
                <w:highlight w:val="none"/>
              </w:rPr>
              <w:t>本项目绿色施工安全防护措施费为</w:t>
            </w:r>
            <w:r>
              <w:rPr>
                <w:rFonts w:ascii="宋体" w:hAnsi="宋体" w:eastAsia="宋体" w:cs="宋体"/>
                <w:color w:val="auto"/>
                <w:szCs w:val="21"/>
                <w:highlight w:val="none"/>
                <w:u w:val="single"/>
              </w:rPr>
              <w:t>772646.21</w:t>
            </w:r>
            <w:r>
              <w:rPr>
                <w:rFonts w:hint="eastAsia" w:ascii="宋体" w:hAnsi="宋体" w:eastAsia="宋体" w:cs="宋体"/>
                <w:color w:val="auto"/>
                <w:szCs w:val="21"/>
                <w:highlight w:val="none"/>
              </w:rPr>
              <w:t>元，暂列金额为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1044420.74</w:t>
            </w:r>
            <w:r>
              <w:rPr>
                <w:rFonts w:hint="eastAsia" w:ascii="宋体" w:hAnsi="宋体" w:eastAsia="宋体" w:cs="宋体"/>
                <w:color w:val="auto"/>
                <w:szCs w:val="21"/>
                <w:highlight w:val="none"/>
              </w:rPr>
              <w:t>元，暂估价为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0</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元。（未按招标文件规定的金额填写的，由评标委员会按照招标文件规定的金额进行修正）</w:t>
            </w:r>
          </w:p>
        </w:tc>
      </w:tr>
      <w:tr w14:paraId="63AB13F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5545DD46">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23</w:t>
            </w:r>
          </w:p>
        </w:tc>
        <w:tc>
          <w:tcPr>
            <w:tcW w:w="458" w:type="pct"/>
            <w:noWrap/>
            <w:vAlign w:val="center"/>
          </w:tcPr>
          <w:p w14:paraId="10D05C33">
            <w:pPr>
              <w:snapToGrid w:val="0"/>
              <w:spacing w:line="288" w:lineRule="auto"/>
              <w:jc w:val="center"/>
              <w:rPr>
                <w:rFonts w:ascii="宋体" w:hAnsi="宋体" w:eastAsia="宋体" w:cs="宋体"/>
                <w:color w:val="auto"/>
                <w:szCs w:val="21"/>
                <w:highlight w:val="none"/>
              </w:rPr>
            </w:pPr>
          </w:p>
        </w:tc>
        <w:tc>
          <w:tcPr>
            <w:tcW w:w="915" w:type="pct"/>
            <w:noWrap/>
            <w:vAlign w:val="center"/>
          </w:tcPr>
          <w:p w14:paraId="7F548C35">
            <w:pPr>
              <w:rPr>
                <w:rFonts w:ascii="宋体" w:hAnsi="宋体" w:eastAsia="宋体" w:cs="宋体"/>
                <w:color w:val="auto"/>
                <w:szCs w:val="21"/>
                <w:highlight w:val="none"/>
              </w:rPr>
            </w:pPr>
            <w:r>
              <w:rPr>
                <w:rFonts w:hint="eastAsia" w:ascii="宋体" w:hAnsi="宋体" w:eastAsia="宋体" w:cs="宋体"/>
                <w:color w:val="auto"/>
                <w:szCs w:val="21"/>
                <w:highlight w:val="none"/>
              </w:rPr>
              <w:t>保修期</w:t>
            </w:r>
          </w:p>
        </w:tc>
        <w:tc>
          <w:tcPr>
            <w:tcW w:w="3262" w:type="pct"/>
            <w:tcBorders>
              <w:right w:val="double" w:color="auto" w:sz="4" w:space="0"/>
            </w:tcBorders>
            <w:noWrap/>
            <w:vAlign w:val="center"/>
          </w:tcPr>
          <w:p w14:paraId="74B1B9DB">
            <w:pPr>
              <w:rPr>
                <w:rFonts w:ascii="宋体" w:hAnsi="宋体" w:eastAsia="宋体" w:cs="宋体"/>
                <w:color w:val="auto"/>
                <w:szCs w:val="21"/>
                <w:highlight w:val="none"/>
              </w:rPr>
            </w:pPr>
            <w:r>
              <w:rPr>
                <w:rFonts w:hint="eastAsia" w:ascii="宋体" w:hAnsi="宋体" w:eastAsia="宋体" w:cs="宋体"/>
                <w:color w:val="auto"/>
                <w:szCs w:val="21"/>
                <w:highlight w:val="none"/>
              </w:rPr>
              <w:t>按照《建设工程质量管理条例》规定。</w:t>
            </w:r>
          </w:p>
        </w:tc>
      </w:tr>
      <w:tr w14:paraId="2F0CC92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1DFA638F">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24</w:t>
            </w:r>
          </w:p>
        </w:tc>
        <w:tc>
          <w:tcPr>
            <w:tcW w:w="458" w:type="pct"/>
            <w:noWrap/>
            <w:vAlign w:val="center"/>
          </w:tcPr>
          <w:p w14:paraId="253D1CAF">
            <w:pPr>
              <w:snapToGrid w:val="0"/>
              <w:spacing w:line="288" w:lineRule="auto"/>
              <w:jc w:val="center"/>
              <w:rPr>
                <w:rFonts w:ascii="宋体" w:hAnsi="宋体" w:eastAsia="宋体" w:cs="宋体"/>
                <w:color w:val="auto"/>
                <w:szCs w:val="21"/>
                <w:highlight w:val="none"/>
              </w:rPr>
            </w:pPr>
          </w:p>
        </w:tc>
        <w:tc>
          <w:tcPr>
            <w:tcW w:w="915" w:type="pct"/>
            <w:noWrap/>
            <w:vAlign w:val="center"/>
          </w:tcPr>
          <w:p w14:paraId="23E82A12">
            <w:pPr>
              <w:rPr>
                <w:rFonts w:ascii="宋体" w:hAnsi="宋体" w:eastAsia="宋体" w:cs="宋体"/>
                <w:color w:val="auto"/>
                <w:szCs w:val="21"/>
                <w:highlight w:val="none"/>
              </w:rPr>
            </w:pPr>
            <w:r>
              <w:rPr>
                <w:rFonts w:hint="eastAsia" w:ascii="宋体" w:hAnsi="宋体" w:eastAsia="宋体" w:cs="宋体"/>
                <w:color w:val="auto"/>
                <w:szCs w:val="21"/>
                <w:highlight w:val="none"/>
              </w:rPr>
              <w:t>计算评标参考价的等分点值</w:t>
            </w:r>
          </w:p>
        </w:tc>
        <w:tc>
          <w:tcPr>
            <w:tcW w:w="3262" w:type="pct"/>
            <w:tcBorders>
              <w:right w:val="double" w:color="auto" w:sz="4" w:space="0"/>
            </w:tcBorders>
            <w:noWrap/>
            <w:vAlign w:val="center"/>
          </w:tcPr>
          <w:p w14:paraId="1D721EE4">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本项目不适用。</w:t>
            </w:r>
          </w:p>
        </w:tc>
      </w:tr>
      <w:tr w14:paraId="230A6C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0E0DE95A">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25</w:t>
            </w:r>
          </w:p>
        </w:tc>
        <w:tc>
          <w:tcPr>
            <w:tcW w:w="458" w:type="pct"/>
            <w:noWrap/>
            <w:vAlign w:val="center"/>
          </w:tcPr>
          <w:p w14:paraId="01FA8FAD">
            <w:pPr>
              <w:snapToGrid w:val="0"/>
              <w:spacing w:line="288" w:lineRule="auto"/>
              <w:ind w:firstLine="458"/>
              <w:rPr>
                <w:rFonts w:ascii="宋体" w:hAnsi="宋体" w:eastAsia="宋体" w:cs="宋体"/>
                <w:color w:val="auto"/>
                <w:szCs w:val="21"/>
                <w:highlight w:val="none"/>
              </w:rPr>
            </w:pPr>
          </w:p>
        </w:tc>
        <w:tc>
          <w:tcPr>
            <w:tcW w:w="915" w:type="pct"/>
            <w:noWrap/>
            <w:vAlign w:val="center"/>
          </w:tcPr>
          <w:p w14:paraId="2374C0BF">
            <w:pPr>
              <w:rPr>
                <w:rFonts w:ascii="宋体" w:hAnsi="宋体" w:eastAsia="宋体" w:cs="宋体"/>
                <w:color w:val="auto"/>
                <w:szCs w:val="21"/>
                <w:highlight w:val="none"/>
              </w:rPr>
            </w:pPr>
            <w:r>
              <w:rPr>
                <w:rFonts w:hint="eastAsia" w:ascii="宋体" w:hAnsi="宋体" w:eastAsia="宋体" w:cs="宋体"/>
                <w:color w:val="auto"/>
                <w:szCs w:val="21"/>
                <w:highlight w:val="none"/>
              </w:rPr>
              <w:t>进入第二阶段评审的家数</w:t>
            </w:r>
          </w:p>
        </w:tc>
        <w:tc>
          <w:tcPr>
            <w:tcW w:w="3262" w:type="pct"/>
            <w:tcBorders>
              <w:right w:val="double" w:color="auto" w:sz="4" w:space="0"/>
            </w:tcBorders>
            <w:noWrap/>
            <w:vAlign w:val="center"/>
          </w:tcPr>
          <w:p w14:paraId="69B15C60">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本项目不适用。</w:t>
            </w:r>
          </w:p>
        </w:tc>
      </w:tr>
      <w:tr w14:paraId="5F38FC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5BA64676">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26</w:t>
            </w:r>
          </w:p>
        </w:tc>
        <w:tc>
          <w:tcPr>
            <w:tcW w:w="458" w:type="pct"/>
            <w:noWrap/>
            <w:vAlign w:val="center"/>
          </w:tcPr>
          <w:p w14:paraId="2D4B87F8">
            <w:pPr>
              <w:snapToGrid w:val="0"/>
              <w:spacing w:line="288" w:lineRule="auto"/>
              <w:jc w:val="center"/>
              <w:rPr>
                <w:rFonts w:ascii="宋体" w:hAnsi="宋体" w:eastAsia="宋体" w:cs="宋体"/>
                <w:color w:val="auto"/>
                <w:szCs w:val="21"/>
                <w:highlight w:val="none"/>
              </w:rPr>
            </w:pPr>
          </w:p>
        </w:tc>
        <w:tc>
          <w:tcPr>
            <w:tcW w:w="915" w:type="pct"/>
            <w:noWrap/>
            <w:vAlign w:val="center"/>
          </w:tcPr>
          <w:p w14:paraId="00D2F285">
            <w:pPr>
              <w:ind w:left="-105" w:leftChars="-50" w:right="-105" w:rightChars="-5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工程成本警示价</w:t>
            </w:r>
          </w:p>
        </w:tc>
        <w:tc>
          <w:tcPr>
            <w:tcW w:w="3262" w:type="pct"/>
            <w:tcBorders>
              <w:right w:val="double" w:color="auto" w:sz="4" w:space="0"/>
            </w:tcBorders>
            <w:noWrap/>
            <w:vAlign w:val="center"/>
          </w:tcPr>
          <w:p w14:paraId="73ECB8E7">
            <w:pPr>
              <w:rPr>
                <w:rFonts w:ascii="宋体" w:hAnsi="宋体" w:eastAsia="宋体" w:cs="宋体"/>
                <w:color w:val="auto"/>
                <w:szCs w:val="22"/>
                <w:highlight w:val="none"/>
              </w:rPr>
            </w:pPr>
            <w:r>
              <w:rPr>
                <w:rFonts w:hint="eastAsia" w:ascii="宋体" w:hAnsi="宋体" w:eastAsia="宋体" w:cs="宋体"/>
                <w:color w:val="auto"/>
                <w:szCs w:val="21"/>
                <w:highlight w:val="none"/>
              </w:rPr>
              <w:t>工程成本警示价按为</w:t>
            </w:r>
            <w:r>
              <w:rPr>
                <w:rFonts w:ascii="宋体" w:hAnsi="宋体" w:eastAsia="宋体" w:cs="宋体"/>
                <w:color w:val="auto"/>
                <w:szCs w:val="21"/>
                <w:highlight w:val="none"/>
                <w:u w:val="single"/>
              </w:rPr>
              <w:t>12521270.97</w:t>
            </w:r>
            <w:r>
              <w:rPr>
                <w:rFonts w:hint="eastAsia" w:ascii="宋体" w:hAnsi="宋体" w:eastAsia="宋体" w:cs="宋体"/>
                <w:color w:val="auto"/>
                <w:szCs w:val="21"/>
                <w:highlight w:val="none"/>
              </w:rPr>
              <w:t>元。对低于该</w:t>
            </w:r>
            <w:r>
              <w:rPr>
                <w:rFonts w:hint="eastAsia" w:ascii="宋体" w:hAnsi="宋体" w:eastAsia="宋体" w:cs="宋体"/>
                <w:color w:val="auto"/>
                <w:szCs w:val="21"/>
                <w:highlight w:val="none"/>
                <w:u w:val="single"/>
              </w:rPr>
              <w:t>警示价</w:t>
            </w:r>
            <w:r>
              <w:rPr>
                <w:rFonts w:hint="eastAsia" w:ascii="宋体" w:hAnsi="宋体" w:eastAsia="宋体" w:cs="宋体"/>
                <w:color w:val="auto"/>
                <w:szCs w:val="21"/>
                <w:highlight w:val="none"/>
              </w:rPr>
              <w:t>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w:t>
            </w:r>
            <w:r>
              <w:rPr>
                <w:rFonts w:hint="eastAsia" w:ascii="宋体" w:hAnsi="宋体" w:eastAsia="宋体" w:cs="宋体"/>
                <w:color w:val="auto"/>
                <w:szCs w:val="21"/>
                <w:highlight w:val="none"/>
                <w:u w:val="single"/>
              </w:rPr>
              <w:t>成本警示价</w:t>
            </w:r>
            <w:r>
              <w:rPr>
                <w:rFonts w:hint="eastAsia" w:ascii="宋体" w:hAnsi="宋体" w:eastAsia="宋体" w:cs="宋体"/>
                <w:color w:val="auto"/>
                <w:szCs w:val="21"/>
                <w:highlight w:val="none"/>
              </w:rPr>
              <w:t>，使得其投标报价可能低于其个别成本的，应当要求该投标人作出书面说明并提供相关证明材料。投标人不能合理说明或</w:t>
            </w:r>
            <w:r>
              <w:rPr>
                <w:rFonts w:hint="eastAsia" w:ascii="宋体" w:hAnsi="宋体" w:eastAsia="宋体" w:cs="宋体"/>
                <w:color w:val="auto"/>
                <w:szCs w:val="22"/>
                <w:highlight w:val="none"/>
              </w:rPr>
              <w:t>者不能提供相关证明材料的，由评标委员会认定该投标人以低于成本报价竞标，应当否决其投标。</w:t>
            </w:r>
          </w:p>
          <w:p w14:paraId="3EC675BE">
            <w:pPr>
              <w:rPr>
                <w:rFonts w:ascii="宋体" w:hAnsi="宋体" w:eastAsia="宋体" w:cs="宋体"/>
                <w:color w:val="auto"/>
                <w:szCs w:val="21"/>
                <w:highlight w:val="none"/>
                <w:u w:val="single"/>
              </w:rPr>
            </w:pPr>
            <w:r>
              <w:rPr>
                <w:rFonts w:hint="eastAsia" w:ascii="宋体" w:hAnsi="宋体" w:eastAsia="宋体" w:cs="宋体"/>
                <w:color w:val="auto"/>
                <w:szCs w:val="22"/>
                <w:highlight w:val="none"/>
              </w:rPr>
              <w:t>注：为充分体现招标人意愿及落实项目招标人负责制，警示价由招标人决定。</w:t>
            </w:r>
          </w:p>
        </w:tc>
      </w:tr>
      <w:tr w14:paraId="41A4362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62" w:type="pct"/>
            <w:tcBorders>
              <w:left w:val="double" w:color="auto" w:sz="4" w:space="0"/>
            </w:tcBorders>
            <w:noWrap/>
            <w:vAlign w:val="center"/>
          </w:tcPr>
          <w:p w14:paraId="10E9D82F">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27</w:t>
            </w:r>
          </w:p>
        </w:tc>
        <w:tc>
          <w:tcPr>
            <w:tcW w:w="458" w:type="pct"/>
            <w:noWrap/>
            <w:vAlign w:val="center"/>
          </w:tcPr>
          <w:p w14:paraId="51D09674">
            <w:pPr>
              <w:snapToGrid w:val="0"/>
              <w:spacing w:line="288" w:lineRule="auto"/>
              <w:jc w:val="center"/>
              <w:rPr>
                <w:rFonts w:ascii="宋体" w:hAnsi="宋体" w:eastAsia="宋体" w:cs="宋体"/>
                <w:color w:val="auto"/>
                <w:szCs w:val="21"/>
                <w:highlight w:val="none"/>
              </w:rPr>
            </w:pPr>
          </w:p>
        </w:tc>
        <w:tc>
          <w:tcPr>
            <w:tcW w:w="915" w:type="pct"/>
            <w:noWrap/>
            <w:vAlign w:val="center"/>
          </w:tcPr>
          <w:p w14:paraId="76375D84">
            <w:pPr>
              <w:rPr>
                <w:rFonts w:ascii="宋体" w:hAnsi="宋体" w:eastAsia="宋体" w:cs="宋体"/>
                <w:color w:val="auto"/>
                <w:szCs w:val="21"/>
                <w:highlight w:val="none"/>
              </w:rPr>
            </w:pPr>
            <w:r>
              <w:rPr>
                <w:rFonts w:hint="eastAsia" w:ascii="宋体" w:hAnsi="宋体" w:eastAsia="宋体" w:cs="宋体"/>
                <w:color w:val="auto"/>
                <w:szCs w:val="21"/>
                <w:highlight w:val="none"/>
              </w:rPr>
              <w:t>第一阶段各分值的权重</w:t>
            </w:r>
          </w:p>
        </w:tc>
        <w:tc>
          <w:tcPr>
            <w:tcW w:w="3262" w:type="pct"/>
            <w:tcBorders>
              <w:right w:val="double" w:color="auto" w:sz="4" w:space="0"/>
            </w:tcBorders>
            <w:noWrap/>
            <w:vAlign w:val="center"/>
          </w:tcPr>
          <w:p w14:paraId="0D1DEB49">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本项目不适用。</w:t>
            </w:r>
          </w:p>
        </w:tc>
      </w:tr>
      <w:tr w14:paraId="3AA409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restart"/>
            <w:tcBorders>
              <w:left w:val="double" w:color="auto" w:sz="4" w:space="0"/>
            </w:tcBorders>
            <w:noWrap/>
            <w:vAlign w:val="center"/>
          </w:tcPr>
          <w:p w14:paraId="1E743646">
            <w:pPr>
              <w:snapToGrid w:val="0"/>
              <w:spacing w:after="120"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28</w:t>
            </w:r>
          </w:p>
        </w:tc>
        <w:tc>
          <w:tcPr>
            <w:tcW w:w="458" w:type="pct"/>
            <w:vMerge w:val="restart"/>
            <w:noWrap/>
            <w:vAlign w:val="center"/>
          </w:tcPr>
          <w:p w14:paraId="21738AA4">
            <w:pPr>
              <w:snapToGrid w:val="0"/>
              <w:spacing w:line="288" w:lineRule="auto"/>
              <w:jc w:val="center"/>
              <w:rPr>
                <w:rFonts w:ascii="宋体" w:hAnsi="宋体" w:eastAsia="宋体" w:cs="宋体"/>
                <w:color w:val="auto"/>
                <w:szCs w:val="21"/>
                <w:highlight w:val="none"/>
              </w:rPr>
            </w:pPr>
          </w:p>
        </w:tc>
        <w:tc>
          <w:tcPr>
            <w:tcW w:w="915" w:type="pct"/>
            <w:noWrap/>
            <w:vAlign w:val="center"/>
          </w:tcPr>
          <w:p w14:paraId="0CD94F88">
            <w:pPr>
              <w:rPr>
                <w:rFonts w:ascii="宋体" w:hAnsi="宋体" w:eastAsia="宋体" w:cs="宋体"/>
                <w:color w:val="auto"/>
                <w:szCs w:val="21"/>
                <w:highlight w:val="none"/>
              </w:rPr>
            </w:pPr>
            <w:r>
              <w:rPr>
                <w:rFonts w:hint="eastAsia" w:ascii="宋体" w:hAnsi="宋体" w:eastAsia="宋体" w:cs="宋体"/>
                <w:color w:val="auto"/>
                <w:szCs w:val="21"/>
                <w:highlight w:val="none"/>
              </w:rPr>
              <w:t>评标委员会人数</w:t>
            </w:r>
          </w:p>
        </w:tc>
        <w:tc>
          <w:tcPr>
            <w:tcW w:w="3262" w:type="pct"/>
            <w:tcBorders>
              <w:right w:val="double" w:color="auto" w:sz="4" w:space="0"/>
            </w:tcBorders>
            <w:noWrap/>
            <w:vAlign w:val="center"/>
          </w:tcPr>
          <w:p w14:paraId="7584B387">
            <w:pPr>
              <w:rPr>
                <w:rFonts w:ascii="宋体" w:hAnsi="宋体" w:eastAsia="宋体" w:cs="宋体"/>
                <w:color w:val="auto"/>
                <w:szCs w:val="21"/>
                <w:highlight w:val="none"/>
              </w:rPr>
            </w:pPr>
            <w:r>
              <w:rPr>
                <w:rFonts w:hint="eastAsia" w:ascii="宋体" w:hAnsi="宋体" w:eastAsia="宋体" w:cs="宋体"/>
                <w:color w:val="auto"/>
                <w:szCs w:val="21"/>
                <w:highlight w:val="none"/>
              </w:rPr>
              <w:t>评标委员会由招标人依法组建。</w:t>
            </w:r>
          </w:p>
          <w:p w14:paraId="5377B110">
            <w:pPr>
              <w:rPr>
                <w:rFonts w:ascii="宋体" w:hAnsi="宋体" w:eastAsia="宋体" w:cs="宋体"/>
                <w:color w:val="auto"/>
                <w:szCs w:val="21"/>
                <w:highlight w:val="none"/>
                <w:u w:val="single"/>
              </w:rPr>
            </w:pPr>
            <w:r>
              <w:rPr>
                <w:rFonts w:hint="eastAsia" w:ascii="宋体" w:hAnsi="宋体" w:eastAsia="宋体" w:cs="宋体"/>
                <w:snapToGrid w:val="0"/>
                <w:color w:val="auto"/>
                <w:kern w:val="0"/>
                <w:szCs w:val="21"/>
                <w:highlight w:val="none"/>
                <w:u w:val="single"/>
              </w:rPr>
              <w:t>招标代理机构应严格按照《广东省政务服务和数据管理局关于印发广东省综合评标评审专家库评标专家劳务报酬管理办法的通知》（粤政数〔</w:t>
            </w:r>
            <w:r>
              <w:rPr>
                <w:rFonts w:ascii="宋体" w:hAnsi="宋体" w:eastAsia="宋体" w:cs="宋体"/>
                <w:snapToGrid w:val="0"/>
                <w:color w:val="auto"/>
                <w:kern w:val="0"/>
                <w:szCs w:val="21"/>
                <w:highlight w:val="none"/>
                <w:u w:val="single"/>
              </w:rPr>
              <w:t xml:space="preserve">2025〕11 </w:t>
            </w:r>
            <w:r>
              <w:rPr>
                <w:rFonts w:hint="eastAsia" w:ascii="宋体" w:hAnsi="宋体" w:eastAsia="宋体" w:cs="宋体"/>
                <w:snapToGrid w:val="0"/>
                <w:color w:val="auto"/>
                <w:kern w:val="0"/>
                <w:szCs w:val="21"/>
                <w:highlight w:val="none"/>
                <w:u w:val="single"/>
              </w:rPr>
              <w:t>号）的规定向评标专家支付酬金，不得额外支付费用。评标专家对符合《广东省综合评标评审专家库评标专家劳务报酬管理办法》的规定计取的专家报酬不得有异议。</w:t>
            </w:r>
            <w:r>
              <w:rPr>
                <w:rFonts w:hint="eastAsia" w:ascii="宋体" w:hAnsi="宋体" w:eastAsia="宋体" w:cs="宋体"/>
                <w:color w:val="auto"/>
                <w:szCs w:val="21"/>
                <w:highlight w:val="none"/>
                <w:u w:val="single"/>
              </w:rPr>
              <w:t>若评标时已发布新规定的，按新规定执行。</w:t>
            </w:r>
          </w:p>
          <w:p w14:paraId="14AF7C43">
            <w:pPr>
              <w:rPr>
                <w:color w:val="auto"/>
                <w:highlight w:val="none"/>
              </w:rPr>
            </w:pPr>
            <w:r>
              <w:rPr>
                <w:rFonts w:hint="eastAsia" w:ascii="宋体" w:hAnsi="宋体" w:eastAsia="宋体" w:cs="宋体"/>
                <w:snapToGrid w:val="0"/>
                <w:color w:val="auto"/>
                <w:kern w:val="0"/>
                <w:szCs w:val="21"/>
                <w:highlight w:val="none"/>
                <w:u w:val="single"/>
              </w:rPr>
              <w:t>备注：招标人可以根据项目需要，先随机抽取所需数量两倍或以上的评标专家至评标场所后，再随机抽取参评专家。未被抽中的专家应服从招标人和交易服务机构的安排，不得干扰评标工作。</w:t>
            </w:r>
          </w:p>
        </w:tc>
      </w:tr>
      <w:tr w14:paraId="5F6CDA7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left w:val="double" w:color="auto" w:sz="4" w:space="0"/>
            </w:tcBorders>
            <w:noWrap/>
            <w:vAlign w:val="center"/>
          </w:tcPr>
          <w:p w14:paraId="14E2AE49">
            <w:pPr>
              <w:snapToGrid w:val="0"/>
              <w:spacing w:line="288" w:lineRule="auto"/>
              <w:jc w:val="center"/>
              <w:rPr>
                <w:rFonts w:ascii="宋体" w:hAnsi="宋体" w:eastAsia="宋体" w:cs="宋体"/>
                <w:color w:val="auto"/>
                <w:szCs w:val="21"/>
                <w:highlight w:val="none"/>
              </w:rPr>
            </w:pPr>
          </w:p>
        </w:tc>
        <w:tc>
          <w:tcPr>
            <w:tcW w:w="458" w:type="pct"/>
            <w:vMerge w:val="continue"/>
            <w:noWrap/>
            <w:vAlign w:val="center"/>
          </w:tcPr>
          <w:p w14:paraId="233C0D7A">
            <w:pPr>
              <w:snapToGrid w:val="0"/>
              <w:spacing w:line="288" w:lineRule="auto"/>
              <w:jc w:val="center"/>
              <w:rPr>
                <w:rFonts w:ascii="宋体" w:hAnsi="宋体" w:eastAsia="宋体" w:cs="宋体"/>
                <w:color w:val="auto"/>
                <w:szCs w:val="21"/>
                <w:highlight w:val="none"/>
              </w:rPr>
            </w:pPr>
          </w:p>
        </w:tc>
        <w:tc>
          <w:tcPr>
            <w:tcW w:w="915" w:type="pct"/>
            <w:noWrap/>
            <w:vAlign w:val="center"/>
          </w:tcPr>
          <w:p w14:paraId="729C138B">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定标委员会人数</w:t>
            </w:r>
          </w:p>
        </w:tc>
        <w:tc>
          <w:tcPr>
            <w:tcW w:w="3262" w:type="pct"/>
            <w:tcBorders>
              <w:right w:val="double" w:color="auto" w:sz="4" w:space="0"/>
            </w:tcBorders>
            <w:noWrap/>
            <w:vAlign w:val="center"/>
          </w:tcPr>
          <w:p w14:paraId="2BB33DE7">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定标委员会由招标人依法组建，成员数量为</w:t>
            </w:r>
            <w:r>
              <w:rPr>
                <w:rFonts w:ascii="宋体" w:hAnsi="宋体" w:eastAsia="宋体" w:cs="宋体"/>
                <w:color w:val="auto"/>
                <w:szCs w:val="21"/>
                <w:highlight w:val="none"/>
                <w:u w:val="single"/>
              </w:rPr>
              <w:t>5人。</w:t>
            </w:r>
          </w:p>
        </w:tc>
      </w:tr>
      <w:tr w14:paraId="53F496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vMerge w:val="continue"/>
            <w:tcBorders>
              <w:left w:val="double" w:color="auto" w:sz="4" w:space="0"/>
            </w:tcBorders>
            <w:noWrap/>
            <w:vAlign w:val="center"/>
          </w:tcPr>
          <w:p w14:paraId="36000363">
            <w:pPr>
              <w:snapToGrid w:val="0"/>
              <w:spacing w:line="288" w:lineRule="auto"/>
              <w:jc w:val="center"/>
              <w:rPr>
                <w:rFonts w:ascii="宋体" w:hAnsi="宋体" w:eastAsia="宋体" w:cs="宋体"/>
                <w:color w:val="auto"/>
                <w:szCs w:val="21"/>
                <w:highlight w:val="none"/>
              </w:rPr>
            </w:pPr>
          </w:p>
        </w:tc>
        <w:tc>
          <w:tcPr>
            <w:tcW w:w="458" w:type="pct"/>
            <w:vMerge w:val="continue"/>
            <w:noWrap/>
            <w:vAlign w:val="center"/>
          </w:tcPr>
          <w:p w14:paraId="2A39278F">
            <w:pPr>
              <w:snapToGrid w:val="0"/>
              <w:spacing w:line="288" w:lineRule="auto"/>
              <w:jc w:val="center"/>
              <w:rPr>
                <w:rFonts w:ascii="宋体" w:hAnsi="宋体" w:eastAsia="宋体" w:cs="宋体"/>
                <w:color w:val="auto"/>
                <w:szCs w:val="21"/>
                <w:highlight w:val="none"/>
              </w:rPr>
            </w:pPr>
          </w:p>
        </w:tc>
        <w:tc>
          <w:tcPr>
            <w:tcW w:w="915" w:type="pct"/>
            <w:noWrap/>
            <w:vAlign w:val="center"/>
          </w:tcPr>
          <w:p w14:paraId="46D1CEBD">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监督小组人数</w:t>
            </w:r>
          </w:p>
        </w:tc>
        <w:tc>
          <w:tcPr>
            <w:tcW w:w="3262" w:type="pct"/>
            <w:tcBorders>
              <w:right w:val="double" w:color="auto" w:sz="4" w:space="0"/>
            </w:tcBorders>
            <w:noWrap/>
            <w:vAlign w:val="center"/>
          </w:tcPr>
          <w:p w14:paraId="60DDD4FF">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定标监督小组由招标人组建，人数为</w:t>
            </w:r>
            <w:r>
              <w:rPr>
                <w:rFonts w:ascii="宋体" w:hAnsi="宋体" w:eastAsia="宋体" w:cs="宋体"/>
                <w:color w:val="auto"/>
                <w:szCs w:val="21"/>
                <w:highlight w:val="none"/>
                <w:u w:val="single"/>
              </w:rPr>
              <w:t>2</w:t>
            </w:r>
            <w:r>
              <w:rPr>
                <w:rFonts w:hint="eastAsia" w:ascii="宋体" w:hAnsi="宋体" w:eastAsia="宋体" w:cs="宋体"/>
                <w:color w:val="auto"/>
                <w:szCs w:val="21"/>
                <w:highlight w:val="none"/>
                <w:u w:val="single"/>
              </w:rPr>
              <w:t>人。</w:t>
            </w:r>
          </w:p>
        </w:tc>
      </w:tr>
      <w:tr w14:paraId="6B305A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65498EBE">
            <w:pPr>
              <w:snapToGrid w:val="0"/>
              <w:spacing w:after="120"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29</w:t>
            </w:r>
          </w:p>
        </w:tc>
        <w:tc>
          <w:tcPr>
            <w:tcW w:w="458" w:type="pct"/>
            <w:noWrap/>
            <w:vAlign w:val="center"/>
          </w:tcPr>
          <w:p w14:paraId="2D104F70">
            <w:pPr>
              <w:snapToGrid w:val="0"/>
              <w:spacing w:line="288" w:lineRule="auto"/>
              <w:jc w:val="center"/>
              <w:rPr>
                <w:rFonts w:ascii="宋体" w:hAnsi="宋体" w:eastAsia="宋体" w:cs="宋体"/>
                <w:color w:val="auto"/>
                <w:szCs w:val="21"/>
                <w:highlight w:val="none"/>
              </w:rPr>
            </w:pPr>
          </w:p>
        </w:tc>
        <w:tc>
          <w:tcPr>
            <w:tcW w:w="915" w:type="pct"/>
            <w:noWrap/>
            <w:vAlign w:val="center"/>
          </w:tcPr>
          <w:p w14:paraId="56ED3B25">
            <w:pPr>
              <w:snapToGrid w:val="0"/>
              <w:spacing w:after="120"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企业综合诚信评价分数</w:t>
            </w:r>
          </w:p>
        </w:tc>
        <w:tc>
          <w:tcPr>
            <w:tcW w:w="3262" w:type="pct"/>
            <w:tcBorders>
              <w:right w:val="double" w:color="auto" w:sz="4" w:space="0"/>
            </w:tcBorders>
            <w:noWrap/>
            <w:vAlign w:val="center"/>
          </w:tcPr>
          <w:p w14:paraId="349DA8A6">
            <w:pPr>
              <w:snapToGrid w:val="0"/>
              <w:spacing w:after="120" w:line="288"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u w:val="single"/>
              </w:rPr>
              <w:t>本项目投标人的诚信评价按广州交易集团有限公司</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u w:val="single"/>
              </w:rPr>
              <w:t>门户网站</w:t>
            </w:r>
            <w:r>
              <w:rPr>
                <w:rFonts w:ascii="宋体" w:hAnsi="宋体" w:eastAsia="宋体" w:cs="宋体"/>
                <w:color w:val="auto"/>
                <w:szCs w:val="21"/>
                <w:highlight w:val="none"/>
                <w:u w:val="single"/>
              </w:rPr>
              <w:t>-信用信息-广州市住房和城乡建设局</w:t>
            </w:r>
            <w:r>
              <w:rPr>
                <w:rFonts w:hint="eastAsia" w:ascii="宋体" w:hAnsi="宋体" w:eastAsia="宋体" w:cs="宋体"/>
                <w:color w:val="auto"/>
                <w:szCs w:val="21"/>
                <w:highlight w:val="none"/>
                <w:u w:val="single"/>
              </w:rPr>
              <w:t>诚信综合评价</w:t>
            </w:r>
            <w:r>
              <w:rPr>
                <w:rFonts w:ascii="宋体" w:hAnsi="宋体" w:eastAsia="宋体" w:cs="宋体"/>
                <w:color w:val="auto"/>
                <w:szCs w:val="21"/>
                <w:highlight w:val="none"/>
                <w:u w:val="single"/>
              </w:rPr>
              <w:t>专栏</w:t>
            </w:r>
            <w:r>
              <w:rPr>
                <w:rFonts w:hint="eastAsia" w:ascii="宋体" w:hAnsi="宋体" w:eastAsia="宋体" w:cs="宋体"/>
                <w:color w:val="auto"/>
                <w:szCs w:val="21"/>
                <w:highlight w:val="none"/>
                <w:u w:val="single"/>
              </w:rPr>
              <w:t>-“施工企业”专栏（</w:t>
            </w:r>
            <w:r>
              <w:rPr>
                <w:rFonts w:ascii="宋体" w:hAnsi="宋体" w:eastAsia="宋体" w:cs="宋体"/>
                <w:color w:val="auto"/>
                <w:szCs w:val="21"/>
                <w:highlight w:val="none"/>
                <w:u w:val="single"/>
              </w:rPr>
              <w:t>http://121.8.226.218:8081/eval/evalGateWay/list?typeCode=CONSTRUCTION</w:t>
            </w:r>
            <w:r>
              <w:rPr>
                <w:rFonts w:hint="eastAsia" w:ascii="宋体" w:hAnsi="宋体" w:eastAsia="宋体" w:cs="宋体"/>
                <w:color w:val="auto"/>
                <w:szCs w:val="21"/>
                <w:highlight w:val="none"/>
                <w:u w:val="single"/>
              </w:rPr>
              <w:t>）投标截止当日公布的“施工</w:t>
            </w:r>
            <w:r>
              <w:rPr>
                <w:rFonts w:ascii="宋体" w:hAnsi="宋体" w:eastAsia="宋体" w:cs="宋体"/>
                <w:color w:val="auto"/>
                <w:szCs w:val="21"/>
                <w:highlight w:val="none"/>
                <w:u w:val="single"/>
              </w:rPr>
              <w:t>-房建排名”【即“施工企业房建诚信评价排名”】</w:t>
            </w:r>
            <w:r>
              <w:rPr>
                <w:rFonts w:hint="eastAsia" w:ascii="宋体" w:hAnsi="宋体" w:eastAsia="宋体" w:cs="宋体"/>
                <w:color w:val="auto"/>
                <w:szCs w:val="21"/>
                <w:highlight w:val="none"/>
                <w:u w:val="single"/>
              </w:rPr>
              <w:t>中的“</w:t>
            </w:r>
            <w:r>
              <w:rPr>
                <w:rFonts w:ascii="宋体" w:hAnsi="宋体" w:eastAsia="宋体" w:cs="宋体"/>
                <w:color w:val="auto"/>
                <w:szCs w:val="21"/>
                <w:highlight w:val="none"/>
                <w:u w:val="single"/>
              </w:rPr>
              <w:t>60日诚信分</w:t>
            </w:r>
            <w:r>
              <w:rPr>
                <w:rFonts w:hint="eastAsia" w:ascii="宋体" w:hAnsi="宋体" w:eastAsia="宋体" w:cs="宋体"/>
                <w:color w:val="auto"/>
                <w:szCs w:val="21"/>
                <w:highlight w:val="none"/>
                <w:u w:val="single"/>
              </w:rPr>
              <w:t>”为准。</w:t>
            </w:r>
          </w:p>
        </w:tc>
      </w:tr>
      <w:tr w14:paraId="32DAB0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10A295A8">
            <w:pPr>
              <w:snapToGrid w:val="0"/>
              <w:spacing w:after="120"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30</w:t>
            </w:r>
          </w:p>
        </w:tc>
        <w:tc>
          <w:tcPr>
            <w:tcW w:w="458" w:type="pct"/>
            <w:noWrap/>
            <w:vAlign w:val="center"/>
          </w:tcPr>
          <w:p w14:paraId="45862C2E">
            <w:pPr>
              <w:snapToGrid w:val="0"/>
              <w:spacing w:line="288" w:lineRule="auto"/>
              <w:ind w:firstLine="458"/>
              <w:rPr>
                <w:rFonts w:ascii="宋体" w:hAnsi="宋体" w:eastAsia="宋体" w:cs="宋体"/>
                <w:color w:val="auto"/>
                <w:szCs w:val="21"/>
                <w:highlight w:val="none"/>
              </w:rPr>
            </w:pPr>
          </w:p>
        </w:tc>
        <w:tc>
          <w:tcPr>
            <w:tcW w:w="915" w:type="pct"/>
            <w:noWrap/>
            <w:vAlign w:val="center"/>
          </w:tcPr>
          <w:p w14:paraId="7B0AB361">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第二阶段投标人名次的排序方法（适用于办法一、办法二）</w:t>
            </w:r>
          </w:p>
        </w:tc>
        <w:tc>
          <w:tcPr>
            <w:tcW w:w="3262" w:type="pct"/>
            <w:tcBorders>
              <w:right w:val="double" w:color="auto" w:sz="4" w:space="0"/>
            </w:tcBorders>
            <w:noWrap/>
            <w:vAlign w:val="center"/>
          </w:tcPr>
          <w:p w14:paraId="1DF3E2FC">
            <w:pPr>
              <w:snapToGrid w:val="0"/>
              <w:spacing w:after="120" w:line="288" w:lineRule="auto"/>
              <w:rPr>
                <w:rFonts w:ascii="宋体" w:hAnsi="宋体" w:eastAsia="宋体" w:cs="宋体"/>
                <w:strike/>
                <w:color w:val="auto"/>
                <w:szCs w:val="21"/>
                <w:highlight w:val="none"/>
              </w:rPr>
            </w:pPr>
            <w:r>
              <w:rPr>
                <w:rFonts w:hint="eastAsia" w:ascii="宋体" w:hAnsi="宋体" w:eastAsia="宋体" w:cs="宋体"/>
                <w:color w:val="auto"/>
                <w:szCs w:val="21"/>
                <w:highlight w:val="none"/>
                <w:u w:val="single"/>
              </w:rPr>
              <w:t>本项目不适用。</w:t>
            </w:r>
          </w:p>
        </w:tc>
      </w:tr>
      <w:tr w14:paraId="000C470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2CBF16FB">
            <w:pPr>
              <w:snapToGrid w:val="0"/>
              <w:spacing w:after="120"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31</w:t>
            </w:r>
          </w:p>
        </w:tc>
        <w:tc>
          <w:tcPr>
            <w:tcW w:w="458" w:type="pct"/>
            <w:noWrap/>
            <w:vAlign w:val="center"/>
          </w:tcPr>
          <w:p w14:paraId="5E8D4923">
            <w:pPr>
              <w:snapToGrid w:val="0"/>
              <w:spacing w:line="288" w:lineRule="auto"/>
              <w:ind w:firstLine="458"/>
              <w:rPr>
                <w:rFonts w:ascii="宋体" w:hAnsi="宋体" w:eastAsia="宋体" w:cs="宋体"/>
                <w:color w:val="auto"/>
                <w:szCs w:val="21"/>
                <w:highlight w:val="none"/>
              </w:rPr>
            </w:pPr>
          </w:p>
        </w:tc>
        <w:tc>
          <w:tcPr>
            <w:tcW w:w="915" w:type="pct"/>
            <w:noWrap/>
            <w:vAlign w:val="center"/>
          </w:tcPr>
          <w:p w14:paraId="06609F6E">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经济分相同情况下的排序方法（适用于办法三、办法四）</w:t>
            </w:r>
          </w:p>
        </w:tc>
        <w:tc>
          <w:tcPr>
            <w:tcW w:w="3262" w:type="pct"/>
            <w:tcBorders>
              <w:right w:val="double" w:color="auto" w:sz="4" w:space="0"/>
            </w:tcBorders>
            <w:noWrap/>
            <w:vAlign w:val="center"/>
          </w:tcPr>
          <w:p w14:paraId="67D7AA04">
            <w:pPr>
              <w:snapToGrid w:val="0"/>
              <w:spacing w:after="120" w:line="288" w:lineRule="auto"/>
              <w:rPr>
                <w:rFonts w:ascii="宋体" w:hAnsi="宋体" w:eastAsia="宋体" w:cs="宋体"/>
                <w:strike/>
                <w:color w:val="auto"/>
                <w:szCs w:val="21"/>
                <w:highlight w:val="none"/>
              </w:rPr>
            </w:pPr>
            <w:r>
              <w:rPr>
                <w:rFonts w:hint="eastAsia" w:ascii="宋体" w:hAnsi="宋体" w:eastAsia="宋体" w:cs="宋体"/>
                <w:color w:val="auto"/>
                <w:szCs w:val="21"/>
                <w:highlight w:val="none"/>
                <w:u w:val="single"/>
              </w:rPr>
              <w:t>本项目不适用。</w:t>
            </w:r>
          </w:p>
        </w:tc>
      </w:tr>
      <w:tr w14:paraId="7401610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01E1ADDB">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32</w:t>
            </w:r>
          </w:p>
        </w:tc>
        <w:tc>
          <w:tcPr>
            <w:tcW w:w="458" w:type="pct"/>
            <w:noWrap/>
            <w:vAlign w:val="center"/>
          </w:tcPr>
          <w:p w14:paraId="0DBD7D6D">
            <w:pPr>
              <w:snapToGrid w:val="0"/>
              <w:spacing w:line="288" w:lineRule="auto"/>
              <w:ind w:firstLine="458"/>
              <w:rPr>
                <w:rFonts w:ascii="宋体" w:hAnsi="宋体" w:eastAsia="宋体" w:cs="宋体"/>
                <w:color w:val="auto"/>
                <w:szCs w:val="21"/>
                <w:highlight w:val="none"/>
              </w:rPr>
            </w:pPr>
          </w:p>
        </w:tc>
        <w:tc>
          <w:tcPr>
            <w:tcW w:w="915" w:type="pct"/>
            <w:noWrap/>
            <w:vAlign w:val="center"/>
          </w:tcPr>
          <w:p w14:paraId="5C99D81D">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第二阶段投标人名次的排序方法（适用于办法五、办法六）</w:t>
            </w:r>
          </w:p>
        </w:tc>
        <w:tc>
          <w:tcPr>
            <w:tcW w:w="3262" w:type="pct"/>
            <w:tcBorders>
              <w:right w:val="double" w:color="auto" w:sz="4" w:space="0"/>
            </w:tcBorders>
            <w:noWrap/>
            <w:vAlign w:val="center"/>
          </w:tcPr>
          <w:p w14:paraId="08F11A43">
            <w:pPr>
              <w:snapToGrid w:val="0"/>
              <w:spacing w:after="120" w:line="288" w:lineRule="auto"/>
              <w:rPr>
                <w:rFonts w:ascii="宋体" w:hAnsi="宋体" w:eastAsia="宋体" w:cs="宋体"/>
                <w:strike/>
                <w:color w:val="auto"/>
                <w:szCs w:val="21"/>
                <w:highlight w:val="none"/>
              </w:rPr>
            </w:pPr>
            <w:r>
              <w:rPr>
                <w:rFonts w:hint="eastAsia" w:ascii="宋体" w:hAnsi="宋体" w:eastAsia="宋体" w:cs="宋体"/>
                <w:color w:val="auto"/>
                <w:szCs w:val="21"/>
                <w:highlight w:val="none"/>
                <w:u w:val="single"/>
              </w:rPr>
              <w:t>本项目不适用。</w:t>
            </w:r>
          </w:p>
        </w:tc>
      </w:tr>
      <w:tr w14:paraId="31FF148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7A8BBA12">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33</w:t>
            </w:r>
          </w:p>
        </w:tc>
        <w:tc>
          <w:tcPr>
            <w:tcW w:w="458" w:type="pct"/>
            <w:noWrap/>
            <w:vAlign w:val="center"/>
          </w:tcPr>
          <w:p w14:paraId="40EA52AF">
            <w:pPr>
              <w:snapToGrid w:val="0"/>
              <w:spacing w:after="120"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13.4、13.5.2</w:t>
            </w:r>
          </w:p>
        </w:tc>
        <w:tc>
          <w:tcPr>
            <w:tcW w:w="915" w:type="pct"/>
            <w:noWrap/>
            <w:vAlign w:val="center"/>
          </w:tcPr>
          <w:p w14:paraId="06CCEEA6">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合同价款的调整办法</w:t>
            </w:r>
          </w:p>
        </w:tc>
        <w:tc>
          <w:tcPr>
            <w:tcW w:w="3262" w:type="pct"/>
            <w:tcBorders>
              <w:right w:val="double" w:color="auto" w:sz="4" w:space="0"/>
            </w:tcBorders>
            <w:noWrap/>
            <w:vAlign w:val="center"/>
          </w:tcPr>
          <w:p w14:paraId="55F57F8E">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详见招标文件及相关合同条款。</w:t>
            </w:r>
          </w:p>
        </w:tc>
      </w:tr>
      <w:tr w14:paraId="6CEAE2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42B47201">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34</w:t>
            </w:r>
          </w:p>
        </w:tc>
        <w:tc>
          <w:tcPr>
            <w:tcW w:w="458" w:type="pct"/>
            <w:noWrap/>
            <w:vAlign w:val="center"/>
          </w:tcPr>
          <w:p w14:paraId="21A12BB5">
            <w:pPr>
              <w:snapToGrid w:val="0"/>
              <w:spacing w:line="288" w:lineRule="auto"/>
              <w:jc w:val="center"/>
              <w:rPr>
                <w:rFonts w:ascii="宋体" w:hAnsi="宋体" w:eastAsia="宋体" w:cs="宋体"/>
                <w:color w:val="auto"/>
                <w:szCs w:val="21"/>
                <w:highlight w:val="none"/>
              </w:rPr>
            </w:pPr>
          </w:p>
        </w:tc>
        <w:tc>
          <w:tcPr>
            <w:tcW w:w="915" w:type="pct"/>
            <w:noWrap/>
            <w:vAlign w:val="center"/>
          </w:tcPr>
          <w:p w14:paraId="27025384">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建设工程质量检测单位</w:t>
            </w:r>
          </w:p>
        </w:tc>
        <w:tc>
          <w:tcPr>
            <w:tcW w:w="3262" w:type="pct"/>
            <w:tcBorders>
              <w:right w:val="double" w:color="auto" w:sz="4" w:space="0"/>
            </w:tcBorders>
            <w:noWrap/>
            <w:vAlign w:val="center"/>
          </w:tcPr>
          <w:p w14:paraId="34E56D25">
            <w:pPr>
              <w:snapToGrid w:val="0"/>
              <w:spacing w:after="120" w:line="288" w:lineRule="auto"/>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rPr>
              <w:t>建设单位和中标人均不得委托近二年（从招标公告发布年度起逆推</w:t>
            </w:r>
            <w:r>
              <w:rPr>
                <w:rFonts w:ascii="宋体" w:hAnsi="宋体" w:eastAsia="宋体" w:cs="宋体"/>
                <w:color w:val="auto"/>
                <w:kern w:val="0"/>
                <w:szCs w:val="21"/>
                <w:highlight w:val="none"/>
              </w:rPr>
              <w:t>2年的1月1日起至投标截止时间止）因伪造检测数据、出具虚假检测报告被各级建设行政主管部门或市场监督管理部门行政处罚或通报的检测单位负责本项目的检测工作。</w:t>
            </w:r>
          </w:p>
        </w:tc>
      </w:tr>
      <w:tr w14:paraId="2C1316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33761F80">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35</w:t>
            </w:r>
          </w:p>
        </w:tc>
        <w:tc>
          <w:tcPr>
            <w:tcW w:w="458" w:type="pct"/>
            <w:noWrap/>
            <w:vAlign w:val="center"/>
          </w:tcPr>
          <w:p w14:paraId="1866A4A1">
            <w:pPr>
              <w:snapToGrid w:val="0"/>
              <w:spacing w:line="288" w:lineRule="auto"/>
              <w:jc w:val="center"/>
              <w:rPr>
                <w:rFonts w:ascii="宋体" w:hAnsi="宋体" w:eastAsia="宋体" w:cs="宋体"/>
                <w:color w:val="auto"/>
                <w:szCs w:val="21"/>
                <w:highlight w:val="none"/>
              </w:rPr>
            </w:pPr>
          </w:p>
        </w:tc>
        <w:tc>
          <w:tcPr>
            <w:tcW w:w="915" w:type="pct"/>
            <w:noWrap/>
            <w:vAlign w:val="center"/>
          </w:tcPr>
          <w:p w14:paraId="5EC06CDC">
            <w:pPr>
              <w:jc w:val="left"/>
              <w:rPr>
                <w:rFonts w:ascii="宋体" w:hAnsi="宋体" w:eastAsia="宋体" w:cs="宋体"/>
                <w:color w:val="auto"/>
                <w:szCs w:val="21"/>
                <w:highlight w:val="none"/>
              </w:rPr>
            </w:pPr>
            <w:r>
              <w:rPr>
                <w:rFonts w:hint="eastAsia" w:ascii="宋体" w:hAnsi="宋体" w:eastAsia="宋体" w:cs="宋体"/>
                <w:color w:val="auto"/>
                <w:szCs w:val="21"/>
                <w:highlight w:val="none"/>
              </w:rPr>
              <w:t>分包</w:t>
            </w:r>
          </w:p>
        </w:tc>
        <w:tc>
          <w:tcPr>
            <w:tcW w:w="3262" w:type="pct"/>
            <w:tcBorders>
              <w:right w:val="double" w:color="auto" w:sz="4" w:space="0"/>
            </w:tcBorders>
            <w:noWrap/>
            <w:vAlign w:val="center"/>
          </w:tcPr>
          <w:p w14:paraId="1345CAD7">
            <w:pPr>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□不允许分包；</w:t>
            </w:r>
          </w:p>
          <w:p w14:paraId="532EEDAA">
            <w:pPr>
              <w:spacing w:line="276" w:lineRule="auto"/>
              <w:rPr>
                <w:rFonts w:ascii="宋体" w:hAnsi="宋体"/>
                <w:color w:val="auto"/>
                <w:kern w:val="0"/>
                <w:szCs w:val="21"/>
                <w:highlight w:val="none"/>
                <w:u w:val="single"/>
                <w:lang w:val="zh-CN"/>
              </w:rPr>
            </w:pP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lang w:val="zh-CN"/>
              </w:rPr>
              <w:t>允许：</w:t>
            </w:r>
            <w:r>
              <w:rPr>
                <w:rFonts w:hint="eastAsia" w:ascii="宋体" w:hAnsi="宋体"/>
                <w:color w:val="auto"/>
                <w:kern w:val="0"/>
                <w:szCs w:val="21"/>
                <w:highlight w:val="none"/>
                <w:lang w:val="zh-CN"/>
              </w:rPr>
              <w:t>分包内容要求：</w:t>
            </w:r>
            <w:r>
              <w:rPr>
                <w:rFonts w:hint="eastAsia" w:ascii="宋体" w:hAnsi="宋体" w:cs="宋体"/>
                <w:color w:val="auto"/>
                <w:szCs w:val="21"/>
                <w:highlight w:val="none"/>
                <w:u w:val="single"/>
                <w:lang w:val="zh-CN"/>
              </w:rPr>
              <w:t>依法分包，具体按照合同约定并经招标人同意</w:t>
            </w:r>
            <w:r>
              <w:rPr>
                <w:rFonts w:hint="eastAsia" w:ascii="宋体" w:hAnsi="宋体" w:cs="宋体"/>
                <w:color w:val="auto"/>
                <w:szCs w:val="21"/>
                <w:highlight w:val="none"/>
                <w:u w:val="single"/>
              </w:rPr>
              <w:t>。</w:t>
            </w:r>
          </w:p>
          <w:p w14:paraId="1BCBB932">
            <w:pPr>
              <w:spacing w:line="276" w:lineRule="auto"/>
              <w:ind w:firstLine="840" w:firstLineChars="400"/>
              <w:rPr>
                <w:rFonts w:ascii="宋体" w:hAnsi="宋体" w:cs="宋体"/>
                <w:color w:val="auto"/>
                <w:szCs w:val="21"/>
                <w:highlight w:val="none"/>
                <w:u w:val="single"/>
              </w:rPr>
            </w:pPr>
            <w:r>
              <w:rPr>
                <w:rFonts w:hint="eastAsia" w:ascii="宋体" w:hAnsi="宋体"/>
                <w:color w:val="auto"/>
                <w:kern w:val="0"/>
                <w:szCs w:val="21"/>
                <w:highlight w:val="none"/>
                <w:lang w:val="zh-CN"/>
              </w:rPr>
              <w:t>分包金额要求：</w:t>
            </w:r>
            <w:r>
              <w:rPr>
                <w:rFonts w:hint="eastAsia" w:ascii="宋体" w:hAnsi="宋体" w:cs="宋体"/>
                <w:color w:val="auto"/>
                <w:szCs w:val="21"/>
                <w:highlight w:val="none"/>
                <w:u w:val="single"/>
              </w:rPr>
              <w:t>按照合同约定并经招标人同意。</w:t>
            </w:r>
          </w:p>
          <w:p w14:paraId="58FA637E">
            <w:pPr>
              <w:spacing w:line="276" w:lineRule="auto"/>
              <w:ind w:firstLine="840" w:firstLineChars="400"/>
              <w:rPr>
                <w:rFonts w:ascii="宋体" w:hAnsi="宋体"/>
                <w:color w:val="auto"/>
                <w:kern w:val="0"/>
                <w:szCs w:val="21"/>
                <w:highlight w:val="none"/>
                <w:lang w:val="zh-CN"/>
              </w:rPr>
            </w:pPr>
            <w:r>
              <w:rPr>
                <w:rFonts w:hint="eastAsia" w:ascii="宋体" w:hAnsi="宋体"/>
                <w:color w:val="auto"/>
                <w:kern w:val="0"/>
                <w:szCs w:val="21"/>
                <w:highlight w:val="none"/>
                <w:lang w:val="zh-CN"/>
              </w:rPr>
              <w:t>对分包人的资质要求：</w:t>
            </w:r>
            <w:r>
              <w:rPr>
                <w:rFonts w:hint="eastAsia" w:ascii="宋体" w:hAnsi="宋体" w:cs="宋体"/>
                <w:color w:val="auto"/>
                <w:szCs w:val="21"/>
                <w:highlight w:val="none"/>
                <w:u w:val="single"/>
              </w:rPr>
              <w:t>符合有关法律法规和文件规定，并不得再次分包。</w:t>
            </w:r>
          </w:p>
          <w:p w14:paraId="2088C66D">
            <w:pPr>
              <w:rPr>
                <w:rFonts w:ascii="宋体" w:hAnsi="宋体" w:eastAsia="宋体" w:cs="宋体"/>
                <w:color w:val="auto"/>
                <w:kern w:val="0"/>
                <w:szCs w:val="21"/>
                <w:highlight w:val="none"/>
                <w:lang w:val="zh-CN"/>
              </w:rPr>
            </w:pPr>
            <w:r>
              <w:rPr>
                <w:rFonts w:hint="eastAsia" w:ascii="宋体" w:hAnsi="宋体"/>
                <w:color w:val="auto"/>
                <w:kern w:val="0"/>
                <w:szCs w:val="21"/>
                <w:highlight w:val="none"/>
                <w:lang w:val="zh-CN"/>
              </w:rPr>
              <w:t>对分包人的其他要求：</w:t>
            </w:r>
            <w:r>
              <w:rPr>
                <w:rFonts w:hint="eastAsia" w:ascii="宋体" w:hAnsi="宋体" w:cs="宋体"/>
                <w:color w:val="auto"/>
                <w:szCs w:val="21"/>
                <w:highlight w:val="none"/>
                <w:u w:val="single"/>
              </w:rPr>
              <w:t>按合同约定。</w:t>
            </w:r>
          </w:p>
        </w:tc>
      </w:tr>
      <w:tr w14:paraId="7204754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33136F83">
            <w:pPr>
              <w:spacing w:line="288" w:lineRule="auto"/>
              <w:jc w:val="center"/>
              <w:rPr>
                <w:rFonts w:ascii="宋体" w:hAnsi="宋体" w:eastAsia="宋体" w:cs="宋体"/>
                <w:color w:val="auto"/>
                <w:szCs w:val="21"/>
                <w:highlight w:val="none"/>
              </w:rPr>
            </w:pPr>
            <w:r>
              <w:rPr>
                <w:rFonts w:ascii="宋体" w:hAnsi="宋体" w:eastAsia="宋体" w:cs="宋体"/>
                <w:color w:val="auto"/>
                <w:szCs w:val="21"/>
                <w:highlight w:val="none"/>
              </w:rPr>
              <w:t>36</w:t>
            </w:r>
          </w:p>
        </w:tc>
        <w:tc>
          <w:tcPr>
            <w:tcW w:w="458" w:type="pct"/>
            <w:noWrap/>
            <w:vAlign w:val="center"/>
          </w:tcPr>
          <w:p w14:paraId="7C9FC275">
            <w:pPr>
              <w:snapToGrid w:val="0"/>
              <w:spacing w:line="288" w:lineRule="auto"/>
              <w:jc w:val="center"/>
              <w:rPr>
                <w:rFonts w:ascii="宋体" w:hAnsi="宋体" w:eastAsia="宋体" w:cs="宋体"/>
                <w:color w:val="auto"/>
                <w:szCs w:val="21"/>
                <w:highlight w:val="none"/>
              </w:rPr>
            </w:pPr>
          </w:p>
        </w:tc>
        <w:tc>
          <w:tcPr>
            <w:tcW w:w="915" w:type="pct"/>
            <w:noWrap/>
            <w:vAlign w:val="center"/>
          </w:tcPr>
          <w:p w14:paraId="2D64BB8D">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电子招标投标解密失败及突发情况的补救</w:t>
            </w:r>
          </w:p>
        </w:tc>
        <w:tc>
          <w:tcPr>
            <w:tcW w:w="3262" w:type="pct"/>
            <w:tcBorders>
              <w:right w:val="double" w:color="auto" w:sz="4" w:space="0"/>
            </w:tcBorders>
            <w:noWrap/>
            <w:vAlign w:val="center"/>
          </w:tcPr>
          <w:p w14:paraId="30B599D5">
            <w:pPr>
              <w:rPr>
                <w:rFonts w:ascii="宋体" w:hAnsi="宋体" w:eastAsia="宋体" w:cs="宋体"/>
                <w:color w:val="auto"/>
                <w:szCs w:val="21"/>
                <w:highlight w:val="none"/>
              </w:rPr>
            </w:pPr>
            <w:r>
              <w:rPr>
                <w:rFonts w:ascii="宋体" w:hAnsi="宋体" w:eastAsia="宋体" w:cs="宋体"/>
                <w:color w:val="auto"/>
                <w:szCs w:val="21"/>
                <w:highlight w:val="none"/>
              </w:rPr>
              <w:t>1、按照</w:t>
            </w:r>
            <w:r>
              <w:rPr>
                <w:rFonts w:ascii="宋体" w:hAnsi="宋体" w:eastAsia="宋体" w:cs="宋体"/>
                <w:color w:val="auto"/>
                <w:szCs w:val="21"/>
                <w:highlight w:val="none"/>
                <w:u w:val="single"/>
              </w:rPr>
              <w:t>广州交易集团有限公司（广州公共资源交易中心）</w:t>
            </w:r>
            <w:r>
              <w:rPr>
                <w:rFonts w:ascii="宋体" w:hAnsi="宋体" w:eastAsia="宋体" w:cs="宋体"/>
                <w:color w:val="auto"/>
                <w:szCs w:val="21"/>
                <w:highlight w:val="none"/>
              </w:rPr>
              <w:t>交易平台关于全流程电子化项目的相关指南进行操作。详见：</w:t>
            </w:r>
            <w:r>
              <w:rPr>
                <w:rFonts w:hint="eastAsia" w:ascii="宋体" w:hAnsi="宋体" w:eastAsia="宋体" w:cs="宋体"/>
                <w:color w:val="auto"/>
                <w:szCs w:val="21"/>
                <w:highlight w:val="none"/>
                <w:u w:val="single"/>
              </w:rPr>
              <w:t>广州交易集团有限公司（广州公共资源交易中心）网站最新指引。</w:t>
            </w:r>
          </w:p>
          <w:p w14:paraId="429C65E0">
            <w:pPr>
              <w:rPr>
                <w:rFonts w:ascii="宋体" w:hAnsi="宋体" w:eastAsia="宋体" w:cs="宋体"/>
                <w:color w:val="auto"/>
                <w:szCs w:val="21"/>
                <w:highlight w:val="none"/>
              </w:rPr>
            </w:pPr>
            <w:r>
              <w:rPr>
                <w:rFonts w:ascii="宋体" w:hAnsi="宋体" w:eastAsia="宋体" w:cs="宋体"/>
                <w:color w:val="auto"/>
                <w:szCs w:val="21"/>
                <w:highlight w:val="none"/>
              </w:rPr>
              <w:t>2、提交投标文件光盘</w:t>
            </w:r>
            <w:r>
              <w:rPr>
                <w:rFonts w:hint="eastAsia" w:ascii="宋体" w:hAnsi="宋体" w:eastAsia="宋体" w:cs="宋体"/>
                <w:color w:val="auto"/>
                <w:szCs w:val="21"/>
                <w:highlight w:val="none"/>
                <w:u w:val="single"/>
              </w:rPr>
              <w:t>（或</w:t>
            </w:r>
            <w:r>
              <w:rPr>
                <w:rFonts w:ascii="宋体" w:hAnsi="宋体" w:eastAsia="宋体" w:cs="宋体"/>
                <w:color w:val="auto"/>
                <w:szCs w:val="21"/>
                <w:highlight w:val="none"/>
                <w:u w:val="single"/>
              </w:rPr>
              <w:t>U盘）</w:t>
            </w:r>
            <w:r>
              <w:rPr>
                <w:rFonts w:ascii="宋体" w:hAnsi="宋体" w:eastAsia="宋体" w:cs="宋体"/>
                <w:color w:val="auto"/>
                <w:szCs w:val="21"/>
                <w:highlight w:val="none"/>
              </w:rPr>
              <w:t>备用</w:t>
            </w:r>
          </w:p>
          <w:p w14:paraId="05CE976C">
            <w:pPr>
              <w:rPr>
                <w:rFonts w:ascii="宋体" w:hAnsi="宋体" w:eastAsia="宋体" w:cs="宋体"/>
                <w:color w:val="auto"/>
                <w:szCs w:val="21"/>
                <w:highlight w:val="none"/>
              </w:rPr>
            </w:pPr>
            <w:r>
              <w:rPr>
                <w:rFonts w:hint="eastAsia" w:ascii="宋体" w:hAnsi="宋体" w:eastAsia="宋体" w:cs="宋体"/>
                <w:color w:val="auto"/>
                <w:szCs w:val="21"/>
                <w:highlight w:val="none"/>
              </w:rPr>
              <w:t>投标人可制作非加密的电子投标文件（</w:t>
            </w:r>
            <w:r>
              <w:rPr>
                <w:rFonts w:ascii="宋体" w:hAnsi="宋体" w:eastAsia="宋体" w:cs="宋体"/>
                <w:color w:val="auto"/>
                <w:szCs w:val="21"/>
                <w:highlight w:val="none"/>
              </w:rPr>
              <w:t>PDF格式）刻入光盘</w:t>
            </w:r>
            <w:r>
              <w:rPr>
                <w:rFonts w:hint="eastAsia" w:ascii="宋体" w:hAnsi="宋体" w:eastAsia="宋体" w:cs="宋体"/>
                <w:color w:val="auto"/>
                <w:szCs w:val="21"/>
                <w:highlight w:val="none"/>
                <w:u w:val="single"/>
              </w:rPr>
              <w:t>（或</w:t>
            </w:r>
            <w:r>
              <w:rPr>
                <w:rFonts w:ascii="宋体" w:hAnsi="宋体" w:eastAsia="宋体" w:cs="宋体"/>
                <w:color w:val="auto"/>
                <w:szCs w:val="21"/>
                <w:highlight w:val="none"/>
                <w:u w:val="single"/>
              </w:rPr>
              <w:t>U盘）</w:t>
            </w:r>
            <w:r>
              <w:rPr>
                <w:rFonts w:ascii="宋体" w:hAnsi="宋体" w:eastAsia="宋体" w:cs="宋体"/>
                <w:color w:val="auto"/>
                <w:szCs w:val="21"/>
                <w:highlight w:val="none"/>
              </w:rPr>
              <w:t>（1份），在投标须知前附表第18项规定的时间、地点提交备用。刻录好的投标文件光盘</w:t>
            </w:r>
            <w:r>
              <w:rPr>
                <w:rFonts w:hint="eastAsia" w:ascii="宋体" w:hAnsi="宋体" w:eastAsia="宋体" w:cs="宋体"/>
                <w:color w:val="auto"/>
                <w:szCs w:val="21"/>
                <w:highlight w:val="none"/>
                <w:u w:val="single"/>
              </w:rPr>
              <w:t>（或</w:t>
            </w:r>
            <w:r>
              <w:rPr>
                <w:rFonts w:ascii="宋体" w:hAnsi="宋体" w:eastAsia="宋体" w:cs="宋体"/>
                <w:color w:val="auto"/>
                <w:szCs w:val="21"/>
                <w:highlight w:val="none"/>
                <w:u w:val="single"/>
              </w:rPr>
              <w:t>U盘）</w:t>
            </w:r>
            <w:r>
              <w:rPr>
                <w:rFonts w:ascii="宋体" w:hAnsi="宋体" w:eastAsia="宋体" w:cs="宋体"/>
                <w:color w:val="auto"/>
                <w:szCs w:val="21"/>
                <w:highlight w:val="none"/>
              </w:rPr>
              <w:t>密封在密封袋中，并在封口处加盖投标人单位公章。密封袋上应写明项目名称和招标人名称。递交的光盘</w:t>
            </w:r>
            <w:r>
              <w:rPr>
                <w:rFonts w:hint="eastAsia" w:ascii="宋体" w:hAnsi="宋体" w:eastAsia="宋体" w:cs="宋体"/>
                <w:color w:val="auto"/>
                <w:szCs w:val="21"/>
                <w:highlight w:val="none"/>
                <w:u w:val="single"/>
              </w:rPr>
              <w:t>（或</w:t>
            </w:r>
            <w:r>
              <w:rPr>
                <w:rFonts w:ascii="宋体" w:hAnsi="宋体" w:eastAsia="宋体" w:cs="宋体"/>
                <w:color w:val="auto"/>
                <w:szCs w:val="21"/>
                <w:highlight w:val="none"/>
                <w:u w:val="single"/>
              </w:rPr>
              <w:t>U盘）</w:t>
            </w:r>
            <w:r>
              <w:rPr>
                <w:rFonts w:ascii="宋体" w:hAnsi="宋体" w:eastAsia="宋体" w:cs="宋体"/>
                <w:color w:val="auto"/>
                <w:szCs w:val="21"/>
                <w:highlight w:val="none"/>
              </w:rPr>
              <w:t>不得加密。光盘</w:t>
            </w:r>
            <w:r>
              <w:rPr>
                <w:rFonts w:hint="eastAsia" w:ascii="宋体" w:hAnsi="宋体" w:eastAsia="宋体" w:cs="宋体"/>
                <w:color w:val="auto"/>
                <w:szCs w:val="21"/>
                <w:highlight w:val="none"/>
                <w:u w:val="single"/>
              </w:rPr>
              <w:t>（或</w:t>
            </w:r>
            <w:r>
              <w:rPr>
                <w:rFonts w:ascii="宋体" w:hAnsi="宋体" w:eastAsia="宋体" w:cs="宋体"/>
                <w:color w:val="auto"/>
                <w:szCs w:val="21"/>
                <w:highlight w:val="none"/>
                <w:u w:val="single"/>
              </w:rPr>
              <w:t>U盘）</w:t>
            </w:r>
            <w:r>
              <w:rPr>
                <w:rFonts w:ascii="宋体" w:hAnsi="宋体" w:eastAsia="宋体" w:cs="宋体"/>
                <w:color w:val="auto"/>
                <w:szCs w:val="21"/>
                <w:highlight w:val="none"/>
              </w:rPr>
              <w:t>无法读取或导入的，则视为未提交备用投标文件光盘</w:t>
            </w:r>
            <w:r>
              <w:rPr>
                <w:rFonts w:hint="eastAsia" w:ascii="宋体" w:hAnsi="宋体" w:eastAsia="宋体" w:cs="宋体"/>
                <w:color w:val="auto"/>
                <w:szCs w:val="21"/>
                <w:highlight w:val="none"/>
                <w:u w:val="single"/>
              </w:rPr>
              <w:t>（或</w:t>
            </w:r>
            <w:r>
              <w:rPr>
                <w:rFonts w:ascii="宋体" w:hAnsi="宋体" w:eastAsia="宋体" w:cs="宋体"/>
                <w:color w:val="auto"/>
                <w:szCs w:val="21"/>
                <w:highlight w:val="none"/>
                <w:u w:val="single"/>
              </w:rPr>
              <w:t>U盘）</w:t>
            </w:r>
            <w:r>
              <w:rPr>
                <w:rFonts w:ascii="宋体" w:hAnsi="宋体" w:eastAsia="宋体" w:cs="宋体"/>
                <w:color w:val="auto"/>
                <w:szCs w:val="21"/>
                <w:highlight w:val="none"/>
              </w:rPr>
              <w:t>。如果投标人没有按规定通过交易平台网上递交电子投标文件的，不再读取提交的光盘</w:t>
            </w:r>
            <w:r>
              <w:rPr>
                <w:rFonts w:hint="eastAsia" w:ascii="宋体" w:hAnsi="宋体" w:eastAsia="宋体" w:cs="宋体"/>
                <w:color w:val="auto"/>
                <w:szCs w:val="21"/>
                <w:highlight w:val="none"/>
                <w:u w:val="single"/>
              </w:rPr>
              <w:t>（或</w:t>
            </w:r>
            <w:r>
              <w:rPr>
                <w:rFonts w:ascii="宋体" w:hAnsi="宋体" w:eastAsia="宋体" w:cs="宋体"/>
                <w:color w:val="auto"/>
                <w:szCs w:val="21"/>
                <w:highlight w:val="none"/>
                <w:u w:val="single"/>
              </w:rPr>
              <w:t>U盘）</w:t>
            </w:r>
            <w:r>
              <w:rPr>
                <w:rFonts w:ascii="宋体" w:hAnsi="宋体" w:eastAsia="宋体" w:cs="宋体"/>
                <w:color w:val="auto"/>
                <w:szCs w:val="21"/>
                <w:highlight w:val="none"/>
              </w:rPr>
              <w:t>。投标人也可不提交备用光盘</w:t>
            </w:r>
            <w:r>
              <w:rPr>
                <w:rFonts w:hint="eastAsia" w:ascii="宋体" w:hAnsi="宋体" w:eastAsia="宋体" w:cs="宋体"/>
                <w:color w:val="auto"/>
                <w:szCs w:val="21"/>
                <w:highlight w:val="none"/>
              </w:rPr>
              <w:t>（或U盘）</w:t>
            </w:r>
            <w:r>
              <w:rPr>
                <w:rFonts w:ascii="宋体" w:hAnsi="宋体" w:eastAsia="宋体" w:cs="宋体"/>
                <w:color w:val="auto"/>
                <w:szCs w:val="21"/>
                <w:highlight w:val="none"/>
              </w:rPr>
              <w:t>。</w:t>
            </w:r>
          </w:p>
          <w:p w14:paraId="462D35E1">
            <w:pPr>
              <w:rPr>
                <w:rFonts w:ascii="宋体" w:hAnsi="宋体" w:eastAsia="宋体" w:cs="宋体"/>
                <w:color w:val="auto"/>
                <w:szCs w:val="21"/>
                <w:highlight w:val="none"/>
              </w:rPr>
            </w:pPr>
            <w:r>
              <w:rPr>
                <w:rFonts w:ascii="宋体" w:hAnsi="宋体" w:eastAsia="宋体" w:cs="宋体"/>
                <w:color w:val="auto"/>
                <w:szCs w:val="21"/>
                <w:highlight w:val="none"/>
              </w:rPr>
              <w:t>3、补救方案</w:t>
            </w:r>
          </w:p>
          <w:p w14:paraId="428F10A4">
            <w:pP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1）投标文件解密失败的补救方案：</w:t>
            </w:r>
          </w:p>
          <w:p w14:paraId="5C94C39B">
            <w:pPr>
              <w:rPr>
                <w:rFonts w:ascii="宋体" w:hAnsi="宋体" w:eastAsia="宋体" w:cs="宋体"/>
                <w:color w:val="auto"/>
                <w:szCs w:val="21"/>
                <w:highlight w:val="none"/>
              </w:rPr>
            </w:pPr>
            <w:r>
              <w:rPr>
                <w:rFonts w:hint="eastAsia" w:ascii="宋体" w:hAnsi="宋体" w:eastAsia="宋体" w:cs="宋体"/>
                <w:color w:val="auto"/>
                <w:szCs w:val="21"/>
                <w:highlight w:val="none"/>
              </w:rPr>
              <w:t>在规定时间内，因投标人之外原因</w:t>
            </w:r>
            <w:r>
              <w:rPr>
                <w:rFonts w:ascii="宋体" w:hAnsi="宋体" w:eastAsia="宋体" w:cs="宋体"/>
                <w:color w:val="auto"/>
                <w:szCs w:val="21"/>
                <w:highlight w:val="none"/>
              </w:rPr>
              <w:t>(指网络瘫痪、服务器损坏、交易系统故障短期无法恢复)导致的电子投标文件解密失败，在开标现场读取光盘</w:t>
            </w:r>
            <w:r>
              <w:rPr>
                <w:rFonts w:hint="eastAsia" w:ascii="宋体" w:hAnsi="宋体" w:eastAsia="宋体" w:cs="宋体"/>
                <w:color w:val="auto"/>
                <w:szCs w:val="21"/>
                <w:highlight w:val="none"/>
                <w:u w:val="single"/>
              </w:rPr>
              <w:t>（或</w:t>
            </w:r>
            <w:r>
              <w:rPr>
                <w:rFonts w:ascii="宋体" w:hAnsi="宋体" w:eastAsia="宋体" w:cs="宋体"/>
                <w:color w:val="auto"/>
                <w:szCs w:val="21"/>
                <w:highlight w:val="none"/>
                <w:u w:val="single"/>
              </w:rPr>
              <w:t>U盘）</w:t>
            </w:r>
            <w:r>
              <w:rPr>
                <w:rFonts w:ascii="宋体" w:hAnsi="宋体" w:eastAsia="宋体" w:cs="宋体"/>
                <w:color w:val="auto"/>
                <w:szCs w:val="21"/>
                <w:highlight w:val="none"/>
              </w:rPr>
              <w:t>内容，继续开标程序。评标委员会对其投标文件的评审以光盘</w:t>
            </w:r>
            <w:r>
              <w:rPr>
                <w:rFonts w:hint="eastAsia" w:ascii="宋体" w:hAnsi="宋体" w:eastAsia="宋体" w:cs="宋体"/>
                <w:color w:val="auto"/>
                <w:szCs w:val="21"/>
                <w:highlight w:val="none"/>
                <w:u w:val="single"/>
              </w:rPr>
              <w:t>（或</w:t>
            </w:r>
            <w:r>
              <w:rPr>
                <w:rFonts w:ascii="宋体" w:hAnsi="宋体" w:eastAsia="宋体" w:cs="宋体"/>
                <w:color w:val="auto"/>
                <w:szCs w:val="21"/>
                <w:highlight w:val="none"/>
                <w:u w:val="single"/>
              </w:rPr>
              <w:t>U盘）</w:t>
            </w:r>
            <w:r>
              <w:rPr>
                <w:rFonts w:ascii="宋体" w:hAnsi="宋体" w:eastAsia="宋体" w:cs="宋体"/>
                <w:color w:val="auto"/>
                <w:szCs w:val="21"/>
                <w:highlight w:val="none"/>
              </w:rPr>
              <w:t>内容为准。因投标人之外原因解密失败且未递交电子光盘</w:t>
            </w:r>
            <w:r>
              <w:rPr>
                <w:rFonts w:hint="eastAsia" w:ascii="宋体" w:hAnsi="宋体" w:eastAsia="宋体" w:cs="宋体"/>
                <w:color w:val="auto"/>
                <w:szCs w:val="21"/>
                <w:highlight w:val="none"/>
                <w:u w:val="single"/>
              </w:rPr>
              <w:t>（或</w:t>
            </w:r>
            <w:r>
              <w:rPr>
                <w:rFonts w:ascii="宋体" w:hAnsi="宋体" w:eastAsia="宋体" w:cs="宋体"/>
                <w:color w:val="auto"/>
                <w:szCs w:val="21"/>
                <w:highlight w:val="none"/>
                <w:u w:val="single"/>
              </w:rPr>
              <w:t>U盘）</w:t>
            </w:r>
            <w:r>
              <w:rPr>
                <w:rFonts w:ascii="宋体" w:hAnsi="宋体" w:eastAsia="宋体" w:cs="宋体"/>
                <w:color w:val="auto"/>
                <w:szCs w:val="21"/>
                <w:highlight w:val="none"/>
              </w:rPr>
              <w:t>的，视为撤回投标文件。</w:t>
            </w:r>
          </w:p>
          <w:p w14:paraId="59634348">
            <w:pP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2）评标时突发情况的补救方案</w:t>
            </w:r>
          </w:p>
          <w:p w14:paraId="6D6A016D">
            <w:pPr>
              <w:rPr>
                <w:rFonts w:ascii="宋体" w:hAnsi="宋体" w:eastAsia="宋体" w:cs="宋体"/>
                <w:color w:val="auto"/>
                <w:szCs w:val="21"/>
                <w:highlight w:val="none"/>
              </w:rPr>
            </w:pPr>
            <w:r>
              <w:rPr>
                <w:rFonts w:hint="eastAsia" w:ascii="宋体" w:hAnsi="宋体" w:eastAsia="宋体" w:cs="宋体"/>
                <w:color w:val="auto"/>
                <w:szCs w:val="21"/>
                <w:highlight w:val="none"/>
              </w:rPr>
              <w:t>若遇不可抗力发生（指网络瘫痪、服务器损坏、交易系统故障短期无法恢复等因素），由评标委员会开启投标人递交的全部投标文件光盘</w:t>
            </w:r>
            <w:r>
              <w:rPr>
                <w:rFonts w:hint="eastAsia" w:ascii="宋体" w:hAnsi="宋体" w:eastAsia="宋体" w:cs="宋体"/>
                <w:color w:val="auto"/>
                <w:szCs w:val="21"/>
                <w:highlight w:val="none"/>
                <w:u w:val="single"/>
              </w:rPr>
              <w:t>（或</w:t>
            </w:r>
            <w:r>
              <w:rPr>
                <w:rFonts w:ascii="宋体" w:hAnsi="宋体" w:eastAsia="宋体" w:cs="宋体"/>
                <w:color w:val="auto"/>
                <w:szCs w:val="21"/>
                <w:highlight w:val="none"/>
                <w:u w:val="single"/>
              </w:rPr>
              <w:t>U盘）</w:t>
            </w:r>
            <w:r>
              <w:rPr>
                <w:rFonts w:hint="eastAsia" w:ascii="宋体" w:hAnsi="宋体" w:eastAsia="宋体" w:cs="宋体"/>
                <w:color w:val="auto"/>
                <w:szCs w:val="21"/>
                <w:highlight w:val="none"/>
              </w:rPr>
              <w:t>，并按光盘</w:t>
            </w:r>
            <w:r>
              <w:rPr>
                <w:rFonts w:hint="eastAsia" w:ascii="宋体" w:hAnsi="宋体" w:eastAsia="宋体" w:cs="宋体"/>
                <w:color w:val="auto"/>
                <w:szCs w:val="21"/>
                <w:highlight w:val="none"/>
                <w:u w:val="single"/>
              </w:rPr>
              <w:t>（或</w:t>
            </w:r>
            <w:r>
              <w:rPr>
                <w:rFonts w:ascii="宋体" w:hAnsi="宋体" w:eastAsia="宋体" w:cs="宋体"/>
                <w:color w:val="auto"/>
                <w:szCs w:val="21"/>
                <w:highlight w:val="none"/>
                <w:u w:val="single"/>
              </w:rPr>
              <w:t>U盘）</w:t>
            </w:r>
            <w:r>
              <w:rPr>
                <w:rFonts w:hint="eastAsia" w:ascii="宋体" w:hAnsi="宋体" w:eastAsia="宋体" w:cs="宋体"/>
                <w:color w:val="auto"/>
                <w:szCs w:val="21"/>
                <w:highlight w:val="none"/>
              </w:rPr>
              <w:t>内容进行评审。</w:t>
            </w:r>
          </w:p>
          <w:p w14:paraId="57540FE8">
            <w:pPr>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3）除发生上述情况外，开标评标均以投标人通过广州交易集团有限公司（广州公共资源交易中心）交易平台网上递交的电子投标文件为准。</w:t>
            </w:r>
          </w:p>
        </w:tc>
      </w:tr>
      <w:tr w14:paraId="76408C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5AB10A63">
            <w:pPr>
              <w:spacing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37</w:t>
            </w:r>
          </w:p>
        </w:tc>
        <w:tc>
          <w:tcPr>
            <w:tcW w:w="458" w:type="pct"/>
            <w:noWrap/>
            <w:vAlign w:val="center"/>
          </w:tcPr>
          <w:p w14:paraId="754675D2">
            <w:pPr>
              <w:snapToGrid w:val="0"/>
              <w:spacing w:line="288" w:lineRule="auto"/>
              <w:jc w:val="center"/>
              <w:rPr>
                <w:rFonts w:ascii="宋体" w:hAnsi="宋体" w:eastAsia="宋体" w:cs="宋体"/>
                <w:color w:val="auto"/>
                <w:szCs w:val="21"/>
                <w:highlight w:val="none"/>
              </w:rPr>
            </w:pPr>
          </w:p>
        </w:tc>
        <w:tc>
          <w:tcPr>
            <w:tcW w:w="915" w:type="pct"/>
            <w:noWrap/>
            <w:vAlign w:val="center"/>
          </w:tcPr>
          <w:p w14:paraId="7C6F2E01">
            <w:pPr>
              <w:snapToGrid w:val="0"/>
              <w:spacing w:after="120" w:line="288"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招标人对中标人参与“百千万工程”的具体要求</w:t>
            </w:r>
          </w:p>
        </w:tc>
        <w:tc>
          <w:tcPr>
            <w:tcW w:w="3262" w:type="pct"/>
            <w:tcBorders>
              <w:right w:val="double" w:color="auto" w:sz="4" w:space="0"/>
            </w:tcBorders>
            <w:noWrap/>
            <w:vAlign w:val="center"/>
          </w:tcPr>
          <w:p w14:paraId="0F6BAACD">
            <w:pPr>
              <w:pStyle w:val="86"/>
              <w:tabs>
                <w:tab w:val="left" w:pos="7380"/>
              </w:tabs>
              <w:spacing w:after="0" w:line="360" w:lineRule="exact"/>
              <w:ind w:firstLine="0" w:firstLineChars="0"/>
              <w:rPr>
                <w:rFonts w:ascii="宋体" w:hAnsi="宋体" w:cs="宋体"/>
                <w:color w:val="auto"/>
                <w:kern w:val="0"/>
                <w:sz w:val="22"/>
                <w:szCs w:val="22"/>
                <w:highlight w:val="none"/>
              </w:rPr>
            </w:pPr>
            <w:r>
              <w:rPr>
                <w:rFonts w:hint="eastAsia" w:ascii="宋体" w:hAnsi="宋体" w:cs="宋体"/>
                <w:color w:val="auto"/>
                <w:kern w:val="0"/>
                <w:sz w:val="22"/>
                <w:szCs w:val="22"/>
                <w:highlight w:val="none"/>
              </w:rPr>
              <w:t>说明与要求：</w:t>
            </w:r>
          </w:p>
          <w:p w14:paraId="27AEC5AA">
            <w:pPr>
              <w:spacing w:line="360" w:lineRule="exact"/>
              <w:rPr>
                <w:rFonts w:ascii="宋体" w:hAnsi="宋体" w:cs="宋体"/>
                <w:color w:val="auto"/>
                <w:kern w:val="0"/>
                <w:sz w:val="22"/>
                <w:highlight w:val="none"/>
                <w:lang w:val="zh-CN"/>
              </w:rPr>
            </w:pPr>
            <w:r>
              <w:rPr>
                <w:rFonts w:hint="eastAsia" w:ascii="宋体" w:hAnsi="宋体" w:cs="宋体"/>
                <w:color w:val="auto"/>
                <w:kern w:val="0"/>
                <w:sz w:val="22"/>
                <w:highlight w:val="none"/>
              </w:rPr>
              <w:t>■</w:t>
            </w:r>
            <w:r>
              <w:rPr>
                <w:rFonts w:hint="eastAsia" w:ascii="宋体" w:hAnsi="宋体" w:cs="宋体"/>
                <w:color w:val="auto"/>
                <w:kern w:val="0"/>
                <w:sz w:val="22"/>
                <w:highlight w:val="none"/>
                <w:lang w:val="zh-CN"/>
              </w:rPr>
              <w:t>具体要求在中标后按照投标承诺和招标人的要求执行。</w:t>
            </w:r>
            <w:r>
              <w:rPr>
                <w:rFonts w:hint="eastAsia" w:ascii="宋体" w:hAnsi="宋体" w:cs="宋体"/>
                <w:color w:val="auto"/>
                <w:kern w:val="0"/>
                <w:sz w:val="22"/>
                <w:highlight w:val="none"/>
                <w:u w:val="single"/>
                <w:lang w:val="zh-CN"/>
              </w:rPr>
              <w:t>如政府部门有“百千万工程”相关要求，中标人须无条件配合。</w:t>
            </w:r>
          </w:p>
          <w:p w14:paraId="33D2DA1D">
            <w:pPr>
              <w:rPr>
                <w:rFonts w:ascii="宋体" w:hAnsi="宋体" w:eastAsia="宋体" w:cs="宋体"/>
                <w:color w:val="auto"/>
                <w:szCs w:val="21"/>
                <w:highlight w:val="none"/>
              </w:rPr>
            </w:pPr>
            <w:r>
              <w:rPr>
                <w:rFonts w:hint="eastAsia" w:ascii="宋体" w:hAnsi="宋体" w:cs="宋体"/>
                <w:color w:val="auto"/>
                <w:kern w:val="0"/>
                <w:sz w:val="22"/>
                <w:highlight w:val="none"/>
                <w:lang w:val="zh-CN"/>
              </w:rPr>
              <w:t>□具体要求：（由招标人填写）</w:t>
            </w:r>
          </w:p>
        </w:tc>
      </w:tr>
      <w:tr w14:paraId="1CDEE2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75C3E044">
            <w:pPr>
              <w:spacing w:line="288" w:lineRule="auto"/>
              <w:jc w:val="center"/>
              <w:rPr>
                <w:rFonts w:ascii="宋体" w:hAnsi="宋体" w:eastAsia="宋体" w:cs="宋体"/>
                <w:color w:val="auto"/>
                <w:szCs w:val="21"/>
                <w:highlight w:val="none"/>
                <w:u w:val="single"/>
              </w:rPr>
            </w:pPr>
            <w:r>
              <w:rPr>
                <w:rFonts w:ascii="宋体" w:hAnsi="宋体" w:eastAsia="宋体" w:cs="宋体"/>
                <w:color w:val="auto"/>
                <w:szCs w:val="21"/>
                <w:highlight w:val="none"/>
                <w:u w:val="single"/>
              </w:rPr>
              <w:t>38</w:t>
            </w:r>
          </w:p>
        </w:tc>
        <w:tc>
          <w:tcPr>
            <w:tcW w:w="458" w:type="pct"/>
            <w:noWrap/>
            <w:vAlign w:val="center"/>
          </w:tcPr>
          <w:p w14:paraId="5DD0EAA7">
            <w:pPr>
              <w:snapToGrid w:val="0"/>
              <w:spacing w:line="288" w:lineRule="auto"/>
              <w:jc w:val="center"/>
              <w:rPr>
                <w:rFonts w:ascii="宋体" w:hAnsi="宋体" w:eastAsia="宋体" w:cs="宋体"/>
                <w:color w:val="auto"/>
                <w:szCs w:val="21"/>
                <w:highlight w:val="none"/>
              </w:rPr>
            </w:pPr>
          </w:p>
        </w:tc>
        <w:tc>
          <w:tcPr>
            <w:tcW w:w="915" w:type="pct"/>
            <w:noWrap/>
            <w:vAlign w:val="center"/>
          </w:tcPr>
          <w:p w14:paraId="7A580983">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招标人拒绝接收投标文件备用光盘的情况</w:t>
            </w:r>
          </w:p>
        </w:tc>
        <w:tc>
          <w:tcPr>
            <w:tcW w:w="3262" w:type="pct"/>
            <w:tcBorders>
              <w:right w:val="double" w:color="auto" w:sz="4" w:space="0"/>
            </w:tcBorders>
            <w:noWrap/>
            <w:vAlign w:val="center"/>
          </w:tcPr>
          <w:p w14:paraId="3753856C">
            <w:pPr>
              <w:rPr>
                <w:rFonts w:ascii="宋体" w:hAnsi="宋体" w:eastAsia="宋体" w:cs="宋体"/>
                <w:color w:val="auto"/>
                <w:szCs w:val="21"/>
                <w:highlight w:val="none"/>
                <w:u w:val="single"/>
              </w:rPr>
            </w:pPr>
            <w:r>
              <w:rPr>
                <w:rFonts w:ascii="宋体" w:hAnsi="宋体" w:eastAsia="宋体" w:cs="宋体"/>
                <w:color w:val="auto"/>
                <w:szCs w:val="21"/>
                <w:highlight w:val="none"/>
                <w:u w:val="single"/>
              </w:rPr>
              <w:t>1、在投标截止期后逾期或未在指定地点递交投标文件备用光盘</w:t>
            </w:r>
            <w:r>
              <w:rPr>
                <w:rFonts w:hint="eastAsia" w:ascii="宋体" w:hAnsi="宋体" w:cs="宋体"/>
                <w:color w:val="auto"/>
                <w:szCs w:val="21"/>
                <w:highlight w:val="none"/>
                <w:u w:val="single"/>
              </w:rPr>
              <w:t>（或U盘）</w:t>
            </w:r>
            <w:r>
              <w:rPr>
                <w:rFonts w:ascii="宋体" w:hAnsi="宋体" w:eastAsia="宋体" w:cs="宋体"/>
                <w:color w:val="auto"/>
                <w:szCs w:val="21"/>
                <w:highlight w:val="none"/>
                <w:u w:val="single"/>
              </w:rPr>
              <w:t>的；</w:t>
            </w:r>
          </w:p>
          <w:p w14:paraId="2D938E26">
            <w:pPr>
              <w:rPr>
                <w:rFonts w:ascii="宋体" w:hAnsi="宋体" w:eastAsia="宋体" w:cs="宋体"/>
                <w:color w:val="auto"/>
                <w:szCs w:val="21"/>
                <w:highlight w:val="none"/>
                <w:u w:val="single"/>
              </w:rPr>
            </w:pPr>
            <w:r>
              <w:rPr>
                <w:rFonts w:ascii="宋体" w:hAnsi="宋体" w:eastAsia="宋体" w:cs="宋体"/>
                <w:color w:val="auto"/>
                <w:szCs w:val="21"/>
                <w:highlight w:val="none"/>
                <w:u w:val="single"/>
              </w:rPr>
              <w:t>2、投标文件备用光盘</w:t>
            </w:r>
            <w:r>
              <w:rPr>
                <w:rFonts w:hint="eastAsia" w:ascii="宋体" w:hAnsi="宋体" w:cs="宋体"/>
                <w:color w:val="auto"/>
                <w:szCs w:val="21"/>
                <w:highlight w:val="none"/>
                <w:u w:val="single"/>
              </w:rPr>
              <w:t>（或U盘）</w:t>
            </w:r>
            <w:r>
              <w:rPr>
                <w:rFonts w:ascii="宋体" w:hAnsi="宋体" w:eastAsia="宋体" w:cs="宋体"/>
                <w:color w:val="auto"/>
                <w:szCs w:val="21"/>
                <w:highlight w:val="none"/>
                <w:u w:val="single"/>
              </w:rPr>
              <w:t>未按招标文件要求密封或未在密封处盖章的；</w:t>
            </w:r>
          </w:p>
          <w:p w14:paraId="6100AA71">
            <w:pPr>
              <w:rPr>
                <w:rFonts w:ascii="宋体" w:hAnsi="宋体" w:eastAsia="宋体" w:cs="宋体"/>
                <w:color w:val="auto"/>
                <w:szCs w:val="21"/>
                <w:highlight w:val="none"/>
                <w:u w:val="single"/>
              </w:rPr>
            </w:pPr>
            <w:r>
              <w:rPr>
                <w:rFonts w:ascii="宋体" w:hAnsi="宋体" w:eastAsia="宋体" w:cs="宋体"/>
                <w:color w:val="auto"/>
                <w:szCs w:val="21"/>
                <w:highlight w:val="none"/>
                <w:u w:val="single"/>
              </w:rPr>
              <w:t>3、投标人代表未凭法定代表人证明书（原件）、授权委托书原件（仅限于非法定代表人）、本人身份证原件</w:t>
            </w:r>
            <w:r>
              <w:rPr>
                <w:rFonts w:hint="eastAsia" w:ascii="宋体" w:hAnsi="宋体" w:eastAsia="宋体" w:cs="宋体"/>
                <w:color w:val="auto"/>
                <w:szCs w:val="21"/>
                <w:highlight w:val="none"/>
                <w:u w:val="single"/>
              </w:rPr>
              <w:t>、委托投标的还应提供授权委托人的离投标截止时间最近的至少1个月（</w:t>
            </w:r>
            <w:r>
              <w:rPr>
                <w:rFonts w:ascii="宋体" w:hAnsi="宋体" w:eastAsia="宋体" w:cs="宋体"/>
                <w:color w:val="auto"/>
                <w:szCs w:val="21"/>
                <w:highlight w:val="none"/>
                <w:u w:val="single"/>
              </w:rPr>
              <w:t>2025年</w:t>
            </w:r>
            <w:r>
              <w:rPr>
                <w:rFonts w:hint="eastAsia" w:ascii="宋体" w:hAnsi="宋体" w:eastAsia="宋体" w:cs="宋体"/>
                <w:color w:val="auto"/>
                <w:szCs w:val="21"/>
                <w:highlight w:val="none"/>
                <w:u w:val="single"/>
              </w:rPr>
              <w:t>9</w:t>
            </w:r>
            <w:r>
              <w:rPr>
                <w:rFonts w:ascii="宋体" w:hAnsi="宋体" w:eastAsia="宋体" w:cs="宋体"/>
                <w:color w:val="auto"/>
                <w:szCs w:val="21"/>
                <w:highlight w:val="none"/>
                <w:u w:val="single"/>
              </w:rPr>
              <w:t>月或</w:t>
            </w:r>
            <w:r>
              <w:rPr>
                <w:rFonts w:hint="eastAsia" w:ascii="宋体" w:hAnsi="宋体" w:eastAsia="宋体" w:cs="宋体"/>
                <w:color w:val="auto"/>
                <w:szCs w:val="21"/>
                <w:highlight w:val="none"/>
                <w:u w:val="single"/>
              </w:rPr>
              <w:t>10月</w:t>
            </w:r>
            <w:r>
              <w:rPr>
                <w:rFonts w:hint="eastAsia" w:ascii="宋体" w:hAnsi="宋体" w:eastAsia="宋体" w:cs="宋体"/>
                <w:color w:val="auto"/>
                <w:szCs w:val="21"/>
                <w:highlight w:val="none"/>
                <w:u w:val="single"/>
              </w:rPr>
              <w:t>）在本单位缴纳社保的社保证明文件递交投标文件备用光盘</w:t>
            </w:r>
            <w:r>
              <w:rPr>
                <w:rFonts w:hint="eastAsia" w:ascii="宋体" w:hAnsi="宋体" w:cs="宋体"/>
                <w:color w:val="auto"/>
                <w:szCs w:val="21"/>
                <w:highlight w:val="none"/>
                <w:u w:val="single"/>
              </w:rPr>
              <w:t>（或U盘）</w:t>
            </w:r>
            <w:r>
              <w:rPr>
                <w:rFonts w:hint="eastAsia" w:ascii="宋体" w:hAnsi="宋体" w:eastAsia="宋体" w:cs="宋体"/>
                <w:color w:val="auto"/>
                <w:szCs w:val="21"/>
                <w:highlight w:val="none"/>
                <w:u w:val="single"/>
              </w:rPr>
              <w:t>的。</w:t>
            </w:r>
          </w:p>
        </w:tc>
      </w:tr>
      <w:tr w14:paraId="032788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4A80E938">
            <w:pPr>
              <w:spacing w:line="288" w:lineRule="auto"/>
              <w:jc w:val="center"/>
              <w:rPr>
                <w:rFonts w:ascii="宋体" w:hAnsi="宋体" w:eastAsia="宋体" w:cs="宋体"/>
                <w:color w:val="auto"/>
                <w:szCs w:val="21"/>
                <w:highlight w:val="none"/>
                <w:u w:val="single"/>
              </w:rPr>
            </w:pPr>
            <w:r>
              <w:rPr>
                <w:rFonts w:ascii="宋体" w:hAnsi="宋体" w:eastAsia="宋体" w:cs="宋体"/>
                <w:color w:val="auto"/>
                <w:szCs w:val="21"/>
                <w:highlight w:val="none"/>
                <w:u w:val="single"/>
              </w:rPr>
              <w:t>39</w:t>
            </w:r>
          </w:p>
        </w:tc>
        <w:tc>
          <w:tcPr>
            <w:tcW w:w="458" w:type="pct"/>
            <w:noWrap/>
            <w:vAlign w:val="center"/>
          </w:tcPr>
          <w:p w14:paraId="4FF929BE">
            <w:pPr>
              <w:snapToGrid w:val="0"/>
              <w:spacing w:line="288" w:lineRule="auto"/>
              <w:jc w:val="center"/>
              <w:rPr>
                <w:rFonts w:ascii="宋体" w:hAnsi="宋体" w:eastAsia="宋体" w:cs="宋体"/>
                <w:color w:val="auto"/>
                <w:szCs w:val="21"/>
                <w:highlight w:val="none"/>
              </w:rPr>
            </w:pPr>
          </w:p>
        </w:tc>
        <w:tc>
          <w:tcPr>
            <w:tcW w:w="915" w:type="pct"/>
            <w:noWrap/>
            <w:vAlign w:val="center"/>
          </w:tcPr>
          <w:p w14:paraId="79F426B5">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中标公示后中标单位提交投标文件要求</w:t>
            </w:r>
          </w:p>
        </w:tc>
        <w:tc>
          <w:tcPr>
            <w:tcW w:w="3262" w:type="pct"/>
            <w:tcBorders>
              <w:right w:val="double" w:color="auto" w:sz="4" w:space="0"/>
            </w:tcBorders>
            <w:noWrap/>
            <w:vAlign w:val="center"/>
          </w:tcPr>
          <w:p w14:paraId="6EAA03A0">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中标人在签订合同前需向招标人另行提供与投标递交的电子标书一致且加盖单位公章的纸质投标文件（含投标人须知</w:t>
            </w:r>
            <w:r>
              <w:rPr>
                <w:rFonts w:ascii="宋体" w:hAnsi="宋体" w:eastAsia="宋体" w:cs="宋体"/>
                <w:color w:val="auto"/>
                <w:szCs w:val="21"/>
                <w:highlight w:val="none"/>
                <w:u w:val="single"/>
              </w:rPr>
              <w:t xml:space="preserve">11.3列表明细包含的所有工程量清单报价表）4份及电子文件1份（不用生成投标书；包括用Microsoft Excel </w:t>
            </w:r>
            <w:r>
              <w:rPr>
                <w:rFonts w:hint="eastAsia" w:ascii="宋体" w:hAnsi="宋体" w:eastAsia="宋体" w:cs="宋体"/>
                <w:color w:val="auto"/>
                <w:szCs w:val="21"/>
                <w:highlight w:val="none"/>
                <w:u w:val="single"/>
              </w:rPr>
              <w:t>软件或广州交易集团有限公司（广州公共资源交易中心）提供的投标书制作软件制作的工程量清单报价表和单价分析表，用</w:t>
            </w:r>
            <w:r>
              <w:rPr>
                <w:rFonts w:ascii="宋体" w:hAnsi="宋体" w:eastAsia="宋体" w:cs="宋体"/>
                <w:color w:val="auto"/>
                <w:szCs w:val="21"/>
                <w:highlight w:val="none"/>
                <w:u w:val="single"/>
              </w:rPr>
              <w:t xml:space="preserve"> Microsoft Word </w:t>
            </w:r>
            <w:r>
              <w:rPr>
                <w:rFonts w:hint="eastAsia" w:ascii="宋体" w:hAnsi="宋体" w:eastAsia="宋体" w:cs="宋体"/>
                <w:color w:val="auto"/>
                <w:szCs w:val="21"/>
                <w:highlight w:val="none"/>
                <w:u w:val="single"/>
              </w:rPr>
              <w:t>软件或广州交易集团有限公司（广州公共资源交易中心）提供的投标书制作软件制作的经济投标文件其他部分。电子文件介质使用</w:t>
            </w:r>
            <w:r>
              <w:rPr>
                <w:rFonts w:ascii="宋体" w:hAnsi="宋体" w:eastAsia="宋体" w:cs="宋体"/>
                <w:color w:val="auto"/>
                <w:szCs w:val="21"/>
                <w:highlight w:val="none"/>
                <w:u w:val="single"/>
              </w:rPr>
              <w:t>CD-R光盘</w:t>
            </w:r>
            <w:r>
              <w:rPr>
                <w:rFonts w:hint="eastAsia" w:ascii="宋体" w:hAnsi="宋体" w:eastAsia="宋体" w:cs="宋体"/>
                <w:color w:val="auto"/>
                <w:szCs w:val="21"/>
                <w:highlight w:val="none"/>
                <w:u w:val="single"/>
              </w:rPr>
              <w:t>（或</w:t>
            </w:r>
            <w:r>
              <w:rPr>
                <w:rFonts w:ascii="宋体" w:hAnsi="宋体" w:eastAsia="宋体" w:cs="宋体"/>
                <w:color w:val="auto"/>
                <w:szCs w:val="21"/>
                <w:highlight w:val="none"/>
                <w:u w:val="single"/>
              </w:rPr>
              <w:t>U盘），所有电子文件不能采用压缩处理</w:t>
            </w:r>
            <w:r>
              <w:rPr>
                <w:rFonts w:hint="eastAsia" w:ascii="宋体" w:hAnsi="宋体" w:cs="宋体"/>
                <w:color w:val="auto"/>
                <w:szCs w:val="21"/>
                <w:highlight w:val="none"/>
                <w:u w:val="single"/>
              </w:rPr>
              <w:t>、无密码、无病毒</w:t>
            </w:r>
            <w:r>
              <w:rPr>
                <w:rFonts w:ascii="宋体" w:hAnsi="宋体" w:eastAsia="宋体" w:cs="宋体"/>
                <w:color w:val="auto"/>
                <w:szCs w:val="21"/>
                <w:highlight w:val="none"/>
                <w:u w:val="single"/>
              </w:rPr>
              <w:t>）。</w:t>
            </w:r>
          </w:p>
        </w:tc>
      </w:tr>
      <w:tr w14:paraId="3B45222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70" w:hRule="atLeast"/>
        </w:trPr>
        <w:tc>
          <w:tcPr>
            <w:tcW w:w="362" w:type="pct"/>
            <w:tcBorders>
              <w:left w:val="double" w:color="auto" w:sz="4" w:space="0"/>
            </w:tcBorders>
            <w:noWrap/>
            <w:vAlign w:val="center"/>
          </w:tcPr>
          <w:p w14:paraId="18019266">
            <w:pPr>
              <w:spacing w:line="288" w:lineRule="auto"/>
              <w:jc w:val="center"/>
              <w:rPr>
                <w:rFonts w:ascii="宋体" w:hAnsi="宋体" w:eastAsia="宋体" w:cs="宋体"/>
                <w:color w:val="auto"/>
                <w:szCs w:val="21"/>
                <w:highlight w:val="none"/>
                <w:u w:val="single"/>
              </w:rPr>
            </w:pPr>
          </w:p>
          <w:p w14:paraId="666DAA7E">
            <w:pPr>
              <w:spacing w:line="288" w:lineRule="auto"/>
              <w:jc w:val="center"/>
              <w:rPr>
                <w:rFonts w:ascii="宋体" w:hAnsi="宋体" w:eastAsia="宋体" w:cs="宋体"/>
                <w:color w:val="auto"/>
                <w:szCs w:val="21"/>
                <w:highlight w:val="none"/>
                <w:u w:val="single"/>
              </w:rPr>
            </w:pPr>
            <w:r>
              <w:rPr>
                <w:rFonts w:ascii="宋体" w:hAnsi="宋体" w:eastAsia="宋体" w:cs="宋体"/>
                <w:color w:val="auto"/>
                <w:szCs w:val="21"/>
                <w:highlight w:val="none"/>
                <w:u w:val="single"/>
              </w:rPr>
              <w:t>4</w:t>
            </w:r>
            <w:r>
              <w:rPr>
                <w:rFonts w:hint="eastAsia" w:ascii="宋体" w:hAnsi="宋体" w:eastAsia="宋体" w:cs="宋体"/>
                <w:color w:val="auto"/>
                <w:szCs w:val="21"/>
                <w:highlight w:val="none"/>
                <w:u w:val="single"/>
              </w:rPr>
              <w:t>0</w:t>
            </w:r>
          </w:p>
        </w:tc>
        <w:tc>
          <w:tcPr>
            <w:tcW w:w="458" w:type="pct"/>
            <w:noWrap/>
            <w:vAlign w:val="center"/>
          </w:tcPr>
          <w:p w14:paraId="606A0471">
            <w:pPr>
              <w:snapToGrid w:val="0"/>
              <w:spacing w:line="288" w:lineRule="auto"/>
              <w:jc w:val="center"/>
              <w:rPr>
                <w:rFonts w:ascii="宋体" w:hAnsi="宋体" w:eastAsia="宋体" w:cs="宋体"/>
                <w:color w:val="auto"/>
                <w:szCs w:val="21"/>
                <w:highlight w:val="none"/>
              </w:rPr>
            </w:pPr>
          </w:p>
        </w:tc>
        <w:tc>
          <w:tcPr>
            <w:tcW w:w="915" w:type="pct"/>
            <w:noWrap/>
            <w:vAlign w:val="center"/>
          </w:tcPr>
          <w:p w14:paraId="19C0C902">
            <w:pPr>
              <w:snapToGrid w:val="0"/>
              <w:spacing w:after="120" w:line="288" w:lineRule="auto"/>
              <w:rPr>
                <w:rFonts w:ascii="宋体" w:hAnsi="宋体" w:eastAsia="宋体" w:cs="宋体"/>
                <w:color w:val="auto"/>
                <w:szCs w:val="21"/>
                <w:highlight w:val="none"/>
                <w:u w:val="single"/>
              </w:rPr>
            </w:pPr>
          </w:p>
          <w:p w14:paraId="66A7CD33">
            <w:pPr>
              <w:snapToGrid w:val="0"/>
              <w:spacing w:after="120" w:line="288" w:lineRule="auto"/>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绿色发展理念</w:t>
            </w:r>
          </w:p>
        </w:tc>
        <w:tc>
          <w:tcPr>
            <w:tcW w:w="3262" w:type="pct"/>
            <w:tcBorders>
              <w:right w:val="double" w:color="auto" w:sz="4" w:space="0"/>
            </w:tcBorders>
            <w:noWrap/>
            <w:vAlign w:val="center"/>
          </w:tcPr>
          <w:p w14:paraId="7DB5145E">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开工前中标人应当投保安全生产责任保险，且该保险保障场所应包含中标项目。投标人的投标报价视为包含该项费用。中标人未按规定购买安全生产责任保险，招标人可视严重程度拒绝该单位一定时期内参与后续工程投标，在招标公告和合同专用条款中予以明确，并在后续工程招标时随招标公告发布拒绝投标名单（注明拒绝理由）。</w:t>
            </w:r>
          </w:p>
          <w:p w14:paraId="61041C0B">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2、为贯彻绿色发展理念，本项目应积极使用氢燃料电池泥头车等新能源工程车，要求投入的新能源工程车占投入的建筑垃圾自卸车（渣土车）总数比例不低于</w:t>
            </w:r>
            <w:r>
              <w:rPr>
                <w:rFonts w:ascii="宋体" w:hAnsi="宋体" w:eastAsia="宋体" w:cs="宋体"/>
                <w:color w:val="auto"/>
                <w:szCs w:val="21"/>
                <w:highlight w:val="none"/>
                <w:u w:val="single"/>
              </w:rPr>
              <w:t>40%。一旦中标，必须全部到位，否则按合同违约处理。</w:t>
            </w:r>
          </w:p>
        </w:tc>
      </w:tr>
      <w:tr w14:paraId="438821B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tcBorders>
            <w:noWrap/>
            <w:vAlign w:val="center"/>
          </w:tcPr>
          <w:p w14:paraId="1F854A92">
            <w:pPr>
              <w:spacing w:line="288" w:lineRule="auto"/>
              <w:jc w:val="center"/>
              <w:rPr>
                <w:rFonts w:ascii="宋体" w:hAnsi="宋体" w:eastAsia="宋体" w:cs="宋体"/>
                <w:color w:val="auto"/>
                <w:szCs w:val="21"/>
                <w:highlight w:val="none"/>
                <w:u w:val="single"/>
              </w:rPr>
            </w:pPr>
            <w:r>
              <w:rPr>
                <w:rFonts w:ascii="宋体" w:hAnsi="宋体" w:eastAsia="宋体" w:cs="宋体"/>
                <w:color w:val="auto"/>
                <w:szCs w:val="21"/>
                <w:highlight w:val="none"/>
                <w:u w:val="single"/>
              </w:rPr>
              <w:t>4</w:t>
            </w:r>
            <w:r>
              <w:rPr>
                <w:rFonts w:hint="eastAsia" w:ascii="宋体" w:hAnsi="宋体" w:eastAsia="宋体" w:cs="宋体"/>
                <w:color w:val="auto"/>
                <w:szCs w:val="21"/>
                <w:highlight w:val="none"/>
                <w:u w:val="single"/>
              </w:rPr>
              <w:t>1</w:t>
            </w:r>
          </w:p>
        </w:tc>
        <w:tc>
          <w:tcPr>
            <w:tcW w:w="458" w:type="pct"/>
            <w:noWrap/>
            <w:vAlign w:val="center"/>
          </w:tcPr>
          <w:p w14:paraId="70E9ED71">
            <w:pPr>
              <w:snapToGrid w:val="0"/>
              <w:spacing w:line="288" w:lineRule="auto"/>
              <w:jc w:val="center"/>
              <w:rPr>
                <w:rFonts w:ascii="宋体" w:hAnsi="宋体" w:eastAsia="宋体" w:cs="宋体"/>
                <w:color w:val="auto"/>
                <w:szCs w:val="21"/>
                <w:highlight w:val="none"/>
              </w:rPr>
            </w:pPr>
          </w:p>
        </w:tc>
        <w:tc>
          <w:tcPr>
            <w:tcW w:w="915" w:type="pct"/>
            <w:noWrap/>
            <w:vAlign w:val="center"/>
          </w:tcPr>
          <w:p w14:paraId="5FF610C7">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是否授权评标委员会确定中标人</w:t>
            </w:r>
          </w:p>
        </w:tc>
        <w:tc>
          <w:tcPr>
            <w:tcW w:w="3262" w:type="pct"/>
            <w:tcBorders>
              <w:right w:val="double" w:color="auto" w:sz="4" w:space="0"/>
            </w:tcBorders>
            <w:noWrap/>
            <w:vAlign w:val="center"/>
          </w:tcPr>
          <w:p w14:paraId="368B6011">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否。</w:t>
            </w:r>
          </w:p>
        </w:tc>
      </w:tr>
      <w:tr w14:paraId="00E0CA3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62" w:type="pct"/>
            <w:tcBorders>
              <w:left w:val="double" w:color="auto" w:sz="4" w:space="0"/>
              <w:bottom w:val="double" w:color="auto" w:sz="4" w:space="0"/>
            </w:tcBorders>
            <w:noWrap/>
            <w:vAlign w:val="center"/>
          </w:tcPr>
          <w:p w14:paraId="47139870">
            <w:pPr>
              <w:spacing w:line="288" w:lineRule="auto"/>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42</w:t>
            </w:r>
          </w:p>
        </w:tc>
        <w:tc>
          <w:tcPr>
            <w:tcW w:w="458" w:type="pct"/>
            <w:tcBorders>
              <w:bottom w:val="double" w:color="auto" w:sz="4" w:space="0"/>
            </w:tcBorders>
            <w:noWrap/>
            <w:vAlign w:val="center"/>
          </w:tcPr>
          <w:p w14:paraId="6A3E1BB9">
            <w:pPr>
              <w:snapToGrid w:val="0"/>
              <w:spacing w:line="288" w:lineRule="auto"/>
              <w:jc w:val="center"/>
              <w:rPr>
                <w:rFonts w:ascii="宋体" w:hAnsi="宋体" w:eastAsia="宋体" w:cs="宋体"/>
                <w:color w:val="auto"/>
                <w:szCs w:val="21"/>
                <w:highlight w:val="none"/>
              </w:rPr>
            </w:pPr>
          </w:p>
        </w:tc>
        <w:tc>
          <w:tcPr>
            <w:tcW w:w="915" w:type="pct"/>
            <w:tcBorders>
              <w:bottom w:val="double" w:color="auto" w:sz="4" w:space="0"/>
            </w:tcBorders>
            <w:noWrap/>
            <w:vAlign w:val="center"/>
          </w:tcPr>
          <w:p w14:paraId="69B696AF">
            <w:pPr>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项目负责人管理</w:t>
            </w:r>
          </w:p>
        </w:tc>
        <w:tc>
          <w:tcPr>
            <w:tcW w:w="3262" w:type="pct"/>
            <w:tcBorders>
              <w:bottom w:val="double" w:color="auto" w:sz="4" w:space="0"/>
              <w:right w:val="double" w:color="auto" w:sz="4" w:space="0"/>
            </w:tcBorders>
            <w:noWrap/>
            <w:vAlign w:val="center"/>
          </w:tcPr>
          <w:p w14:paraId="1425AD76">
            <w:pP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本工程的项目负责人管理执行《广州市住房和城乡建设局关于加强建筑工程项目负责人管理的通知》（穗建规字〔2025〕9 号）相关规定。</w:t>
            </w:r>
          </w:p>
        </w:tc>
      </w:tr>
    </w:tbl>
    <w:p w14:paraId="0BC37D0A">
      <w:pPr>
        <w:snapToGrid w:val="0"/>
        <w:spacing w:line="360" w:lineRule="auto"/>
        <w:rPr>
          <w:rFonts w:ascii="宋体" w:hAnsi="宋体" w:eastAsia="宋体" w:cs="宋体"/>
          <w:strike/>
          <w:color w:val="auto"/>
          <w:szCs w:val="21"/>
          <w:highlight w:val="none"/>
        </w:rPr>
      </w:pPr>
      <w:r>
        <w:rPr>
          <w:rFonts w:hint="eastAsia" w:ascii="宋体" w:hAnsi="宋体" w:eastAsia="宋体" w:cs="宋体"/>
          <w:strike/>
          <w:color w:val="auto"/>
          <w:sz w:val="24"/>
          <w:highlight w:val="none"/>
        </w:rPr>
        <w:t>注：企业综合诚信评价得分即企业综合诚信评价</w:t>
      </w:r>
      <w:r>
        <w:rPr>
          <w:rFonts w:ascii="宋体" w:hAnsi="宋体" w:eastAsia="宋体" w:cs="宋体"/>
          <w:strike/>
          <w:color w:val="auto"/>
          <w:sz w:val="24"/>
          <w:highlight w:val="none"/>
        </w:rPr>
        <w:t>60日诚信分，以下同。</w:t>
      </w:r>
    </w:p>
    <w:p w14:paraId="6B996A3F">
      <w:pPr>
        <w:pStyle w:val="5"/>
        <w:tabs>
          <w:tab w:val="left" w:pos="0"/>
        </w:tabs>
        <w:snapToGrid w:val="0"/>
        <w:spacing w:before="0" w:after="0" w:line="360" w:lineRule="auto"/>
        <w:jc w:val="center"/>
        <w:rPr>
          <w:rFonts w:ascii="宋体" w:hAnsi="宋体" w:eastAsia="宋体" w:cs="宋体"/>
          <w:color w:val="auto"/>
          <w:szCs w:val="32"/>
          <w:highlight w:val="none"/>
        </w:rPr>
      </w:pPr>
      <w:r>
        <w:rPr>
          <w:rFonts w:ascii="宋体" w:hAnsi="宋体" w:eastAsia="宋体" w:cs="宋体"/>
          <w:strike/>
          <w:color w:val="auto"/>
          <w:highlight w:val="none"/>
        </w:rPr>
        <w:br w:type="page"/>
      </w:r>
      <w:bookmarkStart w:id="3" w:name="_Toc6608"/>
      <w:r>
        <w:rPr>
          <w:rFonts w:hint="eastAsia" w:ascii="宋体" w:hAnsi="宋体" w:eastAsia="宋体" w:cs="宋体"/>
          <w:color w:val="auto"/>
          <w:szCs w:val="32"/>
          <w:highlight w:val="none"/>
        </w:rPr>
        <w:t>二、投标须知修改表</w:t>
      </w:r>
      <w:bookmarkEnd w:id="3"/>
    </w:p>
    <w:p w14:paraId="6DA865C6">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声明：本投标须知使用</w:t>
      </w:r>
      <w:r>
        <w:rPr>
          <w:rFonts w:ascii="宋体" w:hAnsi="宋体" w:eastAsia="宋体" w:cs="宋体"/>
          <w:b/>
          <w:color w:val="auto"/>
          <w:szCs w:val="21"/>
          <w:highlight w:val="none"/>
        </w:rPr>
        <w:t>GZZB2018-3招标文件范本</w:t>
      </w:r>
      <w:r>
        <w:rPr>
          <w:rFonts w:hint="eastAsia" w:ascii="宋体" w:hAnsi="宋体" w:eastAsia="宋体" w:cs="宋体"/>
          <w:b/>
          <w:color w:val="auto"/>
          <w:szCs w:val="21"/>
          <w:highlight w:val="none"/>
          <w:u w:val="single"/>
        </w:rPr>
        <w:t>[含招标文件范本（GZZB2018-3）修改对照表]</w:t>
      </w:r>
      <w:r>
        <w:rPr>
          <w:rFonts w:ascii="宋体" w:hAnsi="宋体" w:eastAsia="宋体" w:cs="宋体"/>
          <w:b/>
          <w:color w:val="auto"/>
          <w:szCs w:val="21"/>
          <w:highlight w:val="none"/>
        </w:rPr>
        <w:t>的投标须知通用条款，与该通用条款不同之处，均在本表中列明，并以现文为准，原文不再有效。本招标文件中不再转录投标须知通用条款，请投标人自行到广州市住房和城乡建设局网站（网址：</w:t>
      </w:r>
      <w:r>
        <w:rPr>
          <w:color w:val="auto"/>
          <w:highlight w:val="none"/>
        </w:rPr>
        <w:fldChar w:fldCharType="begin"/>
      </w:r>
      <w:r>
        <w:rPr>
          <w:color w:val="auto"/>
          <w:highlight w:val="none"/>
        </w:rPr>
        <w:instrText xml:space="preserve"> HYPERLINK "http://zfcj.gz.gov.cn/）下载查阅。" </w:instrText>
      </w:r>
      <w:r>
        <w:rPr>
          <w:color w:val="auto"/>
          <w:highlight w:val="none"/>
        </w:rPr>
        <w:fldChar w:fldCharType="separate"/>
      </w:r>
      <w:r>
        <w:rPr>
          <w:rFonts w:ascii="宋体" w:hAnsi="宋体" w:eastAsia="宋体" w:cs="宋体"/>
          <w:b/>
          <w:color w:val="auto"/>
          <w:szCs w:val="21"/>
          <w:highlight w:val="none"/>
        </w:rPr>
        <w:t>http</w:t>
      </w:r>
      <w:r>
        <w:rPr>
          <w:rFonts w:hint="eastAsia" w:ascii="宋体" w:hAnsi="宋体" w:eastAsia="宋体" w:cs="宋体"/>
          <w:b/>
          <w:color w:val="auto"/>
          <w:szCs w:val="21"/>
          <w:highlight w:val="none"/>
        </w:rPr>
        <w:t>：</w:t>
      </w:r>
      <w:r>
        <w:rPr>
          <w:rFonts w:ascii="宋体" w:hAnsi="宋体" w:eastAsia="宋体" w:cs="宋体"/>
          <w:b/>
          <w:color w:val="auto"/>
          <w:szCs w:val="21"/>
          <w:highlight w:val="none"/>
        </w:rPr>
        <w:t>//zfcj.gz.gov.cn/）下载查阅。</w:t>
      </w:r>
      <w:r>
        <w:rPr>
          <w:rFonts w:ascii="宋体" w:hAnsi="宋体" w:eastAsia="宋体" w:cs="宋体"/>
          <w:b/>
          <w:color w:val="auto"/>
          <w:szCs w:val="21"/>
          <w:highlight w:val="none"/>
        </w:rPr>
        <w:fldChar w:fldCharType="end"/>
      </w:r>
    </w:p>
    <w:p w14:paraId="05535B74">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2.5                        </w:t>
      </w:r>
      <w:r>
        <w:rPr>
          <w:rFonts w:hint="eastAsia" w:ascii="宋体" w:hAnsi="宋体" w:eastAsia="宋体" w:cs="宋体"/>
          <w:b/>
          <w:color w:val="auto"/>
          <w:szCs w:val="21"/>
          <w:highlight w:val="none"/>
        </w:rPr>
        <w:t xml:space="preserve"> 修改类型：增加</w:t>
      </w:r>
    </w:p>
    <w:p w14:paraId="3FA4E649">
      <w:pPr>
        <w:pBdr>
          <w:bottom w:val="single" w:color="auto" w:sz="6" w:space="1"/>
        </w:pBd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2.5</w:t>
      </w:r>
      <w:r>
        <w:rPr>
          <w:rFonts w:hint="eastAsia" w:ascii="宋体" w:hAnsi="宋体" w:eastAsia="宋体" w:cs="宋体"/>
          <w:bCs/>
          <w:color w:val="auto"/>
          <w:kern w:val="0"/>
          <w:szCs w:val="21"/>
          <w:highlight w:val="none"/>
          <w:u w:val="single"/>
        </w:rPr>
        <w:t>建设单位和中标人均不得委托近二年（从招标公告发布年度起逆推</w:t>
      </w:r>
      <w:r>
        <w:rPr>
          <w:rFonts w:ascii="宋体" w:hAnsi="宋体" w:eastAsia="宋体" w:cs="宋体"/>
          <w:bCs/>
          <w:color w:val="auto"/>
          <w:kern w:val="0"/>
          <w:szCs w:val="21"/>
          <w:highlight w:val="none"/>
          <w:u w:val="single"/>
        </w:rPr>
        <w:t>2年的1月1日起至投标截止时间止）因伪造检测数据、出具虚假检测报告被各级建设行政主管部门或市场监督管理部门行政处罚或通报的检测单位负责本项目的检测工作。</w:t>
      </w:r>
    </w:p>
    <w:p w14:paraId="16B829C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5.1                         </w:t>
      </w:r>
      <w:r>
        <w:rPr>
          <w:rFonts w:hint="eastAsia" w:ascii="宋体" w:hAnsi="宋体" w:eastAsia="宋体" w:cs="宋体"/>
          <w:b/>
          <w:color w:val="auto"/>
          <w:szCs w:val="21"/>
          <w:highlight w:val="none"/>
        </w:rPr>
        <w:t>修改类型：修改</w:t>
      </w:r>
    </w:p>
    <w:p w14:paraId="55473316">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w:t>
      </w:r>
      <w:r>
        <w:rPr>
          <w:rFonts w:ascii="宋体" w:hAnsi="宋体" w:eastAsia="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14:paraId="51D36A9D">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5.1投标人应按本投标须知前附表第15项所述时间和要求对工程现场及周围环境进行踏勘，投标人应充分重视和仔细地进行这种考察，以便投标人获取那些须投标人自己负责的有关编制投标文件和签署合同所涉及现场所有的资料</w:t>
      </w:r>
      <w:r>
        <w:rPr>
          <w:rFonts w:hint="eastAsia" w:ascii="宋体" w:hAnsi="宋体" w:eastAsia="宋体" w:cs="宋体"/>
          <w:color w:val="auto"/>
          <w:szCs w:val="21"/>
          <w:highlight w:val="none"/>
          <w:u w:val="single"/>
        </w:rPr>
        <w:t>，投标人不进行踏勘的，视为已熟知现场条件，自行承担相关风险</w:t>
      </w:r>
      <w:r>
        <w:rPr>
          <w:rFonts w:hint="eastAsia" w:ascii="宋体" w:hAnsi="宋体" w:eastAsia="宋体" w:cs="宋体"/>
          <w:color w:val="auto"/>
          <w:szCs w:val="21"/>
          <w:highlight w:val="none"/>
        </w:rPr>
        <w:t>。一旦中标，这种考察即被认为其结果已在中标文件中得到充分反映。</w:t>
      </w:r>
      <w:r>
        <w:rPr>
          <w:rFonts w:hint="eastAsia" w:ascii="宋体" w:hAnsi="宋体" w:eastAsia="宋体" w:cs="宋体"/>
          <w:color w:val="auto"/>
          <w:szCs w:val="21"/>
          <w:highlight w:val="none"/>
          <w:u w:val="single"/>
        </w:rPr>
        <w:t>招标人不受理因投标人缺乏对现场条件的了解或掌握而提出的任何索赔。</w:t>
      </w:r>
      <w:r>
        <w:rPr>
          <w:rFonts w:hint="eastAsia" w:ascii="宋体" w:hAnsi="宋体" w:eastAsia="宋体" w:cs="宋体"/>
          <w:color w:val="auto"/>
          <w:szCs w:val="21"/>
          <w:highlight w:val="none"/>
        </w:rPr>
        <w:t>考察现场的费用由投标人自己承担。</w:t>
      </w:r>
    </w:p>
    <w:p w14:paraId="50263DA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8.1                         </w:t>
      </w:r>
      <w:r>
        <w:rPr>
          <w:rFonts w:hint="eastAsia" w:ascii="宋体" w:hAnsi="宋体" w:eastAsia="宋体" w:cs="宋体"/>
          <w:b/>
          <w:color w:val="auto"/>
          <w:szCs w:val="21"/>
          <w:highlight w:val="none"/>
        </w:rPr>
        <w:t>修改类型：修改</w:t>
      </w:r>
    </w:p>
    <w:p w14:paraId="64762736">
      <w:pPr>
        <w:pStyle w:val="86"/>
        <w:pBdr>
          <w:bottom w:val="single" w:color="auto" w:sz="6" w:space="1"/>
        </w:pBdr>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 xml:space="preserve">8.1 </w:t>
      </w:r>
      <w:r>
        <w:rPr>
          <w:rFonts w:hint="eastAsia" w:ascii="宋体" w:hAnsi="宋体" w:eastAsia="宋体" w:cs="宋体"/>
          <w:color w:val="auto"/>
          <w:szCs w:val="21"/>
          <w:highlight w:val="none"/>
        </w:rPr>
        <w:t>投标人若对招标文件（包括招标图纸）中有疑问，可以书面形式通过</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交易平台提交给招标人或招标代理人，提交形式见本须知前附表第</w:t>
      </w:r>
      <w:r>
        <w:rPr>
          <w:rFonts w:ascii="宋体" w:hAnsi="宋体" w:eastAsia="宋体" w:cs="宋体"/>
          <w:color w:val="auto"/>
          <w:szCs w:val="21"/>
          <w:highlight w:val="none"/>
        </w:rPr>
        <w:t>16项。</w:t>
      </w:r>
    </w:p>
    <w:p w14:paraId="069BAA4A">
      <w:pPr>
        <w:pStyle w:val="86"/>
        <w:pBdr>
          <w:bottom w:val="single" w:color="auto" w:sz="6" w:space="1"/>
        </w:pBdr>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8.1</w:t>
      </w:r>
      <w:r>
        <w:rPr>
          <w:rFonts w:hint="eastAsia" w:ascii="宋体" w:hAnsi="宋体" w:eastAsia="宋体" w:cs="宋体"/>
          <w:bCs/>
          <w:color w:val="auto"/>
          <w:szCs w:val="21"/>
          <w:highlight w:val="none"/>
        </w:rPr>
        <w:t>投标人若对招标文件（包括招标图纸</w:t>
      </w:r>
      <w:r>
        <w:rPr>
          <w:rFonts w:hint="eastAsia" w:ascii="宋体" w:hAnsi="宋体" w:eastAsia="宋体" w:cs="宋体"/>
          <w:bCs/>
          <w:color w:val="auto"/>
          <w:szCs w:val="21"/>
          <w:highlight w:val="none"/>
          <w:u w:val="single"/>
        </w:rPr>
        <w:t>、清单、最高投标限价）</w:t>
      </w:r>
      <w:r>
        <w:rPr>
          <w:rFonts w:hint="eastAsia" w:ascii="宋体" w:hAnsi="宋体" w:eastAsia="宋体" w:cs="宋体"/>
          <w:bCs/>
          <w:color w:val="auto"/>
          <w:szCs w:val="21"/>
          <w:highlight w:val="none"/>
        </w:rPr>
        <w:t>中有疑问，</w:t>
      </w:r>
      <w:r>
        <w:rPr>
          <w:rFonts w:hint="eastAsia" w:ascii="宋体" w:hAnsi="宋体" w:eastAsia="宋体" w:cs="宋体"/>
          <w:bCs/>
          <w:color w:val="auto"/>
          <w:szCs w:val="21"/>
          <w:highlight w:val="none"/>
          <w:u w:val="single"/>
        </w:rPr>
        <w:t>采用网上答疑方式进行，详见</w:t>
      </w:r>
      <w:r>
        <w:rPr>
          <w:rFonts w:hint="eastAsia" w:ascii="宋体" w:hAnsi="宋体" w:eastAsia="宋体" w:cs="宋体"/>
          <w:bCs/>
          <w:color w:val="auto"/>
          <w:szCs w:val="21"/>
          <w:highlight w:val="none"/>
        </w:rPr>
        <w:t>本须知前附表第</w:t>
      </w:r>
      <w:r>
        <w:rPr>
          <w:rFonts w:ascii="宋体" w:hAnsi="宋体" w:eastAsia="宋体" w:cs="宋体"/>
          <w:bCs/>
          <w:color w:val="auto"/>
          <w:szCs w:val="21"/>
          <w:highlight w:val="none"/>
        </w:rPr>
        <w:t>16项。</w:t>
      </w:r>
    </w:p>
    <w:p w14:paraId="020EDFBE">
      <w:pPr>
        <w:spacing w:line="360" w:lineRule="auto"/>
        <w:ind w:firstLine="472" w:firstLineChars="224"/>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8.2                        </w:t>
      </w:r>
      <w:r>
        <w:rPr>
          <w:rFonts w:hint="eastAsia" w:ascii="宋体" w:hAnsi="宋体" w:eastAsia="宋体" w:cs="宋体"/>
          <w:b/>
          <w:color w:val="auto"/>
          <w:szCs w:val="21"/>
          <w:highlight w:val="none"/>
        </w:rPr>
        <w:t>修改类型：修改</w:t>
      </w:r>
    </w:p>
    <w:p w14:paraId="0D17EB28">
      <w:pPr>
        <w:pStyle w:val="86"/>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Cs/>
          <w:color w:val="auto"/>
          <w:szCs w:val="21"/>
          <w:highlight w:val="none"/>
        </w:rPr>
        <w:t>8.2</w:t>
      </w:r>
      <w:r>
        <w:rPr>
          <w:rFonts w:hint="eastAsia" w:ascii="宋体" w:hAnsi="宋体" w:eastAsia="宋体" w:cs="宋体"/>
          <w:color w:val="auto"/>
          <w:szCs w:val="21"/>
          <w:highlight w:val="none"/>
        </w:rPr>
        <w:t>招标答疑会会议纪要将在提交投标文件截止时间</w:t>
      </w:r>
      <w:r>
        <w:rPr>
          <w:rFonts w:ascii="宋体" w:hAnsi="宋体" w:eastAsia="宋体" w:cs="宋体"/>
          <w:color w:val="auto"/>
          <w:szCs w:val="21"/>
          <w:highlight w:val="none"/>
        </w:rPr>
        <w:t>15日前在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交易平台“项目答疑纪要”专区公开发布。答疑纪要一经在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交易平台发布，视作已发放给所有投标人。</w:t>
      </w:r>
    </w:p>
    <w:p w14:paraId="66BA9FDB">
      <w:pPr>
        <w:pStyle w:val="86"/>
        <w:pBdr>
          <w:bottom w:val="single" w:color="auto" w:sz="4" w:space="1"/>
        </w:pBdr>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8.2</w:t>
      </w:r>
      <w:r>
        <w:rPr>
          <w:rFonts w:hint="eastAsia" w:ascii="宋体" w:hAnsi="宋体" w:eastAsia="宋体" w:cs="宋体"/>
          <w:color w:val="auto"/>
          <w:szCs w:val="21"/>
          <w:highlight w:val="none"/>
          <w:u w:val="single"/>
        </w:rPr>
        <w:t>招标答疑纪要</w:t>
      </w:r>
      <w:r>
        <w:rPr>
          <w:rFonts w:hint="eastAsia" w:ascii="宋体" w:hAnsi="宋体" w:eastAsia="宋体" w:cs="宋体"/>
          <w:color w:val="auto"/>
          <w:szCs w:val="21"/>
          <w:highlight w:val="none"/>
        </w:rPr>
        <w:t>将在提交投标文件截止时间</w:t>
      </w:r>
      <w:r>
        <w:rPr>
          <w:rFonts w:ascii="宋体" w:hAnsi="宋体" w:eastAsia="宋体" w:cs="宋体"/>
          <w:color w:val="auto"/>
          <w:szCs w:val="21"/>
          <w:highlight w:val="none"/>
        </w:rPr>
        <w:t>15日前</w:t>
      </w:r>
      <w:r>
        <w:rPr>
          <w:rFonts w:hint="eastAsia" w:ascii="宋体" w:hAnsi="宋体" w:eastAsia="宋体" w:cs="宋体"/>
          <w:color w:val="auto"/>
          <w:szCs w:val="21"/>
          <w:highlight w:val="none"/>
          <w:u w:val="single"/>
        </w:rPr>
        <w:t>在广州交易集团有限公司（广州公共资源交易中心）网站“项目查询（日程安排、答疑纪要）”</w:t>
      </w:r>
      <w:r>
        <w:rPr>
          <w:rFonts w:hint="eastAsia" w:ascii="宋体" w:hAnsi="宋体" w:eastAsia="宋体" w:cs="宋体"/>
          <w:color w:val="auto"/>
          <w:szCs w:val="21"/>
          <w:highlight w:val="none"/>
        </w:rPr>
        <w:t>专区公开发布。答疑纪要一经</w:t>
      </w:r>
      <w:r>
        <w:rPr>
          <w:rFonts w:hint="eastAsia" w:ascii="宋体" w:hAnsi="宋体" w:eastAsia="宋体" w:cs="宋体"/>
          <w:color w:val="auto"/>
          <w:szCs w:val="21"/>
          <w:highlight w:val="none"/>
          <w:u w:val="single"/>
        </w:rPr>
        <w:t>在广州交易集团有限公司（广州公共资源交易中心）网站</w:t>
      </w:r>
      <w:r>
        <w:rPr>
          <w:rFonts w:hint="eastAsia" w:ascii="宋体" w:hAnsi="宋体" w:eastAsia="宋体" w:cs="宋体"/>
          <w:color w:val="auto"/>
          <w:szCs w:val="21"/>
          <w:highlight w:val="none"/>
        </w:rPr>
        <w:t>发布，视作已发放给所有投标人。</w:t>
      </w:r>
    </w:p>
    <w:p w14:paraId="66517D0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8.4</w:t>
      </w:r>
      <w:r>
        <w:rPr>
          <w:rFonts w:hint="eastAsia" w:ascii="宋体" w:hAnsi="宋体" w:eastAsia="宋体" w:cs="宋体"/>
          <w:b/>
          <w:color w:val="auto"/>
          <w:szCs w:val="21"/>
          <w:highlight w:val="none"/>
        </w:rPr>
        <w:t xml:space="preserve">                         </w:t>
      </w:r>
      <w:r>
        <w:rPr>
          <w:rFonts w:ascii="宋体" w:hAnsi="宋体" w:eastAsia="宋体" w:cs="宋体"/>
          <w:b/>
          <w:color w:val="auto"/>
          <w:szCs w:val="21"/>
          <w:highlight w:val="none"/>
        </w:rPr>
        <w:t>修改类型：修改</w:t>
      </w:r>
    </w:p>
    <w:p w14:paraId="49028F11">
      <w:pPr>
        <w:pStyle w:val="86"/>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8.4若招标答疑会会议纪要与招标文件有矛盾，以答疑会议纪要最后发出的书面形式的文件为准。</w:t>
      </w:r>
    </w:p>
    <w:p w14:paraId="6808D3A3">
      <w:pPr>
        <w:pStyle w:val="86"/>
        <w:pBdr>
          <w:bottom w:val="single" w:color="auto" w:sz="4" w:space="1"/>
        </w:pBdr>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8.4</w:t>
      </w:r>
      <w:r>
        <w:rPr>
          <w:rFonts w:hint="eastAsia" w:ascii="宋体" w:hAnsi="宋体" w:eastAsia="宋体" w:cs="宋体"/>
          <w:color w:val="auto"/>
          <w:szCs w:val="21"/>
          <w:highlight w:val="none"/>
        </w:rPr>
        <w:t>若</w:t>
      </w:r>
      <w:r>
        <w:rPr>
          <w:rFonts w:hint="eastAsia" w:ascii="宋体" w:hAnsi="宋体" w:eastAsia="宋体" w:cs="宋体"/>
          <w:color w:val="auto"/>
          <w:szCs w:val="21"/>
          <w:highlight w:val="none"/>
          <w:u w:val="single"/>
        </w:rPr>
        <w:t>招标答疑纪要</w:t>
      </w:r>
      <w:r>
        <w:rPr>
          <w:rFonts w:hint="eastAsia" w:ascii="宋体" w:hAnsi="宋体" w:eastAsia="宋体" w:cs="宋体"/>
          <w:color w:val="auto"/>
          <w:szCs w:val="21"/>
          <w:highlight w:val="none"/>
        </w:rPr>
        <w:t>与招标文件有矛盾，</w:t>
      </w:r>
      <w:r>
        <w:rPr>
          <w:rFonts w:hint="eastAsia" w:ascii="宋体" w:hAnsi="宋体" w:eastAsia="宋体" w:cs="宋体"/>
          <w:color w:val="auto"/>
          <w:szCs w:val="21"/>
          <w:highlight w:val="none"/>
          <w:u w:val="single"/>
        </w:rPr>
        <w:t>以广州交易集团有限公司（广州公共资源交易中心）网站最后发布的答疑纪要为准</w:t>
      </w:r>
      <w:r>
        <w:rPr>
          <w:rFonts w:hint="eastAsia" w:ascii="宋体" w:hAnsi="宋体" w:eastAsia="宋体" w:cs="宋体"/>
          <w:color w:val="auto"/>
          <w:szCs w:val="21"/>
          <w:highlight w:val="none"/>
        </w:rPr>
        <w:t>。</w:t>
      </w:r>
    </w:p>
    <w:p w14:paraId="228FEB4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9.2                          </w:t>
      </w:r>
      <w:r>
        <w:rPr>
          <w:rFonts w:hint="eastAsia" w:ascii="宋体" w:hAnsi="宋体" w:eastAsia="宋体" w:cs="宋体"/>
          <w:b/>
          <w:color w:val="auto"/>
          <w:szCs w:val="21"/>
          <w:highlight w:val="none"/>
        </w:rPr>
        <w:t>修改类型：修改</w:t>
      </w:r>
    </w:p>
    <w:p w14:paraId="3DAAE9B6">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9.2招标文件的澄清或修改将在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交易平台“项目答疑纪要”专区公开发布。答疑纪要一经在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交易平台发布，视作已发放给所有投标人，以</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交易平台上网发布时间作为送达时间。</w:t>
      </w:r>
    </w:p>
    <w:p w14:paraId="161A0032">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9.2招标文件的澄清或修改</w:t>
      </w:r>
      <w:r>
        <w:rPr>
          <w:rFonts w:hint="eastAsia" w:ascii="宋体" w:hAnsi="宋体" w:eastAsia="宋体" w:cs="宋体"/>
          <w:color w:val="auto"/>
          <w:szCs w:val="21"/>
          <w:highlight w:val="none"/>
          <w:u w:val="single"/>
        </w:rPr>
        <w:t>在广州交易集团有限公司（广州公共资源交易中心）网站“项目查询（日程安排、答疑纪要）”</w:t>
      </w:r>
      <w:r>
        <w:rPr>
          <w:rFonts w:hint="eastAsia" w:ascii="宋体" w:hAnsi="宋体" w:eastAsia="宋体" w:cs="宋体"/>
          <w:color w:val="auto"/>
          <w:szCs w:val="21"/>
          <w:highlight w:val="none"/>
        </w:rPr>
        <w:t>专区公开发布。答疑纪要一经在</w:t>
      </w:r>
      <w:r>
        <w:rPr>
          <w:rFonts w:hint="eastAsia" w:ascii="宋体" w:hAnsi="宋体" w:eastAsia="宋体" w:cs="宋体"/>
          <w:color w:val="auto"/>
          <w:szCs w:val="21"/>
          <w:highlight w:val="none"/>
          <w:u w:val="single"/>
        </w:rPr>
        <w:t>广州交易集团有限公司（广州公共资源交易中心）网站</w:t>
      </w:r>
      <w:r>
        <w:rPr>
          <w:rFonts w:hint="eastAsia" w:ascii="宋体" w:hAnsi="宋体" w:eastAsia="宋体" w:cs="宋体"/>
          <w:color w:val="auto"/>
          <w:szCs w:val="21"/>
          <w:highlight w:val="none"/>
        </w:rPr>
        <w:t>发布，视作已发放给所有投标人，以</w:t>
      </w:r>
      <w:r>
        <w:rPr>
          <w:rFonts w:hint="eastAsia" w:ascii="宋体" w:hAnsi="宋体" w:eastAsia="宋体" w:cs="宋体"/>
          <w:color w:val="auto"/>
          <w:szCs w:val="21"/>
          <w:highlight w:val="none"/>
          <w:u w:val="single"/>
        </w:rPr>
        <w:t>广州交易集团有限公司（广州公共资源交易中心）网站</w:t>
      </w:r>
      <w:r>
        <w:rPr>
          <w:rFonts w:hint="eastAsia" w:ascii="宋体" w:hAnsi="宋体" w:eastAsia="宋体" w:cs="宋体"/>
          <w:color w:val="auto"/>
          <w:szCs w:val="21"/>
          <w:highlight w:val="none"/>
        </w:rPr>
        <w:t>发布时间作为送达时间。</w:t>
      </w:r>
    </w:p>
    <w:p w14:paraId="1A6CB00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9.4             </w:t>
      </w:r>
      <w:r>
        <w:rPr>
          <w:rFonts w:hint="eastAsia" w:ascii="宋体" w:hAnsi="宋体" w:eastAsia="宋体" w:cs="宋体"/>
          <w:b/>
          <w:color w:val="auto"/>
          <w:szCs w:val="21"/>
          <w:highlight w:val="none"/>
        </w:rPr>
        <w:t xml:space="preserve">            修改类型：修改</w:t>
      </w:r>
    </w:p>
    <w:p w14:paraId="00F9391B">
      <w:pPr>
        <w:pStyle w:val="86"/>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 xml:space="preserve"> 9.4招标文件的澄清或修改均以书面形式明确的内容为准。当招标文件的澄清、修改、补充等在同一内容的表述不一致时，以最后发出的书面形式的文件为准。</w:t>
      </w:r>
    </w:p>
    <w:p w14:paraId="6E9C4D40">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9.4招标文件的澄清或修改均以</w:t>
      </w:r>
      <w:r>
        <w:rPr>
          <w:rFonts w:hint="eastAsia" w:ascii="宋体" w:hAnsi="宋体" w:eastAsia="宋体" w:cs="宋体"/>
          <w:color w:val="auto"/>
          <w:szCs w:val="21"/>
          <w:highlight w:val="none"/>
          <w:u w:val="single"/>
        </w:rPr>
        <w:t>广州交易集团有限公司（广州公共资源交易中心）网上答疑公布</w:t>
      </w:r>
      <w:r>
        <w:rPr>
          <w:rFonts w:hint="eastAsia" w:ascii="宋体" w:hAnsi="宋体" w:eastAsia="宋体" w:cs="宋体"/>
          <w:color w:val="auto"/>
          <w:szCs w:val="21"/>
          <w:highlight w:val="none"/>
        </w:rPr>
        <w:t>的内容为准。当招标文件的澄清、修改、补充等在同一内容的表述不一致时，以</w:t>
      </w:r>
      <w:r>
        <w:rPr>
          <w:rFonts w:hint="eastAsia" w:ascii="宋体" w:hAnsi="宋体" w:eastAsia="宋体" w:cs="宋体"/>
          <w:color w:val="auto"/>
          <w:szCs w:val="21"/>
          <w:highlight w:val="none"/>
          <w:u w:val="single"/>
        </w:rPr>
        <w:t>广州交易集团有限公司（广州公共资源交易中心）网站</w:t>
      </w:r>
      <w:r>
        <w:rPr>
          <w:rFonts w:hint="eastAsia" w:ascii="宋体" w:hAnsi="宋体" w:eastAsia="宋体" w:cs="宋体"/>
          <w:color w:val="auto"/>
          <w:szCs w:val="21"/>
          <w:highlight w:val="none"/>
        </w:rPr>
        <w:t>最后发出的</w:t>
      </w:r>
      <w:r>
        <w:rPr>
          <w:rFonts w:hint="eastAsia" w:ascii="宋体" w:hAnsi="宋体" w:eastAsia="宋体" w:cs="宋体"/>
          <w:color w:val="auto"/>
          <w:szCs w:val="21"/>
          <w:highlight w:val="none"/>
          <w:u w:val="single"/>
        </w:rPr>
        <w:t>文件</w:t>
      </w:r>
      <w:r>
        <w:rPr>
          <w:rFonts w:hint="eastAsia" w:ascii="宋体" w:hAnsi="宋体" w:eastAsia="宋体" w:cs="宋体"/>
          <w:color w:val="auto"/>
          <w:szCs w:val="21"/>
          <w:highlight w:val="none"/>
        </w:rPr>
        <w:t>为准。</w:t>
      </w:r>
    </w:p>
    <w:p w14:paraId="4AD1EB22">
      <w:pPr>
        <w:spacing w:line="360" w:lineRule="auto"/>
        <w:ind w:firstLine="472" w:firstLineChars="224"/>
        <w:rPr>
          <w:rFonts w:ascii="宋体" w:hAnsi="宋体" w:eastAsia="宋体" w:cs="Times New Roman"/>
          <w:b/>
          <w:color w:val="auto"/>
          <w:szCs w:val="21"/>
          <w:highlight w:val="none"/>
        </w:rPr>
      </w:pPr>
      <w:r>
        <w:rPr>
          <w:rFonts w:hint="eastAsia" w:ascii="宋体" w:hAnsi="宋体" w:eastAsia="宋体" w:cs="Times New Roman"/>
          <w:b/>
          <w:color w:val="auto"/>
          <w:szCs w:val="21"/>
          <w:highlight w:val="none"/>
        </w:rPr>
        <w:t>条款号：11.1</w:t>
      </w:r>
      <w:r>
        <w:rPr>
          <w:rFonts w:ascii="宋体" w:hAnsi="宋体" w:eastAsia="宋体" w:cs="Times New Roman"/>
          <w:b/>
          <w:color w:val="auto"/>
          <w:szCs w:val="21"/>
          <w:highlight w:val="none"/>
        </w:rPr>
        <w:t xml:space="preserve">           </w:t>
      </w:r>
      <w:r>
        <w:rPr>
          <w:rFonts w:hint="eastAsia" w:ascii="宋体" w:hAnsi="宋体" w:eastAsia="宋体" w:cs="Times New Roman"/>
          <w:b/>
          <w:color w:val="auto"/>
          <w:szCs w:val="21"/>
          <w:highlight w:val="none"/>
        </w:rPr>
        <w:t xml:space="preserve">            修改类型：修改</w:t>
      </w:r>
    </w:p>
    <w:p w14:paraId="0F15C768">
      <w:pPr>
        <w:pBdr>
          <w:bottom w:val="single" w:color="auto" w:sz="4" w:space="0"/>
        </w:pBdr>
        <w:spacing w:line="360" w:lineRule="auto"/>
        <w:ind w:firstLine="472" w:firstLineChars="224"/>
        <w:rPr>
          <w:rFonts w:ascii="宋体" w:hAnsi="宋体" w:eastAsia="宋体" w:cs="Times New Roman"/>
          <w:bCs/>
          <w:color w:val="auto"/>
          <w:szCs w:val="21"/>
          <w:highlight w:val="none"/>
        </w:rPr>
      </w:pPr>
      <w:r>
        <w:rPr>
          <w:rFonts w:hint="eastAsia" w:ascii="宋体" w:hAnsi="宋体" w:eastAsia="宋体" w:cs="Times New Roman"/>
          <w:b/>
          <w:color w:val="auto"/>
          <w:szCs w:val="21"/>
          <w:highlight w:val="none"/>
        </w:rPr>
        <w:t>原文：</w:t>
      </w:r>
      <w:r>
        <w:rPr>
          <w:rFonts w:hint="eastAsia" w:ascii="宋体" w:hAnsi="宋体" w:eastAsia="宋体" w:cs="Times New Roman"/>
          <w:bCs/>
          <w:color w:val="auto"/>
          <w:szCs w:val="21"/>
          <w:highlight w:val="none"/>
        </w:rPr>
        <w:t>投标文件由技术部分（含资格审查文件）和经济部分二部分投标文件组成。</w:t>
      </w:r>
    </w:p>
    <w:p w14:paraId="057AE809">
      <w:pPr>
        <w:pBdr>
          <w:bottom w:val="single" w:color="auto" w:sz="4" w:space="0"/>
        </w:pBdr>
        <w:spacing w:line="360" w:lineRule="auto"/>
        <w:ind w:firstLine="472" w:firstLineChars="224"/>
        <w:rPr>
          <w:rFonts w:ascii="宋体" w:hAnsi="宋体" w:eastAsia="宋体" w:cs="Times New Roman"/>
          <w:bCs/>
          <w:color w:val="auto"/>
          <w:szCs w:val="21"/>
          <w:highlight w:val="none"/>
        </w:rPr>
      </w:pPr>
      <w:r>
        <w:rPr>
          <w:rFonts w:hint="eastAsia" w:ascii="宋体" w:hAnsi="宋体" w:eastAsia="宋体" w:cs="Times New Roman"/>
          <w:b/>
          <w:color w:val="auto"/>
          <w:szCs w:val="21"/>
          <w:highlight w:val="none"/>
        </w:rPr>
        <w:t>现文：</w:t>
      </w:r>
      <w:r>
        <w:rPr>
          <w:rFonts w:hint="eastAsia" w:ascii="宋体" w:hAnsi="宋体" w:eastAsia="宋体" w:cs="Times New Roman"/>
          <w:bCs/>
          <w:color w:val="auto"/>
          <w:szCs w:val="21"/>
          <w:highlight w:val="none"/>
        </w:rPr>
        <w:t>投标文件由</w:t>
      </w:r>
      <w:r>
        <w:rPr>
          <w:rFonts w:hint="eastAsia" w:ascii="宋体" w:hAnsi="宋体" w:eastAsia="宋体" w:cs="Times New Roman"/>
          <w:bCs/>
          <w:color w:val="auto"/>
          <w:szCs w:val="21"/>
          <w:highlight w:val="none"/>
          <w:u w:val="single"/>
        </w:rPr>
        <w:t>技术标投标文件（含资格审查文件）、经济标投标文件和定标文件三</w:t>
      </w:r>
      <w:r>
        <w:rPr>
          <w:rFonts w:hint="eastAsia" w:ascii="宋体" w:hAnsi="宋体" w:eastAsia="宋体" w:cs="Times New Roman"/>
          <w:bCs/>
          <w:color w:val="auto"/>
          <w:szCs w:val="21"/>
          <w:highlight w:val="none"/>
        </w:rPr>
        <w:t>部分文件组成。</w:t>
      </w:r>
    </w:p>
    <w:p w14:paraId="2A9BB10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11.2                        </w:t>
      </w:r>
      <w:r>
        <w:rPr>
          <w:rFonts w:hint="eastAsia" w:ascii="宋体" w:hAnsi="宋体" w:eastAsia="宋体" w:cs="宋体"/>
          <w:b/>
          <w:color w:val="auto"/>
          <w:szCs w:val="21"/>
          <w:highlight w:val="none"/>
        </w:rPr>
        <w:t>修改类型：修改</w:t>
      </w:r>
    </w:p>
    <w:p w14:paraId="03C5C1A5">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Cs/>
          <w:color w:val="auto"/>
          <w:szCs w:val="21"/>
          <w:highlight w:val="none"/>
        </w:rPr>
        <w:t>11.2投标文件技术标部分主要包括下列内容：</w:t>
      </w:r>
    </w:p>
    <w:p w14:paraId="70394F1D">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11.2.1 </w:t>
      </w:r>
      <w:r>
        <w:rPr>
          <w:rFonts w:hint="eastAsia" w:ascii="宋体" w:hAnsi="宋体" w:eastAsia="宋体" w:cs="宋体"/>
          <w:bCs/>
          <w:color w:val="auto"/>
          <w:szCs w:val="21"/>
          <w:highlight w:val="none"/>
        </w:rPr>
        <w:t>技术投标文件</w:t>
      </w:r>
      <w:r>
        <w:rPr>
          <w:rFonts w:ascii="宋体" w:hAnsi="宋体" w:eastAsia="宋体" w:cs="宋体"/>
          <w:color w:val="auto"/>
          <w:szCs w:val="21"/>
          <w:highlight w:val="none"/>
        </w:rPr>
        <w:t>(按招标文件的要求填写)</w:t>
      </w:r>
      <w:r>
        <w:rPr>
          <w:rFonts w:hint="eastAsia" w:ascii="宋体" w:hAnsi="宋体" w:eastAsia="宋体" w:cs="宋体"/>
          <w:bCs/>
          <w:color w:val="auto"/>
          <w:szCs w:val="21"/>
          <w:highlight w:val="none"/>
        </w:rPr>
        <w:t>；</w:t>
      </w:r>
    </w:p>
    <w:p w14:paraId="6BF4A350">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11.2.2 </w:t>
      </w:r>
      <w:r>
        <w:rPr>
          <w:rFonts w:hint="eastAsia" w:ascii="宋体" w:hAnsi="宋体" w:eastAsia="宋体" w:cs="宋体"/>
          <w:bCs/>
          <w:color w:val="auto"/>
          <w:szCs w:val="21"/>
          <w:highlight w:val="none"/>
        </w:rPr>
        <w:t>资格审查文件：</w:t>
      </w:r>
    </w:p>
    <w:p w14:paraId="50F66BC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1）投标人声明；</w:t>
      </w:r>
    </w:p>
    <w:p w14:paraId="5A4FCF32">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2）法定代表人证明书、法定代表人签字或盖章的本投标文件授权委托证明书；</w:t>
      </w:r>
    </w:p>
    <w:p w14:paraId="4858A649">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3）企业营业执照扫描件或电子证照；</w:t>
      </w:r>
    </w:p>
    <w:p w14:paraId="57880607">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4）企业资质证书扫描件或电子证照；</w:t>
      </w:r>
    </w:p>
    <w:p w14:paraId="090DED49">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5）建筑施工企业安全生产许可证扫描件或电子证照；</w:t>
      </w:r>
    </w:p>
    <w:p w14:paraId="68AD8BF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6）项目负责人（按网上投标登记时选择拟投标的项目负责人）；</w:t>
      </w:r>
    </w:p>
    <w:p w14:paraId="66D31AC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7）专职安全员（按网上投标登记时选择拟投标的专职安全员）；</w:t>
      </w:r>
    </w:p>
    <w:p w14:paraId="228C217A">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8）拟委派技术负责人的相关证书、资料（具体要求由招标人明确）；</w:t>
      </w:r>
    </w:p>
    <w:p w14:paraId="4E8E3E90">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9）拟委派项目负责人的有效期内的建造师注册证书扫描件或电子证书；</w:t>
      </w:r>
    </w:p>
    <w:p w14:paraId="2A1A275F">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10）项目负责人在有效期内的安全生产考核合格证书（B类）或建筑施工企业项目负责人安全生产考核合格证书扫描件或电子证书；</w:t>
      </w:r>
    </w:p>
    <w:p w14:paraId="643F9B5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78E722A0">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12）用于资格审查的业绩（设置业绩要求时选择此项，投标人须提供类似工程业绩的项目名称及项目编号，具体格式由招标人自定）；</w:t>
      </w:r>
    </w:p>
    <w:p w14:paraId="0B56F015">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54958C1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0CCAD67E">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注：</w:t>
      </w:r>
      <w:r>
        <w:rPr>
          <w:rFonts w:ascii="宋体" w:hAnsi="宋体" w:eastAsia="宋体" w:cs="宋体"/>
          <w:bCs/>
          <w:color w:val="auto"/>
          <w:szCs w:val="21"/>
          <w:highlight w:val="none"/>
        </w:rPr>
        <w:t>1.相关电子证书按规定需打印后手写本人签名的，应按照规定手写本人签名后再扫描提交。</w:t>
      </w:r>
    </w:p>
    <w:p w14:paraId="69501B85">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142474F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11.2.3项目管理机构配备。</w:t>
      </w:r>
    </w:p>
    <w:p w14:paraId="625498B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1）投标人应列出该项目工程的施工组织机构构成和画出机构框架图及其负责人；</w:t>
      </w:r>
    </w:p>
    <w:p w14:paraId="4A4FD33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2）投标人应详细列出该施工组织机构中主要成员的名单、简历资料、职务职称和在本项目中拟担任的职务等资料，并附上有关证明材料扫描件；</w:t>
      </w:r>
    </w:p>
    <w:p w14:paraId="52A3F67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3）其他辅助说明资料。</w:t>
      </w:r>
    </w:p>
    <w:p w14:paraId="05CE5299">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11.2.4投标人在广州市可使用适合本工程的机械设备（附：机械设备为自有或租赁的说明；及承诺机械设备如属于租赁的，其租赁是不属于重复租赁）。</w:t>
      </w:r>
    </w:p>
    <w:p w14:paraId="40BBD379">
      <w:pPr>
        <w:tabs>
          <w:tab w:val="left" w:pos="1125"/>
        </w:tabs>
        <w:spacing w:line="360" w:lineRule="auto"/>
        <w:ind w:firstLine="420" w:firstLineChars="200"/>
        <w:rPr>
          <w:rFonts w:ascii="宋体" w:hAnsi="宋体" w:eastAsia="宋体" w:cs="宋体"/>
          <w:bCs/>
          <w:color w:val="auto"/>
          <w:kern w:val="0"/>
          <w:szCs w:val="21"/>
          <w:highlight w:val="none"/>
        </w:rPr>
      </w:pPr>
      <w:r>
        <w:rPr>
          <w:rFonts w:ascii="宋体" w:hAnsi="宋体" w:eastAsia="宋体" w:cs="宋体"/>
          <w:bCs/>
          <w:color w:val="auto"/>
          <w:kern w:val="0"/>
          <w:szCs w:val="21"/>
          <w:highlight w:val="none"/>
        </w:rPr>
        <w:t>11.2.5施工组织设计或施工方案。</w:t>
      </w:r>
    </w:p>
    <w:p w14:paraId="790E8D1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74AC75F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09FB077B">
      <w:pPr>
        <w:tabs>
          <w:tab w:val="left" w:pos="1125"/>
        </w:tabs>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11.2.6按照</w:t>
      </w:r>
      <w:r>
        <w:rPr>
          <w:rFonts w:hint="eastAsia" w:ascii="宋体" w:hAnsi="宋体" w:eastAsia="宋体" w:cs="宋体"/>
          <w:bCs/>
          <w:color w:val="auto"/>
          <w:szCs w:val="21"/>
          <w:highlight w:val="none"/>
        </w:rPr>
        <w:t>招标文件要求</w:t>
      </w:r>
      <w:r>
        <w:rPr>
          <w:rFonts w:hint="eastAsia" w:ascii="宋体" w:hAnsi="宋体" w:eastAsia="宋体" w:cs="宋体"/>
          <w:color w:val="auto"/>
          <w:szCs w:val="21"/>
          <w:highlight w:val="none"/>
        </w:rPr>
        <w:t>填写的《参与编制技术标投标文件人员名单》。</w:t>
      </w:r>
    </w:p>
    <w:p w14:paraId="711AE5B7">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11.2</w:t>
      </w:r>
      <w:r>
        <w:rPr>
          <w:rFonts w:hint="eastAsia" w:ascii="宋体" w:hAnsi="宋体" w:eastAsia="宋体" w:cs="宋体"/>
          <w:color w:val="auto"/>
          <w:szCs w:val="21"/>
          <w:highlight w:val="none"/>
        </w:rPr>
        <w:t>投标文件技术标部分</w:t>
      </w:r>
      <w:r>
        <w:rPr>
          <w:rFonts w:hint="eastAsia" w:ascii="宋体" w:hAnsi="宋体" w:eastAsia="宋体" w:cs="宋体"/>
          <w:color w:val="auto"/>
          <w:szCs w:val="21"/>
          <w:highlight w:val="none"/>
          <w:u w:val="single"/>
        </w:rPr>
        <w:t>（含资格审查文件）</w:t>
      </w:r>
      <w:r>
        <w:rPr>
          <w:rFonts w:hint="eastAsia" w:ascii="宋体" w:hAnsi="宋体" w:eastAsia="宋体" w:cs="宋体"/>
          <w:color w:val="auto"/>
          <w:szCs w:val="21"/>
          <w:highlight w:val="none"/>
        </w:rPr>
        <w:t>主要包括下列内容</w:t>
      </w:r>
      <w:r>
        <w:rPr>
          <w:rFonts w:hint="eastAsia" w:ascii="宋体" w:hAnsi="宋体" w:eastAsia="宋体" w:cs="宋体"/>
          <w:color w:val="auto"/>
          <w:szCs w:val="21"/>
          <w:highlight w:val="none"/>
          <w:u w:val="single"/>
        </w:rPr>
        <w:t>（均为清晰扫描件或电子证照或电子证书或网页截图即可）</w:t>
      </w:r>
      <w:r>
        <w:rPr>
          <w:rFonts w:hint="eastAsia" w:ascii="宋体" w:hAnsi="宋体" w:eastAsia="宋体" w:cs="宋体"/>
          <w:color w:val="auto"/>
          <w:szCs w:val="21"/>
          <w:highlight w:val="none"/>
        </w:rPr>
        <w:t>：</w:t>
      </w:r>
    </w:p>
    <w:p w14:paraId="62B55A2C">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11.2.1</w:t>
      </w:r>
      <w:r>
        <w:rPr>
          <w:rFonts w:ascii="宋体" w:hAnsi="宋体" w:eastAsia="宋体" w:cs="宋体"/>
          <w:color w:val="auto"/>
          <w:szCs w:val="21"/>
          <w:highlight w:val="none"/>
          <w:u w:val="single"/>
        </w:rPr>
        <w:t>广州建设工程施工招标投标书（技术标）</w:t>
      </w:r>
      <w:r>
        <w:rPr>
          <w:rFonts w:hint="eastAsia" w:ascii="宋体" w:hAnsi="宋体" w:eastAsia="宋体" w:cs="宋体"/>
          <w:bCs/>
          <w:color w:val="auto"/>
          <w:szCs w:val="21"/>
          <w:highlight w:val="none"/>
          <w:u w:val="single"/>
        </w:rPr>
        <w:t>（格式见招标文件第四章，具体格式以《广州建设工程施工招标投标书（技术标）》为准；电子投标管理软件编制的“广州建设工程施工招标投标书”不作为否决投标的条件</w:t>
      </w:r>
      <w:r>
        <w:rPr>
          <w:rFonts w:ascii="宋体" w:hAnsi="宋体" w:eastAsia="宋体" w:cs="宋体"/>
          <w:bCs/>
          <w:color w:val="auto"/>
          <w:szCs w:val="21"/>
          <w:highlight w:val="none"/>
          <w:u w:val="single"/>
        </w:rPr>
        <w:t>)</w:t>
      </w:r>
      <w:r>
        <w:rPr>
          <w:rFonts w:hint="eastAsia" w:ascii="宋体" w:hAnsi="宋体" w:eastAsia="宋体" w:cs="宋体"/>
          <w:color w:val="auto"/>
          <w:szCs w:val="21"/>
          <w:highlight w:val="none"/>
        </w:rPr>
        <w:t>。</w:t>
      </w:r>
    </w:p>
    <w:p w14:paraId="484834C1">
      <w:pPr>
        <w:spacing w:line="360" w:lineRule="auto"/>
        <w:ind w:firstLine="420" w:firstLineChars="200"/>
        <w:rPr>
          <w:rFonts w:ascii="宋体" w:hAnsi="宋体" w:eastAsia="宋体" w:cs="宋体"/>
          <w:color w:val="auto"/>
          <w:szCs w:val="21"/>
          <w:highlight w:val="none"/>
        </w:rPr>
      </w:pPr>
      <w:r>
        <w:rPr>
          <w:rFonts w:ascii="宋体" w:hAnsi="宋体" w:eastAsia="宋体" w:cs="宋体"/>
          <w:bCs/>
          <w:color w:val="auto"/>
          <w:szCs w:val="21"/>
          <w:highlight w:val="none"/>
        </w:rPr>
        <w:t xml:space="preserve">11.2.2 </w:t>
      </w:r>
      <w:r>
        <w:rPr>
          <w:rFonts w:hint="eastAsia" w:ascii="宋体" w:hAnsi="宋体" w:eastAsia="宋体" w:cs="宋体"/>
          <w:bCs/>
          <w:color w:val="auto"/>
          <w:szCs w:val="21"/>
          <w:highlight w:val="none"/>
        </w:rPr>
        <w:t>资格审查文件：</w:t>
      </w:r>
    </w:p>
    <w:p w14:paraId="747624B0">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1）投标人声明</w:t>
      </w:r>
      <w:r>
        <w:rPr>
          <w:rFonts w:hint="eastAsia" w:ascii="宋体" w:hAnsi="宋体" w:eastAsia="宋体" w:cs="宋体"/>
          <w:bCs/>
          <w:color w:val="auto"/>
          <w:szCs w:val="21"/>
          <w:highlight w:val="none"/>
          <w:u w:val="single"/>
        </w:rPr>
        <w:t>扫描件（须按招标公告附件内容及格式要求编制）；</w:t>
      </w:r>
    </w:p>
    <w:p w14:paraId="2412118C">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2）法定代表人证明书</w:t>
      </w:r>
      <w:r>
        <w:rPr>
          <w:rFonts w:hint="eastAsia" w:ascii="宋体" w:hAnsi="宋体" w:eastAsia="宋体" w:cs="宋体"/>
          <w:bCs/>
          <w:color w:val="auto"/>
          <w:szCs w:val="21"/>
          <w:highlight w:val="none"/>
          <w:u w:val="single"/>
        </w:rPr>
        <w:t>扫描件、有效的法定代表人身份证扫描件；</w:t>
      </w:r>
      <w:r>
        <w:rPr>
          <w:rFonts w:hint="eastAsia" w:ascii="宋体" w:hAnsi="宋体" w:eastAsia="宋体" w:cs="宋体"/>
          <w:color w:val="auto"/>
          <w:szCs w:val="21"/>
          <w:highlight w:val="none"/>
          <w:u w:val="single"/>
        </w:rPr>
        <w:t>委托投标的还应提供</w:t>
      </w:r>
      <w:r>
        <w:rPr>
          <w:rFonts w:ascii="宋体" w:hAnsi="宋体" w:eastAsia="宋体" w:cs="宋体"/>
          <w:bCs/>
          <w:color w:val="auto"/>
          <w:szCs w:val="21"/>
          <w:highlight w:val="none"/>
        </w:rPr>
        <w:t>法定代表人签字或盖章的本投标文件授权委托证明书</w:t>
      </w:r>
      <w:r>
        <w:rPr>
          <w:rFonts w:hint="eastAsia" w:ascii="宋体" w:hAnsi="宋体" w:eastAsia="宋体" w:cs="宋体"/>
          <w:bCs/>
          <w:color w:val="auto"/>
          <w:szCs w:val="21"/>
          <w:highlight w:val="none"/>
          <w:u w:val="single"/>
        </w:rPr>
        <w:t>扫描件、有效的被授权委托人身份证扫描件、被授权委托人离投标截止时间最近的至少1个月（</w:t>
      </w:r>
      <w:r>
        <w:rPr>
          <w:rFonts w:ascii="宋体" w:hAnsi="宋体" w:eastAsia="宋体" w:cs="宋体"/>
          <w:bCs/>
          <w:color w:val="auto"/>
          <w:szCs w:val="21"/>
          <w:highlight w:val="none"/>
          <w:u w:val="single"/>
        </w:rPr>
        <w:t>2025年</w:t>
      </w:r>
      <w:r>
        <w:rPr>
          <w:rFonts w:hint="eastAsia" w:ascii="宋体" w:hAnsi="宋体" w:eastAsia="宋体" w:cs="宋体"/>
          <w:bCs/>
          <w:color w:val="auto"/>
          <w:szCs w:val="21"/>
          <w:highlight w:val="none"/>
          <w:u w:val="single"/>
        </w:rPr>
        <w:t>9</w:t>
      </w:r>
      <w:r>
        <w:rPr>
          <w:rFonts w:ascii="宋体" w:hAnsi="宋体" w:eastAsia="宋体" w:cs="宋体"/>
          <w:bCs/>
          <w:color w:val="auto"/>
          <w:szCs w:val="21"/>
          <w:highlight w:val="none"/>
          <w:u w:val="single"/>
        </w:rPr>
        <w:t>月或</w:t>
      </w:r>
      <w:r>
        <w:rPr>
          <w:rFonts w:hint="eastAsia" w:ascii="宋体" w:hAnsi="宋体" w:eastAsia="宋体" w:cs="宋体"/>
          <w:bCs/>
          <w:color w:val="auto"/>
          <w:szCs w:val="21"/>
          <w:highlight w:val="none"/>
          <w:u w:val="single"/>
        </w:rPr>
        <w:t>10</w:t>
      </w:r>
      <w:r>
        <w:rPr>
          <w:rFonts w:ascii="宋体" w:hAnsi="宋体" w:eastAsia="宋体" w:cs="宋体"/>
          <w:bCs/>
          <w:color w:val="auto"/>
          <w:szCs w:val="21"/>
          <w:highlight w:val="none"/>
          <w:u w:val="single"/>
        </w:rPr>
        <w:t>月</w:t>
      </w:r>
      <w:r>
        <w:rPr>
          <w:rFonts w:hint="eastAsia" w:ascii="宋体" w:hAnsi="宋体" w:eastAsia="宋体" w:cs="宋体"/>
          <w:bCs/>
          <w:color w:val="auto"/>
          <w:szCs w:val="21"/>
          <w:highlight w:val="none"/>
          <w:u w:val="single"/>
        </w:rPr>
        <w:t>）在本单位缴纳的社保证明文件；</w:t>
      </w:r>
    </w:p>
    <w:p w14:paraId="5202EB2A">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3）</w:t>
      </w:r>
      <w:r>
        <w:rPr>
          <w:rFonts w:hint="eastAsia" w:ascii="宋体" w:hAnsi="宋体" w:eastAsia="宋体" w:cs="宋体"/>
          <w:color w:val="auto"/>
          <w:szCs w:val="21"/>
          <w:highlight w:val="none"/>
          <w:u w:val="single"/>
        </w:rPr>
        <w:t>在有效期内的</w:t>
      </w:r>
      <w:r>
        <w:rPr>
          <w:rFonts w:ascii="宋体" w:hAnsi="宋体" w:eastAsia="宋体" w:cs="宋体"/>
          <w:bCs/>
          <w:color w:val="auto"/>
          <w:szCs w:val="21"/>
          <w:highlight w:val="none"/>
        </w:rPr>
        <w:t>企业营业执照</w:t>
      </w:r>
      <w:r>
        <w:rPr>
          <w:rFonts w:hint="eastAsia" w:ascii="宋体" w:hAnsi="宋体" w:eastAsia="宋体" w:cs="宋体"/>
          <w:bCs/>
          <w:color w:val="auto"/>
          <w:szCs w:val="21"/>
          <w:highlight w:val="none"/>
        </w:rPr>
        <w:t>扫描件或电子证照；</w:t>
      </w:r>
    </w:p>
    <w:p w14:paraId="1D3050C7">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4）企业资质证书</w:t>
      </w:r>
      <w:r>
        <w:rPr>
          <w:rFonts w:hint="eastAsia" w:ascii="宋体" w:hAnsi="宋体" w:eastAsia="宋体" w:cs="宋体"/>
          <w:bCs/>
          <w:color w:val="auto"/>
          <w:szCs w:val="21"/>
          <w:highlight w:val="none"/>
        </w:rPr>
        <w:t>扫描件或电子证照，</w:t>
      </w:r>
      <w:r>
        <w:rPr>
          <w:rFonts w:hint="eastAsia" w:ascii="宋体" w:hAnsi="宋体" w:eastAsia="宋体" w:cs="宋体"/>
          <w:color w:val="auto"/>
          <w:szCs w:val="21"/>
          <w:highlight w:val="none"/>
          <w:u w:val="single"/>
        </w:rPr>
        <w:t>或办理了资质延期的证明资料（如有，须符合招标公告第九条第4款注①的规定）</w:t>
      </w:r>
      <w:r>
        <w:rPr>
          <w:rFonts w:hint="eastAsia" w:ascii="宋体" w:hAnsi="宋体" w:eastAsia="宋体" w:cs="宋体"/>
          <w:bCs/>
          <w:color w:val="auto"/>
          <w:szCs w:val="21"/>
          <w:highlight w:val="none"/>
          <w:u w:val="single"/>
        </w:rPr>
        <w:t>；</w:t>
      </w:r>
    </w:p>
    <w:p w14:paraId="52C1894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5）建筑施工企业安全生产许可证</w:t>
      </w:r>
      <w:r>
        <w:rPr>
          <w:rFonts w:hint="eastAsia" w:ascii="宋体" w:hAnsi="宋体" w:eastAsia="宋体" w:cs="宋体"/>
          <w:bCs/>
          <w:color w:val="auto"/>
          <w:szCs w:val="21"/>
          <w:highlight w:val="none"/>
        </w:rPr>
        <w:t>扫描件或电子证照；</w:t>
      </w:r>
    </w:p>
    <w:p w14:paraId="5DA65ED1">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6）项目负责人（按网上投标登记时选择拟投标的项目负责人）；</w:t>
      </w:r>
    </w:p>
    <w:p w14:paraId="3556FE44">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7）专职安全员（按网上投标登记时选择拟投标的专职安全员）；</w:t>
      </w:r>
    </w:p>
    <w:p w14:paraId="5484F40D">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8）拟委派技术负责人的</w:t>
      </w:r>
      <w:r>
        <w:rPr>
          <w:rFonts w:hint="eastAsia" w:ascii="宋体" w:hAnsi="宋体" w:eastAsia="宋体" w:cs="宋体"/>
          <w:bCs/>
          <w:color w:val="auto"/>
          <w:szCs w:val="21"/>
          <w:highlight w:val="none"/>
          <w:u w:val="single"/>
        </w:rPr>
        <w:t>职称证书扫描件或电子证</w:t>
      </w:r>
      <w:r>
        <w:rPr>
          <w:rFonts w:hint="eastAsia" w:ascii="宋体" w:hAnsi="宋体" w:eastAsia="宋体" w:cs="宋体"/>
          <w:bCs/>
          <w:color w:val="auto"/>
          <w:szCs w:val="21"/>
          <w:highlight w:val="none"/>
          <w:u w:val="single"/>
        </w:rPr>
        <w:t>书</w:t>
      </w:r>
      <w:r>
        <w:rPr>
          <w:rFonts w:hint="eastAsia" w:ascii="宋体" w:hAnsi="宋体" w:eastAsia="宋体" w:cs="宋体"/>
          <w:bCs/>
          <w:color w:val="auto"/>
          <w:szCs w:val="21"/>
          <w:highlight w:val="none"/>
          <w:u w:val="single"/>
        </w:rPr>
        <w:t>；</w:t>
      </w:r>
    </w:p>
    <w:p w14:paraId="1144B68F">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9）拟委派项目负责人的有效期内的建造师证书扫描件或电子证书；</w:t>
      </w:r>
    </w:p>
    <w:p w14:paraId="76F654F3">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10）项目负责人在有效期内的安全生产考核合格证（B类）或建筑施工企业项目负责人安全生产考核合格证书扫描件或电子证书；</w:t>
      </w:r>
    </w:p>
    <w:p w14:paraId="4FEA74AB">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11）专职安全员须具有在有效期内的安全考核合格证书（C类）或建筑施工企业专职安全生产管理人员安全生产考核合格证书</w:t>
      </w:r>
      <w:r>
        <w:rPr>
          <w:rFonts w:hint="eastAsia" w:ascii="宋体" w:hAnsi="宋体" w:eastAsia="宋体" w:cs="宋体"/>
          <w:bCs/>
          <w:color w:val="auto"/>
          <w:szCs w:val="21"/>
          <w:highlight w:val="none"/>
          <w:u w:val="single"/>
        </w:rPr>
        <w:t>（</w:t>
      </w:r>
      <w:r>
        <w:rPr>
          <w:rFonts w:ascii="宋体" w:hAnsi="宋体" w:eastAsia="宋体" w:cs="宋体"/>
          <w:bCs/>
          <w:color w:val="auto"/>
          <w:szCs w:val="21"/>
          <w:highlight w:val="none"/>
          <w:u w:val="single"/>
        </w:rPr>
        <w:t>C3）</w:t>
      </w:r>
      <w:r>
        <w:rPr>
          <w:rFonts w:hint="eastAsia" w:ascii="宋体" w:hAnsi="宋体" w:eastAsia="宋体" w:cs="宋体"/>
          <w:bCs/>
          <w:color w:val="auto"/>
          <w:szCs w:val="21"/>
          <w:highlight w:val="none"/>
        </w:rPr>
        <w:t>扫描件或电子证书；</w:t>
      </w:r>
    </w:p>
    <w:p w14:paraId="7D2CFF2E">
      <w:pPr>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u w:val="single"/>
        </w:rPr>
        <w:t>（</w:t>
      </w:r>
      <w:r>
        <w:rPr>
          <w:rFonts w:ascii="宋体" w:hAnsi="宋体" w:eastAsia="宋体" w:cs="宋体"/>
          <w:bCs/>
          <w:color w:val="auto"/>
          <w:szCs w:val="21"/>
          <w:highlight w:val="none"/>
          <w:u w:val="single"/>
        </w:rPr>
        <w:t>12）</w:t>
      </w:r>
      <w:r>
        <w:rPr>
          <w:rFonts w:ascii="宋体" w:hAnsi="宋体" w:eastAsia="宋体" w:cs="宋体"/>
          <w:bCs/>
          <w:color w:val="auto"/>
          <w:szCs w:val="21"/>
          <w:highlight w:val="none"/>
        </w:rPr>
        <w:t>资格审查前，投标人须在广州市住房和城乡建设局建立企业信用档案，拟担任本工程项目负责人、专职安全员须是</w:t>
      </w:r>
      <w:r>
        <w:rPr>
          <w:rFonts w:hint="eastAsia" w:ascii="宋体" w:hAnsi="宋体" w:eastAsia="宋体" w:cs="宋体"/>
          <w:bCs/>
          <w:color w:val="auto"/>
          <w:szCs w:val="21"/>
          <w:highlight w:val="none"/>
        </w:rPr>
        <w:t>本</w:t>
      </w:r>
      <w:r>
        <w:rPr>
          <w:rFonts w:ascii="宋体" w:hAnsi="宋体" w:eastAsia="宋体" w:cs="宋体"/>
          <w:bCs/>
          <w:color w:val="auto"/>
          <w:szCs w:val="21"/>
          <w:highlight w:val="none"/>
        </w:rPr>
        <w:t>企业信用档案中的在册人员</w:t>
      </w:r>
      <w:r>
        <w:rPr>
          <w:rFonts w:hint="eastAsia" w:ascii="宋体" w:hAnsi="宋体" w:eastAsia="宋体" w:cs="宋体"/>
          <w:bCs/>
          <w:color w:val="auto"/>
          <w:szCs w:val="21"/>
          <w:highlight w:val="none"/>
          <w:u w:val="single"/>
        </w:rPr>
        <w:t>（投标人无需提供证明材料）</w:t>
      </w:r>
      <w:r>
        <w:rPr>
          <w:rFonts w:hint="eastAsia" w:ascii="宋体" w:hAnsi="宋体" w:eastAsia="宋体" w:cs="宋体"/>
          <w:bCs/>
          <w:color w:val="auto"/>
          <w:szCs w:val="21"/>
          <w:highlight w:val="none"/>
        </w:rPr>
        <w:t>；</w:t>
      </w:r>
    </w:p>
    <w:p w14:paraId="1A313272">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w:t>
      </w:r>
      <w:r>
        <w:rPr>
          <w:rFonts w:ascii="宋体" w:hAnsi="宋体" w:eastAsia="宋体" w:cs="宋体"/>
          <w:bCs/>
          <w:color w:val="auto"/>
          <w:szCs w:val="21"/>
          <w:highlight w:val="none"/>
          <w:u w:val="single"/>
        </w:rPr>
        <w:t>1</w:t>
      </w:r>
      <w:r>
        <w:rPr>
          <w:rFonts w:hint="eastAsia" w:ascii="宋体" w:hAnsi="宋体" w:eastAsia="宋体" w:cs="宋体"/>
          <w:bCs/>
          <w:color w:val="auto"/>
          <w:szCs w:val="21"/>
          <w:highlight w:val="none"/>
          <w:u w:val="single"/>
        </w:rPr>
        <w:t>3）投标人未在以往工程中因不充分履约行为被本项目招标人书面拒绝投标的</w:t>
      </w:r>
      <w:r>
        <w:rPr>
          <w:rFonts w:hint="eastAsia" w:ascii="宋体" w:hAnsi="宋体" w:eastAsia="宋体" w:cs="宋体"/>
          <w:color w:val="auto"/>
          <w:szCs w:val="22"/>
          <w:highlight w:val="none"/>
          <w:u w:val="single"/>
        </w:rPr>
        <w:t>（在拒绝投标的期限内）</w:t>
      </w:r>
      <w:r>
        <w:rPr>
          <w:rFonts w:hint="eastAsia" w:ascii="宋体" w:hAnsi="宋体" w:cs="宋体"/>
          <w:color w:val="auto"/>
          <w:highlight w:val="none"/>
          <w:u w:val="single"/>
        </w:rPr>
        <w:t>（投标人无需提供资料，资格审查时，按招标公告附件二《被招标人拒绝投标的企业名单》对比结果进行评审）</w:t>
      </w:r>
      <w:r>
        <w:rPr>
          <w:rFonts w:hint="eastAsia" w:ascii="宋体" w:hAnsi="宋体" w:eastAsia="宋体" w:cs="宋体"/>
          <w:bCs/>
          <w:color w:val="auto"/>
          <w:szCs w:val="21"/>
          <w:highlight w:val="none"/>
          <w:u w:val="single"/>
        </w:rPr>
        <w:t>；</w:t>
      </w:r>
    </w:p>
    <w:p w14:paraId="46242327">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w:t>
      </w:r>
      <w:r>
        <w:rPr>
          <w:rFonts w:ascii="宋体" w:hAnsi="宋体" w:eastAsia="宋体" w:cs="宋体"/>
          <w:bCs/>
          <w:color w:val="auto"/>
          <w:szCs w:val="21"/>
          <w:highlight w:val="none"/>
          <w:u w:val="single"/>
        </w:rPr>
        <w:t>14</w:t>
      </w:r>
      <w:r>
        <w:rPr>
          <w:rFonts w:hint="eastAsia" w:ascii="宋体" w:hAnsi="宋体" w:eastAsia="宋体" w:cs="宋体"/>
          <w:bCs/>
          <w:color w:val="auto"/>
          <w:szCs w:val="21"/>
          <w:highlight w:val="none"/>
          <w:u w:val="single"/>
        </w:rPr>
        <w:t>）投标人未出现以下情形：与其他投标人的单位负责人为同一人或者存在控股、管理关系的（按投标人提供的《投标人声明》第九条内容进行评审）</w:t>
      </w:r>
      <w:r>
        <w:rPr>
          <w:rFonts w:ascii="宋体" w:hAnsi="宋体" w:eastAsia="宋体" w:cs="宋体"/>
          <w:bCs/>
          <w:color w:val="auto"/>
          <w:szCs w:val="21"/>
          <w:highlight w:val="none"/>
          <w:u w:val="single"/>
        </w:rPr>
        <w:t>。如不同投标申请人出现单位负责人为同一人或者存在控股、管理关系的情形，则均按不符合投标人合格条件处理。</w:t>
      </w:r>
    </w:p>
    <w:p w14:paraId="08BB9183">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若投标人未列全符合相关条件的单位，但同时未列全的相关单位未参与本项目投标的，不视为该投标人违反了本条规定，不作为对其投标文件进行无效标处理的依据。</w:t>
      </w:r>
    </w:p>
    <w:p w14:paraId="2AC9C204">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w:t>
      </w:r>
      <w:r>
        <w:rPr>
          <w:rFonts w:ascii="宋体" w:hAnsi="宋体" w:eastAsia="宋体" w:cs="宋体"/>
          <w:bCs/>
          <w:color w:val="auto"/>
          <w:szCs w:val="21"/>
          <w:highlight w:val="none"/>
          <w:u w:val="single"/>
        </w:rPr>
        <w:t>15</w:t>
      </w:r>
      <w:r>
        <w:rPr>
          <w:rFonts w:hint="eastAsia" w:ascii="宋体" w:hAnsi="宋体" w:eastAsia="宋体" w:cs="宋体"/>
          <w:bCs/>
          <w:color w:val="auto"/>
          <w:szCs w:val="21"/>
          <w:highlight w:val="none"/>
          <w:u w:val="single"/>
        </w:rPr>
        <w:t>）投标人未被列入拖欠农民工工资失信联合惩戒对象名单和失信被执行人</w:t>
      </w:r>
      <w:r>
        <w:rPr>
          <w:rFonts w:hint="eastAsia" w:ascii="宋体" w:hAnsi="宋体" w:cs="宋体"/>
          <w:color w:val="auto"/>
          <w:highlight w:val="none"/>
          <w:u w:val="single"/>
        </w:rPr>
        <w:t>（投标人无需提供资料，按投标截止时间广州交易集团有限公司（广州公共资源交易中心）交易系统比对的结果进行评审）</w:t>
      </w:r>
      <w:r>
        <w:rPr>
          <w:rFonts w:hint="eastAsia" w:ascii="宋体" w:hAnsi="宋体" w:eastAsia="宋体" w:cs="宋体"/>
          <w:bCs/>
          <w:color w:val="auto"/>
          <w:szCs w:val="21"/>
          <w:highlight w:val="none"/>
          <w:u w:val="single"/>
        </w:rPr>
        <w:t>；</w:t>
      </w:r>
    </w:p>
    <w:p w14:paraId="2BB34FC5">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w:t>
      </w:r>
      <w:r>
        <w:rPr>
          <w:rFonts w:ascii="宋体" w:hAnsi="宋体" w:eastAsia="宋体" w:cs="宋体"/>
          <w:bCs/>
          <w:color w:val="auto"/>
          <w:szCs w:val="21"/>
          <w:highlight w:val="none"/>
          <w:u w:val="single"/>
        </w:rPr>
        <w:t>1</w:t>
      </w:r>
      <w:r>
        <w:rPr>
          <w:rFonts w:hint="eastAsia" w:ascii="宋体" w:hAnsi="宋体" w:eastAsia="宋体" w:cs="宋体"/>
          <w:bCs/>
          <w:color w:val="auto"/>
          <w:szCs w:val="21"/>
          <w:highlight w:val="none"/>
          <w:u w:val="single"/>
        </w:rPr>
        <w:t>6）投标人认为应提供的其他资审资料（如有）。</w:t>
      </w:r>
    </w:p>
    <w:p w14:paraId="09B4C9F6">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注：</w:t>
      </w:r>
      <w:r>
        <w:rPr>
          <w:rFonts w:ascii="宋体" w:hAnsi="宋体" w:eastAsia="宋体" w:cs="宋体"/>
          <w:color w:val="auto"/>
          <w:szCs w:val="21"/>
          <w:highlight w:val="none"/>
        </w:rPr>
        <w:t>1.</w:t>
      </w:r>
      <w:r>
        <w:rPr>
          <w:rFonts w:hint="eastAsia" w:ascii="宋体" w:hAnsi="宋体" w:eastAsia="宋体" w:cs="宋体"/>
          <w:color w:val="auto"/>
          <w:szCs w:val="21"/>
          <w:highlight w:val="none"/>
        </w:rPr>
        <w:t>相关电子证书按规定需打印后手写本人签名的，应按照规定手写本人签名后再扫描提交。</w:t>
      </w:r>
    </w:p>
    <w:p w14:paraId="5CC3A84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w:t>
      </w:r>
      <w:r>
        <w:rPr>
          <w:rFonts w:hint="eastAsia" w:ascii="宋体" w:hAnsi="宋体" w:cs="宋体"/>
          <w:color w:val="auto"/>
          <w:highlight w:val="none"/>
          <w:u w:val="single"/>
        </w:rPr>
        <w:t>本</w:t>
      </w:r>
      <w:r>
        <w:rPr>
          <w:rFonts w:ascii="宋体" w:hAnsi="宋体" w:eastAsia="宋体" w:cs="宋体"/>
          <w:color w:val="auto"/>
          <w:szCs w:val="21"/>
          <w:highlight w:val="none"/>
        </w:rPr>
        <w:t>企业信用档案中的在册人员”的要求，投标人无需提供证明材料。</w:t>
      </w:r>
    </w:p>
    <w:p w14:paraId="24F8CD54">
      <w:pPr>
        <w:spacing w:line="360" w:lineRule="auto"/>
        <w:ind w:firstLine="420" w:firstLineChars="200"/>
        <w:rPr>
          <w:rFonts w:ascii="宋体" w:hAnsi="宋体" w:eastAsia="宋体" w:cs="宋体"/>
          <w:color w:val="auto"/>
          <w:szCs w:val="21"/>
          <w:highlight w:val="none"/>
          <w:u w:val="single"/>
        </w:rPr>
      </w:pPr>
      <w:r>
        <w:rPr>
          <w:rFonts w:ascii="宋体" w:hAnsi="宋体" w:eastAsia="宋体" w:cs="宋体"/>
          <w:color w:val="auto"/>
          <w:szCs w:val="21"/>
          <w:highlight w:val="none"/>
        </w:rPr>
        <w:t>3.</w:t>
      </w:r>
      <w:r>
        <w:rPr>
          <w:rFonts w:hint="eastAsia" w:ascii="宋体" w:hAnsi="宋体" w:eastAsia="宋体" w:cs="宋体"/>
          <w:color w:val="auto"/>
          <w:szCs w:val="21"/>
          <w:highlight w:val="none"/>
          <w:u w:val="single"/>
        </w:rPr>
        <w:t>上述第</w:t>
      </w:r>
      <w:r>
        <w:rPr>
          <w:rFonts w:ascii="宋体" w:hAnsi="宋体" w:eastAsia="宋体" w:cs="宋体"/>
          <w:bCs/>
          <w:color w:val="auto"/>
          <w:szCs w:val="21"/>
          <w:highlight w:val="none"/>
          <w:u w:val="single"/>
        </w:rPr>
        <w:t>11.2.2（1）—</w:t>
      </w:r>
      <w:r>
        <w:rPr>
          <w:rFonts w:hint="eastAsia" w:ascii="宋体" w:hAnsi="宋体" w:eastAsia="宋体" w:cs="宋体"/>
          <w:bCs/>
          <w:color w:val="auto"/>
          <w:szCs w:val="21"/>
          <w:highlight w:val="none"/>
          <w:u w:val="single"/>
        </w:rPr>
        <w:t>（12）及</w:t>
      </w:r>
      <w:r>
        <w:rPr>
          <w:rFonts w:ascii="宋体" w:hAnsi="宋体" w:eastAsia="宋体" w:cs="宋体"/>
          <w:bCs/>
          <w:color w:val="auto"/>
          <w:szCs w:val="21"/>
          <w:highlight w:val="none"/>
          <w:u w:val="single"/>
        </w:rPr>
        <w:t>（14</w:t>
      </w:r>
      <w:r>
        <w:rPr>
          <w:rFonts w:hint="eastAsia" w:ascii="宋体" w:hAnsi="宋体" w:eastAsia="宋体" w:cs="宋体"/>
          <w:bCs/>
          <w:color w:val="auto"/>
          <w:szCs w:val="21"/>
          <w:highlight w:val="none"/>
          <w:u w:val="single"/>
        </w:rPr>
        <w:t>）条没有要求提交的资料，不作为资格审查不合格的依据。上述第</w:t>
      </w:r>
      <w:r>
        <w:rPr>
          <w:rFonts w:ascii="宋体" w:hAnsi="宋体" w:eastAsia="宋体" w:cs="宋体"/>
          <w:bCs/>
          <w:color w:val="auto"/>
          <w:szCs w:val="21"/>
          <w:highlight w:val="none"/>
          <w:u w:val="single"/>
        </w:rPr>
        <w:t>11.2.2（1</w:t>
      </w:r>
      <w:r>
        <w:rPr>
          <w:rFonts w:hint="eastAsia" w:ascii="宋体" w:hAnsi="宋体" w:eastAsia="宋体" w:cs="宋体"/>
          <w:bCs/>
          <w:color w:val="auto"/>
          <w:szCs w:val="21"/>
          <w:highlight w:val="none"/>
          <w:u w:val="single"/>
        </w:rPr>
        <w:t>3）条，投标人无需提供资料，资格审查时，按招标公告附件二《被招标人拒绝投标的企业名单》进行评审。</w:t>
      </w:r>
      <w:r>
        <w:rPr>
          <w:rFonts w:hint="eastAsia" w:ascii="宋体" w:hAnsi="宋体" w:eastAsia="宋体" w:cs="宋体"/>
          <w:color w:val="auto"/>
          <w:szCs w:val="21"/>
          <w:highlight w:val="none"/>
          <w:u w:val="single"/>
        </w:rPr>
        <w:t>上述第</w:t>
      </w:r>
      <w:r>
        <w:rPr>
          <w:rFonts w:ascii="宋体" w:hAnsi="宋体" w:eastAsia="宋体" w:cs="宋体"/>
          <w:bCs/>
          <w:color w:val="auto"/>
          <w:szCs w:val="21"/>
          <w:highlight w:val="none"/>
          <w:u w:val="single"/>
        </w:rPr>
        <w:t>11.2.2</w:t>
      </w: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15</w:t>
      </w:r>
      <w:r>
        <w:rPr>
          <w:rFonts w:hint="eastAsia" w:ascii="宋体" w:hAnsi="宋体" w:eastAsia="宋体" w:cs="宋体"/>
          <w:color w:val="auto"/>
          <w:szCs w:val="21"/>
          <w:highlight w:val="none"/>
          <w:u w:val="single"/>
        </w:rPr>
        <w:t>）条，投标人无需提供资料，按投标截止时间广州交易集团有限公司（广州公共资源交易中心）交易系统比对的结果进行评审。</w:t>
      </w:r>
    </w:p>
    <w:p w14:paraId="210BD768">
      <w:pPr>
        <w:spacing w:line="360" w:lineRule="auto"/>
        <w:ind w:firstLine="420" w:firstLineChars="200"/>
        <w:rPr>
          <w:rFonts w:ascii="宋体" w:hAnsi="宋体" w:eastAsia="宋体" w:cs="宋体"/>
          <w:color w:val="auto"/>
          <w:szCs w:val="21"/>
          <w:highlight w:val="none"/>
          <w:u w:val="single"/>
        </w:rPr>
      </w:pPr>
      <w:r>
        <w:rPr>
          <w:rFonts w:ascii="宋体" w:hAnsi="宋体" w:eastAsia="宋体" w:cs="宋体"/>
          <w:color w:val="auto"/>
          <w:szCs w:val="21"/>
          <w:highlight w:val="none"/>
          <w:u w:val="single"/>
        </w:rPr>
        <w:t>11.2.3《投标函》、</w:t>
      </w:r>
      <w:r>
        <w:rPr>
          <w:rFonts w:hint="eastAsia" w:ascii="宋体" w:hAnsi="宋体" w:eastAsia="宋体" w:cs="宋体"/>
          <w:color w:val="auto"/>
          <w:szCs w:val="21"/>
          <w:highlight w:val="none"/>
          <w:u w:val="single"/>
        </w:rPr>
        <w:t>《投标人廉洁承诺书》、</w:t>
      </w:r>
      <w:r>
        <w:rPr>
          <w:rFonts w:ascii="宋体" w:hAnsi="宋体" w:eastAsia="宋体" w:cs="宋体"/>
          <w:color w:val="auto"/>
          <w:szCs w:val="21"/>
          <w:highlight w:val="none"/>
          <w:u w:val="single"/>
        </w:rPr>
        <w:t>《标函承诺书》、《项目负责人驻场承诺书》、《投入项目负责人及专职安全员承诺书》</w:t>
      </w:r>
      <w:r>
        <w:rPr>
          <w:rFonts w:hint="eastAsia" w:ascii="宋体" w:hAnsi="宋体" w:eastAsia="宋体" w:cs="宋体"/>
          <w:color w:val="auto"/>
          <w:szCs w:val="21"/>
          <w:highlight w:val="none"/>
          <w:u w:val="single"/>
        </w:rPr>
        <w:t>（格式见招标文件第四章）。</w:t>
      </w:r>
    </w:p>
    <w:p w14:paraId="055B7934">
      <w:pPr>
        <w:spacing w:line="360" w:lineRule="auto"/>
        <w:ind w:firstLine="420" w:firstLineChars="200"/>
        <w:rPr>
          <w:rFonts w:ascii="宋体" w:hAnsi="宋体" w:eastAsia="宋体" w:cs="宋体"/>
          <w:color w:val="auto"/>
          <w:szCs w:val="21"/>
          <w:highlight w:val="none"/>
          <w:u w:val="single"/>
        </w:rPr>
      </w:pPr>
      <w:r>
        <w:rPr>
          <w:rFonts w:ascii="宋体" w:hAnsi="宋体" w:eastAsia="宋体" w:cs="宋体"/>
          <w:color w:val="auto"/>
          <w:szCs w:val="21"/>
          <w:highlight w:val="none"/>
          <w:u w:val="single"/>
        </w:rPr>
        <w:t>11.2.4《</w:t>
      </w:r>
      <w:r>
        <w:rPr>
          <w:rFonts w:hint="eastAsia" w:ascii="宋体" w:hAnsi="宋体" w:eastAsia="宋体" w:cs="宋体"/>
          <w:color w:val="auto"/>
          <w:szCs w:val="21"/>
          <w:highlight w:val="none"/>
          <w:u w:val="single"/>
        </w:rPr>
        <w:t>施工项目管理团队人员信息表》、《主要人员简历表》（格式见招标文件第四章，投标人需按相应表格备注要求提供相关资料）。</w:t>
      </w:r>
    </w:p>
    <w:p w14:paraId="684B6807">
      <w:pPr>
        <w:spacing w:line="360" w:lineRule="auto"/>
        <w:ind w:firstLine="420" w:firstLineChars="200"/>
        <w:rPr>
          <w:rFonts w:ascii="宋体" w:hAnsi="宋体" w:eastAsia="宋体" w:cs="宋体"/>
          <w:color w:val="auto"/>
          <w:szCs w:val="21"/>
          <w:highlight w:val="none"/>
          <w:u w:val="single"/>
        </w:rPr>
      </w:pPr>
      <w:r>
        <w:rPr>
          <w:rFonts w:ascii="宋体" w:hAnsi="宋体" w:eastAsia="宋体" w:cs="宋体"/>
          <w:color w:val="auto"/>
          <w:szCs w:val="21"/>
          <w:highlight w:val="none"/>
          <w:u w:val="single"/>
        </w:rPr>
        <w:t>11.2.5</w:t>
      </w:r>
      <w:r>
        <w:rPr>
          <w:rFonts w:hint="eastAsia" w:ascii="宋体" w:hAnsi="宋体" w:eastAsia="宋体" w:cs="宋体"/>
          <w:color w:val="auto"/>
          <w:szCs w:val="21"/>
          <w:highlight w:val="none"/>
          <w:u w:val="single"/>
        </w:rPr>
        <w:t>《响应招标文件所附施工组织设计要点的承诺书》、《拟投入本工程施工的主要机械设备配备表》（格式见招标文件第四章）。</w:t>
      </w:r>
    </w:p>
    <w:p w14:paraId="4772B90A">
      <w:pPr>
        <w:spacing w:line="360" w:lineRule="auto"/>
        <w:ind w:firstLine="420" w:firstLineChars="200"/>
        <w:rPr>
          <w:rFonts w:ascii="宋体" w:hAnsi="宋体" w:eastAsia="宋体" w:cs="宋体"/>
          <w:color w:val="auto"/>
          <w:szCs w:val="21"/>
          <w:highlight w:val="none"/>
          <w:u w:val="single"/>
        </w:rPr>
      </w:pPr>
      <w:r>
        <w:rPr>
          <w:rFonts w:ascii="宋体" w:hAnsi="宋体" w:eastAsia="宋体" w:cs="宋体"/>
          <w:color w:val="auto"/>
          <w:szCs w:val="21"/>
          <w:highlight w:val="none"/>
          <w:u w:val="single"/>
        </w:rPr>
        <w:t>11.2.6</w:t>
      </w:r>
      <w:r>
        <w:rPr>
          <w:rFonts w:hint="eastAsia" w:ascii="宋体" w:hAnsi="宋体" w:eastAsia="宋体" w:cs="宋体"/>
          <w:color w:val="auto"/>
          <w:szCs w:val="21"/>
          <w:highlight w:val="none"/>
          <w:u w:val="single"/>
        </w:rPr>
        <w:t>《危险性较大的分部分项工程安全管理措施》（格式见招标文件第四章）。</w:t>
      </w:r>
    </w:p>
    <w:p w14:paraId="7F9E0C85">
      <w:pPr>
        <w:spacing w:line="360" w:lineRule="auto"/>
        <w:ind w:firstLine="420" w:firstLineChars="200"/>
        <w:rPr>
          <w:rFonts w:ascii="宋体" w:hAnsi="宋体" w:eastAsia="宋体" w:cs="宋体"/>
          <w:color w:val="auto"/>
          <w:szCs w:val="21"/>
          <w:highlight w:val="none"/>
          <w:u w:val="single"/>
        </w:rPr>
      </w:pPr>
      <w:r>
        <w:rPr>
          <w:rFonts w:ascii="宋体" w:hAnsi="宋体" w:eastAsia="宋体" w:cs="宋体"/>
          <w:color w:val="auto"/>
          <w:szCs w:val="21"/>
          <w:highlight w:val="none"/>
          <w:u w:val="single"/>
        </w:rPr>
        <w:t>11.2.7</w:t>
      </w:r>
      <w:r>
        <w:rPr>
          <w:rFonts w:hint="eastAsia" w:ascii="宋体" w:hAnsi="宋体" w:eastAsia="宋体" w:cs="宋体"/>
          <w:color w:val="auto"/>
          <w:szCs w:val="21"/>
          <w:highlight w:val="none"/>
          <w:u w:val="single"/>
        </w:rPr>
        <w:t>《参与编制技术标投标文件人员名单》（格式见招标文件第四章）。</w:t>
      </w:r>
    </w:p>
    <w:p w14:paraId="635AB39D">
      <w:pPr>
        <w:pBdr>
          <w:bottom w:val="single" w:color="auto" w:sz="4" w:space="0"/>
        </w:pBdr>
        <w:spacing w:line="360" w:lineRule="auto"/>
        <w:ind w:firstLine="420" w:firstLineChars="200"/>
        <w:rPr>
          <w:rFonts w:ascii="宋体" w:hAnsi="宋体" w:eastAsia="宋体" w:cs="宋体"/>
          <w:color w:val="auto"/>
          <w:szCs w:val="21"/>
          <w:highlight w:val="none"/>
          <w:u w:val="single"/>
        </w:rPr>
      </w:pPr>
      <w:r>
        <w:rPr>
          <w:rFonts w:ascii="宋体" w:hAnsi="宋体" w:eastAsia="宋体" w:cs="宋体"/>
          <w:color w:val="auto"/>
          <w:szCs w:val="21"/>
          <w:highlight w:val="none"/>
          <w:u w:val="single"/>
        </w:rPr>
        <w:t>11.2.8</w:t>
      </w:r>
      <w:r>
        <w:rPr>
          <w:rFonts w:hint="eastAsia" w:ascii="宋体" w:hAnsi="宋体" w:eastAsia="宋体" w:cs="宋体"/>
          <w:color w:val="auto"/>
          <w:szCs w:val="21"/>
          <w:highlight w:val="none"/>
          <w:u w:val="single"/>
        </w:rPr>
        <w:t>投标人认为应提供的其他技术标资料（如有）。</w:t>
      </w:r>
    </w:p>
    <w:p w14:paraId="21CAE2E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11.3                       修改类型：修改</w:t>
      </w:r>
    </w:p>
    <w:p w14:paraId="304728A7">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Cs/>
          <w:color w:val="auto"/>
          <w:szCs w:val="21"/>
          <w:highlight w:val="none"/>
        </w:rPr>
        <w:t xml:space="preserve">11.3 </w:t>
      </w:r>
      <w:r>
        <w:rPr>
          <w:rFonts w:hint="eastAsia" w:ascii="宋体" w:hAnsi="宋体" w:eastAsia="宋体" w:cs="宋体"/>
          <w:bCs/>
          <w:color w:val="auto"/>
          <w:szCs w:val="21"/>
          <w:highlight w:val="none"/>
        </w:rPr>
        <w:t>经济部分投标文件主要包括下列内容：</w:t>
      </w:r>
    </w:p>
    <w:p w14:paraId="74874146">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11.3.1 </w:t>
      </w:r>
      <w:r>
        <w:rPr>
          <w:rFonts w:hint="eastAsia" w:ascii="宋体" w:hAnsi="宋体" w:eastAsia="宋体" w:cs="宋体"/>
          <w:bCs/>
          <w:color w:val="auto"/>
          <w:szCs w:val="21"/>
          <w:highlight w:val="none"/>
        </w:rPr>
        <w:t>经济投标文件（按招标文件的要求填写）</w:t>
      </w:r>
      <w:r>
        <w:rPr>
          <w:rFonts w:ascii="宋体" w:hAnsi="宋体" w:eastAsia="宋体" w:cs="宋体"/>
          <w:bCs/>
          <w:color w:val="auto"/>
          <w:szCs w:val="21"/>
          <w:highlight w:val="none"/>
        </w:rPr>
        <w:t>。</w:t>
      </w:r>
    </w:p>
    <w:p w14:paraId="73069BC4">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39773A0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1）投标总价封面、扉页；</w:t>
      </w:r>
    </w:p>
    <w:p w14:paraId="62A54E96">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2）总说明；</w:t>
      </w:r>
    </w:p>
    <w:p w14:paraId="273310C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3）工程项目投标报价汇总表；</w:t>
      </w:r>
    </w:p>
    <w:p w14:paraId="1360E36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4）单项工程投标报价汇总表；</w:t>
      </w:r>
    </w:p>
    <w:p w14:paraId="1ABF080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5）单位工程投标报价汇总表；</w:t>
      </w:r>
    </w:p>
    <w:p w14:paraId="65DDB69C">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6）分部分项工程清单与计价表；</w:t>
      </w:r>
    </w:p>
    <w:p w14:paraId="72D5198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7）单价措施项目清单与计价表；</w:t>
      </w:r>
    </w:p>
    <w:p w14:paraId="12063A6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8）总价措施项目清单与计价表；</w:t>
      </w:r>
    </w:p>
    <w:p w14:paraId="7883FE03">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9）综合单价分析表；</w:t>
      </w:r>
    </w:p>
    <w:p w14:paraId="72757C2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10）其他项目清单与计价汇总表；</w:t>
      </w:r>
    </w:p>
    <w:p w14:paraId="26A69074">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11）暂列金额明细表；</w:t>
      </w:r>
    </w:p>
    <w:p w14:paraId="317F026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12）材料（工程设备）暂估价明细表；</w:t>
      </w:r>
    </w:p>
    <w:p w14:paraId="16C13D3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13）专业工程暂估价明细表；</w:t>
      </w:r>
    </w:p>
    <w:p w14:paraId="694C8F1B">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14）计日工表；</w:t>
      </w:r>
    </w:p>
    <w:p w14:paraId="285F10D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15）总承包服务计价表；</w:t>
      </w:r>
    </w:p>
    <w:p w14:paraId="37B40E1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16）规费和税金项目计价表；</w:t>
      </w:r>
    </w:p>
    <w:p w14:paraId="402CD06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17）人工、主要材料和设备一览表</w:t>
      </w:r>
    </w:p>
    <w:p w14:paraId="54663BF7">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11.3.3按照招标文件要求填写的《参与编制经济标投标文件人员名单》。</w:t>
      </w:r>
    </w:p>
    <w:p w14:paraId="63C9EE75">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12015624">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 xml:space="preserve">11.3 </w:t>
      </w:r>
      <w:r>
        <w:rPr>
          <w:rFonts w:hint="eastAsia" w:ascii="宋体" w:hAnsi="宋体" w:eastAsia="宋体" w:cs="宋体"/>
          <w:color w:val="auto"/>
          <w:szCs w:val="21"/>
          <w:highlight w:val="none"/>
        </w:rPr>
        <w:t>经济部分投标文件主要包括下列内容：</w:t>
      </w:r>
    </w:p>
    <w:p w14:paraId="273E81D8">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11.3.1</w:t>
      </w:r>
      <w:r>
        <w:rPr>
          <w:rFonts w:hint="eastAsia" w:ascii="宋体" w:hAnsi="宋体" w:eastAsia="宋体" w:cs="宋体"/>
          <w:color w:val="auto"/>
          <w:szCs w:val="21"/>
          <w:highlight w:val="none"/>
          <w:u w:val="single"/>
        </w:rPr>
        <w:t>广州建设工程施工招标投标书（经济标）（格式见招标文件第四章，具体格式以《广州建设工程施工招标投标书（经济标）》为准；电子投标管理软件编制的“广州建设工程施工招标投标书”不作为否决投标的条件</w:t>
      </w:r>
      <w:r>
        <w:rPr>
          <w:rFonts w:ascii="宋体" w:hAnsi="宋体" w:eastAsia="宋体" w:cs="宋体"/>
          <w:color w:val="auto"/>
          <w:szCs w:val="21"/>
          <w:highlight w:val="none"/>
          <w:u w:val="single"/>
        </w:rPr>
        <w:t>)。</w:t>
      </w:r>
    </w:p>
    <w:p w14:paraId="33DABEF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w:t>
      </w:r>
      <w:r>
        <w:rPr>
          <w:rFonts w:ascii="宋体" w:hAnsi="宋体" w:eastAsia="宋体" w:cs="宋体"/>
          <w:color w:val="auto"/>
          <w:szCs w:val="21"/>
          <w:highlight w:val="none"/>
          <w:u w:val="single"/>
        </w:rPr>
        <w:t>建设工程工程量清单计价</w:t>
      </w:r>
      <w:r>
        <w:rPr>
          <w:rFonts w:ascii="宋体" w:hAnsi="宋体" w:eastAsia="宋体" w:cs="宋体"/>
          <w:color w:val="auto"/>
          <w:szCs w:val="21"/>
          <w:highlight w:val="none"/>
          <w:u w:val="single"/>
        </w:rPr>
        <w:t>规范</w:t>
      </w:r>
      <w:r>
        <w:rPr>
          <w:rFonts w:ascii="宋体" w:hAnsi="宋体" w:eastAsia="宋体" w:cs="宋体"/>
          <w:color w:val="auto"/>
          <w:szCs w:val="21"/>
          <w:highlight w:val="none"/>
        </w:rPr>
        <w:t>、招标文件、招标工程量清单、设计文件、企业定额、施工现场情况和投标时拟定的施工组织设计或者施工方案，结合企业成本、市场价格以及招标文件中载明的风险内容和范围等编制。其中包括如下：</w:t>
      </w:r>
    </w:p>
    <w:p w14:paraId="5A03B15A">
      <w:pPr>
        <w:spacing w:line="360" w:lineRule="auto"/>
        <w:ind w:left="420"/>
        <w:rPr>
          <w:rFonts w:ascii="宋体" w:hAnsi="宋体" w:eastAsia="宋体" w:cs="宋体"/>
          <w:color w:val="auto"/>
          <w:szCs w:val="21"/>
          <w:highlight w:val="none"/>
        </w:rPr>
      </w:pPr>
      <w:r>
        <w:rPr>
          <w:rFonts w:hint="eastAsia" w:ascii="宋体" w:hAnsi="宋体" w:eastAsia="宋体" w:cs="宋体"/>
          <w:color w:val="auto"/>
          <w:szCs w:val="21"/>
          <w:highlight w:val="none"/>
        </w:rPr>
        <w:t>（1）投标总价封面、扉页</w:t>
      </w:r>
    </w:p>
    <w:p w14:paraId="55A1A55E">
      <w:pPr>
        <w:spacing w:line="360" w:lineRule="auto"/>
        <w:ind w:left="420"/>
        <w:rPr>
          <w:rFonts w:ascii="宋体" w:hAnsi="宋体" w:eastAsia="宋体" w:cs="宋体"/>
          <w:color w:val="auto"/>
          <w:szCs w:val="21"/>
          <w:highlight w:val="none"/>
        </w:rPr>
      </w:pPr>
      <w:r>
        <w:rPr>
          <w:rFonts w:hint="eastAsia" w:ascii="宋体" w:hAnsi="宋体" w:eastAsia="宋体" w:cs="宋体"/>
          <w:color w:val="auto"/>
          <w:szCs w:val="21"/>
          <w:highlight w:val="none"/>
        </w:rPr>
        <w:t>（2）总说明；</w:t>
      </w:r>
    </w:p>
    <w:p w14:paraId="2254A53E">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（3）工程量清单报价表及综合单价分析表的相关内容及格式要求（相关表格的内容及格式要求以招标人发出的最新版电子招标文件中的相应内容及格式为准）</w:t>
      </w:r>
      <w:r>
        <w:rPr>
          <w:rFonts w:hint="eastAsia" w:ascii="宋体" w:hAnsi="宋体" w:eastAsia="宋体" w:cs="宋体"/>
          <w:color w:val="auto"/>
          <w:szCs w:val="21"/>
          <w:highlight w:val="none"/>
        </w:rPr>
        <w:t>；</w:t>
      </w:r>
    </w:p>
    <w:p w14:paraId="435F86F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（4）其它辅助说明资料（包括但不限于招标文件要求填写的《对投标文件编制的承诺》，格式见招标文件第四章）</w:t>
      </w:r>
      <w:r>
        <w:rPr>
          <w:rFonts w:hint="eastAsia" w:ascii="宋体" w:hAnsi="宋体" w:eastAsia="宋体" w:cs="宋体"/>
          <w:color w:val="auto"/>
          <w:szCs w:val="21"/>
          <w:highlight w:val="none"/>
        </w:rPr>
        <w:t>。</w:t>
      </w:r>
    </w:p>
    <w:p w14:paraId="23FE9A57">
      <w:pPr>
        <w:spacing w:line="360" w:lineRule="auto"/>
        <w:ind w:firstLine="420" w:firstLineChars="200"/>
        <w:textAlignment w:val="baseline"/>
        <w:rPr>
          <w:rFonts w:ascii="宋体" w:hAnsi="宋体" w:eastAsia="宋体" w:cs="宋体"/>
          <w:color w:val="auto"/>
          <w:szCs w:val="21"/>
          <w:highlight w:val="none"/>
        </w:rPr>
      </w:pPr>
      <w:r>
        <w:rPr>
          <w:rFonts w:ascii="宋体" w:hAnsi="宋体" w:eastAsia="宋体" w:cs="宋体"/>
          <w:color w:val="auto"/>
          <w:szCs w:val="21"/>
          <w:highlight w:val="none"/>
        </w:rPr>
        <w:t>11.3.3按照招标文件要求填写的《参与编制经济标投标文件人员名单》</w:t>
      </w:r>
      <w:r>
        <w:rPr>
          <w:rFonts w:hint="eastAsia" w:ascii="宋体" w:hAnsi="宋体" w:eastAsia="宋体" w:cs="宋体"/>
          <w:color w:val="auto"/>
          <w:szCs w:val="21"/>
          <w:highlight w:val="none"/>
          <w:u w:val="single"/>
        </w:rPr>
        <w:t>（格式见招标文件第四章）</w:t>
      </w:r>
      <w:r>
        <w:rPr>
          <w:rFonts w:hint="eastAsia" w:ascii="宋体" w:hAnsi="宋体" w:eastAsia="宋体" w:cs="宋体"/>
          <w:color w:val="auto"/>
          <w:szCs w:val="21"/>
          <w:highlight w:val="none"/>
        </w:rPr>
        <w:t>。</w:t>
      </w:r>
    </w:p>
    <w:p w14:paraId="5CC157BF">
      <w:pPr>
        <w:spacing w:line="360" w:lineRule="auto"/>
        <w:ind w:firstLine="420" w:firstLineChars="200"/>
        <w:textAlignment w:val="baseline"/>
        <w:rPr>
          <w:rFonts w:ascii="宋体" w:hAnsi="宋体" w:eastAsia="宋体" w:cs="宋体"/>
          <w:color w:val="auto"/>
          <w:szCs w:val="21"/>
          <w:highlight w:val="none"/>
        </w:rPr>
      </w:pPr>
      <w:r>
        <w:rPr>
          <w:rFonts w:ascii="宋体" w:hAnsi="宋体" w:eastAsia="宋体" w:cs="宋体"/>
          <w:color w:val="auto"/>
          <w:szCs w:val="21"/>
          <w:highlight w:val="none"/>
        </w:rPr>
        <w:t>11.3.4若投标人的投标报价低于</w:t>
      </w:r>
      <w:r>
        <w:rPr>
          <w:rFonts w:ascii="宋体" w:hAnsi="宋体" w:eastAsia="宋体" w:cs="宋体"/>
          <w:color w:val="auto"/>
          <w:szCs w:val="21"/>
          <w:highlight w:val="none"/>
          <w:u w:val="single"/>
        </w:rPr>
        <w:t>工程</w:t>
      </w:r>
      <w:r>
        <w:rPr>
          <w:rFonts w:hint="eastAsia" w:ascii="宋体" w:hAnsi="宋体" w:eastAsia="宋体" w:cs="宋体"/>
          <w:color w:val="auto"/>
          <w:szCs w:val="21"/>
          <w:highlight w:val="none"/>
          <w:u w:val="single"/>
        </w:rPr>
        <w:t>成本警示</w:t>
      </w:r>
      <w:r>
        <w:rPr>
          <w:rFonts w:hint="eastAsia" w:ascii="宋体" w:hAnsi="宋体" w:eastAsia="宋体" w:cs="宋体"/>
          <w:color w:val="auto"/>
          <w:szCs w:val="21"/>
          <w:highlight w:val="none"/>
        </w:rPr>
        <w:t>价</w:t>
      </w:r>
      <w:r>
        <w:rPr>
          <w:rFonts w:ascii="宋体" w:hAnsi="宋体" w:eastAsia="宋体" w:cs="宋体"/>
          <w:color w:val="auto"/>
          <w:szCs w:val="21"/>
          <w:highlight w:val="none"/>
        </w:rPr>
        <w:t>的，投标人还须提供详细的施工组织设计、单价、措施性费用、单价分析表、主要材料价格表、投标人成本分析供评标委员会评审。</w:t>
      </w:r>
    </w:p>
    <w:p w14:paraId="42C9815B">
      <w:pPr>
        <w:pBdr>
          <w:bottom w:val="single" w:color="auto" w:sz="4" w:space="0"/>
        </w:pBdr>
        <w:spacing w:line="360" w:lineRule="auto"/>
        <w:ind w:firstLine="420" w:firstLineChars="200"/>
        <w:textAlignment w:val="baseline"/>
        <w:rPr>
          <w:rFonts w:ascii="宋体" w:hAnsi="宋体" w:eastAsia="宋体" w:cs="宋体"/>
          <w:bCs/>
          <w:color w:val="auto"/>
          <w:szCs w:val="21"/>
          <w:highlight w:val="none"/>
          <w:u w:val="single"/>
        </w:rPr>
      </w:pPr>
      <w:r>
        <w:rPr>
          <w:rFonts w:ascii="宋体" w:hAnsi="宋体" w:eastAsia="宋体" w:cs="宋体"/>
          <w:color w:val="auto"/>
          <w:szCs w:val="21"/>
          <w:highlight w:val="none"/>
        </w:rPr>
        <w:t>11.3.5</w:t>
      </w:r>
      <w:r>
        <w:rPr>
          <w:rFonts w:hint="eastAsia" w:ascii="宋体" w:hAnsi="宋体" w:eastAsia="宋体" w:cs="宋体"/>
          <w:color w:val="auto"/>
          <w:szCs w:val="21"/>
          <w:highlight w:val="none"/>
          <w:u w:val="single"/>
        </w:rPr>
        <w:t>投标人认为应提供的其他经济标资料（如有）。</w:t>
      </w:r>
    </w:p>
    <w:p w14:paraId="1C8EE189">
      <w:pPr>
        <w:spacing w:line="360" w:lineRule="auto"/>
        <w:ind w:firstLine="422" w:firstLineChars="200"/>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r>
        <w:rPr>
          <w:rFonts w:ascii="宋体" w:hAnsi="宋体" w:eastAsia="宋体" w:cs="宋体"/>
          <w:b/>
          <w:bCs/>
          <w:color w:val="auto"/>
          <w:szCs w:val="21"/>
          <w:highlight w:val="none"/>
        </w:rPr>
        <w:t xml:space="preserve">11.4            </w:t>
      </w:r>
      <w:r>
        <w:rPr>
          <w:rFonts w:hint="eastAsia" w:ascii="宋体" w:hAnsi="宋体" w:eastAsia="宋体" w:cs="宋体"/>
          <w:b/>
          <w:bCs/>
          <w:color w:val="auto"/>
          <w:szCs w:val="21"/>
          <w:highlight w:val="none"/>
        </w:rPr>
        <w:t xml:space="preserve">            修改类型：增加</w:t>
      </w:r>
    </w:p>
    <w:p w14:paraId="0073A35F">
      <w:pPr>
        <w:spacing w:line="360" w:lineRule="auto"/>
        <w:ind w:firstLine="422" w:firstLineChars="200"/>
        <w:textAlignment w:val="baseline"/>
        <w:rPr>
          <w:rFonts w:ascii="宋体" w:hAnsi="宋体" w:eastAsia="宋体" w:cs="宋体"/>
          <w:bCs/>
          <w:color w:val="auto"/>
          <w:szCs w:val="21"/>
          <w:highlight w:val="none"/>
          <w:u w:val="single"/>
        </w:rPr>
      </w:pPr>
      <w:r>
        <w:rPr>
          <w:rFonts w:hint="eastAsia" w:ascii="宋体" w:hAnsi="宋体" w:eastAsia="宋体" w:cs="宋体"/>
          <w:b/>
          <w:bCs/>
          <w:color w:val="auto"/>
          <w:szCs w:val="21"/>
          <w:highlight w:val="none"/>
        </w:rPr>
        <w:t>现文：</w:t>
      </w:r>
      <w:r>
        <w:rPr>
          <w:rFonts w:ascii="宋体" w:hAnsi="宋体" w:eastAsia="宋体" w:cs="宋体"/>
          <w:bCs/>
          <w:color w:val="auto"/>
          <w:szCs w:val="21"/>
          <w:highlight w:val="none"/>
          <w:u w:val="single"/>
        </w:rPr>
        <w:t>11.4定标文件主要包括下列内容：</w:t>
      </w:r>
    </w:p>
    <w:p w14:paraId="496EEF16">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11.4.1定标文件封面（格式自拟）。</w:t>
      </w:r>
    </w:p>
    <w:p w14:paraId="2B2CE8A0">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11.4.2定标资料（格式自拟；包括用于定标评审方案因素的定标方案，方案包括：①团队配置、②施工管理措施、③成本控制措施、④资金管理措施。定标评审价格因素按投标总价评审，不需要重复提交投标报价资料）。</w:t>
      </w:r>
    </w:p>
    <w:p w14:paraId="37683689">
      <w:pPr>
        <w:ind w:firstLine="442" w:firstLineChars="200"/>
        <w:rPr>
          <w:color w:val="auto"/>
          <w:highlight w:val="none"/>
        </w:rPr>
      </w:pPr>
      <w:r>
        <w:rPr>
          <w:rFonts w:hint="eastAsia" w:ascii="宋体" w:hAnsi="宋体" w:eastAsia="宋体" w:cs="Times New Roman"/>
          <w:b/>
          <w:bCs/>
          <w:color w:val="auto"/>
          <w:sz w:val="22"/>
          <w:szCs w:val="22"/>
          <w:highlight w:val="none"/>
          <w:u w:val="single"/>
        </w:rPr>
        <w:t>注：投标人编制定标方案要根据项目实际情况编制，突出重点，注意文件的逻辑性和可读性，避免冗长和无关紧要的叙述。需有目录和页码，篇幅不宜超过300页，超出部分不予评审。如要附证书、合同等材料的，相关材料单独做附件。</w:t>
      </w:r>
    </w:p>
    <w:p w14:paraId="2561D52F">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11.4.3投标人认为应提供的其他定标资料（如有）。</w:t>
      </w:r>
    </w:p>
    <w:p w14:paraId="2A3FD903">
      <w:pPr>
        <w:pBdr>
          <w:bottom w:val="single" w:color="auto" w:sz="6" w:space="1"/>
        </w:pBdr>
        <w:spacing w:line="360" w:lineRule="auto"/>
        <w:ind w:firstLine="420" w:firstLineChars="200"/>
        <w:rPr>
          <w:rFonts w:ascii="宋体" w:hAnsi="宋体" w:cs="宋体"/>
          <w:bCs/>
          <w:color w:val="auto"/>
          <w:szCs w:val="21"/>
          <w:highlight w:val="none"/>
          <w:u w:val="single"/>
        </w:rPr>
      </w:pPr>
      <w:r>
        <w:rPr>
          <w:rFonts w:hint="eastAsia" w:ascii="宋体" w:hAnsi="宋体" w:cs="宋体"/>
          <w:bCs/>
          <w:color w:val="auto"/>
          <w:szCs w:val="21"/>
          <w:highlight w:val="none"/>
          <w:u w:val="single"/>
        </w:rPr>
        <w:t>注：定标文件的递交时间和形式由投标人按照投标须知前附表第18项所规定的时间及本须知第18条的相关要求执行。</w:t>
      </w:r>
    </w:p>
    <w:p w14:paraId="38FE58CD">
      <w:pPr>
        <w:spacing w:line="360" w:lineRule="auto"/>
        <w:ind w:firstLine="422" w:firstLineChars="200"/>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r>
        <w:rPr>
          <w:rFonts w:ascii="宋体" w:hAnsi="宋体" w:eastAsia="宋体" w:cs="宋体"/>
          <w:b/>
          <w:bCs/>
          <w:color w:val="auto"/>
          <w:szCs w:val="21"/>
          <w:highlight w:val="none"/>
        </w:rPr>
        <w:t xml:space="preserve">11.5           </w:t>
      </w:r>
      <w:r>
        <w:rPr>
          <w:rFonts w:hint="eastAsia" w:ascii="宋体" w:hAnsi="宋体" w:eastAsia="宋体" w:cs="宋体"/>
          <w:b/>
          <w:bCs/>
          <w:color w:val="auto"/>
          <w:szCs w:val="21"/>
          <w:highlight w:val="none"/>
        </w:rPr>
        <w:t xml:space="preserve">             </w:t>
      </w:r>
      <w:r>
        <w:rPr>
          <w:rFonts w:ascii="宋体" w:hAnsi="宋体" w:eastAsia="宋体" w:cs="宋体"/>
          <w:b/>
          <w:bCs/>
          <w:color w:val="auto"/>
          <w:szCs w:val="21"/>
          <w:highlight w:val="none"/>
        </w:rPr>
        <w:t>修改类型：增加</w:t>
      </w:r>
    </w:p>
    <w:p w14:paraId="029E0859">
      <w:pPr>
        <w:pBdr>
          <w:bottom w:val="single" w:color="auto" w:sz="4" w:space="0"/>
        </w:pBdr>
        <w:spacing w:line="360" w:lineRule="auto"/>
        <w:ind w:firstLine="422" w:firstLineChars="200"/>
        <w:textAlignment w:val="baseline"/>
        <w:rPr>
          <w:rFonts w:ascii="宋体" w:hAnsi="宋体" w:eastAsia="宋体" w:cs="宋体"/>
          <w:b/>
          <w:bCs/>
          <w:color w:val="auto"/>
          <w:szCs w:val="21"/>
          <w:highlight w:val="none"/>
          <w:u w:val="single"/>
        </w:rPr>
      </w:pPr>
      <w:r>
        <w:rPr>
          <w:rFonts w:hint="eastAsia" w:ascii="宋体" w:hAnsi="宋体" w:eastAsia="宋体" w:cs="宋体"/>
          <w:b/>
          <w:bCs/>
          <w:color w:val="auto"/>
          <w:szCs w:val="21"/>
          <w:highlight w:val="none"/>
        </w:rPr>
        <w:t>现文：</w:t>
      </w:r>
      <w:r>
        <w:rPr>
          <w:rFonts w:ascii="宋体" w:hAnsi="宋体" w:eastAsia="宋体" w:cs="宋体"/>
          <w:bCs/>
          <w:color w:val="auto"/>
          <w:szCs w:val="21"/>
          <w:highlight w:val="none"/>
          <w:u w:val="single"/>
        </w:rPr>
        <w:t>11.5</w:t>
      </w:r>
      <w:r>
        <w:rPr>
          <w:rFonts w:hint="eastAsia" w:ascii="宋体" w:hAnsi="宋体" w:eastAsia="宋体" w:cs="宋体"/>
          <w:bCs/>
          <w:color w:val="auto"/>
          <w:szCs w:val="21"/>
          <w:highlight w:val="none"/>
          <w:u w:val="single"/>
        </w:rPr>
        <w:t>投标文件重要提示：投标人</w:t>
      </w:r>
      <w:r>
        <w:rPr>
          <w:rFonts w:ascii="宋体" w:hAnsi="宋体" w:eastAsia="宋体" w:cs="宋体"/>
          <w:bCs/>
          <w:color w:val="auto"/>
          <w:szCs w:val="21"/>
          <w:highlight w:val="none"/>
          <w:u w:val="single"/>
        </w:rPr>
        <w:t>在</w:t>
      </w:r>
      <w:r>
        <w:rPr>
          <w:rFonts w:hint="eastAsia" w:ascii="宋体" w:hAnsi="宋体" w:eastAsia="宋体" w:cs="宋体"/>
          <w:bCs/>
          <w:color w:val="auto"/>
          <w:szCs w:val="21"/>
          <w:highlight w:val="none"/>
          <w:u w:val="single"/>
        </w:rPr>
        <w:t>投标系统（交易平台）</w:t>
      </w:r>
      <w:r>
        <w:rPr>
          <w:rFonts w:ascii="宋体" w:hAnsi="宋体" w:eastAsia="宋体" w:cs="宋体"/>
          <w:bCs/>
          <w:color w:val="auto"/>
          <w:szCs w:val="21"/>
          <w:highlight w:val="none"/>
          <w:u w:val="single"/>
        </w:rPr>
        <w:t>上传</w:t>
      </w:r>
      <w:r>
        <w:rPr>
          <w:rFonts w:hint="eastAsia" w:ascii="宋体" w:hAnsi="宋体" w:eastAsia="宋体" w:cs="宋体"/>
          <w:bCs/>
          <w:color w:val="auto"/>
          <w:szCs w:val="21"/>
          <w:highlight w:val="none"/>
          <w:u w:val="single"/>
        </w:rPr>
        <w:t>电子</w:t>
      </w:r>
      <w:r>
        <w:rPr>
          <w:rFonts w:ascii="宋体" w:hAnsi="宋体" w:eastAsia="宋体" w:cs="宋体"/>
          <w:bCs/>
          <w:color w:val="auto"/>
          <w:szCs w:val="21"/>
          <w:highlight w:val="none"/>
          <w:u w:val="single"/>
        </w:rPr>
        <w:t>投标文件时，</w:t>
      </w:r>
      <w:r>
        <w:rPr>
          <w:rFonts w:hint="eastAsia" w:ascii="宋体" w:hAnsi="宋体" w:eastAsia="宋体" w:cs="宋体"/>
          <w:bCs/>
          <w:color w:val="auto"/>
          <w:szCs w:val="21"/>
          <w:highlight w:val="none"/>
          <w:u w:val="single"/>
        </w:rPr>
        <w:t>应按规定将</w:t>
      </w:r>
      <w:r>
        <w:rPr>
          <w:rFonts w:ascii="宋体" w:hAnsi="宋体" w:eastAsia="宋体" w:cs="宋体"/>
          <w:bCs/>
          <w:color w:val="auto"/>
          <w:szCs w:val="21"/>
          <w:highlight w:val="none"/>
          <w:u w:val="single"/>
        </w:rPr>
        <w:t>把</w:t>
      </w:r>
      <w:r>
        <w:rPr>
          <w:rFonts w:hint="eastAsia" w:ascii="宋体" w:hAnsi="宋体" w:eastAsia="宋体" w:cs="宋体"/>
          <w:bCs/>
          <w:color w:val="auto"/>
          <w:szCs w:val="21"/>
          <w:highlight w:val="none"/>
          <w:u w:val="single"/>
        </w:rPr>
        <w:t>技术标（含资格审查文件）和经济标文件</w:t>
      </w:r>
      <w:r>
        <w:rPr>
          <w:rFonts w:ascii="宋体" w:hAnsi="宋体" w:eastAsia="宋体" w:cs="宋体"/>
          <w:bCs/>
          <w:color w:val="auto"/>
          <w:szCs w:val="21"/>
          <w:highlight w:val="none"/>
          <w:u w:val="single"/>
        </w:rPr>
        <w:t>等内容，分别上传至</w:t>
      </w:r>
      <w:r>
        <w:rPr>
          <w:rFonts w:hint="eastAsia" w:ascii="宋体" w:hAnsi="宋体" w:eastAsia="宋体" w:cs="宋体"/>
          <w:bCs/>
          <w:color w:val="auto"/>
          <w:szCs w:val="21"/>
          <w:highlight w:val="none"/>
          <w:u w:val="single"/>
        </w:rPr>
        <w:t>投标系统（交易平台）</w:t>
      </w:r>
      <w:r>
        <w:rPr>
          <w:rFonts w:ascii="宋体" w:hAnsi="宋体" w:eastAsia="宋体" w:cs="宋体"/>
          <w:bCs/>
          <w:color w:val="auto"/>
          <w:szCs w:val="21"/>
          <w:highlight w:val="none"/>
          <w:u w:val="single"/>
        </w:rPr>
        <w:t>内对应的文件夹中，不要上传到定标文件夹中。定标文件夹中只上传定标文件。</w:t>
      </w:r>
      <w:r>
        <w:rPr>
          <w:rFonts w:hint="eastAsia" w:ascii="宋体" w:hAnsi="宋体" w:cs="宋体"/>
          <w:color w:val="auto"/>
          <w:highlight w:val="none"/>
          <w:u w:val="single"/>
        </w:rPr>
        <w:t>评标委员会不对定标文件进行评审，</w:t>
      </w:r>
      <w:r>
        <w:rPr>
          <w:rFonts w:ascii="宋体" w:hAnsi="宋体" w:eastAsia="宋体" w:cs="宋体"/>
          <w:bCs/>
          <w:color w:val="auto"/>
          <w:szCs w:val="21"/>
          <w:highlight w:val="none"/>
          <w:u w:val="single"/>
        </w:rPr>
        <w:t>因投标人未按招标文件要求提供规定的资料，而未能通过资格审查（或技术标有效性审查或经济标有效性审查）或影响评分的后果由投标人自行承担。</w:t>
      </w:r>
    </w:p>
    <w:p w14:paraId="10CC9535">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12.2                       </w:t>
      </w:r>
      <w:r>
        <w:rPr>
          <w:rFonts w:hint="eastAsia" w:ascii="宋体" w:hAnsi="宋体" w:eastAsia="宋体" w:cs="宋体"/>
          <w:b/>
          <w:color w:val="auto"/>
          <w:szCs w:val="21"/>
          <w:highlight w:val="none"/>
        </w:rPr>
        <w:t>修改类型：修改</w:t>
      </w:r>
    </w:p>
    <w:p w14:paraId="1351AFAE">
      <w:pPr>
        <w:pBdr>
          <w:bottom w:val="single" w:color="auto" w:sz="6" w:space="1"/>
        </w:pBdr>
        <w:spacing w:line="360" w:lineRule="auto"/>
        <w:ind w:firstLine="422" w:firstLineChars="200"/>
        <w:textAlignment w:val="baseline"/>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12.2 投标文件全部采用电子文档，投标文件所附证书证件均为原件扫描件，并采用单位数字证书，对投标文件加盖电子印章。投标文件中需个人签字或盖章的，应加盖个人电子印章或在线下完成后扫描上传。按照交易平台关于全流程电子化项目的相关指南进行操作。详见：</w:t>
      </w:r>
      <w:r>
        <w:rPr>
          <w:rFonts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w:t>
      </w:r>
    </w:p>
    <w:p w14:paraId="01913067">
      <w:pPr>
        <w:pBdr>
          <w:bottom w:val="single" w:color="auto" w:sz="6" w:space="1"/>
        </w:pBdr>
        <w:spacing w:line="360" w:lineRule="auto"/>
        <w:ind w:firstLine="420" w:firstLineChars="200"/>
        <w:textAlignment w:val="baseline"/>
        <w:rPr>
          <w:rFonts w:ascii="宋体" w:hAnsi="宋体" w:eastAsia="宋体" w:cs="宋体"/>
          <w:bCs/>
          <w:color w:val="auto"/>
          <w:szCs w:val="21"/>
          <w:highlight w:val="none"/>
        </w:rPr>
      </w:pPr>
      <w:r>
        <w:rPr>
          <w:rFonts w:hint="eastAsia" w:ascii="宋体" w:hAnsi="宋体" w:eastAsia="宋体" w:cs="宋体"/>
          <w:bCs/>
          <w:color w:val="auto"/>
          <w:szCs w:val="21"/>
          <w:highlight w:val="none"/>
        </w:rPr>
        <w:t>注：投标文件电子文档需要投标人单位盖章的材料，投标人加盖电子印章即可，不得将投标人未对电子文档加盖实物印章作为否决投标的情形。</w:t>
      </w:r>
    </w:p>
    <w:p w14:paraId="5F12EC2D">
      <w:pPr>
        <w:pBdr>
          <w:bottom w:val="single" w:color="auto" w:sz="6" w:space="1"/>
        </w:pBdr>
        <w:spacing w:line="360" w:lineRule="auto"/>
        <w:ind w:firstLine="422" w:firstLineChars="200"/>
        <w:textAlignment w:val="baseline"/>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12.2</w:t>
      </w:r>
      <w:r>
        <w:rPr>
          <w:rFonts w:hint="eastAsia" w:ascii="宋体" w:hAnsi="宋体" w:eastAsia="宋体" w:cs="宋体"/>
          <w:color w:val="auto"/>
          <w:szCs w:val="21"/>
          <w:highlight w:val="none"/>
          <w:u w:val="single"/>
        </w:rPr>
        <w:t>投标人应仔细阅读招标文件第四章投标文件格式的相关规定和要求。</w:t>
      </w:r>
      <w:r>
        <w:rPr>
          <w:rFonts w:hint="eastAsia" w:ascii="宋体" w:hAnsi="宋体" w:eastAsia="宋体" w:cs="宋体"/>
          <w:color w:val="auto"/>
          <w:szCs w:val="21"/>
          <w:highlight w:val="none"/>
        </w:rPr>
        <w:t>投标文件全部采用电子文档，投标文件所附证书证件均为扫描件</w:t>
      </w:r>
      <w:r>
        <w:rPr>
          <w:rFonts w:hint="eastAsia" w:ascii="宋体" w:hAnsi="宋体" w:eastAsia="宋体" w:cs="宋体"/>
          <w:color w:val="auto"/>
          <w:szCs w:val="21"/>
          <w:highlight w:val="none"/>
          <w:u w:val="single"/>
        </w:rPr>
        <w:t>或电子证照或电子证书</w:t>
      </w:r>
      <w:r>
        <w:rPr>
          <w:rFonts w:hint="eastAsia" w:ascii="宋体" w:hAnsi="宋体" w:eastAsia="宋体" w:cs="宋体"/>
          <w:color w:val="auto"/>
          <w:szCs w:val="21"/>
          <w:highlight w:val="none"/>
        </w:rPr>
        <w:t>，并采用单位数字证书，对投标文件加盖电子印章。投标文件中需个人签字或盖章的，应加盖个人电子印章或在线下完成后</w:t>
      </w:r>
      <w:r>
        <w:rPr>
          <w:rFonts w:hint="eastAsia" w:ascii="宋体" w:hAnsi="宋体" w:eastAsia="宋体" w:cs="宋体"/>
          <w:color w:val="auto"/>
          <w:szCs w:val="21"/>
          <w:highlight w:val="none"/>
          <w:u w:val="single"/>
        </w:rPr>
        <w:t>原件</w:t>
      </w:r>
      <w:r>
        <w:rPr>
          <w:rFonts w:hint="eastAsia" w:ascii="宋体" w:hAnsi="宋体" w:eastAsia="宋体" w:cs="宋体"/>
          <w:color w:val="auto"/>
          <w:szCs w:val="21"/>
          <w:highlight w:val="none"/>
        </w:rPr>
        <w:t>扫描上传。按照</w:t>
      </w:r>
      <w:r>
        <w:rPr>
          <w:rFonts w:hint="eastAsia" w:ascii="宋体" w:hAnsi="宋体" w:eastAsia="宋体" w:cs="宋体"/>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u w:val="single"/>
        </w:rPr>
        <w:t>投标文件中的“投标人”、“投标单位”、“声明企业”应填写投标人的单位全称</w:t>
      </w:r>
      <w:r>
        <w:rPr>
          <w:rFonts w:ascii="宋体" w:hAnsi="宋体" w:eastAsia="宋体" w:cs="宋体"/>
          <w:bCs/>
          <w:color w:val="auto"/>
          <w:szCs w:val="21"/>
          <w:highlight w:val="none"/>
          <w:u w:val="single"/>
        </w:rPr>
        <w:t>。</w:t>
      </w:r>
      <w:r>
        <w:rPr>
          <w:rFonts w:hint="eastAsia" w:ascii="宋体" w:hAnsi="宋体" w:eastAsia="宋体" w:cs="宋体"/>
          <w:bCs/>
          <w:color w:val="auto"/>
          <w:szCs w:val="21"/>
          <w:highlight w:val="none"/>
          <w:u w:val="single"/>
        </w:rPr>
        <w:t>投标</w:t>
      </w:r>
      <w:r>
        <w:rPr>
          <w:rFonts w:ascii="宋体" w:hAnsi="宋体" w:eastAsia="宋体" w:cs="宋体"/>
          <w:bCs/>
          <w:color w:val="auto"/>
          <w:szCs w:val="21"/>
          <w:highlight w:val="none"/>
          <w:u w:val="single"/>
        </w:rPr>
        <w:t>资料均由</w:t>
      </w:r>
      <w:r>
        <w:rPr>
          <w:rFonts w:hint="eastAsia" w:ascii="宋体" w:hAnsi="宋体" w:eastAsia="宋体" w:cs="宋体"/>
          <w:bCs/>
          <w:color w:val="auto"/>
          <w:szCs w:val="21"/>
          <w:highlight w:val="none"/>
          <w:u w:val="single"/>
        </w:rPr>
        <w:t>投标人</w:t>
      </w:r>
      <w:r>
        <w:rPr>
          <w:rFonts w:ascii="宋体" w:hAnsi="宋体" w:eastAsia="宋体" w:cs="宋体"/>
          <w:bCs/>
          <w:color w:val="auto"/>
          <w:szCs w:val="21"/>
          <w:highlight w:val="none"/>
          <w:u w:val="single"/>
        </w:rPr>
        <w:t>盖章或签字</w:t>
      </w:r>
      <w:r>
        <w:rPr>
          <w:rFonts w:hint="eastAsia" w:ascii="宋体" w:hAnsi="宋体" w:eastAsia="宋体" w:cs="宋体"/>
          <w:color w:val="auto"/>
          <w:szCs w:val="21"/>
          <w:highlight w:val="none"/>
          <w:u w:val="single"/>
        </w:rPr>
        <w:t>。</w:t>
      </w:r>
    </w:p>
    <w:p w14:paraId="69BC6DAF">
      <w:pPr>
        <w:pBdr>
          <w:bottom w:val="single" w:color="auto" w:sz="6" w:space="1"/>
        </w:pBdr>
        <w:spacing w:line="360" w:lineRule="auto"/>
        <w:ind w:firstLine="420" w:firstLineChars="200"/>
        <w:textAlignment w:val="baseline"/>
        <w:rPr>
          <w:rFonts w:ascii="宋体" w:hAnsi="宋体" w:eastAsia="宋体" w:cs="宋体"/>
          <w:b/>
          <w:color w:val="auto"/>
          <w:szCs w:val="21"/>
          <w:highlight w:val="none"/>
        </w:rPr>
      </w:pPr>
      <w:r>
        <w:rPr>
          <w:rFonts w:hint="eastAsia" w:ascii="宋体" w:hAnsi="宋体" w:eastAsia="宋体" w:cs="宋体"/>
          <w:color w:val="auto"/>
          <w:szCs w:val="21"/>
          <w:highlight w:val="none"/>
        </w:rPr>
        <w:t>注：投标文件电子文档需要投标人单位盖章的材料，投标人加盖电子印章即可，不得将投标人未对电子文档加盖实物印章作为否决投标的情形。</w:t>
      </w:r>
    </w:p>
    <w:p w14:paraId="33AFDE7C">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12.3                       </w:t>
      </w:r>
      <w:r>
        <w:rPr>
          <w:rFonts w:hint="eastAsia" w:ascii="宋体" w:hAnsi="宋体" w:eastAsia="宋体" w:cs="宋体"/>
          <w:b/>
          <w:color w:val="auto"/>
          <w:szCs w:val="21"/>
          <w:highlight w:val="none"/>
        </w:rPr>
        <w:t xml:space="preserve"> 修改类型：修改</w:t>
      </w:r>
    </w:p>
    <w:p w14:paraId="60755C3B">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 xml:space="preserve">12.3 </w:t>
      </w:r>
      <w:r>
        <w:rPr>
          <w:rFonts w:hint="eastAsia" w:ascii="宋体" w:hAnsi="宋体" w:eastAsia="宋体" w:cs="宋体"/>
          <w:bCs/>
          <w:color w:val="auto"/>
          <w:szCs w:val="21"/>
          <w:highlight w:val="none"/>
        </w:rPr>
        <w:t>投标文件应按</w:t>
      </w:r>
      <w:r>
        <w:rPr>
          <w:rFonts w:hint="eastAsia" w:ascii="宋体" w:hAnsi="宋体" w:eastAsia="宋体" w:cs="宋体"/>
          <w:color w:val="auto"/>
          <w:szCs w:val="21"/>
          <w:highlight w:val="none"/>
        </w:rPr>
        <w:t>照交易平台关于全流程电子化项目的相关指南进行编制，详见：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21DF70FB">
      <w:pPr>
        <w:pBdr>
          <w:bottom w:val="single" w:color="auto" w:sz="6" w:space="1"/>
        </w:pBdr>
        <w:spacing w:line="360" w:lineRule="auto"/>
        <w:ind w:firstLine="420" w:firstLineChars="200"/>
        <w:textAlignment w:val="baseline"/>
        <w:rPr>
          <w:rFonts w:ascii="宋体" w:hAnsi="宋体" w:eastAsia="宋体" w:cs="宋体"/>
          <w:b/>
          <w:color w:val="auto"/>
          <w:szCs w:val="21"/>
          <w:highlight w:val="none"/>
        </w:rPr>
      </w:pPr>
      <w:r>
        <w:rPr>
          <w:rFonts w:hint="eastAsia" w:ascii="宋体" w:hAnsi="宋体" w:eastAsia="宋体" w:cs="宋体"/>
          <w:bCs/>
          <w:color w:val="auto"/>
          <w:szCs w:val="21"/>
          <w:highlight w:val="none"/>
        </w:rPr>
        <w:t>如不按上述要求编制引起系统无法检索、读取相关信息的，其后果由投标人承担</w:t>
      </w:r>
      <w:r>
        <w:rPr>
          <w:rFonts w:hint="eastAsia" w:ascii="宋体" w:hAnsi="宋体" w:eastAsia="宋体" w:cs="宋体"/>
          <w:color w:val="auto"/>
          <w:szCs w:val="21"/>
          <w:highlight w:val="none"/>
        </w:rPr>
        <w:t>。</w:t>
      </w:r>
    </w:p>
    <w:p w14:paraId="305FE5B3">
      <w:pPr>
        <w:pBdr>
          <w:bottom w:val="single" w:color="auto" w:sz="6" w:space="1"/>
        </w:pBdr>
        <w:spacing w:line="360" w:lineRule="auto"/>
        <w:ind w:firstLine="422" w:firstLineChars="200"/>
        <w:textAlignment w:val="baseline"/>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12.3</w:t>
      </w:r>
      <w:r>
        <w:rPr>
          <w:rFonts w:hint="eastAsia" w:ascii="宋体" w:hAnsi="宋体" w:eastAsia="宋体" w:cs="宋体"/>
          <w:bCs/>
          <w:color w:val="auto"/>
          <w:szCs w:val="21"/>
          <w:highlight w:val="none"/>
        </w:rPr>
        <w:t>投标文件应按</w:t>
      </w:r>
      <w:r>
        <w:rPr>
          <w:rFonts w:hint="eastAsia" w:ascii="宋体" w:hAnsi="宋体" w:eastAsia="宋体" w:cs="宋体"/>
          <w:color w:val="auto"/>
          <w:szCs w:val="21"/>
          <w:highlight w:val="none"/>
        </w:rPr>
        <w:t>照</w:t>
      </w:r>
      <w:r>
        <w:rPr>
          <w:rFonts w:hint="eastAsia" w:ascii="宋体" w:hAnsi="宋体" w:eastAsia="宋体" w:cs="宋体"/>
          <w:bCs/>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交易平台关于全流程电子化项目的相关指南进行编制，详见：</w:t>
      </w:r>
      <w:r>
        <w:rPr>
          <w:rFonts w:hint="eastAsia" w:ascii="宋体" w:hAnsi="宋体" w:eastAsia="宋体" w:cs="宋体"/>
          <w:bCs/>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5DD8BCF1">
      <w:pPr>
        <w:pBdr>
          <w:bottom w:val="single" w:color="auto" w:sz="6" w:space="1"/>
        </w:pBdr>
        <w:spacing w:line="360" w:lineRule="auto"/>
        <w:ind w:firstLine="420" w:firstLineChars="200"/>
        <w:textAlignment w:val="baseline"/>
        <w:rPr>
          <w:rFonts w:ascii="宋体" w:hAnsi="宋体" w:eastAsia="宋体" w:cs="宋体"/>
          <w:b/>
          <w:color w:val="auto"/>
          <w:szCs w:val="21"/>
          <w:highlight w:val="none"/>
        </w:rPr>
      </w:pPr>
      <w:r>
        <w:rPr>
          <w:rFonts w:hint="eastAsia" w:ascii="宋体" w:hAnsi="宋体" w:eastAsia="宋体" w:cs="宋体"/>
          <w:bCs/>
          <w:color w:val="auto"/>
          <w:szCs w:val="21"/>
          <w:highlight w:val="none"/>
        </w:rPr>
        <w:t>如不按上述要求编制引起系统无法检索、读取相关信息的，其后果由投标人承担</w:t>
      </w:r>
      <w:r>
        <w:rPr>
          <w:rFonts w:hint="eastAsia" w:ascii="宋体" w:hAnsi="宋体" w:eastAsia="宋体" w:cs="宋体"/>
          <w:color w:val="auto"/>
          <w:szCs w:val="21"/>
          <w:highlight w:val="none"/>
        </w:rPr>
        <w:t>。</w:t>
      </w:r>
    </w:p>
    <w:p w14:paraId="7A3887F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                        </w:t>
      </w:r>
      <w:r>
        <w:rPr>
          <w:rFonts w:hint="eastAsia" w:ascii="宋体" w:hAnsi="宋体" w:eastAsia="宋体" w:cs="宋体"/>
          <w:b/>
          <w:color w:val="auto"/>
          <w:szCs w:val="21"/>
          <w:highlight w:val="none"/>
        </w:rPr>
        <w:t>修改类型：修改</w:t>
      </w:r>
    </w:p>
    <w:p w14:paraId="49B4A1AC">
      <w:pPr>
        <w:pBdr>
          <w:bottom w:val="single" w:color="auto" w:sz="6" w:space="1"/>
        </w:pBdr>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13.1本工程的投标报价采用投标须知前附表第12项所规定的方式。投标报价（含单价及总价）精确到“分”。</w:t>
      </w:r>
    </w:p>
    <w:p w14:paraId="1B303F9A">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 xml:space="preserve">13.1 </w:t>
      </w:r>
      <w:r>
        <w:rPr>
          <w:rFonts w:hint="eastAsia" w:ascii="宋体" w:hAnsi="宋体" w:eastAsia="宋体" w:cs="宋体"/>
          <w:color w:val="auto"/>
          <w:szCs w:val="21"/>
          <w:highlight w:val="none"/>
        </w:rPr>
        <w:t>本工程的投标报价采用投标须知前附表第</w:t>
      </w:r>
      <w:r>
        <w:rPr>
          <w:rFonts w:ascii="宋体" w:hAnsi="宋体" w:eastAsia="宋体" w:cs="宋体"/>
          <w:color w:val="auto"/>
          <w:szCs w:val="21"/>
          <w:highlight w:val="none"/>
        </w:rPr>
        <w:t>12项所规定的方式。</w:t>
      </w:r>
      <w:r>
        <w:rPr>
          <w:rFonts w:hint="eastAsia" w:ascii="宋体" w:hAnsi="宋体" w:eastAsia="宋体" w:cs="宋体"/>
          <w:color w:val="auto"/>
          <w:szCs w:val="21"/>
          <w:highlight w:val="none"/>
          <w:u w:val="single"/>
        </w:rPr>
        <w:t>投标文件中的大写金额和小写金额不一致的，以大写金额为准。</w:t>
      </w:r>
      <w:r>
        <w:rPr>
          <w:rFonts w:hint="eastAsia" w:ascii="宋体" w:hAnsi="宋体" w:eastAsia="宋体" w:cs="宋体"/>
          <w:color w:val="auto"/>
          <w:szCs w:val="21"/>
          <w:highlight w:val="none"/>
        </w:rPr>
        <w:t>投标报价（含单价及总价）精确到“分”。</w:t>
      </w:r>
    </w:p>
    <w:p w14:paraId="706A15C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13.3                        </w:t>
      </w:r>
      <w:r>
        <w:rPr>
          <w:rFonts w:hint="eastAsia" w:ascii="宋体" w:hAnsi="宋体" w:eastAsia="宋体" w:cs="宋体"/>
          <w:b/>
          <w:color w:val="auto"/>
          <w:szCs w:val="21"/>
          <w:highlight w:val="none"/>
        </w:rPr>
        <w:t>修改类型：修改</w:t>
      </w:r>
    </w:p>
    <w:p w14:paraId="4B74C5C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4A86BE3B">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13.3投标人的投标报价，应是按照投标须知前附表第8项的工期要求，在投标须知前附表第3项的建设地点，完成投标须知前附表第7项的招标范围内已由招标人</w:t>
      </w:r>
      <w:r>
        <w:rPr>
          <w:rFonts w:hint="eastAsia" w:ascii="宋体" w:hAnsi="宋体" w:eastAsia="宋体" w:cs="宋体"/>
          <w:color w:val="auto"/>
          <w:szCs w:val="21"/>
          <w:highlight w:val="none"/>
          <w:u w:val="single"/>
        </w:rPr>
        <w:t>提供的招标图纸（包括有关于本项目招标的相关资料）及</w:t>
      </w:r>
      <w:r>
        <w:rPr>
          <w:rFonts w:hint="eastAsia" w:ascii="宋体" w:hAnsi="宋体" w:eastAsia="宋体" w:cs="宋体"/>
          <w:color w:val="auto"/>
          <w:szCs w:val="21"/>
          <w:highlight w:val="none"/>
        </w:rPr>
        <w:t>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w:t>
      </w:r>
      <w:r>
        <w:rPr>
          <w:rFonts w:hint="eastAsia" w:ascii="宋体" w:hAnsi="宋体" w:eastAsia="宋体" w:cs="宋体"/>
          <w:color w:val="auto"/>
          <w:szCs w:val="21"/>
          <w:highlight w:val="none"/>
          <w:u w:val="single"/>
        </w:rPr>
        <w:t>绿色施工安全防护措施费</w:t>
      </w:r>
      <w:r>
        <w:rPr>
          <w:rFonts w:hint="eastAsia" w:ascii="宋体" w:hAnsi="宋体" w:eastAsia="宋体" w:cs="宋体"/>
          <w:color w:val="auto"/>
          <w:szCs w:val="21"/>
          <w:highlight w:val="none"/>
        </w:rPr>
        <w:t>等非竞争性项目明列了单价或合价的金额的，投标人应按照明列的单价或合价的金额报价，未按照规定金额报价的，由评标委员会按照招标文件规定的金额进行修正。</w:t>
      </w:r>
    </w:p>
    <w:p w14:paraId="30C70FF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13.4                        </w:t>
      </w:r>
      <w:r>
        <w:rPr>
          <w:rFonts w:hint="eastAsia" w:ascii="宋体" w:hAnsi="宋体" w:eastAsia="宋体" w:cs="宋体"/>
          <w:b/>
          <w:color w:val="auto"/>
          <w:szCs w:val="21"/>
          <w:highlight w:val="none"/>
        </w:rPr>
        <w:t>修改类型：修改</w:t>
      </w:r>
    </w:p>
    <w:p w14:paraId="4F63BFA5">
      <w:pPr>
        <w:pStyle w:val="86"/>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47CD5DEF">
      <w:pPr>
        <w:pBdr>
          <w:bottom w:val="single" w:color="auto" w:sz="6" w:space="1"/>
        </w:pBdr>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13.4投标人一旦中标，投标人对招标人提供的招标工程量清单中列出的工程项目所报出的综合单价</w:t>
      </w:r>
      <w:r>
        <w:rPr>
          <w:rFonts w:hint="eastAsia" w:ascii="宋体" w:hAnsi="宋体" w:eastAsia="宋体" w:cs="宋体"/>
          <w:color w:val="auto"/>
          <w:szCs w:val="21"/>
          <w:highlight w:val="none"/>
          <w:u w:val="single"/>
        </w:rPr>
        <w:t>和措施项目费（措施项目费必须单列，没有单独列出的，视为已经包含在投标报价中），在工程结算时，按招标文件第三章合同条款相关约定调整。</w:t>
      </w:r>
    </w:p>
    <w:p w14:paraId="32C759E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13.5                        </w:t>
      </w:r>
      <w:r>
        <w:rPr>
          <w:rFonts w:hint="eastAsia" w:ascii="宋体" w:hAnsi="宋体" w:eastAsia="宋体" w:cs="宋体"/>
          <w:b/>
          <w:color w:val="auto"/>
          <w:szCs w:val="21"/>
          <w:highlight w:val="none"/>
        </w:rPr>
        <w:t>修改类型：修改</w:t>
      </w:r>
    </w:p>
    <w:p w14:paraId="74AD6D8B">
      <w:pPr>
        <w:pStyle w:val="86"/>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4EDDC536">
      <w:pPr>
        <w:pStyle w:val="86"/>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13.5.1中标的投标文件工程量清单中已有相同项目的适用综合单价，则沿用；</w:t>
      </w:r>
    </w:p>
    <w:p w14:paraId="7F84C904">
      <w:pPr>
        <w:pStyle w:val="86"/>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1DBFBC16">
      <w:pPr>
        <w:pStyle w:val="86"/>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13.5.3 </w:t>
      </w:r>
      <w:r>
        <w:rPr>
          <w:rFonts w:hint="eastAsia" w:ascii="宋体" w:hAnsi="宋体" w:eastAsia="宋体" w:cs="宋体"/>
          <w:color w:val="auto"/>
          <w:szCs w:val="21"/>
          <w:highlight w:val="none"/>
        </w:rPr>
        <w:t>中标的投标文件工程量清单中没有相同项目或类似项目的，如可套取相关定额，则以相关定额为基数下浮计算单价</w:t>
      </w:r>
      <w:r>
        <w:rPr>
          <w:rFonts w:ascii="宋体" w:hAnsi="宋体" w:eastAsia="宋体" w:cs="宋体"/>
          <w:color w:val="auto"/>
          <w:szCs w:val="21"/>
          <w:highlight w:val="none"/>
        </w:rPr>
        <w:t xml:space="preserve">,下浮率为中标价相对于最高投标限价的下浮率（下浮率=(最高投标限价-中标价)/ </w:t>
      </w:r>
      <w:r>
        <w:rPr>
          <w:rFonts w:hint="eastAsia" w:ascii="宋体" w:hAnsi="宋体" w:eastAsia="宋体" w:cs="宋体"/>
          <w:color w:val="auto"/>
          <w:szCs w:val="21"/>
          <w:highlight w:val="none"/>
        </w:rPr>
        <w:t>最高投标限价）。</w:t>
      </w:r>
    </w:p>
    <w:p w14:paraId="3F966E01">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13.5.4 </w:t>
      </w:r>
      <w:r>
        <w:rPr>
          <w:rFonts w:hint="eastAsia" w:ascii="宋体" w:hAnsi="宋体" w:eastAsia="宋体" w:cs="宋体"/>
          <w:color w:val="auto"/>
          <w:szCs w:val="21"/>
          <w:highlight w:val="none"/>
        </w:rPr>
        <w:t>如相关定额没有相应子目的，其计价方式由招标人在本招标文件第三章中另行规定。未规定的，中标后双方协商约定。</w:t>
      </w:r>
    </w:p>
    <w:p w14:paraId="688EE404">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13.5</w:t>
      </w:r>
      <w:r>
        <w:rPr>
          <w:rFonts w:hint="eastAsia" w:ascii="宋体" w:hAnsi="宋体" w:eastAsia="宋体" w:cs="宋体"/>
          <w:color w:val="auto"/>
          <w:szCs w:val="21"/>
          <w:highlight w:val="none"/>
          <w:u w:val="single"/>
        </w:rPr>
        <w:t>工程项目实施期间和结算时，根据招标图纸及工程量清单计价规范在招标文件工程量清单中漏列而由监理单位和招标人现场签证确认的实体工程项目</w:t>
      </w:r>
      <w:r>
        <w:rPr>
          <w:rFonts w:hint="eastAsia" w:ascii="宋体" w:hAnsi="宋体" w:cs="宋体"/>
          <w:color w:val="auto"/>
          <w:szCs w:val="21"/>
          <w:highlight w:val="none"/>
          <w:u w:val="single"/>
        </w:rPr>
        <w:t>、原设计没有而由招标人批准设计变更产生的实体工程项目、或在本工程实施过程中，承包人按发包人要求完成合同约定工程范围外的内容（含现场签证）</w:t>
      </w:r>
      <w:r>
        <w:rPr>
          <w:rFonts w:hint="eastAsia" w:ascii="宋体" w:hAnsi="宋体" w:eastAsia="宋体" w:cs="宋体"/>
          <w:color w:val="auto"/>
          <w:szCs w:val="21"/>
          <w:highlight w:val="none"/>
          <w:u w:val="single"/>
        </w:rPr>
        <w:t>，按合同专用条款相关约定确定价格。</w:t>
      </w:r>
    </w:p>
    <w:p w14:paraId="2B162023">
      <w:pPr>
        <w:pBdr>
          <w:top w:val="single" w:color="auto" w:sz="4"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13.6.2                      </w:t>
      </w:r>
      <w:r>
        <w:rPr>
          <w:rFonts w:hint="eastAsia" w:ascii="宋体" w:hAnsi="宋体" w:eastAsia="宋体" w:cs="宋体"/>
          <w:b/>
          <w:color w:val="auto"/>
          <w:szCs w:val="21"/>
          <w:highlight w:val="none"/>
        </w:rPr>
        <w:t>修改类型：修改</w:t>
      </w:r>
    </w:p>
    <w:p w14:paraId="22592D3B">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40ACDB3C">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13.6.2在工程实施中，暂列金额、暂估价所包含的工作范围和图纸、标准深化固定后，按照工程专业、设备、材料类别等分类汇总的金额，达到法定招标范围标准的</w:t>
      </w:r>
      <w:r>
        <w:rPr>
          <w:rFonts w:hint="eastAsia" w:ascii="宋体" w:hAnsi="宋体" w:eastAsia="宋体" w:cs="宋体"/>
          <w:color w:val="auto"/>
          <w:szCs w:val="21"/>
          <w:highlight w:val="none"/>
          <w:u w:val="single"/>
        </w:rPr>
        <w:t>应由招标人招标确定承包人和承包价格。</w:t>
      </w:r>
    </w:p>
    <w:p w14:paraId="7E673E1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13.6.4                      </w:t>
      </w:r>
      <w:r>
        <w:rPr>
          <w:rFonts w:hint="eastAsia" w:ascii="宋体" w:hAnsi="宋体" w:eastAsia="宋体" w:cs="宋体"/>
          <w:b/>
          <w:color w:val="auto"/>
          <w:szCs w:val="21"/>
          <w:highlight w:val="none"/>
        </w:rPr>
        <w:t>修改类型：修改</w:t>
      </w:r>
    </w:p>
    <w:p w14:paraId="6BD432AB">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1AE9AD3D">
      <w:pPr>
        <w:pStyle w:val="86"/>
        <w:pBdr>
          <w:bottom w:val="single" w:color="auto" w:sz="6" w:space="1"/>
        </w:pBdr>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w:t>
      </w:r>
      <w:r>
        <w:rPr>
          <w:rFonts w:hint="eastAsia" w:ascii="宋体" w:hAnsi="宋体" w:eastAsia="宋体" w:cs="宋体"/>
          <w:color w:val="auto"/>
          <w:szCs w:val="21"/>
          <w:highlight w:val="none"/>
          <w:u w:val="single"/>
        </w:rPr>
        <w:t>经发包人同意，</w:t>
      </w:r>
      <w:r>
        <w:rPr>
          <w:rFonts w:hint="eastAsia" w:ascii="宋体" w:hAnsi="宋体" w:eastAsia="宋体" w:cs="宋体"/>
          <w:color w:val="auto"/>
          <w:szCs w:val="21"/>
          <w:highlight w:val="none"/>
        </w:rPr>
        <w:t>承包人有法定的承包资格的，由承包人承包，承包人无法定的承包资格但有法定的分包权的，由承包人分包，招标人同承包人结算的价格按本投标须知</w:t>
      </w:r>
      <w:r>
        <w:rPr>
          <w:rFonts w:ascii="宋体" w:hAnsi="宋体" w:eastAsia="宋体" w:cs="宋体"/>
          <w:color w:val="auto"/>
          <w:szCs w:val="21"/>
          <w:highlight w:val="none"/>
        </w:rPr>
        <w:t>13.5款规定确定。</w:t>
      </w:r>
    </w:p>
    <w:p w14:paraId="2293930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13.8                        </w:t>
      </w:r>
      <w:r>
        <w:rPr>
          <w:rFonts w:hint="eastAsia" w:ascii="宋体" w:hAnsi="宋体" w:eastAsia="宋体" w:cs="宋体"/>
          <w:b/>
          <w:color w:val="auto"/>
          <w:szCs w:val="21"/>
          <w:highlight w:val="none"/>
        </w:rPr>
        <w:t>修改类型：修改</w:t>
      </w:r>
    </w:p>
    <w:p w14:paraId="428B0451">
      <w:pPr>
        <w:pStyle w:val="86"/>
        <w:spacing w:after="0"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7E144DB4">
      <w:pPr>
        <w:pBdr>
          <w:bottom w:val="single" w:color="auto" w:sz="4" w:space="0"/>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13.8</w:t>
      </w:r>
      <w:r>
        <w:rPr>
          <w:rFonts w:hint="eastAsia" w:ascii="宋体" w:hAnsi="宋体" w:eastAsia="宋体" w:cs="宋体"/>
          <w:color w:val="auto"/>
          <w:szCs w:val="21"/>
          <w:highlight w:val="none"/>
        </w:rPr>
        <w:t>本工程采用的主要材料推荐选用本招标文件附件《参考品牌》的品牌、厂家或选用相当于该档次（或以上）的产品。</w:t>
      </w:r>
      <w:r>
        <w:rPr>
          <w:rFonts w:hint="eastAsia" w:ascii="宋体" w:hAnsi="宋体" w:cs="宋体"/>
          <w:color w:val="auto"/>
          <w:szCs w:val="21"/>
          <w:highlight w:val="none"/>
          <w:u w:val="single"/>
        </w:rPr>
        <w:t>投标期间，投标人不需在投标文件中明确所选用主要材料、设备的品牌、厂家以及质量等级。实施期间，所有材料品牌选择均须报发包人、监理工程师确认，所有材料及成品质量必须满足设计与规范要求，且经检验合格后方可使用。</w:t>
      </w:r>
    </w:p>
    <w:p w14:paraId="451108B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13.10                       </w:t>
      </w:r>
      <w:r>
        <w:rPr>
          <w:rFonts w:hint="eastAsia" w:ascii="宋体" w:hAnsi="宋体" w:eastAsia="宋体" w:cs="宋体"/>
          <w:b/>
          <w:color w:val="auto"/>
          <w:szCs w:val="21"/>
          <w:highlight w:val="none"/>
        </w:rPr>
        <w:t>修改类型：增加</w:t>
      </w:r>
    </w:p>
    <w:p w14:paraId="5212B4B1">
      <w:pPr>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bCs/>
          <w:color w:val="auto"/>
          <w:szCs w:val="21"/>
          <w:highlight w:val="none"/>
          <w:u w:val="single"/>
        </w:rPr>
        <w:t>13.10</w:t>
      </w:r>
      <w:r>
        <w:rPr>
          <w:rFonts w:hint="eastAsia" w:ascii="宋体" w:hAnsi="宋体" w:eastAsia="宋体" w:cs="宋体"/>
          <w:color w:val="auto"/>
          <w:szCs w:val="21"/>
          <w:highlight w:val="none"/>
          <w:u w:val="single"/>
        </w:rPr>
        <w:t>工程量清单报价中有关问题的说明：</w:t>
      </w:r>
    </w:p>
    <w:p w14:paraId="0A5F9622">
      <w:pPr>
        <w:spacing w:line="360" w:lineRule="auto"/>
        <w:ind w:firstLine="420" w:firstLineChars="200"/>
        <w:rPr>
          <w:rFonts w:ascii="宋体" w:hAnsi="宋体" w:cs="宋体"/>
          <w:b/>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1）投标时</w:t>
      </w:r>
      <w:r>
        <w:rPr>
          <w:rFonts w:hint="eastAsia" w:ascii="宋体" w:hAnsi="宋体" w:eastAsia="宋体" w:cs="宋体"/>
          <w:color w:val="auto"/>
          <w:szCs w:val="21"/>
          <w:highlight w:val="none"/>
          <w:u w:val="single"/>
        </w:rPr>
        <w:t>，土方的弃运距离暂按</w:t>
      </w:r>
      <w:r>
        <w:rPr>
          <w:rFonts w:ascii="宋体" w:hAnsi="宋体" w:eastAsia="宋体" w:cs="宋体"/>
          <w:color w:val="auto"/>
          <w:szCs w:val="21"/>
          <w:highlight w:val="none"/>
          <w:u w:val="single"/>
        </w:rPr>
        <w:t>15km内考虑，超过15km按15km计算，结算时按招标人确认的实际运距计算</w:t>
      </w:r>
      <w:r>
        <w:rPr>
          <w:rFonts w:hint="eastAsia" w:ascii="宋体" w:hAnsi="宋体" w:eastAsia="宋体" w:cs="宋体"/>
          <w:color w:val="auto"/>
          <w:szCs w:val="21"/>
          <w:highlight w:val="none"/>
          <w:u w:val="single"/>
        </w:rPr>
        <w:t>，实际运距超过</w:t>
      </w:r>
      <w:r>
        <w:rPr>
          <w:rFonts w:ascii="宋体" w:hAnsi="宋体" w:eastAsia="宋体" w:cs="宋体"/>
          <w:color w:val="auto"/>
          <w:szCs w:val="21"/>
          <w:highlight w:val="none"/>
          <w:u w:val="single"/>
        </w:rPr>
        <w:t>15公里时，按15公里包干，弃运的土方单价按定额计算</w:t>
      </w:r>
      <w:r>
        <w:rPr>
          <w:rFonts w:hint="eastAsia" w:ascii="宋体" w:hAnsi="宋体" w:eastAsia="宋体" w:cs="宋体"/>
          <w:color w:val="auto"/>
          <w:szCs w:val="21"/>
          <w:highlight w:val="none"/>
        </w:rPr>
        <w:t>。</w:t>
      </w:r>
    </w:p>
    <w:p w14:paraId="5DBEC4D7">
      <w:pPr>
        <w:pBdr>
          <w:bottom w:val="single" w:color="auto" w:sz="4" w:space="0"/>
        </w:pBd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2）工程量清单中措施项目清单费计价表中的绿色施工安全防护措施费执行《广东省住房和城乡建设厅关于印发</w:t>
      </w:r>
      <w:r>
        <w:rPr>
          <w:rFonts w:hint="eastAsia" w:ascii="宋体" w:hAnsi="宋体" w:eastAsia="宋体" w:cs="宋体"/>
          <w:color w:val="auto"/>
          <w:szCs w:val="21"/>
          <w:highlight w:val="none"/>
          <w:u w:val="single"/>
        </w:rPr>
        <w:t>＜广东省建设工程计价依据（</w:t>
      </w:r>
      <w:r>
        <w:rPr>
          <w:rFonts w:ascii="宋体" w:hAnsi="宋体" w:eastAsia="宋体" w:cs="宋体"/>
          <w:color w:val="auto"/>
          <w:szCs w:val="21"/>
          <w:highlight w:val="none"/>
          <w:u w:val="single"/>
        </w:rPr>
        <w:t>2018)</w:t>
      </w:r>
      <w:r>
        <w:rPr>
          <w:rFonts w:hint="eastAsia" w:ascii="宋体" w:hAnsi="宋体" w:eastAsia="宋体" w:cs="宋体"/>
          <w:color w:val="auto"/>
          <w:szCs w:val="21"/>
          <w:highlight w:val="none"/>
          <w:u w:val="single"/>
        </w:rPr>
        <w:t>＞的通知》（穗建市〔</w:t>
      </w:r>
      <w:r>
        <w:rPr>
          <w:rFonts w:ascii="宋体" w:hAnsi="宋体" w:eastAsia="宋体" w:cs="宋体"/>
          <w:color w:val="auto"/>
          <w:szCs w:val="21"/>
          <w:highlight w:val="none"/>
          <w:u w:val="single"/>
        </w:rPr>
        <w:t>2019〕6号）文，绿色施工安全防护措施费按发包人公布的本工程招标控制价（最高投标限价）中的绿色施工安全防护措施费计取，作为非竞争费用，在投标报价中单列，不参与投标竞价，该费用从工程施工中标价中提取，专款专用</w:t>
      </w:r>
      <w:r>
        <w:rPr>
          <w:rFonts w:hint="eastAsia" w:ascii="宋体" w:hAnsi="宋体" w:eastAsia="宋体" w:cs="宋体"/>
          <w:color w:val="auto"/>
          <w:szCs w:val="21"/>
          <w:highlight w:val="none"/>
        </w:rPr>
        <w:t>。</w:t>
      </w:r>
    </w:p>
    <w:p w14:paraId="5737EA0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13.11                       </w:t>
      </w:r>
      <w:r>
        <w:rPr>
          <w:rFonts w:hint="eastAsia" w:ascii="宋体" w:hAnsi="宋体" w:eastAsia="宋体" w:cs="宋体"/>
          <w:b/>
          <w:color w:val="auto"/>
          <w:szCs w:val="21"/>
          <w:highlight w:val="none"/>
        </w:rPr>
        <w:t>修改类型：增加</w:t>
      </w:r>
    </w:p>
    <w:p w14:paraId="6AF9352A">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13.11投标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包含在措施项目费中，结算时按发包人批准的实施方案，再按合同约定结算。如果中标人不及时按要求设置，业主可以另行委托实施，业主按实际发生的费用在工程款中扣除，中标人不得有任何异议。</w:t>
      </w:r>
    </w:p>
    <w:p w14:paraId="41FFB16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13.12                          </w:t>
      </w:r>
      <w:r>
        <w:rPr>
          <w:rFonts w:hint="eastAsia" w:ascii="宋体" w:hAnsi="宋体" w:eastAsia="宋体" w:cs="宋体"/>
          <w:b/>
          <w:color w:val="auto"/>
          <w:szCs w:val="21"/>
          <w:highlight w:val="none"/>
        </w:rPr>
        <w:t>修改类型：增加</w:t>
      </w:r>
    </w:p>
    <w:p w14:paraId="7121F280">
      <w:pPr>
        <w:pBdr>
          <w:bottom w:val="single" w:color="auto" w:sz="4" w:space="0"/>
        </w:pBdr>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13.12</w:t>
      </w:r>
      <w:r>
        <w:rPr>
          <w:rFonts w:hint="eastAsia" w:ascii="宋体" w:hAnsi="宋体" w:eastAsia="宋体" w:cs="宋体"/>
          <w:color w:val="auto"/>
          <w:szCs w:val="21"/>
          <w:highlight w:val="none"/>
          <w:u w:val="single"/>
        </w:rPr>
        <w:t>中标人</w:t>
      </w:r>
      <w:r>
        <w:rPr>
          <w:rFonts w:hint="eastAsia" w:ascii="宋体" w:hAnsi="宋体" w:eastAsia="宋体" w:cs="宋体"/>
          <w:color w:val="auto"/>
          <w:szCs w:val="21"/>
          <w:highlight w:val="none"/>
          <w:u w:val="single"/>
        </w:rPr>
        <w:t>应加强周边学校、居民住宅的环境保护，制定绿色施工安全防护措施（包括防尘、防噪音、施工围蔽等），施工现场严格按照《广州市建设工程文明施工管理规定》（广州市人民政府令第158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危险性较大的分部分项工程安全管理规定》(中华人民共和国住房和城乡建设部令第47号)、《关于进一步落实我区市政建设项目施工围蔽提升工作的通知》（穗埔建[2019]123号）及《黄埔区住房和城乡建设局 广州开发区建设和交通局关于进一步规范全区建设工程施工围蔽标准的通知》（穗埔建﹝2020﹞183号）实施。以上文件要求不一致的，以后发布文件为准，若相关部门发布有关施工围蔽新文件规定的，按新规定执行。</w:t>
      </w:r>
      <w:r>
        <w:rPr>
          <w:rFonts w:hint="eastAsia" w:ascii="宋体" w:hAnsi="宋体" w:cs="宋体"/>
          <w:color w:val="auto"/>
          <w:szCs w:val="21"/>
          <w:highlight w:val="none"/>
          <w:u w:val="single"/>
        </w:rPr>
        <w:t>实施相关费用已含在合同价中。如承包人未及时按要求做好围蔽等安全文明施工措施，建设业主可另行委托单位实施，建设业主按实际发生的费用在绿色施工安全防护措施费中扣除。</w:t>
      </w:r>
    </w:p>
    <w:p w14:paraId="7FF02FD1">
      <w:pPr>
        <w:pBdr>
          <w:bottom w:val="none" w:color="auto" w:sz="0"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13.13                       </w:t>
      </w:r>
      <w:r>
        <w:rPr>
          <w:rFonts w:hint="eastAsia" w:ascii="宋体" w:hAnsi="宋体" w:eastAsia="宋体" w:cs="宋体"/>
          <w:b/>
          <w:color w:val="auto"/>
          <w:szCs w:val="21"/>
          <w:highlight w:val="none"/>
        </w:rPr>
        <w:t>修改类型：增加</w:t>
      </w:r>
    </w:p>
    <w:p w14:paraId="474822A3">
      <w:pPr>
        <w:pBdr>
          <w:bottom w:val="none" w:color="auto" w:sz="0"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13.13本工程中标人通过现场考察，提出具体施工方案，无论在工程施工期间或是在质量保修期内，若因施工而引起的一切索赔、赔偿、诉讼费用和其他开支，由中标人承担全部责任。该项费用在措施项目费中设有独立单项项目，该费用（除围蔽费用除外）包干使用，且中标人不得以任何理由要求业主另行增加该部分费用（中标人要充分考虑最不利因素影响而采用的施工方案所需的费用）。</w:t>
      </w:r>
    </w:p>
    <w:p w14:paraId="6A10B127">
      <w:pPr>
        <w:pBdr>
          <w:top w:val="single" w:color="auto" w:sz="4" w:space="1"/>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13.14                       </w:t>
      </w:r>
      <w:r>
        <w:rPr>
          <w:rFonts w:hint="eastAsia" w:ascii="宋体" w:hAnsi="宋体" w:eastAsia="宋体" w:cs="宋体"/>
          <w:b/>
          <w:color w:val="auto"/>
          <w:szCs w:val="21"/>
          <w:highlight w:val="none"/>
        </w:rPr>
        <w:t>修改类型：增加</w:t>
      </w:r>
    </w:p>
    <w:p w14:paraId="670932AE">
      <w:pPr>
        <w:pBdr>
          <w:top w:val="single" w:color="auto" w:sz="4" w:space="1"/>
          <w:bottom w:val="single" w:color="auto" w:sz="6" w:space="1"/>
        </w:pBdr>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13.14投标单位应结合本工程招标内容对现场进行充分的调查，充分考虑工程招标内容及施工组织方案，承包单位应与相关管理部门（如铁路管理部门）协商，取得同意协调，按要求完成工程招标内容，工程及相关费用包含在投标总价中，不另行计费。如果中标人不及时按要求完成，业主可以另行委托实施，业主按实际发生的费用在工程款中扣除，中标人不得有任何异议。</w:t>
      </w:r>
    </w:p>
    <w:p w14:paraId="12D8F62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13.15                       </w:t>
      </w:r>
      <w:r>
        <w:rPr>
          <w:rFonts w:hint="eastAsia" w:ascii="宋体" w:hAnsi="宋体" w:eastAsia="宋体" w:cs="宋体"/>
          <w:b/>
          <w:color w:val="auto"/>
          <w:szCs w:val="21"/>
          <w:highlight w:val="none"/>
        </w:rPr>
        <w:t>修改类型：增加</w:t>
      </w:r>
    </w:p>
    <w:p w14:paraId="45E9A91B">
      <w:pPr>
        <w:pBdr>
          <w:bottom w:val="single" w:color="auto" w:sz="6" w:space="1"/>
        </w:pBdr>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13.15</w:t>
      </w:r>
      <w:r>
        <w:rPr>
          <w:rFonts w:hint="eastAsia" w:ascii="宋体" w:hAnsi="宋体" w:eastAsia="宋体" w:cs="宋体"/>
          <w:color w:val="auto"/>
          <w:szCs w:val="21"/>
          <w:highlight w:val="none"/>
          <w:u w:val="single"/>
        </w:rPr>
        <w:t>中标人</w:t>
      </w:r>
      <w:r>
        <w:rPr>
          <w:rFonts w:ascii="宋体" w:hAnsi="宋体" w:eastAsia="宋体" w:cs="宋体"/>
          <w:color w:val="auto"/>
          <w:szCs w:val="21"/>
          <w:highlight w:val="none"/>
          <w:u w:val="single"/>
        </w:rPr>
        <w:t>应根据区相关主管部门批复的水土保持实施方案及相关规定完成本工程的水土保持工作，承担防止水土流失职责，相关费用包含在投标总价中，不另行计费。如果中标人不及时按要求完成上述工作，业主可以另行委托实施，业主按实际发生的费用在工程款中扣除，中标人不得有任何异议。</w:t>
      </w:r>
    </w:p>
    <w:p w14:paraId="178A8D7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13.16                       </w:t>
      </w:r>
      <w:r>
        <w:rPr>
          <w:rFonts w:hint="eastAsia" w:ascii="宋体" w:hAnsi="宋体" w:eastAsia="宋体" w:cs="宋体"/>
          <w:b/>
          <w:color w:val="auto"/>
          <w:szCs w:val="21"/>
          <w:highlight w:val="none"/>
        </w:rPr>
        <w:t>修改类型：增加</w:t>
      </w:r>
    </w:p>
    <w:p w14:paraId="0E7700DC">
      <w:pPr>
        <w:pBdr>
          <w:bottom w:val="single" w:color="auto" w:sz="6" w:space="1"/>
        </w:pBdr>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13.16中标人应使用绿色生产达标企业生产的混凝土，若不遵守承诺，自愿按不履行合同约定处理。</w:t>
      </w:r>
    </w:p>
    <w:p w14:paraId="2A3BA9A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13.17                       </w:t>
      </w:r>
      <w:r>
        <w:rPr>
          <w:rFonts w:hint="eastAsia" w:ascii="宋体" w:hAnsi="宋体" w:eastAsia="宋体" w:cs="宋体"/>
          <w:b/>
          <w:color w:val="auto"/>
          <w:szCs w:val="21"/>
          <w:highlight w:val="none"/>
        </w:rPr>
        <w:t>修改类型：增加</w:t>
      </w:r>
    </w:p>
    <w:p w14:paraId="018A5EB6">
      <w:pPr>
        <w:pBdr>
          <w:bottom w:val="single" w:color="auto" w:sz="4" w:space="1"/>
        </w:pBdr>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13.17中标人应按有关规定协助建设业主完成公共排水设施竣工图纸备案工作。</w:t>
      </w:r>
    </w:p>
    <w:p w14:paraId="2225B78C">
      <w:pPr>
        <w:pBdr>
          <w:bottom w:val="single" w:color="auto" w:sz="6" w:space="1"/>
        </w:pBdr>
        <w:spacing w:line="360" w:lineRule="auto"/>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条款号：</w:t>
      </w:r>
      <w:r>
        <w:rPr>
          <w:rFonts w:ascii="宋体" w:hAnsi="宋体" w:eastAsia="宋体" w:cs="宋体"/>
          <w:color w:val="auto"/>
          <w:szCs w:val="21"/>
          <w:highlight w:val="none"/>
        </w:rPr>
        <w:t xml:space="preserve">13.18                       </w:t>
      </w:r>
      <w:r>
        <w:rPr>
          <w:rFonts w:ascii="宋体" w:hAnsi="宋体" w:eastAsia="宋体" w:cs="宋体"/>
          <w:b/>
          <w:color w:val="auto"/>
          <w:szCs w:val="21"/>
          <w:highlight w:val="none"/>
        </w:rPr>
        <w:t>修改类型：增加</w:t>
      </w:r>
    </w:p>
    <w:p w14:paraId="58D8912A">
      <w:pPr>
        <w:pBdr>
          <w:bottom w:val="single" w:color="auto" w:sz="6" w:space="1"/>
        </w:pBdr>
        <w:spacing w:line="360" w:lineRule="auto"/>
        <w:ind w:firstLine="422" w:firstLineChars="200"/>
        <w:rPr>
          <w:rFonts w:ascii="宋体" w:hAnsi="宋体" w:eastAsia="宋体" w:cs="宋体"/>
          <w:color w:val="auto"/>
          <w:szCs w:val="21"/>
          <w:highlight w:val="none"/>
        </w:rPr>
      </w:pPr>
      <w:r>
        <w:rPr>
          <w:rFonts w:ascii="宋体" w:hAnsi="宋体" w:eastAsia="宋体" w:cs="宋体"/>
          <w:b/>
          <w:color w:val="auto"/>
          <w:szCs w:val="21"/>
          <w:highlight w:val="none"/>
        </w:rPr>
        <w:t>现文：</w:t>
      </w:r>
      <w:r>
        <w:rPr>
          <w:rFonts w:ascii="宋体" w:hAnsi="宋体" w:eastAsia="宋体" w:cs="宋体"/>
          <w:color w:val="auto"/>
          <w:szCs w:val="21"/>
          <w:highlight w:val="none"/>
        </w:rPr>
        <w:t>13.18根据广东省住房和城乡建设厅关于贯彻实施《建设工程工程量清单计价标准》及九项专业工程工程量计算标准的补充通知（粤建市函〔2025〕587 号），本项目执行2013版清单计价计算规范，请各投标人按照2013版清单计价计算标准、规范等编制。</w:t>
      </w:r>
    </w:p>
    <w:p w14:paraId="7764C0B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15.2                        修改类型：修改</w:t>
      </w:r>
    </w:p>
    <w:p w14:paraId="670647C2">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15.2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14:paraId="14A1AECA">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15.2在特殊情况下，招标人在原定投标有效期内，可以根据需要以书面形式向投标人提出延长投标有效期的要求，对此要求投标人须以书面形式予以答复。</w:t>
      </w:r>
      <w:r>
        <w:rPr>
          <w:rFonts w:hint="eastAsia" w:ascii="宋体" w:hAnsi="宋体" w:eastAsia="宋体" w:cs="宋体"/>
          <w:color w:val="auto"/>
          <w:szCs w:val="21"/>
          <w:highlight w:val="none"/>
          <w:u w:val="single"/>
        </w:rPr>
        <w:t>投标人可以拒绝招标人这种要求。同意延长投标有效期的投标人既不能要求也不允许修改其投标文件。</w:t>
      </w:r>
    </w:p>
    <w:p w14:paraId="24D11135">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16.投标保证金               </w:t>
      </w:r>
      <w:r>
        <w:rPr>
          <w:rFonts w:hint="eastAsia" w:ascii="宋体" w:hAnsi="宋体" w:eastAsia="宋体" w:cs="宋体"/>
          <w:b/>
          <w:color w:val="auto"/>
          <w:szCs w:val="21"/>
          <w:highlight w:val="none"/>
        </w:rPr>
        <w:t>修改类型：修改</w:t>
      </w:r>
    </w:p>
    <w:p w14:paraId="34A29E20">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16.1投标人应按投标须知前附表第14项所述金额和时间递交投标保证金。招标人应当允许投标人自主选择现金、银行保函、保证保险、专业工程担保公司担保等方式缴纳投标保证金。</w:t>
      </w:r>
    </w:p>
    <w:p w14:paraId="5805FC82">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16.1.1 </w:t>
      </w:r>
      <w:r>
        <w:rPr>
          <w:rFonts w:hint="eastAsia" w:ascii="宋体" w:hAnsi="宋体" w:eastAsia="宋体" w:cs="宋体"/>
          <w:color w:val="auto"/>
          <w:szCs w:val="21"/>
          <w:highlight w:val="none"/>
        </w:rPr>
        <w:t>采用现金或者支票形式提交的，投标保证金须从投标人的银行基本账户转出。</w:t>
      </w:r>
    </w:p>
    <w:p w14:paraId="48CC1EB1">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16.1.2 </w:t>
      </w:r>
      <w:r>
        <w:rPr>
          <w:rFonts w:hint="eastAsia" w:ascii="宋体" w:hAnsi="宋体" w:eastAsia="宋体" w:cs="宋体"/>
          <w:color w:val="auto"/>
          <w:szCs w:val="21"/>
          <w:highlight w:val="none"/>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eastAsia="宋体" w:cs="宋体"/>
          <w:color w:val="auto"/>
          <w:szCs w:val="21"/>
          <w:highlight w:val="none"/>
        </w:rPr>
        <w:t>16.4条款所列情形的，应将纸质原件提交给招标人。</w:t>
      </w:r>
    </w:p>
    <w:p w14:paraId="51D75778">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16.1.3 </w:t>
      </w:r>
      <w:r>
        <w:rPr>
          <w:rFonts w:hint="eastAsia" w:ascii="宋体" w:hAnsi="宋体" w:eastAsia="宋体" w:cs="宋体"/>
          <w:color w:val="auto"/>
          <w:szCs w:val="21"/>
          <w:highlight w:val="none"/>
        </w:rPr>
        <w:t>采用电子形式的保函、担保或保证保险提交投标保证金的，应在招标文件中明确电子递交途径。</w:t>
      </w:r>
    </w:p>
    <w:p w14:paraId="30A90C32">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05B22F74">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16.3投标保证金应依据法律法规的相关规定退还。</w:t>
      </w:r>
    </w:p>
    <w:p w14:paraId="2EFE81A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16.4如有下列情况之一的，招标人可以不予退还投标保证金（是否退还投标保证金由招标人在招标文件中规定）：</w:t>
      </w:r>
    </w:p>
    <w:p w14:paraId="23C3C05D">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16.4.1因投标人原因造成投标文件未解密的；</w:t>
      </w:r>
    </w:p>
    <w:p w14:paraId="105D2A55">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16.4.2投标人在投标有效期内撤销投标文件；</w:t>
      </w:r>
    </w:p>
    <w:p w14:paraId="7018B97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16.4.3中标人未能在规定期限内按要求提交履约担保；</w:t>
      </w:r>
    </w:p>
    <w:p w14:paraId="6A513181">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16.4.4中标人未能在规定期限内签署合同协议。</w:t>
      </w:r>
    </w:p>
    <w:p w14:paraId="567BBA47">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16.5投标人如存在下列情况之一的，将被拒绝在一定时期内参与招标人后续工程投标（拒绝时限需在招标文件中明确）：</w:t>
      </w:r>
    </w:p>
    <w:p w14:paraId="18070B0E">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16.5.1投标人存在16.4条款所列情形且投标人提交的保函、担保或保证保险无法兑付的；</w:t>
      </w:r>
    </w:p>
    <w:p w14:paraId="2A38EF31">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16.5.2采用非电子形式提交投标保证金的投标人存在16.4条款所列情形，且未按招标人要求补交银行保函、专业工程担保公司担保或保证保险原件的；</w:t>
      </w:r>
    </w:p>
    <w:p w14:paraId="506E3BB3">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16.5.3按招标文件要求免于提供投标保证金的投标人存在16.4条款所列情形，且未按招标人要求补交投标保证金的；</w:t>
      </w:r>
    </w:p>
    <w:p w14:paraId="61BD1C98">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16.5.3按招标文件要求免于提供投标保证金的投标人存在16.4条款所列情形的。</w:t>
      </w:r>
    </w:p>
    <w:p w14:paraId="37758994">
      <w:pP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注：</w:t>
      </w:r>
      <w:r>
        <w:rPr>
          <w:rFonts w:ascii="宋体" w:hAnsi="宋体" w:eastAsia="宋体" w:cs="宋体"/>
          <w:color w:val="auto"/>
          <w:szCs w:val="21"/>
          <w:highlight w:val="none"/>
        </w:rPr>
        <w:t>16.5.3款由招标人二选一，需在招标文件中明确。</w:t>
      </w:r>
    </w:p>
    <w:p w14:paraId="2212B8F9">
      <w:pP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16.1</w:t>
      </w:r>
      <w:r>
        <w:rPr>
          <w:rFonts w:hint="eastAsia" w:ascii="宋体" w:hAnsi="宋体" w:eastAsia="宋体" w:cs="宋体"/>
          <w:color w:val="auto"/>
          <w:szCs w:val="21"/>
          <w:highlight w:val="none"/>
          <w:u w:val="single"/>
        </w:rPr>
        <w:t>本项目不收投标保证金。</w:t>
      </w:r>
    </w:p>
    <w:p w14:paraId="3A095173">
      <w:pPr>
        <w:pStyle w:val="86"/>
        <w:pBdr>
          <w:top w:val="single" w:color="auto" w:sz="4" w:space="0"/>
        </w:pBdr>
        <w:spacing w:after="0"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bCs/>
          <w:color w:val="auto"/>
          <w:szCs w:val="21"/>
          <w:highlight w:val="none"/>
        </w:rPr>
        <w:t>17．</w:t>
      </w:r>
      <w:r>
        <w:rPr>
          <w:rFonts w:hint="eastAsia" w:ascii="宋体" w:hAnsi="宋体" w:eastAsia="宋体" w:cs="宋体"/>
          <w:b/>
          <w:color w:val="auto"/>
          <w:szCs w:val="21"/>
          <w:highlight w:val="none"/>
        </w:rPr>
        <w:t>投标文件的签署</w:t>
      </w:r>
      <w:r>
        <w:rPr>
          <w:rFonts w:ascii="宋体" w:hAnsi="宋体" w:eastAsia="宋体" w:cs="宋体"/>
          <w:b/>
          <w:color w:val="auto"/>
          <w:szCs w:val="21"/>
          <w:highlight w:val="none"/>
        </w:rPr>
        <w:t xml:space="preserve">          </w:t>
      </w:r>
      <w:r>
        <w:rPr>
          <w:rFonts w:hint="eastAsia" w:ascii="宋体" w:hAnsi="宋体" w:eastAsia="宋体" w:cs="宋体"/>
          <w:b/>
          <w:color w:val="auto"/>
          <w:szCs w:val="21"/>
          <w:highlight w:val="none"/>
        </w:rPr>
        <w:t>修改类型：修改</w:t>
      </w:r>
    </w:p>
    <w:p w14:paraId="2FCC8FD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
          <w:bCs/>
          <w:color w:val="auto"/>
          <w:szCs w:val="21"/>
          <w:highlight w:val="none"/>
        </w:rPr>
        <w:t>17．</w:t>
      </w:r>
      <w:r>
        <w:rPr>
          <w:rFonts w:hint="eastAsia" w:ascii="宋体" w:hAnsi="宋体" w:eastAsia="宋体" w:cs="宋体"/>
          <w:b/>
          <w:color w:val="auto"/>
          <w:szCs w:val="21"/>
          <w:highlight w:val="none"/>
        </w:rPr>
        <w:t>投标文件的签署</w:t>
      </w:r>
    </w:p>
    <w:p w14:paraId="33F4E534">
      <w:pPr>
        <w:spacing w:line="360" w:lineRule="auto"/>
        <w:ind w:firstLine="420" w:firstLineChars="200"/>
        <w:rPr>
          <w:rFonts w:ascii="宋体" w:hAnsi="宋体" w:eastAsia="宋体" w:cs="宋体"/>
          <w:bCs/>
          <w:color w:val="auto"/>
          <w:szCs w:val="21"/>
          <w:highlight w:val="none"/>
        </w:rPr>
      </w:pPr>
      <w:r>
        <w:rPr>
          <w:rFonts w:ascii="宋体" w:hAnsi="宋体" w:eastAsia="宋体" w:cs="宋体"/>
          <w:color w:val="auto"/>
          <w:szCs w:val="21"/>
          <w:highlight w:val="none"/>
        </w:rPr>
        <w:t>17.1</w:t>
      </w:r>
      <w:r>
        <w:rPr>
          <w:rFonts w:hint="eastAsia" w:ascii="宋体" w:hAnsi="宋体" w:eastAsia="宋体" w:cs="宋体"/>
          <w:bCs/>
          <w:color w:val="auto"/>
          <w:szCs w:val="21"/>
          <w:highlight w:val="none"/>
        </w:rPr>
        <w:t>投标人应采用单位数字证书，</w:t>
      </w:r>
      <w:r>
        <w:rPr>
          <w:rFonts w:hint="eastAsia" w:ascii="宋体" w:hAnsi="宋体" w:eastAsia="宋体" w:cs="宋体"/>
          <w:bCs/>
          <w:color w:val="auto"/>
          <w:kern w:val="0"/>
          <w:sz w:val="22"/>
          <w:szCs w:val="22"/>
          <w:highlight w:val="none"/>
        </w:rPr>
        <w:t>对投标文件</w:t>
      </w:r>
      <w:r>
        <w:rPr>
          <w:rFonts w:hint="eastAsia" w:ascii="宋体" w:hAnsi="宋体" w:eastAsia="宋体" w:cs="宋体"/>
          <w:bCs/>
          <w:color w:val="auto"/>
          <w:szCs w:val="21"/>
          <w:highlight w:val="none"/>
        </w:rPr>
        <w:t>加盖电子印章。投标文件中需个人签字或盖章的，应加盖个人电子印章或在线下完成后原件扫描上传。按照交易平台关于全流程电子化项目的相关指南进行操作。详见：</w:t>
      </w:r>
      <w:r>
        <w:rPr>
          <w:rFonts w:ascii="宋体" w:hAnsi="宋体" w:eastAsia="宋体" w:cs="宋体"/>
          <w:color w:val="auto"/>
          <w:szCs w:val="21"/>
          <w:highlight w:val="none"/>
          <w:u w:val="single"/>
        </w:rPr>
        <w:t xml:space="preserve">        </w:t>
      </w:r>
      <w:r>
        <w:rPr>
          <w:rFonts w:hint="eastAsia" w:ascii="宋体" w:hAnsi="宋体" w:eastAsia="宋体" w:cs="宋体"/>
          <w:bCs/>
          <w:color w:val="auto"/>
          <w:szCs w:val="21"/>
          <w:highlight w:val="none"/>
        </w:rPr>
        <w:t>。</w:t>
      </w:r>
    </w:p>
    <w:p w14:paraId="1FC29E6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b/>
          <w:color w:val="auto"/>
          <w:szCs w:val="21"/>
          <w:highlight w:val="none"/>
        </w:rPr>
        <w:t>17．投标文件的签署</w:t>
      </w:r>
      <w:r>
        <w:rPr>
          <w:rFonts w:hint="eastAsia" w:ascii="宋体" w:hAnsi="宋体" w:eastAsia="宋体" w:cs="宋体"/>
          <w:b/>
          <w:color w:val="auto"/>
          <w:szCs w:val="21"/>
          <w:highlight w:val="none"/>
          <w:u w:val="single"/>
        </w:rPr>
        <w:t>及份数</w:t>
      </w:r>
    </w:p>
    <w:p w14:paraId="7716C15E">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17.1投标人应采用单位数字证书，</w:t>
      </w:r>
      <w:r>
        <w:rPr>
          <w:rFonts w:hint="eastAsia" w:ascii="宋体" w:hAnsi="宋体" w:eastAsia="宋体" w:cs="宋体"/>
          <w:bCs/>
          <w:color w:val="auto"/>
          <w:kern w:val="0"/>
          <w:sz w:val="22"/>
          <w:szCs w:val="22"/>
          <w:highlight w:val="none"/>
        </w:rPr>
        <w:t>对投标文件</w:t>
      </w:r>
      <w:r>
        <w:rPr>
          <w:rFonts w:ascii="宋体" w:hAnsi="宋体" w:eastAsia="宋体" w:cs="宋体"/>
          <w:color w:val="auto"/>
          <w:szCs w:val="21"/>
          <w:highlight w:val="none"/>
        </w:rPr>
        <w:t>加盖电子印章。投标文件中需个人签字或盖章的，应加盖个人电子印章或在线下完成后原件扫描上传。按照</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交易平台关于全流程电子化项目的相关指南进行操作。详见：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035B4562">
      <w:pPr>
        <w:pBdr>
          <w:bottom w:val="single" w:color="auto" w:sz="4" w:space="0"/>
        </w:pBdr>
        <w:spacing w:line="360" w:lineRule="auto"/>
        <w:ind w:firstLine="420" w:firstLineChars="200"/>
        <w:rPr>
          <w:rFonts w:ascii="宋体" w:hAnsi="宋体" w:eastAsia="宋体" w:cs="宋体"/>
          <w:b/>
          <w:color w:val="auto"/>
          <w:szCs w:val="21"/>
          <w:highlight w:val="none"/>
        </w:rPr>
      </w:pPr>
      <w:r>
        <w:rPr>
          <w:rFonts w:ascii="宋体" w:hAnsi="宋体" w:eastAsia="宋体" w:cs="宋体"/>
          <w:color w:val="auto"/>
          <w:szCs w:val="21"/>
          <w:highlight w:val="none"/>
          <w:u w:val="single"/>
        </w:rPr>
        <w:t xml:space="preserve">17.2中标人在签订合同前需向招标人另行提供与投标递交的电子标书一致且加盖单位公章的纸质投标文件（含投标人须知11.3列表明细包含的所有工程量清单报价表）4份及电子文件1份（不用生成投标书；包括用Microsoft Excel </w:t>
      </w:r>
      <w:r>
        <w:rPr>
          <w:rFonts w:hint="eastAsia" w:ascii="宋体" w:hAnsi="宋体" w:eastAsia="宋体" w:cs="宋体"/>
          <w:color w:val="auto"/>
          <w:szCs w:val="21"/>
          <w:highlight w:val="none"/>
          <w:u w:val="single"/>
        </w:rPr>
        <w:t>软件或广州交易集团有限公司（广州公共资源交易中心）提供的投标书制作软件制作的工程量清单报价表和单价分析表，用</w:t>
      </w:r>
      <w:r>
        <w:rPr>
          <w:rFonts w:ascii="宋体" w:hAnsi="宋体" w:eastAsia="宋体" w:cs="宋体"/>
          <w:color w:val="auto"/>
          <w:szCs w:val="21"/>
          <w:highlight w:val="none"/>
          <w:u w:val="single"/>
        </w:rPr>
        <w:t xml:space="preserve"> Microsoft Word </w:t>
      </w:r>
      <w:r>
        <w:rPr>
          <w:rFonts w:hint="eastAsia" w:ascii="宋体" w:hAnsi="宋体" w:eastAsia="宋体" w:cs="宋体"/>
          <w:color w:val="auto"/>
          <w:szCs w:val="21"/>
          <w:highlight w:val="none"/>
          <w:u w:val="single"/>
        </w:rPr>
        <w:t>软件或广州交易集团有限公司（广州公共资源交易中心）提供的投标书制作软件制作的经济投标文件其他部分。电子文件介质使用</w:t>
      </w:r>
      <w:r>
        <w:rPr>
          <w:rFonts w:ascii="宋体" w:hAnsi="宋体" w:eastAsia="宋体" w:cs="宋体"/>
          <w:color w:val="auto"/>
          <w:szCs w:val="21"/>
          <w:highlight w:val="none"/>
          <w:u w:val="single"/>
        </w:rPr>
        <w:t>CD-R光盘</w:t>
      </w:r>
      <w:r>
        <w:rPr>
          <w:rFonts w:hint="eastAsia" w:ascii="宋体" w:hAnsi="宋体" w:cs="宋体"/>
          <w:bCs/>
          <w:color w:val="auto"/>
          <w:kern w:val="0"/>
          <w:szCs w:val="21"/>
          <w:highlight w:val="none"/>
          <w:u w:val="single"/>
        </w:rPr>
        <w:t>（或U盘）</w:t>
      </w:r>
      <w:r>
        <w:rPr>
          <w:rFonts w:ascii="宋体" w:hAnsi="宋体" w:eastAsia="宋体" w:cs="宋体"/>
          <w:color w:val="auto"/>
          <w:szCs w:val="21"/>
          <w:highlight w:val="none"/>
          <w:u w:val="single"/>
        </w:rPr>
        <w:t>，所有电子文件不能采用压缩处理）。</w:t>
      </w:r>
    </w:p>
    <w:p w14:paraId="0F5B9B6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bCs/>
          <w:color w:val="auto"/>
          <w:szCs w:val="21"/>
          <w:highlight w:val="none"/>
        </w:rPr>
        <w:t xml:space="preserve">18                          </w:t>
      </w:r>
      <w:r>
        <w:rPr>
          <w:rFonts w:hint="eastAsia" w:ascii="宋体" w:hAnsi="宋体" w:eastAsia="宋体" w:cs="宋体"/>
          <w:b/>
          <w:color w:val="auto"/>
          <w:szCs w:val="21"/>
          <w:highlight w:val="none"/>
        </w:rPr>
        <w:t>修改类型：修改</w:t>
      </w:r>
    </w:p>
    <w:p w14:paraId="5E48C70F">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
          <w:color w:val="auto"/>
          <w:szCs w:val="21"/>
          <w:highlight w:val="none"/>
        </w:rPr>
        <w:t>18．投标文件的密封和标记</w:t>
      </w:r>
    </w:p>
    <w:p w14:paraId="76EAAEBA">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18.1递交的电子投标文件（不含备用光盘）必须进行加密。按照交易平台关于</w:t>
      </w:r>
      <w:r>
        <w:rPr>
          <w:rFonts w:hint="eastAsia" w:ascii="宋体" w:hAnsi="宋体" w:eastAsia="宋体" w:cs="宋体"/>
          <w:color w:val="auto"/>
          <w:szCs w:val="21"/>
          <w:highlight w:val="none"/>
        </w:rPr>
        <w:t>全流程电子化项目的相关指南进行操作。详见：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680DC2E">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18.2 </w:t>
      </w:r>
      <w:r>
        <w:rPr>
          <w:rFonts w:hint="eastAsia" w:ascii="宋体" w:hAnsi="宋体" w:eastAsia="宋体" w:cs="宋体"/>
          <w:bCs/>
          <w:color w:val="auto"/>
          <w:szCs w:val="21"/>
          <w:highlight w:val="none"/>
        </w:rPr>
        <w:t>未按要求加密的投标文件，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w:t>
      </w:r>
      <w:r>
        <w:rPr>
          <w:rFonts w:hint="eastAsia" w:ascii="宋体" w:hAnsi="宋体" w:eastAsia="宋体" w:cs="宋体"/>
          <w:bCs/>
          <w:color w:val="auto"/>
          <w:szCs w:val="21"/>
          <w:highlight w:val="none"/>
        </w:rPr>
        <w:t>将予以拒收。</w:t>
      </w:r>
    </w:p>
    <w:p w14:paraId="04B57F4A">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b/>
          <w:color w:val="auto"/>
          <w:szCs w:val="21"/>
          <w:highlight w:val="none"/>
        </w:rPr>
        <w:t>18．投标文件的密封和标记</w:t>
      </w:r>
    </w:p>
    <w:p w14:paraId="31ED62DA">
      <w:pPr>
        <w:pBdr>
          <w:bottom w:val="single" w:color="auto" w:sz="6" w:space="1"/>
        </w:pBdr>
        <w:spacing w:line="360" w:lineRule="auto"/>
        <w:ind w:firstLine="420" w:firstLineChars="200"/>
        <w:rPr>
          <w:rFonts w:ascii="宋体" w:hAnsi="宋体" w:eastAsia="宋体" w:cs="宋体"/>
          <w:color w:val="auto"/>
          <w:szCs w:val="21"/>
          <w:highlight w:val="none"/>
          <w:u w:val="single"/>
        </w:rPr>
      </w:pPr>
      <w:r>
        <w:rPr>
          <w:rFonts w:ascii="宋体" w:hAnsi="宋体" w:eastAsia="宋体" w:cs="宋体"/>
          <w:color w:val="auto"/>
          <w:szCs w:val="21"/>
          <w:highlight w:val="none"/>
        </w:rPr>
        <w:t>18.1</w:t>
      </w:r>
      <w:r>
        <w:rPr>
          <w:rFonts w:hint="eastAsia" w:ascii="宋体" w:hAnsi="宋体" w:eastAsia="宋体" w:cs="宋体"/>
          <w:bCs/>
          <w:color w:val="auto"/>
          <w:szCs w:val="21"/>
          <w:highlight w:val="none"/>
        </w:rPr>
        <w:t>递交的电子投标文件（不含备用光盘）必须进行加密。按照</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bCs/>
          <w:color w:val="auto"/>
          <w:szCs w:val="21"/>
          <w:highlight w:val="none"/>
        </w:rPr>
        <w:t>交易平台关于</w:t>
      </w:r>
      <w:r>
        <w:rPr>
          <w:rFonts w:hint="eastAsia" w:ascii="宋体" w:hAnsi="宋体" w:eastAsia="宋体" w:cs="宋体"/>
          <w:color w:val="auto"/>
          <w:szCs w:val="21"/>
          <w:highlight w:val="none"/>
        </w:rPr>
        <w:t>全流程电子化项目的相关指南进行操作。详见：</w:t>
      </w:r>
      <w:r>
        <w:rPr>
          <w:rFonts w:hint="eastAsia" w:ascii="宋体" w:hAnsi="宋体" w:eastAsia="宋体" w:cs="宋体"/>
          <w:color w:val="auto"/>
          <w:szCs w:val="21"/>
          <w:highlight w:val="none"/>
          <w:u w:val="single"/>
        </w:rPr>
        <w:t>广州交易集团有限公司（广州公共资源交易中心）网站最新指引</w:t>
      </w:r>
      <w:r>
        <w:rPr>
          <w:rFonts w:hint="eastAsia" w:ascii="宋体" w:hAnsi="宋体" w:eastAsia="宋体" w:cs="宋体"/>
          <w:color w:val="auto"/>
          <w:szCs w:val="21"/>
          <w:highlight w:val="none"/>
        </w:rPr>
        <w:t>。</w:t>
      </w:r>
    </w:p>
    <w:p w14:paraId="66D3F421">
      <w:pPr>
        <w:pBdr>
          <w:bottom w:val="single" w:color="auto" w:sz="6" w:space="1"/>
        </w:pBd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18.2未按要求加密的投标文件，</w:t>
      </w:r>
      <w:r>
        <w:rPr>
          <w:rFonts w:hint="eastAsia" w:ascii="宋体" w:hAnsi="宋体" w:eastAsia="宋体" w:cs="宋体"/>
          <w:bCs/>
          <w:color w:val="auto"/>
          <w:szCs w:val="21"/>
          <w:highlight w:val="none"/>
          <w:u w:val="single"/>
        </w:rPr>
        <w:t>广州交易集团有限公司（广州公共资源交易中心）</w:t>
      </w:r>
      <w:r>
        <w:rPr>
          <w:rFonts w:hint="eastAsia" w:ascii="宋体" w:hAnsi="宋体" w:eastAsia="宋体" w:cs="宋体"/>
          <w:bCs/>
          <w:color w:val="auto"/>
          <w:szCs w:val="21"/>
          <w:highlight w:val="none"/>
        </w:rPr>
        <w:t>交易平台将予以拒收。</w:t>
      </w:r>
    </w:p>
    <w:p w14:paraId="4479D693">
      <w:pPr>
        <w:pBdr>
          <w:bottom w:val="single" w:color="auto" w:sz="6" w:space="1"/>
        </w:pBd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u w:val="single"/>
        </w:rPr>
        <w:t>18.3</w:t>
      </w:r>
      <w:r>
        <w:rPr>
          <w:rFonts w:hint="eastAsia" w:ascii="宋体" w:hAnsi="宋体" w:eastAsia="宋体" w:cs="宋体"/>
          <w:bCs/>
          <w:color w:val="auto"/>
          <w:szCs w:val="21"/>
          <w:highlight w:val="none"/>
          <w:u w:val="single"/>
        </w:rPr>
        <w:t>投标人可制作非加密的电子投标文件（含电子定标文件）光盘（或U盘）备用，制作要求详见投标须知前附表第</w:t>
      </w:r>
      <w:r>
        <w:rPr>
          <w:rFonts w:ascii="宋体" w:hAnsi="宋体" w:eastAsia="宋体" w:cs="宋体"/>
          <w:bCs/>
          <w:color w:val="auto"/>
          <w:szCs w:val="21"/>
          <w:highlight w:val="none"/>
          <w:u w:val="single"/>
        </w:rPr>
        <w:t>36项。</w:t>
      </w:r>
    </w:p>
    <w:p w14:paraId="26350C69">
      <w:pPr>
        <w:adjustRightInd w:val="0"/>
        <w:snapToGrid w:val="0"/>
        <w:spacing w:line="360" w:lineRule="auto"/>
        <w:ind w:firstLine="413" w:firstLineChars="196"/>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19                         </w:t>
      </w:r>
      <w:r>
        <w:rPr>
          <w:rFonts w:hint="eastAsia" w:ascii="宋体" w:hAnsi="宋体" w:eastAsia="宋体" w:cs="宋体"/>
          <w:b/>
          <w:color w:val="auto"/>
          <w:szCs w:val="21"/>
          <w:highlight w:val="none"/>
        </w:rPr>
        <w:t xml:space="preserve"> </w:t>
      </w:r>
      <w:r>
        <w:rPr>
          <w:rFonts w:ascii="宋体" w:hAnsi="宋体" w:eastAsia="宋体" w:cs="宋体"/>
          <w:b/>
          <w:color w:val="auto"/>
          <w:szCs w:val="21"/>
          <w:highlight w:val="none"/>
        </w:rPr>
        <w:t>修改类型：修改</w:t>
      </w:r>
    </w:p>
    <w:p w14:paraId="35548C69">
      <w:pPr>
        <w:adjustRightInd w:val="0"/>
        <w:snapToGrid w:val="0"/>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
          <w:color w:val="auto"/>
          <w:szCs w:val="21"/>
          <w:highlight w:val="none"/>
        </w:rPr>
        <w:t>19.投标文件的递交和接收</w:t>
      </w:r>
    </w:p>
    <w:p w14:paraId="34F374B3">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19.1投标人通过</w:t>
      </w:r>
      <w:r>
        <w:rPr>
          <w:rFonts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交易平台递交电子投标文件。</w:t>
      </w:r>
    </w:p>
    <w:p w14:paraId="6B6E6020">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19.2投标人完成电子投标文件上传后，</w:t>
      </w:r>
      <w:r>
        <w:rPr>
          <w:rFonts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交易平台即时向投标人发出递交回执通知。递交时间以递交回执通知载明的传输完成时间为准。</w:t>
      </w:r>
    </w:p>
    <w:p w14:paraId="6FF4AFB2">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19.3逾期送达的电子投标文件，</w:t>
      </w:r>
      <w:r>
        <w:rPr>
          <w:rFonts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交易平台将予以拒收。</w:t>
      </w:r>
    </w:p>
    <w:p w14:paraId="5B7E3DEA">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19.4 </w:t>
      </w:r>
      <w:r>
        <w:rPr>
          <w:rFonts w:hint="eastAsia" w:ascii="宋体" w:hAnsi="宋体" w:eastAsia="宋体" w:cs="宋体"/>
          <w:bCs/>
          <w:color w:val="auto"/>
          <w:szCs w:val="21"/>
          <w:highlight w:val="none"/>
        </w:rPr>
        <w:t>投标截止前，招标人拒绝接收符合条件的投标文件，投标人可向招标投标监督机构投诉。</w:t>
      </w:r>
    </w:p>
    <w:p w14:paraId="3E383D81">
      <w:pPr>
        <w:adjustRightInd w:val="0"/>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19.5如技术标和经济标先后分别开启，</w:t>
      </w:r>
      <w:r>
        <w:rPr>
          <w:rFonts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交易平台将按招标文件规定的时间分别开启技术标和经济标。</w:t>
      </w:r>
    </w:p>
    <w:p w14:paraId="6A205ACF">
      <w:pPr>
        <w:adjustRightInd w:val="0"/>
        <w:snapToGrid w:val="0"/>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b/>
          <w:color w:val="auto"/>
          <w:szCs w:val="21"/>
          <w:highlight w:val="none"/>
        </w:rPr>
        <w:t>19.</w:t>
      </w:r>
      <w:r>
        <w:rPr>
          <w:rFonts w:hint="eastAsia" w:ascii="宋体" w:hAnsi="宋体" w:eastAsia="宋体" w:cs="宋体"/>
          <w:b/>
          <w:color w:val="auto"/>
          <w:szCs w:val="21"/>
          <w:highlight w:val="none"/>
        </w:rPr>
        <w:t>投标文件的递交和接收</w:t>
      </w:r>
    </w:p>
    <w:p w14:paraId="3A3415C3">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19.1</w:t>
      </w:r>
      <w:r>
        <w:rPr>
          <w:rFonts w:hint="eastAsia" w:ascii="宋体" w:hAnsi="宋体" w:eastAsia="宋体" w:cs="宋体"/>
          <w:bCs/>
          <w:color w:val="auto"/>
          <w:szCs w:val="21"/>
          <w:highlight w:val="none"/>
        </w:rPr>
        <w:t>投标人通过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交易平台递交电子投标文件。</w:t>
      </w:r>
    </w:p>
    <w:p w14:paraId="45970560">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19.2投标人完成电子投标文件上传后，</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交易平台即时向投标人发出递交回执通知。递交时间以递交回执通知载明的传输完成时间为准。</w:t>
      </w:r>
    </w:p>
    <w:p w14:paraId="48C440A8">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19.3逾期送达的电子投标文件，</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交易平台将予以拒收。</w:t>
      </w:r>
    </w:p>
    <w:p w14:paraId="3F8D740B">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19.4投标截止前，招标人拒绝接收符合条件的投标文件，投标人可向招标投标监督机构投诉。</w:t>
      </w:r>
    </w:p>
    <w:p w14:paraId="3319CA8C">
      <w:pPr>
        <w:pBdr>
          <w:bottom w:val="single" w:color="auto" w:sz="6" w:space="1"/>
        </w:pBdr>
        <w:adjustRightInd w:val="0"/>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19.5</w:t>
      </w:r>
      <w:r>
        <w:rPr>
          <w:rFonts w:hint="eastAsia" w:ascii="宋体" w:hAnsi="宋体" w:eastAsia="宋体" w:cs="宋体"/>
          <w:color w:val="auto"/>
          <w:szCs w:val="21"/>
          <w:highlight w:val="none"/>
          <w:u w:val="single"/>
        </w:rPr>
        <w:t>技术标和经济标同时开启，广州交易集团有限公司（广州公共资源交易中心）交易平台将按招标文件规定的时间同时开启技术标（含资格审查文件）、</w:t>
      </w:r>
      <w:r>
        <w:rPr>
          <w:rFonts w:hint="eastAsia" w:ascii="宋体" w:hAnsi="宋体" w:eastAsia="宋体" w:cs="宋体"/>
          <w:color w:val="auto"/>
          <w:szCs w:val="21"/>
          <w:highlight w:val="none"/>
          <w:u w:val="single"/>
        </w:rPr>
        <w:t>经济标文件</w:t>
      </w:r>
      <w:r>
        <w:rPr>
          <w:rFonts w:hint="eastAsia" w:ascii="宋体" w:hAnsi="宋体" w:eastAsia="宋体" w:cs="宋体"/>
          <w:color w:val="auto"/>
          <w:szCs w:val="21"/>
          <w:highlight w:val="none"/>
          <w:u w:val="single"/>
        </w:rPr>
        <w:t>及定标文件。</w:t>
      </w:r>
    </w:p>
    <w:p w14:paraId="0BFD544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20.3                       </w:t>
      </w:r>
      <w:r>
        <w:rPr>
          <w:rFonts w:hint="eastAsia" w:ascii="宋体" w:hAnsi="宋体" w:eastAsia="宋体" w:cs="宋体"/>
          <w:b/>
          <w:color w:val="auto"/>
          <w:szCs w:val="21"/>
          <w:highlight w:val="none"/>
        </w:rPr>
        <w:t>修改类型：修改</w:t>
      </w:r>
    </w:p>
    <w:p w14:paraId="6288E6FB">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20.3到投标截止时间止，招标人收到的投标文件少于3家的，招标人将重新组织招标（当N个标段同时招标且不允许兼中时，若有效投标人不足N+2家，则重新组织招标）。</w:t>
      </w:r>
    </w:p>
    <w:p w14:paraId="69FAC22F">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20.3</w:t>
      </w:r>
      <w:r>
        <w:rPr>
          <w:rFonts w:hint="eastAsia" w:ascii="宋体" w:hAnsi="宋体" w:eastAsia="宋体" w:cs="宋体"/>
          <w:color w:val="auto"/>
          <w:szCs w:val="21"/>
          <w:highlight w:val="none"/>
          <w:u w:val="single"/>
        </w:rPr>
        <w:t>到投标截止时间止，招标人收到的投标文件少于</w:t>
      </w:r>
      <w:r>
        <w:rPr>
          <w:rFonts w:ascii="宋体" w:hAnsi="宋体" w:eastAsia="宋体" w:cs="宋体"/>
          <w:color w:val="auto"/>
          <w:szCs w:val="21"/>
          <w:highlight w:val="none"/>
          <w:u w:val="single"/>
        </w:rPr>
        <w:t>3家的，招标人将重新组织招标。</w:t>
      </w:r>
    </w:p>
    <w:p w14:paraId="14AD8846">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21.1                       </w:t>
      </w:r>
      <w:r>
        <w:rPr>
          <w:rFonts w:hint="eastAsia" w:ascii="宋体" w:hAnsi="宋体" w:eastAsia="宋体" w:cs="宋体"/>
          <w:b/>
          <w:color w:val="auto"/>
          <w:szCs w:val="21"/>
          <w:highlight w:val="none"/>
        </w:rPr>
        <w:t>修改类型：修改</w:t>
      </w:r>
    </w:p>
    <w:p w14:paraId="7EA24A5F">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21.1本须知前附表第17项规定的投标截止时间</w:t>
      </w:r>
      <w:r>
        <w:rPr>
          <w:rFonts w:hint="eastAsia" w:ascii="宋体" w:hAnsi="宋体" w:eastAsia="宋体" w:cs="宋体"/>
          <w:bCs/>
          <w:color w:val="auto"/>
          <w:szCs w:val="21"/>
          <w:highlight w:val="none"/>
        </w:rPr>
        <w:t>后送达的电子投标文件，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交易平台将予以拒收。</w:t>
      </w:r>
    </w:p>
    <w:p w14:paraId="738F195D">
      <w:pPr>
        <w:pBdr>
          <w:bottom w:val="single" w:color="auto" w:sz="6" w:space="1"/>
        </w:pBdr>
        <w:spacing w:line="360" w:lineRule="auto"/>
        <w:ind w:firstLine="422" w:firstLineChars="200"/>
        <w:textAlignment w:val="baseline"/>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21.1本须知前附表第17项规定的投标截止时间</w:t>
      </w:r>
      <w:r>
        <w:rPr>
          <w:rFonts w:hint="eastAsia" w:ascii="宋体" w:hAnsi="宋体" w:eastAsia="宋体" w:cs="宋体"/>
          <w:bCs/>
          <w:color w:val="auto"/>
          <w:szCs w:val="21"/>
          <w:highlight w:val="none"/>
        </w:rPr>
        <w:t>后送达的电子投标文件，</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交易平台将予以拒收。</w:t>
      </w:r>
    </w:p>
    <w:p w14:paraId="794250A4">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24                         </w:t>
      </w:r>
      <w:r>
        <w:rPr>
          <w:rFonts w:hint="eastAsia" w:ascii="宋体" w:hAnsi="宋体" w:eastAsia="宋体" w:cs="宋体"/>
          <w:b/>
          <w:color w:val="auto"/>
          <w:szCs w:val="21"/>
          <w:highlight w:val="none"/>
        </w:rPr>
        <w:t xml:space="preserve"> </w:t>
      </w:r>
      <w:r>
        <w:rPr>
          <w:rFonts w:ascii="宋体" w:hAnsi="宋体" w:eastAsia="宋体" w:cs="宋体"/>
          <w:b/>
          <w:color w:val="auto"/>
          <w:szCs w:val="21"/>
          <w:highlight w:val="none"/>
        </w:rPr>
        <w:t>修改类型：修改</w:t>
      </w:r>
    </w:p>
    <w:p w14:paraId="1CD5EAE4">
      <w:pP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
          <w:color w:val="auto"/>
          <w:szCs w:val="21"/>
          <w:highlight w:val="none"/>
        </w:rPr>
        <w:t>24．评标过程的保密</w:t>
      </w:r>
    </w:p>
    <w:p w14:paraId="739A7C76">
      <w:pPr>
        <w:spacing w:line="360" w:lineRule="auto"/>
        <w:ind w:firstLine="420" w:firstLineChars="200"/>
        <w:textAlignment w:val="baseline"/>
        <w:rPr>
          <w:rFonts w:ascii="宋体" w:hAnsi="宋体" w:eastAsia="宋体" w:cs="宋体"/>
          <w:color w:val="auto"/>
          <w:szCs w:val="21"/>
          <w:highlight w:val="none"/>
        </w:rPr>
      </w:pPr>
      <w:r>
        <w:rPr>
          <w:rFonts w:ascii="宋体" w:hAnsi="宋体" w:eastAsia="宋体" w:cs="宋体"/>
          <w:color w:val="auto"/>
          <w:szCs w:val="21"/>
          <w:highlight w:val="none"/>
        </w:rPr>
        <w:t>24.1开标后，直至中标公示为止，凡属于对投标文件的审查、澄清、评价和比较有关的资料以及中标候选人的推荐情况，与评标有关的其他任何情况均严格保密。</w:t>
      </w:r>
    </w:p>
    <w:p w14:paraId="5103C768">
      <w:pPr>
        <w:spacing w:line="360" w:lineRule="auto"/>
        <w:ind w:firstLine="420" w:firstLineChars="200"/>
        <w:textAlignment w:val="baseline"/>
        <w:rPr>
          <w:rFonts w:ascii="宋体" w:hAnsi="宋体" w:eastAsia="宋体" w:cs="宋体"/>
          <w:b/>
          <w:color w:val="auto"/>
          <w:szCs w:val="21"/>
          <w:highlight w:val="none"/>
        </w:rPr>
      </w:pPr>
      <w:r>
        <w:rPr>
          <w:rFonts w:ascii="宋体" w:hAnsi="宋体" w:eastAsia="宋体" w:cs="宋体"/>
          <w:color w:val="auto"/>
          <w:szCs w:val="21"/>
          <w:highlight w:val="none"/>
        </w:rPr>
        <w:t>24.2在投标文件的评审和比较、中标候选人推荐以及授予合同的过程中，投标人向招标人和评标委员会施加不公正影响的任何行为，都将会导致其投标被拒绝。</w:t>
      </w:r>
    </w:p>
    <w:p w14:paraId="1C804D78">
      <w:pPr>
        <w:pBdr>
          <w:bottom w:val="single" w:color="auto" w:sz="6" w:space="1"/>
        </w:pBdr>
        <w:spacing w:line="360" w:lineRule="auto"/>
        <w:ind w:firstLine="422" w:firstLineChars="200"/>
        <w:textAlignment w:val="baseline"/>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b/>
          <w:color w:val="auto"/>
          <w:szCs w:val="21"/>
          <w:highlight w:val="none"/>
        </w:rPr>
        <w:t>24．评标过程的保密</w:t>
      </w:r>
    </w:p>
    <w:p w14:paraId="533F1E59">
      <w:pPr>
        <w:pBdr>
          <w:bottom w:val="single" w:color="auto" w:sz="6" w:space="1"/>
        </w:pBdr>
        <w:spacing w:line="360" w:lineRule="auto"/>
        <w:ind w:firstLine="420" w:firstLineChars="200"/>
        <w:textAlignment w:val="baseline"/>
        <w:rPr>
          <w:rFonts w:ascii="宋体" w:hAnsi="宋体" w:eastAsia="宋体" w:cs="宋体"/>
          <w:color w:val="auto"/>
          <w:szCs w:val="21"/>
          <w:highlight w:val="none"/>
        </w:rPr>
      </w:pPr>
      <w:r>
        <w:rPr>
          <w:rFonts w:ascii="宋体" w:hAnsi="宋体" w:eastAsia="宋体" w:cs="宋体"/>
          <w:color w:val="auto"/>
          <w:szCs w:val="21"/>
          <w:highlight w:val="none"/>
        </w:rPr>
        <w:t>24.1开标后，直至</w:t>
      </w:r>
      <w:r>
        <w:rPr>
          <w:rFonts w:hint="eastAsia" w:ascii="宋体" w:hAnsi="宋体" w:eastAsia="宋体" w:cs="宋体"/>
          <w:color w:val="auto"/>
          <w:szCs w:val="21"/>
          <w:highlight w:val="none"/>
          <w:u w:val="single"/>
        </w:rPr>
        <w:t>合格中标候选人</w:t>
      </w:r>
      <w:r>
        <w:rPr>
          <w:rFonts w:hint="eastAsia" w:ascii="宋体" w:hAnsi="宋体" w:eastAsia="宋体" w:cs="宋体"/>
          <w:color w:val="auto"/>
          <w:szCs w:val="21"/>
          <w:highlight w:val="none"/>
        </w:rPr>
        <w:t>公示为止，凡属于对投标文件的审查、澄清、评价和比较有关的资料以及</w:t>
      </w:r>
      <w:r>
        <w:rPr>
          <w:rFonts w:hint="eastAsia" w:ascii="宋体" w:hAnsi="宋体" w:eastAsia="宋体" w:cs="宋体"/>
          <w:color w:val="auto"/>
          <w:szCs w:val="21"/>
          <w:highlight w:val="none"/>
          <w:u w:val="single"/>
        </w:rPr>
        <w:t>合格</w:t>
      </w:r>
      <w:r>
        <w:rPr>
          <w:rFonts w:hint="eastAsia" w:ascii="宋体" w:hAnsi="宋体" w:eastAsia="宋体" w:cs="宋体"/>
          <w:color w:val="auto"/>
          <w:szCs w:val="21"/>
          <w:highlight w:val="none"/>
        </w:rPr>
        <w:t>中标候选人的推荐情况，与评标有关的其他任何情况均严格保密。</w:t>
      </w:r>
    </w:p>
    <w:p w14:paraId="085A2479">
      <w:pPr>
        <w:pBdr>
          <w:bottom w:val="single" w:color="auto" w:sz="6" w:space="1"/>
        </w:pBdr>
        <w:spacing w:line="360" w:lineRule="auto"/>
        <w:ind w:firstLine="420" w:firstLineChars="200"/>
        <w:textAlignment w:val="baseline"/>
        <w:rPr>
          <w:rFonts w:ascii="宋体" w:hAnsi="宋体" w:eastAsia="宋体" w:cs="宋体"/>
          <w:color w:val="auto"/>
          <w:szCs w:val="21"/>
          <w:highlight w:val="none"/>
        </w:rPr>
      </w:pPr>
      <w:r>
        <w:rPr>
          <w:rFonts w:ascii="宋体" w:hAnsi="宋体" w:eastAsia="宋体" w:cs="宋体"/>
          <w:color w:val="auto"/>
          <w:szCs w:val="21"/>
          <w:highlight w:val="none"/>
        </w:rPr>
        <w:t>24.2在投标文件的评审和比较、</w:t>
      </w:r>
      <w:r>
        <w:rPr>
          <w:rFonts w:hint="eastAsia" w:ascii="宋体" w:hAnsi="宋体" w:eastAsia="宋体" w:cs="宋体"/>
          <w:color w:val="auto"/>
          <w:szCs w:val="21"/>
          <w:highlight w:val="none"/>
          <w:u w:val="single"/>
        </w:rPr>
        <w:t>合格</w:t>
      </w:r>
      <w:r>
        <w:rPr>
          <w:rFonts w:hint="eastAsia" w:ascii="宋体" w:hAnsi="宋体" w:eastAsia="宋体" w:cs="宋体"/>
          <w:color w:val="auto"/>
          <w:szCs w:val="21"/>
          <w:highlight w:val="none"/>
        </w:rPr>
        <w:t>中标候选人推荐</w:t>
      </w:r>
      <w:r>
        <w:rPr>
          <w:rFonts w:ascii="宋体" w:hAnsi="宋体" w:eastAsia="宋体" w:cs="宋体"/>
          <w:color w:val="auto"/>
          <w:szCs w:val="21"/>
          <w:highlight w:val="none"/>
          <w:u w:val="single"/>
        </w:rPr>
        <w:t>[不排序，按统一社会信用代码后4位（除校验码外）大小排位，如统一社会信用代码后4位出现字母情况的，字母以“0”进行代替大小排位；如出现后4位（除校验码外）大小一致的，则随机排位]、定标</w:t>
      </w:r>
      <w:r>
        <w:rPr>
          <w:rFonts w:hint="eastAsia" w:ascii="宋体" w:hAnsi="宋体" w:eastAsia="宋体" w:cs="宋体"/>
          <w:color w:val="auto"/>
          <w:szCs w:val="21"/>
          <w:highlight w:val="none"/>
        </w:rPr>
        <w:t>以及授予合同的过程中，投标人向招标人和评标委员会</w:t>
      </w:r>
      <w:r>
        <w:rPr>
          <w:rFonts w:hint="eastAsia" w:ascii="宋体" w:hAnsi="宋体" w:eastAsia="宋体" w:cs="宋体"/>
          <w:color w:val="auto"/>
          <w:szCs w:val="21"/>
          <w:highlight w:val="none"/>
          <w:u w:val="single"/>
        </w:rPr>
        <w:t>和定标委员会</w:t>
      </w:r>
      <w:r>
        <w:rPr>
          <w:rFonts w:hint="eastAsia" w:ascii="宋体" w:hAnsi="宋体" w:eastAsia="宋体" w:cs="宋体"/>
          <w:color w:val="auto"/>
          <w:szCs w:val="21"/>
          <w:highlight w:val="none"/>
        </w:rPr>
        <w:t>施加不公正影响的任何行为，都将会导致其投标被拒绝。</w:t>
      </w:r>
    </w:p>
    <w:p w14:paraId="76EC8BC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27.1                        </w:t>
      </w:r>
      <w:r>
        <w:rPr>
          <w:rFonts w:hint="eastAsia" w:ascii="宋体" w:hAnsi="宋体" w:eastAsia="宋体" w:cs="宋体"/>
          <w:b/>
          <w:color w:val="auto"/>
          <w:szCs w:val="21"/>
          <w:highlight w:val="none"/>
        </w:rPr>
        <w:t>修改类型：修改</w:t>
      </w:r>
    </w:p>
    <w:p w14:paraId="33CEBD32">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27.1招标人将在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14:paraId="15FD6479">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27.1</w:t>
      </w:r>
      <w:r>
        <w:rPr>
          <w:rFonts w:hint="eastAsia" w:ascii="宋体" w:hAnsi="宋体" w:eastAsia="宋体" w:cs="宋体"/>
          <w:color w:val="auto"/>
          <w:szCs w:val="21"/>
          <w:highlight w:val="none"/>
          <w:u w:val="single"/>
        </w:rPr>
        <w:t>在评标委员会完成评标工作后，</w:t>
      </w:r>
      <w:r>
        <w:rPr>
          <w:rFonts w:hint="eastAsia" w:ascii="宋体" w:hAnsi="宋体" w:eastAsia="宋体" w:cs="宋体"/>
          <w:color w:val="auto"/>
          <w:szCs w:val="21"/>
          <w:highlight w:val="none"/>
        </w:rPr>
        <w:t>招标人将在</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交易平台、广东省招标投标监管网和中国招标投标公共服务平台公示</w:t>
      </w:r>
      <w:r>
        <w:rPr>
          <w:rFonts w:hint="eastAsia" w:ascii="宋体" w:hAnsi="宋体" w:eastAsia="宋体" w:cs="宋体"/>
          <w:color w:val="auto"/>
          <w:szCs w:val="21"/>
          <w:highlight w:val="none"/>
          <w:u w:val="single"/>
        </w:rPr>
        <w:t>合格</w:t>
      </w:r>
      <w:r>
        <w:rPr>
          <w:rFonts w:hint="eastAsia" w:ascii="宋体" w:hAnsi="宋体" w:eastAsia="宋体" w:cs="宋体"/>
          <w:color w:val="auto"/>
          <w:szCs w:val="21"/>
          <w:highlight w:val="none"/>
        </w:rPr>
        <w:t>中标候选人，公示期为三天。投标人或其他利害关系人对评标结果有异议的，应当在</w:t>
      </w:r>
      <w:r>
        <w:rPr>
          <w:rFonts w:hint="eastAsia" w:ascii="宋体" w:hAnsi="宋体" w:eastAsia="宋体" w:cs="宋体"/>
          <w:color w:val="auto"/>
          <w:szCs w:val="21"/>
          <w:highlight w:val="none"/>
          <w:u w:val="single"/>
        </w:rPr>
        <w:t>合格</w:t>
      </w:r>
      <w:r>
        <w:rPr>
          <w:rFonts w:hint="eastAsia" w:ascii="宋体" w:hAnsi="宋体" w:eastAsia="宋体" w:cs="宋体"/>
          <w:color w:val="auto"/>
          <w:szCs w:val="21"/>
          <w:highlight w:val="none"/>
        </w:rPr>
        <w:t>中标候选人公示期间提出，可以通过线下或线上的形式提出异议。线上提交的，应通过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交易平台进行，招标人也应通过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交易平台答复线上提交的异议。作出答复前，应当暂停招标投标活动。</w:t>
      </w:r>
    </w:p>
    <w:p w14:paraId="7224EDE3">
      <w:pPr>
        <w:pBdr>
          <w:bottom w:val="single" w:color="auto" w:sz="6" w:space="1"/>
        </w:pBd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合格中标候选人公示</w:t>
      </w:r>
      <w:r>
        <w:rPr>
          <w:rFonts w:hint="eastAsia" w:ascii="宋体" w:hAnsi="宋体" w:eastAsia="宋体" w:cs="宋体"/>
          <w:color w:val="auto"/>
          <w:szCs w:val="21"/>
          <w:highlight w:val="none"/>
          <w:u w:val="single"/>
        </w:rPr>
        <w:t>期满之日起</w:t>
      </w:r>
      <w:r>
        <w:rPr>
          <w:rFonts w:ascii="宋体" w:hAnsi="宋体" w:eastAsia="宋体" w:cs="宋体"/>
          <w:color w:val="auto"/>
          <w:szCs w:val="21"/>
          <w:highlight w:val="none"/>
          <w:u w:val="single"/>
        </w:rPr>
        <w:t>5个工作日内在广州交易集团有限公司（广州公共资源交易中心）开展定标工作，在定标委员会完成定标工作后，招标人将在广州交易集团有限公司（广州公共资源交易中心）交易平台、广东省招标投标监管网和中国招标投标公共服务平台进行中标结果公示。因投诉生效导致中标人不符合中标资格的，或定标后出现中标人不符合法定情形的，招标人可从其他合格的中标候选人中采用原定标办法，由原定标委员会确定中标人，也可以重新组织招标。</w:t>
      </w:r>
    </w:p>
    <w:p w14:paraId="6A6287D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27.4                        </w:t>
      </w:r>
      <w:r>
        <w:rPr>
          <w:rFonts w:hint="eastAsia" w:ascii="宋体" w:hAnsi="宋体" w:eastAsia="宋体" w:cs="宋体"/>
          <w:b/>
          <w:color w:val="auto"/>
          <w:szCs w:val="21"/>
          <w:highlight w:val="none"/>
        </w:rPr>
        <w:t>修改类型：修改</w:t>
      </w:r>
    </w:p>
    <w:p w14:paraId="7D8C0602">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27.4在产生中标候选人后，招标人将中标候选人的投标文件商务部分文件的所有内容（包括人员、业绩、奖项等资料）在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交易平台和广东省招标投标监管网公开。</w:t>
      </w:r>
    </w:p>
    <w:p w14:paraId="534698F0">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27.4在产生</w:t>
      </w:r>
      <w:r>
        <w:rPr>
          <w:rFonts w:hint="eastAsia" w:ascii="宋体" w:hAnsi="宋体" w:eastAsia="宋体" w:cs="宋体"/>
          <w:color w:val="auto"/>
          <w:szCs w:val="21"/>
          <w:highlight w:val="none"/>
          <w:u w:val="single"/>
        </w:rPr>
        <w:t>合格</w:t>
      </w:r>
      <w:r>
        <w:rPr>
          <w:rFonts w:hint="eastAsia" w:ascii="宋体" w:hAnsi="宋体" w:eastAsia="宋体" w:cs="宋体"/>
          <w:color w:val="auto"/>
          <w:szCs w:val="21"/>
          <w:highlight w:val="none"/>
        </w:rPr>
        <w:t>中标候选人后，招标人将</w:t>
      </w:r>
      <w:r>
        <w:rPr>
          <w:rFonts w:hint="eastAsia" w:ascii="宋体" w:hAnsi="宋体" w:eastAsia="宋体" w:cs="宋体"/>
          <w:color w:val="auto"/>
          <w:szCs w:val="21"/>
          <w:highlight w:val="none"/>
          <w:u w:val="single"/>
        </w:rPr>
        <w:t>合格</w:t>
      </w:r>
      <w:r>
        <w:rPr>
          <w:rFonts w:hint="eastAsia" w:ascii="宋体" w:hAnsi="宋体" w:eastAsia="宋体" w:cs="宋体"/>
          <w:color w:val="auto"/>
          <w:szCs w:val="21"/>
          <w:highlight w:val="none"/>
        </w:rPr>
        <w:t>中标候选人的投标文件商务部分文件的所有内容（包括人员、业绩、奖项等资料）在</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交易平台和广东省招标投标监管网公开。</w:t>
      </w:r>
    </w:p>
    <w:p w14:paraId="31E4229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28.2                        </w:t>
      </w:r>
      <w:r>
        <w:rPr>
          <w:rFonts w:hint="eastAsia" w:ascii="宋体" w:hAnsi="宋体" w:eastAsia="宋体" w:cs="宋体"/>
          <w:b/>
          <w:color w:val="auto"/>
          <w:szCs w:val="21"/>
          <w:highlight w:val="none"/>
        </w:rPr>
        <w:t>修改类型：修改</w:t>
      </w:r>
    </w:p>
    <w:p w14:paraId="238AAD85">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31E86823">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28.2中标通知书发出之日起30日后，中标人未按上款的规定与招标人订立合同，招标人将解除中标通知书，</w:t>
      </w:r>
      <w:r>
        <w:rPr>
          <w:rFonts w:hint="eastAsia" w:ascii="宋体" w:hAnsi="宋体" w:eastAsia="宋体" w:cs="宋体"/>
          <w:color w:val="auto"/>
          <w:szCs w:val="21"/>
          <w:highlight w:val="none"/>
          <w:u w:val="single"/>
        </w:rPr>
        <w:t>原中标人依法承担相应法律责任。原中标人给招标人造成的损失，应当对其予以赔偿。</w:t>
      </w:r>
      <w:r>
        <w:rPr>
          <w:rFonts w:hint="eastAsia" w:ascii="宋体" w:hAnsi="宋体" w:eastAsia="宋体" w:cs="宋体"/>
          <w:color w:val="auto"/>
          <w:szCs w:val="21"/>
          <w:highlight w:val="none"/>
        </w:rPr>
        <w:t>原中标人有异议的，可以向人民法院起诉。</w:t>
      </w:r>
    </w:p>
    <w:p w14:paraId="50F9312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28.3                        </w:t>
      </w:r>
      <w:r>
        <w:rPr>
          <w:rFonts w:hint="eastAsia" w:ascii="宋体" w:hAnsi="宋体" w:eastAsia="宋体" w:cs="宋体"/>
          <w:b/>
          <w:color w:val="auto"/>
          <w:szCs w:val="21"/>
          <w:highlight w:val="none"/>
        </w:rPr>
        <w:t>修改类型：修改</w:t>
      </w:r>
    </w:p>
    <w:p w14:paraId="678601C8">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181F24B7">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28.3非经招标人同意，中标人在投标过程中使用的银行名称及</w:t>
      </w:r>
      <w:r>
        <w:rPr>
          <w:rFonts w:hint="eastAsia" w:ascii="宋体" w:hAnsi="宋体" w:eastAsia="宋体" w:cs="宋体"/>
          <w:color w:val="auto"/>
          <w:szCs w:val="21"/>
          <w:highlight w:val="none"/>
          <w:u w:val="single"/>
        </w:rPr>
        <w:t>账号</w:t>
      </w:r>
      <w:r>
        <w:rPr>
          <w:rFonts w:hint="eastAsia" w:ascii="宋体" w:hAnsi="宋体" w:eastAsia="宋体" w:cs="宋体"/>
          <w:color w:val="auto"/>
          <w:szCs w:val="21"/>
          <w:highlight w:val="none"/>
        </w:rPr>
        <w:t>至完成竣工结算不得变更，否则招标人有权停止工程款项的</w:t>
      </w:r>
      <w:r>
        <w:rPr>
          <w:rFonts w:hint="eastAsia" w:ascii="宋体" w:hAnsi="宋体" w:eastAsia="宋体" w:cs="宋体"/>
          <w:color w:val="auto"/>
          <w:szCs w:val="21"/>
          <w:highlight w:val="none"/>
          <w:u w:val="single"/>
        </w:rPr>
        <w:t>拨付</w:t>
      </w:r>
      <w:r>
        <w:rPr>
          <w:rFonts w:hint="eastAsia" w:ascii="宋体" w:hAnsi="宋体" w:eastAsia="宋体" w:cs="宋体"/>
          <w:color w:val="auto"/>
          <w:szCs w:val="21"/>
          <w:highlight w:val="none"/>
        </w:rPr>
        <w:t>及至解除合同，由此造成的一切责任由中标人承担。</w:t>
      </w:r>
    </w:p>
    <w:p w14:paraId="0253489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28.5                        </w:t>
      </w:r>
      <w:r>
        <w:rPr>
          <w:rFonts w:hint="eastAsia" w:ascii="宋体" w:hAnsi="宋体" w:eastAsia="宋体" w:cs="宋体"/>
          <w:b/>
          <w:color w:val="auto"/>
          <w:szCs w:val="21"/>
          <w:highlight w:val="none"/>
        </w:rPr>
        <w:t>修改类型：增加</w:t>
      </w:r>
    </w:p>
    <w:p w14:paraId="6472A3B4">
      <w:pPr>
        <w:pBdr>
          <w:bottom w:val="single" w:color="auto" w:sz="6" w:space="1"/>
        </w:pBdr>
        <w:spacing w:line="360" w:lineRule="auto"/>
        <w:ind w:firstLine="422" w:firstLineChars="200"/>
        <w:rPr>
          <w:rFonts w:ascii="宋体" w:hAnsi="宋体" w:eastAsia="宋体" w:cs="宋体"/>
          <w:b/>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u w:val="single"/>
        </w:rPr>
        <w:t>28.5如本工程委托代建单位（项目建设管理单位），则可由代建单位作为发包人与中标人签订合同。</w:t>
      </w:r>
    </w:p>
    <w:p w14:paraId="36ED02E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29.1                        </w:t>
      </w:r>
      <w:r>
        <w:rPr>
          <w:rFonts w:hint="eastAsia" w:ascii="宋体" w:hAnsi="宋体" w:eastAsia="宋体" w:cs="宋体"/>
          <w:b/>
          <w:color w:val="auto"/>
          <w:szCs w:val="21"/>
          <w:highlight w:val="none"/>
        </w:rPr>
        <w:t>修改类型：修改</w:t>
      </w:r>
    </w:p>
    <w:p w14:paraId="3EF21799">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29.1在收到中标通知书后的</w:t>
      </w:r>
      <w:r>
        <w:rPr>
          <w:rFonts w:ascii="宋体" w:hAnsi="宋体" w:eastAsia="宋体" w:cs="宋体"/>
          <w:bCs/>
          <w:color w:val="auto"/>
          <w:szCs w:val="21"/>
          <w:highlight w:val="none"/>
        </w:rPr>
        <w:t>15日</w:t>
      </w:r>
      <w:r>
        <w:rPr>
          <w:rFonts w:hint="eastAsia" w:ascii="宋体" w:hAnsi="宋体" w:eastAsia="宋体" w:cs="宋体"/>
          <w:color w:val="auto"/>
          <w:szCs w:val="21"/>
          <w:highlight w:val="none"/>
        </w:rPr>
        <w:t>内，中标人应按本须知前附表第</w:t>
      </w:r>
      <w:r>
        <w:rPr>
          <w:rFonts w:ascii="宋体" w:hAnsi="宋体" w:eastAsia="宋体" w:cs="宋体"/>
          <w:color w:val="auto"/>
          <w:szCs w:val="21"/>
          <w:highlight w:val="none"/>
        </w:rPr>
        <w:t>20项的规定向招标人提交履约担保。</w:t>
      </w:r>
    </w:p>
    <w:p w14:paraId="68A9304F">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29.1</w:t>
      </w:r>
      <w:r>
        <w:rPr>
          <w:rFonts w:hint="eastAsia" w:ascii="宋体" w:hAnsi="宋体" w:eastAsia="宋体" w:cs="宋体"/>
          <w:color w:val="auto"/>
          <w:szCs w:val="21"/>
          <w:highlight w:val="none"/>
          <w:u w:val="single"/>
        </w:rPr>
        <w:t>合同正式签订之日后的</w:t>
      </w:r>
      <w:r>
        <w:rPr>
          <w:rFonts w:ascii="宋体" w:hAnsi="宋体" w:eastAsia="宋体" w:cs="宋体"/>
          <w:color w:val="auto"/>
          <w:szCs w:val="21"/>
          <w:highlight w:val="none"/>
          <w:u w:val="single"/>
        </w:rPr>
        <w:t>30日内</w:t>
      </w:r>
      <w:r>
        <w:rPr>
          <w:rFonts w:hint="eastAsia" w:ascii="宋体" w:hAnsi="宋体" w:eastAsia="宋体" w:cs="宋体"/>
          <w:color w:val="auto"/>
          <w:szCs w:val="21"/>
          <w:highlight w:val="none"/>
        </w:rPr>
        <w:t>，中标人应按本须知前附表第</w:t>
      </w:r>
      <w:r>
        <w:rPr>
          <w:rFonts w:ascii="宋体" w:hAnsi="宋体" w:eastAsia="宋体" w:cs="宋体"/>
          <w:color w:val="auto"/>
          <w:szCs w:val="21"/>
          <w:highlight w:val="none"/>
        </w:rPr>
        <w:t>20项的规定向招标人提交履约担保。</w:t>
      </w:r>
    </w:p>
    <w:p w14:paraId="37EB1F3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29.2                        </w:t>
      </w:r>
      <w:r>
        <w:rPr>
          <w:rFonts w:hint="eastAsia" w:ascii="宋体" w:hAnsi="宋体" w:eastAsia="宋体" w:cs="宋体"/>
          <w:b/>
          <w:color w:val="auto"/>
          <w:szCs w:val="21"/>
          <w:highlight w:val="none"/>
        </w:rPr>
        <w:t>修改类型：修改</w:t>
      </w:r>
    </w:p>
    <w:p w14:paraId="25FA3C1E">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178703F0">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w:t>
      </w:r>
      <w:r>
        <w:rPr>
          <w:rFonts w:ascii="宋体" w:hAnsi="宋体" w:eastAsia="宋体" w:cs="宋体"/>
          <w:color w:val="auto"/>
          <w:szCs w:val="21"/>
          <w:highlight w:val="none"/>
        </w:rPr>
        <w:t>29.2</w:t>
      </w:r>
      <w:r>
        <w:rPr>
          <w:rFonts w:hint="eastAsia" w:ascii="宋体" w:hAnsi="宋体" w:eastAsia="宋体" w:cs="宋体"/>
          <w:color w:val="auto"/>
          <w:szCs w:val="21"/>
          <w:highlight w:val="none"/>
          <w:u w:val="single"/>
        </w:rPr>
        <w:t>合同正式签订之日后的</w:t>
      </w:r>
      <w:r>
        <w:rPr>
          <w:rFonts w:ascii="宋体" w:hAnsi="宋体" w:eastAsia="宋体" w:cs="宋体"/>
          <w:color w:val="auto"/>
          <w:szCs w:val="21"/>
          <w:highlight w:val="none"/>
          <w:u w:val="single"/>
        </w:rPr>
        <w:t>30日内</w:t>
      </w:r>
      <w:r>
        <w:rPr>
          <w:rFonts w:hint="eastAsia" w:ascii="宋体" w:hAnsi="宋体" w:eastAsia="宋体" w:cs="宋体"/>
          <w:color w:val="auto"/>
          <w:szCs w:val="21"/>
          <w:highlight w:val="none"/>
        </w:rPr>
        <w:t>，中标人未按上款的规定递交履约担保，招标人将解除中标通知书，</w:t>
      </w:r>
      <w:r>
        <w:rPr>
          <w:rFonts w:hint="eastAsia" w:ascii="宋体" w:hAnsi="宋体" w:eastAsia="宋体" w:cs="宋体"/>
          <w:color w:val="auto"/>
          <w:szCs w:val="21"/>
          <w:highlight w:val="none"/>
          <w:u w:val="single"/>
        </w:rPr>
        <w:t>原中标人依法承担相应法律责任。原中标人给招标人造成的损失，还应当予以赔偿</w:t>
      </w:r>
      <w:r>
        <w:rPr>
          <w:rFonts w:hint="eastAsia" w:ascii="宋体" w:hAnsi="宋体" w:eastAsia="宋体" w:cs="宋体"/>
          <w:color w:val="auto"/>
          <w:szCs w:val="21"/>
          <w:highlight w:val="none"/>
        </w:rPr>
        <w:t>。原中标人有异议的，可以向人民法院起诉。</w:t>
      </w:r>
    </w:p>
    <w:p w14:paraId="6CFCA40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30.1                        修改类型：修改</w:t>
      </w:r>
    </w:p>
    <w:p w14:paraId="41D97205">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30.1</w:t>
      </w:r>
      <w:r>
        <w:rPr>
          <w:rFonts w:hint="eastAsia" w:ascii="宋体" w:hAnsi="宋体" w:eastAsia="宋体" w:cs="宋体"/>
          <w:color w:val="auto"/>
          <w:szCs w:val="21"/>
          <w:highlight w:val="none"/>
        </w:rPr>
        <w:t>在合同双方全权代表在合同协议书上签字，并分别加盖双方单位的公章后，合同正式生效。</w:t>
      </w:r>
    </w:p>
    <w:p w14:paraId="112A85B2">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30.1在合同双方全权代表在合同协议书上签字，并分别加盖双方单位的公章</w:t>
      </w:r>
      <w:r>
        <w:rPr>
          <w:rFonts w:hint="eastAsia" w:ascii="宋体" w:hAnsi="宋体" w:eastAsia="宋体" w:cs="宋体"/>
          <w:color w:val="auto"/>
          <w:szCs w:val="21"/>
          <w:highlight w:val="none"/>
          <w:u w:val="single"/>
        </w:rPr>
        <w:t>且承包人提交履约担保后，合同正式生效。</w:t>
      </w:r>
    </w:p>
    <w:p w14:paraId="0137F99E">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条款号：</w:t>
      </w:r>
      <w:r>
        <w:rPr>
          <w:rFonts w:ascii="宋体" w:hAnsi="宋体" w:eastAsia="宋体" w:cs="宋体"/>
          <w:b/>
          <w:bCs/>
          <w:color w:val="auto"/>
          <w:szCs w:val="21"/>
          <w:highlight w:val="none"/>
        </w:rPr>
        <w:t xml:space="preserve">31                          </w:t>
      </w:r>
      <w:r>
        <w:rPr>
          <w:rFonts w:hint="eastAsia" w:ascii="宋体" w:hAnsi="宋体" w:eastAsia="宋体" w:cs="宋体"/>
          <w:b/>
          <w:bCs/>
          <w:color w:val="auto"/>
          <w:szCs w:val="21"/>
          <w:highlight w:val="none"/>
        </w:rPr>
        <w:t>修改类型：修改</w:t>
      </w:r>
    </w:p>
    <w:p w14:paraId="229C60AC">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原文：</w:t>
      </w:r>
      <w:r>
        <w:rPr>
          <w:rFonts w:ascii="宋体" w:hAnsi="宋体" w:eastAsia="宋体" w:cs="宋体"/>
          <w:b/>
          <w:bCs/>
          <w:color w:val="auto"/>
          <w:szCs w:val="21"/>
          <w:highlight w:val="none"/>
        </w:rPr>
        <w:t>31.其它费用</w:t>
      </w:r>
    </w:p>
    <w:p w14:paraId="56879C9B">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w:t>
      </w:r>
      <w:r>
        <w:rPr>
          <w:rFonts w:ascii="宋体" w:hAnsi="宋体" w:eastAsia="宋体" w:cs="宋体"/>
          <w:b/>
          <w:color w:val="auto"/>
          <w:szCs w:val="21"/>
          <w:highlight w:val="none"/>
        </w:rPr>
        <w:t>31.</w:t>
      </w:r>
      <w:r>
        <w:rPr>
          <w:rFonts w:hint="eastAsia" w:ascii="宋体" w:hAnsi="宋体" w:eastAsia="宋体" w:cs="宋体"/>
          <w:b/>
          <w:bCs/>
          <w:color w:val="auto"/>
          <w:szCs w:val="21"/>
          <w:highlight w:val="none"/>
        </w:rPr>
        <w:t>其它费用</w:t>
      </w:r>
    </w:p>
    <w:p w14:paraId="34F95948">
      <w:pPr>
        <w:pBdr>
          <w:bottom w:val="single" w:color="auto" w:sz="6" w:space="1"/>
        </w:pBdr>
        <w:spacing w:line="360" w:lineRule="auto"/>
        <w:ind w:firstLine="420" w:firstLineChars="200"/>
        <w:rPr>
          <w:rFonts w:ascii="宋体" w:hAnsi="宋体" w:eastAsia="宋体" w:cs="宋体"/>
          <w:color w:val="auto"/>
          <w:szCs w:val="21"/>
          <w:highlight w:val="none"/>
        </w:rPr>
      </w:pPr>
      <w:r>
        <w:rPr>
          <w:rFonts w:hint="eastAsia" w:ascii="宋体" w:hAnsi="宋体" w:cs="宋体"/>
          <w:color w:val="auto"/>
          <w:szCs w:val="21"/>
          <w:highlight w:val="none"/>
          <w:u w:val="single"/>
        </w:rPr>
        <w:t>中标人自行支付公共资源交易服务费，该费用包含在投标价中，交易中心向中标人开具增值税发票</w:t>
      </w:r>
      <w:r>
        <w:rPr>
          <w:rFonts w:hint="eastAsia" w:ascii="宋体" w:hAnsi="宋体" w:cs="宋体"/>
          <w:color w:val="auto"/>
          <w:szCs w:val="21"/>
          <w:highlight w:val="none"/>
        </w:rPr>
        <w:t>。</w:t>
      </w:r>
    </w:p>
    <w:p w14:paraId="391B823E">
      <w:pPr>
        <w:adjustRightInd w:val="0"/>
        <w:snapToGrid w:val="0"/>
        <w:spacing w:line="360" w:lineRule="auto"/>
        <w:ind w:firstLine="211" w:firstLineChars="100"/>
        <w:rPr>
          <w:rFonts w:ascii="宋体" w:hAnsi="宋体" w:eastAsia="宋体" w:cs="宋体"/>
          <w:b/>
          <w:strike/>
          <w:color w:val="auto"/>
          <w:szCs w:val="21"/>
          <w:highlight w:val="none"/>
        </w:rPr>
      </w:pPr>
      <w:r>
        <w:rPr>
          <w:rFonts w:hint="eastAsia" w:ascii="宋体" w:hAnsi="宋体" w:eastAsia="宋体" w:cs="宋体"/>
          <w:b/>
          <w:strike/>
          <w:color w:val="auto"/>
          <w:szCs w:val="21"/>
          <w:highlight w:val="none"/>
        </w:rPr>
        <w:t>注：以上修改，仅限于本范本中有可供选择条款的情形。</w:t>
      </w:r>
    </w:p>
    <w:p w14:paraId="6D4F2182">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b/>
          <w:color w:val="auto"/>
          <w:szCs w:val="21"/>
          <w:highlight w:val="none"/>
        </w:rPr>
        <w:t>（以下无正文）</w:t>
      </w:r>
    </w:p>
    <w:p w14:paraId="4F16EB2E">
      <w:pPr>
        <w:rPr>
          <w:rFonts w:ascii="宋体" w:hAnsi="宋体" w:eastAsia="宋体" w:cs="宋体"/>
          <w:color w:val="auto"/>
          <w:highlight w:val="none"/>
        </w:rPr>
      </w:pPr>
    </w:p>
    <w:p w14:paraId="63C25C59">
      <w:pPr>
        <w:pStyle w:val="5"/>
        <w:tabs>
          <w:tab w:val="left" w:pos="0"/>
        </w:tabs>
        <w:snapToGrid w:val="0"/>
        <w:spacing w:before="0" w:after="0" w:line="360" w:lineRule="auto"/>
        <w:jc w:val="center"/>
        <w:rPr>
          <w:rFonts w:ascii="宋体" w:hAnsi="宋体" w:eastAsia="宋体" w:cs="宋体"/>
          <w:color w:val="auto"/>
          <w:highlight w:val="none"/>
        </w:rPr>
      </w:pPr>
      <w:r>
        <w:rPr>
          <w:rFonts w:ascii="宋体" w:hAnsi="宋体" w:eastAsia="宋体" w:cs="宋体"/>
          <w:color w:val="auto"/>
          <w:highlight w:val="none"/>
        </w:rPr>
        <w:br w:type="page"/>
      </w:r>
      <w:bookmarkStart w:id="4" w:name="_Toc31334"/>
      <w:bookmarkStart w:id="5" w:name="_Toc21525492"/>
      <w:r>
        <w:rPr>
          <w:rFonts w:hint="eastAsia" w:ascii="宋体" w:hAnsi="宋体" w:eastAsia="宋体" w:cs="宋体"/>
          <w:color w:val="auto"/>
          <w:szCs w:val="32"/>
          <w:highlight w:val="none"/>
        </w:rPr>
        <w:t>三、投标须知通用条款</w:t>
      </w:r>
      <w:bookmarkEnd w:id="4"/>
      <w:bookmarkEnd w:id="5"/>
    </w:p>
    <w:p w14:paraId="351CD8B1">
      <w:pPr>
        <w:pStyle w:val="6"/>
        <w:tabs>
          <w:tab w:val="left" w:pos="0"/>
        </w:tabs>
        <w:snapToGrid w:val="0"/>
        <w:spacing w:before="0" w:after="0" w:line="360" w:lineRule="auto"/>
        <w:rPr>
          <w:rFonts w:ascii="宋体" w:hAnsi="宋体" w:eastAsia="宋体" w:cs="宋体"/>
          <w:color w:val="auto"/>
          <w:sz w:val="21"/>
          <w:szCs w:val="21"/>
          <w:highlight w:val="none"/>
        </w:rPr>
      </w:pPr>
      <w:bookmarkStart w:id="6" w:name="_Toc21525493"/>
      <w:bookmarkStart w:id="7" w:name="_Toc12947"/>
      <w:r>
        <w:rPr>
          <w:rFonts w:hint="eastAsia" w:ascii="宋体" w:hAnsi="宋体" w:eastAsia="宋体" w:cs="宋体"/>
          <w:color w:val="auto"/>
          <w:sz w:val="21"/>
          <w:szCs w:val="21"/>
          <w:highlight w:val="none"/>
        </w:rPr>
        <w:t>（一）总则</w:t>
      </w:r>
      <w:bookmarkEnd w:id="6"/>
      <w:bookmarkEnd w:id="7"/>
    </w:p>
    <w:p w14:paraId="67F1EE3A">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1、定义</w:t>
      </w:r>
    </w:p>
    <w:p w14:paraId="68004363">
      <w:pPr>
        <w:pStyle w:val="86"/>
        <w:snapToGrid w:val="0"/>
        <w:spacing w:after="0" w:line="360" w:lineRule="auto"/>
        <w:ind w:firstLineChars="200"/>
        <w:rPr>
          <w:rFonts w:ascii="宋体" w:hAnsi="宋体" w:eastAsia="宋体" w:cs="宋体"/>
          <w:b/>
          <w:bCs/>
          <w:color w:val="auto"/>
          <w:szCs w:val="21"/>
          <w:highlight w:val="none"/>
        </w:rPr>
      </w:pPr>
      <w:r>
        <w:rPr>
          <w:rFonts w:hint="eastAsia" w:ascii="宋体" w:hAnsi="宋体" w:eastAsia="宋体" w:cs="宋体"/>
          <w:color w:val="auto"/>
          <w:szCs w:val="21"/>
          <w:highlight w:val="none"/>
        </w:rPr>
        <w:t>本招标文件使用的下列词语具有如下规定的意义：</w:t>
      </w:r>
    </w:p>
    <w:p w14:paraId="74FB46DE">
      <w:pPr>
        <w:pStyle w:val="86"/>
        <w:snapToGrid w:val="0"/>
        <w:spacing w:after="0" w:line="360" w:lineRule="auto"/>
        <w:ind w:firstLineChars="200"/>
        <w:rPr>
          <w:rFonts w:ascii="宋体" w:hAnsi="宋体" w:eastAsia="宋体" w:cs="宋体"/>
          <w:b/>
          <w:bCs/>
          <w:color w:val="auto"/>
          <w:szCs w:val="21"/>
          <w:highlight w:val="none"/>
          <w:u w:val="singl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1）“招标人”（即发包人）、“项目建设管理单位”（或称“项目代建单位”）、“招标代理”、“设计单位”、“监理单位”均已在投标须知前附表中列明。</w:t>
      </w:r>
    </w:p>
    <w:p w14:paraId="181F1DD3">
      <w:pPr>
        <w:pStyle w:val="86"/>
        <w:snapToGrid w:val="0"/>
        <w:spacing w:after="0" w:line="360" w:lineRule="auto"/>
        <w:ind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2）“投标人”指向招标人提交投标文件的当事人。</w:t>
      </w:r>
    </w:p>
    <w:p w14:paraId="22E469A2">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3）“承包人”指其投标被招标人接受并与其签订承包合同的当事人。</w:t>
      </w:r>
    </w:p>
    <w:p w14:paraId="1755BEB0">
      <w:pPr>
        <w:pStyle w:val="86"/>
        <w:snapToGrid w:val="0"/>
        <w:spacing w:after="0" w:line="360" w:lineRule="auto"/>
        <w:ind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4）“招标文件”指由招标代理发出的本文件（包括全部章节、附件）及招标答疑会会议纪要和</w:t>
      </w:r>
      <w:r>
        <w:rPr>
          <w:rFonts w:hint="eastAsia" w:ascii="宋体" w:hAnsi="宋体" w:eastAsia="宋体" w:cs="宋体"/>
          <w:bCs/>
          <w:color w:val="auto"/>
          <w:szCs w:val="21"/>
          <w:highlight w:val="none"/>
        </w:rPr>
        <w:t>招标文件的澄清与修改</w:t>
      </w:r>
      <w:r>
        <w:rPr>
          <w:rFonts w:hint="eastAsia" w:ascii="宋体" w:hAnsi="宋体" w:eastAsia="宋体" w:cs="宋体"/>
          <w:color w:val="auto"/>
          <w:szCs w:val="21"/>
          <w:highlight w:val="none"/>
        </w:rPr>
        <w:t>文件。</w:t>
      </w:r>
    </w:p>
    <w:p w14:paraId="399BF496">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5）“投标文件”指投标人根据本项目招标文件向招标人提交的全部文件。</w:t>
      </w:r>
    </w:p>
    <w:p w14:paraId="4CE97C50">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6）“书面形式”指打字或印刷的文件和数据电文（包括电报、电传、传真、电子数据交换和电子邮件）。</w:t>
      </w:r>
    </w:p>
    <w:p w14:paraId="4C651EA9">
      <w:pPr>
        <w:snapToGrid w:val="0"/>
        <w:spacing w:line="360" w:lineRule="auto"/>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2、招标说明</w:t>
      </w:r>
    </w:p>
    <w:p w14:paraId="5836D7A0">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2.1本招标工程项目按照《中华人民共和国招标投标法》等有关法律、行政法规、规章和规范性文件，通过招标方式选定承包人。</w:t>
      </w:r>
    </w:p>
    <w:p w14:paraId="5D4CF5A0">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2.2工程名称、建设地点、建设规模、承包方式、质量标准、招标范围、工期要求等均在投标须知前附表中列明。</w:t>
      </w:r>
    </w:p>
    <w:p w14:paraId="213C0D61">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2.3设计说明：详见招标图纸。</w:t>
      </w:r>
    </w:p>
    <w:p w14:paraId="296EFB40">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2.4工程施工特点：详见招标图纸。</w:t>
      </w:r>
    </w:p>
    <w:p w14:paraId="77F91D0A">
      <w:pPr>
        <w:tabs>
          <w:tab w:val="left" w:pos="105"/>
        </w:tabs>
        <w:snapToGrid w:val="0"/>
        <w:spacing w:line="360" w:lineRule="auto"/>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3．资金来源</w:t>
      </w:r>
    </w:p>
    <w:p w14:paraId="07DFFFEB">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3.1本招标工程项目资金来源见投标须知前附表第9项</w:t>
      </w:r>
      <w:r>
        <w:rPr>
          <w:rFonts w:hint="eastAsia" w:ascii="宋体" w:hAnsi="宋体" w:eastAsia="宋体" w:cs="宋体"/>
          <w:bCs/>
          <w:color w:val="auto"/>
          <w:szCs w:val="21"/>
          <w:highlight w:val="none"/>
        </w:rPr>
        <w:t>。</w:t>
      </w:r>
    </w:p>
    <w:p w14:paraId="1D5A040A">
      <w:pPr>
        <w:tabs>
          <w:tab w:val="left" w:pos="105"/>
        </w:tabs>
        <w:snapToGrid w:val="0"/>
        <w:spacing w:line="360" w:lineRule="auto"/>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4．合格投标人的条件</w:t>
      </w:r>
    </w:p>
    <w:p w14:paraId="119919BD">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4.1详见本项目招标公告</w:t>
      </w:r>
      <w:r>
        <w:rPr>
          <w:rFonts w:hint="eastAsia" w:ascii="宋体" w:hAnsi="宋体" w:eastAsia="宋体" w:cs="宋体"/>
          <w:bCs/>
          <w:color w:val="auto"/>
          <w:szCs w:val="21"/>
          <w:highlight w:val="none"/>
        </w:rPr>
        <w:t>。</w:t>
      </w:r>
    </w:p>
    <w:p w14:paraId="79204E28">
      <w:pPr>
        <w:tabs>
          <w:tab w:val="left" w:pos="105"/>
        </w:tabs>
        <w:snapToGrid w:val="0"/>
        <w:spacing w:line="360" w:lineRule="auto"/>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5．踏勘现场</w:t>
      </w:r>
    </w:p>
    <w:p w14:paraId="0DBDB1A2">
      <w:pPr>
        <w:snapToGrid w:val="0"/>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Cs w:val="21"/>
          <w:highlight w:val="none"/>
        </w:rPr>
        <w:t xml:space="preserve">5.1 </w:t>
      </w:r>
      <w:r>
        <w:rPr>
          <w:rFonts w:hint="eastAsia" w:ascii="宋体" w:hAnsi="宋体" w:eastAsia="宋体" w:cs="宋体"/>
          <w:bCs/>
          <w:color w:val="auto"/>
          <w:szCs w:val="21"/>
          <w:highlight w:val="none"/>
        </w:rPr>
        <w:t>投标人应按本投标须知前附表第</w:t>
      </w:r>
      <w:r>
        <w:rPr>
          <w:rFonts w:ascii="宋体" w:hAnsi="宋体" w:eastAsia="宋体" w:cs="宋体"/>
          <w:bCs/>
          <w:color w:val="auto"/>
          <w:szCs w:val="21"/>
          <w:highlight w:val="none"/>
        </w:rPr>
        <w:t>15项所述时间和要求对工程现场及周围环境进行踏勘，</w:t>
      </w:r>
      <w:r>
        <w:rPr>
          <w:rFonts w:hint="eastAsia" w:ascii="宋体" w:hAnsi="宋体" w:eastAsia="宋体" w:cs="宋体"/>
          <w:color w:val="auto"/>
          <w:szCs w:val="21"/>
          <w:highlight w:val="none"/>
        </w:rPr>
        <w:t>投标人应充分重视和仔细地进行这种考察，</w:t>
      </w:r>
      <w:r>
        <w:rPr>
          <w:rFonts w:hint="eastAsia" w:ascii="宋体" w:hAnsi="宋体" w:eastAsia="宋体" w:cs="宋体"/>
          <w:bCs/>
          <w:color w:val="auto"/>
          <w:szCs w:val="21"/>
          <w:highlight w:val="none"/>
        </w:rPr>
        <w:t>以便投标人获取</w:t>
      </w:r>
      <w:r>
        <w:rPr>
          <w:rFonts w:hint="eastAsia" w:ascii="宋体" w:hAnsi="宋体" w:eastAsia="宋体" w:cs="宋体"/>
          <w:color w:val="auto"/>
          <w:szCs w:val="21"/>
          <w:highlight w:val="none"/>
        </w:rPr>
        <w:t>那些须投标人自己负责的</w:t>
      </w:r>
      <w:r>
        <w:rPr>
          <w:rFonts w:hint="eastAsia" w:ascii="宋体" w:hAnsi="宋体" w:eastAsia="宋体" w:cs="宋体"/>
          <w:bCs/>
          <w:color w:val="auto"/>
          <w:szCs w:val="21"/>
          <w:highlight w:val="none"/>
        </w:rPr>
        <w:t>有关编制投标文件和签署合同所涉及现场所有的资料。</w:t>
      </w:r>
      <w:r>
        <w:rPr>
          <w:rFonts w:hint="eastAsia" w:ascii="宋体" w:hAnsi="宋体" w:eastAsia="宋体" w:cs="宋体"/>
          <w:color w:val="auto"/>
          <w:szCs w:val="21"/>
          <w:highlight w:val="none"/>
        </w:rPr>
        <w:t>一旦中标，这种考察即被认为其结果已在中标文件中得到充分反映。考察现场的费用由投标人自己承担。</w:t>
      </w:r>
    </w:p>
    <w:p w14:paraId="733C6F3F">
      <w:pPr>
        <w:tabs>
          <w:tab w:val="left" w:pos="105"/>
        </w:tabs>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5.2 </w:t>
      </w:r>
      <w:r>
        <w:rPr>
          <w:rFonts w:hint="eastAsia" w:ascii="宋体" w:hAnsi="宋体" w:eastAsia="宋体" w:cs="宋体"/>
          <w:bCs/>
          <w:color w:val="auto"/>
          <w:szCs w:val="21"/>
          <w:highlight w:val="none"/>
        </w:rPr>
        <w:t>招标人向投标人提供的有关现场的数据和资料，是招标人现有的能被投标人利用的资料，招标人对投标人做出的任何推论、理解和结论均不负责任。</w:t>
      </w:r>
    </w:p>
    <w:p w14:paraId="27B881C1">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5.3 </w:t>
      </w:r>
      <w:r>
        <w:rPr>
          <w:rFonts w:hint="eastAsia" w:ascii="宋体" w:hAnsi="宋体" w:eastAsia="宋体" w:cs="宋体"/>
          <w:bCs/>
          <w:color w:val="auto"/>
          <w:szCs w:val="21"/>
          <w:highlight w:val="none"/>
        </w:rPr>
        <w:t>经招标人允许，投标人可为踏勘目的进入招标人的项目现场。</w:t>
      </w:r>
      <w:r>
        <w:rPr>
          <w:rFonts w:hint="eastAsia" w:ascii="宋体" w:hAnsi="宋体" w:eastAsia="宋体" w:cs="宋体"/>
          <w:color w:val="auto"/>
          <w:szCs w:val="21"/>
          <w:highlight w:val="none"/>
        </w:rPr>
        <w:t>在考察过程中，投标人及其代表必须承担那些进入现场后，由于他们的行为所造成的人身伤害（不管是否致命）、财产损失或损坏，以及其他任何原因造成的损失、损坏或费用，</w:t>
      </w:r>
      <w:r>
        <w:rPr>
          <w:rFonts w:hint="eastAsia" w:ascii="宋体" w:hAnsi="宋体" w:eastAsia="宋体" w:cs="宋体"/>
          <w:bCs/>
          <w:color w:val="auto"/>
          <w:szCs w:val="21"/>
          <w:highlight w:val="none"/>
        </w:rPr>
        <w:t>投标人不得因此使招标人承担有关的责任和蒙受损失。</w:t>
      </w:r>
    </w:p>
    <w:p w14:paraId="0BD459DC">
      <w:pPr>
        <w:tabs>
          <w:tab w:val="left" w:pos="105"/>
        </w:tabs>
        <w:snapToGrid w:val="0"/>
        <w:spacing w:line="360" w:lineRule="auto"/>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6．投标费用</w:t>
      </w:r>
    </w:p>
    <w:p w14:paraId="7121DF84">
      <w:pPr>
        <w:tabs>
          <w:tab w:val="left" w:pos="105"/>
        </w:tabs>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6.1</w:t>
      </w:r>
      <w:r>
        <w:rPr>
          <w:rFonts w:hint="eastAsia" w:ascii="宋体" w:hAnsi="宋体" w:eastAsia="宋体" w:cs="宋体"/>
          <w:color w:val="auto"/>
          <w:szCs w:val="21"/>
          <w:highlight w:val="none"/>
        </w:rPr>
        <w:t>不论投标结果如何，投标人应承担</w:t>
      </w:r>
      <w:r>
        <w:rPr>
          <w:rFonts w:hint="eastAsia" w:ascii="宋体" w:hAnsi="宋体" w:eastAsia="宋体" w:cs="宋体"/>
          <w:bCs/>
          <w:color w:val="auto"/>
          <w:szCs w:val="21"/>
          <w:highlight w:val="none"/>
        </w:rPr>
        <w:t>自身</w:t>
      </w:r>
      <w:r>
        <w:rPr>
          <w:rFonts w:hint="eastAsia" w:ascii="宋体" w:hAnsi="宋体" w:eastAsia="宋体" w:cs="宋体"/>
          <w:color w:val="auto"/>
          <w:szCs w:val="21"/>
          <w:highlight w:val="none"/>
        </w:rPr>
        <w:t>因投标文件编制、递交及其他</w:t>
      </w:r>
      <w:r>
        <w:rPr>
          <w:rFonts w:hint="eastAsia" w:ascii="宋体" w:hAnsi="宋体" w:eastAsia="宋体" w:cs="宋体"/>
          <w:bCs/>
          <w:color w:val="auto"/>
          <w:szCs w:val="21"/>
          <w:highlight w:val="none"/>
        </w:rPr>
        <w:t>参加本招标活动</w:t>
      </w:r>
      <w:r>
        <w:rPr>
          <w:rFonts w:hint="eastAsia" w:ascii="宋体" w:hAnsi="宋体" w:eastAsia="宋体" w:cs="宋体"/>
          <w:color w:val="auto"/>
          <w:szCs w:val="21"/>
          <w:highlight w:val="none"/>
        </w:rPr>
        <w:t>所涉及的一切费用，招标人对上述费用不负任何责任。</w:t>
      </w:r>
    </w:p>
    <w:p w14:paraId="72E2EE22">
      <w:pPr>
        <w:pStyle w:val="6"/>
        <w:tabs>
          <w:tab w:val="left" w:pos="0"/>
        </w:tabs>
        <w:snapToGrid w:val="0"/>
        <w:spacing w:before="0" w:after="0" w:line="360" w:lineRule="auto"/>
        <w:rPr>
          <w:rFonts w:ascii="宋体" w:hAnsi="宋体" w:eastAsia="宋体" w:cs="宋体"/>
          <w:color w:val="auto"/>
          <w:sz w:val="21"/>
          <w:szCs w:val="21"/>
          <w:highlight w:val="none"/>
        </w:rPr>
      </w:pPr>
      <w:bookmarkStart w:id="8" w:name="_Toc32111"/>
      <w:bookmarkStart w:id="9" w:name="_Toc21525494"/>
      <w:r>
        <w:rPr>
          <w:rFonts w:hint="eastAsia" w:ascii="宋体" w:hAnsi="宋体" w:eastAsia="宋体" w:cs="宋体"/>
          <w:color w:val="auto"/>
          <w:sz w:val="21"/>
          <w:szCs w:val="21"/>
          <w:highlight w:val="none"/>
        </w:rPr>
        <w:t>（二）招标文件</w:t>
      </w:r>
      <w:bookmarkEnd w:id="8"/>
      <w:bookmarkEnd w:id="9"/>
    </w:p>
    <w:p w14:paraId="7BC5FDD1">
      <w:pPr>
        <w:tabs>
          <w:tab w:val="left" w:pos="105"/>
        </w:tabs>
        <w:snapToGrid w:val="0"/>
        <w:spacing w:line="360" w:lineRule="auto"/>
        <w:ind w:firstLine="422" w:firstLineChars="200"/>
        <w:rPr>
          <w:rFonts w:ascii="宋体" w:hAnsi="宋体" w:eastAsia="宋体" w:cs="宋体"/>
          <w:b/>
          <w:color w:val="auto"/>
          <w:szCs w:val="21"/>
          <w:highlight w:val="none"/>
        </w:rPr>
      </w:pPr>
      <w:r>
        <w:rPr>
          <w:rFonts w:ascii="宋体" w:hAnsi="宋体" w:eastAsia="宋体" w:cs="宋体"/>
          <w:b/>
          <w:color w:val="auto"/>
          <w:szCs w:val="21"/>
          <w:highlight w:val="none"/>
        </w:rPr>
        <w:t>7.招标文件的组成</w:t>
      </w:r>
    </w:p>
    <w:p w14:paraId="53D9BE0E">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Cs/>
          <w:color w:val="auto"/>
          <w:szCs w:val="21"/>
          <w:highlight w:val="none"/>
        </w:rPr>
        <w:t>7.1</w:t>
      </w:r>
      <w:r>
        <w:rPr>
          <w:rFonts w:hint="eastAsia" w:ascii="宋体" w:hAnsi="宋体" w:eastAsia="宋体" w:cs="宋体"/>
          <w:color w:val="auto"/>
          <w:szCs w:val="21"/>
          <w:highlight w:val="none"/>
        </w:rPr>
        <w:t>本招标文件包括下列文件，以及所有按本须知第</w:t>
      </w:r>
      <w:r>
        <w:rPr>
          <w:rFonts w:ascii="宋体" w:hAnsi="宋体" w:eastAsia="宋体" w:cs="宋体"/>
          <w:color w:val="auto"/>
          <w:szCs w:val="21"/>
          <w:highlight w:val="none"/>
        </w:rPr>
        <w:t>8条发出的招标答疑会会议纪要和按本须知第9条发出的澄清或修改：</w:t>
      </w:r>
    </w:p>
    <w:p w14:paraId="2ED36BAA">
      <w:pPr>
        <w:pStyle w:val="86"/>
        <w:snapToGrid w:val="0"/>
        <w:spacing w:after="0" w:line="360" w:lineRule="auto"/>
        <w:ind w:left="-2"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第一章</w:t>
      </w:r>
      <w:r>
        <w:rPr>
          <w:rFonts w:ascii="宋体" w:hAnsi="宋体" w:eastAsia="宋体" w:cs="宋体"/>
          <w:bCs/>
          <w:color w:val="auto"/>
          <w:szCs w:val="21"/>
          <w:highlight w:val="none"/>
        </w:rPr>
        <w:t xml:space="preserve">  </w:t>
      </w:r>
      <w:r>
        <w:rPr>
          <w:rFonts w:hint="eastAsia" w:ascii="宋体" w:hAnsi="宋体" w:eastAsia="宋体" w:cs="宋体"/>
          <w:color w:val="auto"/>
          <w:szCs w:val="21"/>
          <w:highlight w:val="none"/>
        </w:rPr>
        <w:t>投标须知</w:t>
      </w:r>
    </w:p>
    <w:p w14:paraId="601AC65C">
      <w:pPr>
        <w:pStyle w:val="86"/>
        <w:snapToGrid w:val="0"/>
        <w:spacing w:after="0" w:line="360" w:lineRule="auto"/>
        <w:ind w:left="-2"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第二章</w:t>
      </w:r>
      <w:r>
        <w:rPr>
          <w:rFonts w:ascii="宋体" w:hAnsi="宋体" w:eastAsia="宋体" w:cs="宋体"/>
          <w:bCs/>
          <w:color w:val="auto"/>
          <w:szCs w:val="21"/>
          <w:highlight w:val="none"/>
        </w:rPr>
        <w:t xml:space="preserve">  </w:t>
      </w:r>
      <w:r>
        <w:rPr>
          <w:rFonts w:hint="eastAsia" w:ascii="宋体" w:hAnsi="宋体" w:eastAsia="宋体" w:cs="宋体"/>
          <w:color w:val="auto"/>
          <w:szCs w:val="21"/>
          <w:highlight w:val="none"/>
        </w:rPr>
        <w:t>开标、评标及定标办法</w:t>
      </w:r>
    </w:p>
    <w:p w14:paraId="53D5993A">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第三章</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合同条款</w:t>
      </w:r>
    </w:p>
    <w:p w14:paraId="3191D812">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第四章</w:t>
      </w:r>
      <w:r>
        <w:rPr>
          <w:rFonts w:ascii="宋体" w:hAnsi="宋体" w:eastAsia="宋体" w:cs="宋体"/>
          <w:bCs/>
          <w:color w:val="auto"/>
          <w:szCs w:val="21"/>
          <w:highlight w:val="none"/>
        </w:rPr>
        <w:t xml:space="preserve">  </w:t>
      </w:r>
      <w:r>
        <w:rPr>
          <w:rFonts w:hint="eastAsia" w:ascii="宋体" w:hAnsi="宋体" w:eastAsia="宋体" w:cs="宋体"/>
          <w:color w:val="auto"/>
          <w:szCs w:val="21"/>
          <w:highlight w:val="none"/>
        </w:rPr>
        <w:t>投标文件格式</w:t>
      </w:r>
    </w:p>
    <w:p w14:paraId="5032ADE0">
      <w:pPr>
        <w:pStyle w:val="86"/>
        <w:snapToGrid w:val="0"/>
        <w:spacing w:after="0" w:line="360" w:lineRule="auto"/>
        <w:ind w:left="-2"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第五章</w:t>
      </w:r>
      <w:r>
        <w:rPr>
          <w:rFonts w:ascii="宋体" w:hAnsi="宋体" w:eastAsia="宋体" w:cs="宋体"/>
          <w:bCs/>
          <w:color w:val="auto"/>
          <w:szCs w:val="21"/>
          <w:highlight w:val="none"/>
        </w:rPr>
        <w:t xml:space="preserve">  </w:t>
      </w:r>
      <w:r>
        <w:rPr>
          <w:rFonts w:hint="eastAsia" w:ascii="宋体" w:hAnsi="宋体" w:eastAsia="宋体" w:cs="宋体"/>
          <w:color w:val="auto"/>
          <w:szCs w:val="21"/>
          <w:highlight w:val="none"/>
        </w:rPr>
        <w:t>技术条件（工程建设标准）（另册）</w:t>
      </w:r>
    </w:p>
    <w:p w14:paraId="1AF2DCA2">
      <w:pPr>
        <w:pStyle w:val="86"/>
        <w:snapToGrid w:val="0"/>
        <w:spacing w:after="0" w:line="360" w:lineRule="auto"/>
        <w:ind w:left="-2"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第六章</w:t>
      </w:r>
      <w:r>
        <w:rPr>
          <w:rFonts w:ascii="宋体" w:hAnsi="宋体" w:eastAsia="宋体" w:cs="宋体"/>
          <w:bCs/>
          <w:color w:val="auto"/>
          <w:szCs w:val="21"/>
          <w:highlight w:val="none"/>
        </w:rPr>
        <w:t xml:space="preserve">  </w:t>
      </w:r>
      <w:r>
        <w:rPr>
          <w:rFonts w:hint="eastAsia" w:ascii="宋体" w:hAnsi="宋体" w:eastAsia="宋体" w:cs="宋体"/>
          <w:color w:val="auto"/>
          <w:szCs w:val="21"/>
          <w:highlight w:val="none"/>
        </w:rPr>
        <w:t>图纸及勘察资料（另册）</w:t>
      </w:r>
    </w:p>
    <w:p w14:paraId="7D907206">
      <w:pPr>
        <w:pStyle w:val="86"/>
        <w:snapToGrid w:val="0"/>
        <w:spacing w:after="0" w:line="360" w:lineRule="auto"/>
        <w:ind w:left="-2" w:firstLineChars="200"/>
        <w:rPr>
          <w:rFonts w:ascii="宋体" w:hAnsi="宋体" w:eastAsia="宋体" w:cs="宋体"/>
          <w:color w:val="auto"/>
          <w:szCs w:val="21"/>
          <w:highlight w:val="none"/>
        </w:rPr>
      </w:pPr>
      <w:r>
        <w:rPr>
          <w:rFonts w:hint="eastAsia" w:ascii="宋体" w:hAnsi="宋体" w:eastAsia="宋体" w:cs="宋体"/>
          <w:bCs/>
          <w:color w:val="auto"/>
          <w:szCs w:val="21"/>
          <w:highlight w:val="none"/>
        </w:rPr>
        <w:t>第七章</w:t>
      </w:r>
      <w:r>
        <w:rPr>
          <w:rFonts w:ascii="宋体" w:hAnsi="宋体" w:eastAsia="宋体" w:cs="宋体"/>
          <w:bCs/>
          <w:color w:val="auto"/>
          <w:szCs w:val="21"/>
          <w:highlight w:val="none"/>
        </w:rPr>
        <w:t xml:space="preserve">  </w:t>
      </w:r>
      <w:r>
        <w:rPr>
          <w:rFonts w:hint="eastAsia" w:ascii="宋体" w:hAnsi="宋体" w:eastAsia="宋体" w:cs="宋体"/>
          <w:bCs/>
          <w:color w:val="auto"/>
          <w:szCs w:val="21"/>
          <w:highlight w:val="none"/>
        </w:rPr>
        <w:t>招标</w:t>
      </w:r>
      <w:r>
        <w:rPr>
          <w:rFonts w:hint="eastAsia" w:ascii="宋体" w:hAnsi="宋体" w:eastAsia="宋体" w:cs="宋体"/>
          <w:color w:val="auto"/>
          <w:szCs w:val="21"/>
          <w:highlight w:val="none"/>
        </w:rPr>
        <w:t>工程量清单（另册）</w:t>
      </w:r>
    </w:p>
    <w:p w14:paraId="097BB8DB">
      <w:pPr>
        <w:pStyle w:val="86"/>
        <w:snapToGrid w:val="0"/>
        <w:spacing w:after="0" w:line="360" w:lineRule="auto"/>
        <w:ind w:left="-2"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第八章</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最高投标限价</w:t>
      </w:r>
    </w:p>
    <w:p w14:paraId="7A9A18D5">
      <w:pPr>
        <w:pStyle w:val="86"/>
        <w:snapToGrid w:val="0"/>
        <w:spacing w:after="0" w:line="360" w:lineRule="auto"/>
        <w:ind w:left="-2"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w:t>
      </w:r>
      <w:r>
        <w:rPr>
          <w:rFonts w:hint="eastAsia" w:ascii="宋体" w:hAnsi="宋体" w:eastAsia="宋体" w:cs="宋体"/>
          <w:color w:val="auto"/>
          <w:sz w:val="22"/>
          <w:highlight w:val="none"/>
        </w:rPr>
        <w:fldChar w:fldCharType="begin"/>
      </w:r>
      <w:r>
        <w:rPr>
          <w:rFonts w:ascii="宋体" w:hAnsi="宋体" w:eastAsia="宋体" w:cs="宋体"/>
          <w:color w:val="auto"/>
          <w:sz w:val="22"/>
          <w:highlight w:val="none"/>
        </w:rPr>
        <w:instrText xml:space="preserve"> = 1 \* GB3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t>①</w:t>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招标人应在技术条件（工程建设标准）中提出本项目对关键技术、工艺、重点、难点，以及拟在本项目采用的智能建造和新型建筑工业化相关技术的具体要求，明确本项目采购绿色建材和对原材料、生产制造工艺的环保、节能、低碳的要求，明确施工现场建筑垃圾源头减量的具体要求以及建筑垃圾综合利用产品的使用要求。</w:t>
      </w:r>
      <w:r>
        <w:rPr>
          <w:rFonts w:hint="eastAsia" w:ascii="宋体" w:hAnsi="宋体" w:eastAsia="宋体" w:cs="宋体"/>
          <w:color w:val="auto"/>
          <w:sz w:val="22"/>
          <w:highlight w:val="none"/>
        </w:rPr>
        <w:fldChar w:fldCharType="begin"/>
      </w:r>
      <w:r>
        <w:rPr>
          <w:rFonts w:ascii="宋体" w:hAnsi="宋体" w:eastAsia="宋体" w:cs="宋体"/>
          <w:color w:val="auto"/>
          <w:sz w:val="22"/>
          <w:highlight w:val="none"/>
        </w:rPr>
        <w:instrText xml:space="preserve"> = 2 \* GB3 </w:instrText>
      </w:r>
      <w:r>
        <w:rPr>
          <w:rFonts w:hint="eastAsia" w:ascii="宋体" w:hAnsi="宋体" w:eastAsia="宋体" w:cs="宋体"/>
          <w:color w:val="auto"/>
          <w:sz w:val="22"/>
          <w:highlight w:val="none"/>
        </w:rPr>
        <w:fldChar w:fldCharType="separate"/>
      </w:r>
      <w:r>
        <w:rPr>
          <w:rFonts w:hint="eastAsia" w:ascii="宋体" w:hAnsi="宋体" w:eastAsia="宋体" w:cs="宋体"/>
          <w:color w:val="auto"/>
          <w:sz w:val="22"/>
          <w:highlight w:val="none"/>
        </w:rPr>
        <w:t>②</w:t>
      </w:r>
      <w:r>
        <w:rPr>
          <w:rFonts w:hint="eastAsia" w:ascii="宋体" w:hAnsi="宋体" w:eastAsia="宋体" w:cs="宋体"/>
          <w:color w:val="auto"/>
          <w:sz w:val="22"/>
          <w:highlight w:val="none"/>
        </w:rPr>
        <w:fldChar w:fldCharType="end"/>
      </w:r>
      <w:r>
        <w:rPr>
          <w:rFonts w:hint="eastAsia" w:ascii="宋体" w:hAnsi="宋体" w:eastAsia="宋体" w:cs="宋体"/>
          <w:color w:val="auto"/>
          <w:sz w:val="22"/>
          <w:highlight w:val="none"/>
        </w:rPr>
        <w:t>鼓励招标人对施工组织设计或施工方案实行隐藏投标人信息的暗标评审</w:t>
      </w:r>
      <w:r>
        <w:rPr>
          <w:rFonts w:hint="eastAsia" w:ascii="宋体" w:hAnsi="宋体" w:eastAsia="宋体" w:cs="宋体"/>
          <w:color w:val="auto"/>
          <w:szCs w:val="21"/>
          <w:highlight w:val="none"/>
        </w:rPr>
        <w:t>。</w:t>
      </w:r>
    </w:p>
    <w:p w14:paraId="75C05793">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7.2 </w:t>
      </w:r>
      <w:r>
        <w:rPr>
          <w:rFonts w:hint="eastAsia" w:ascii="宋体" w:hAnsi="宋体" w:eastAsia="宋体" w:cs="宋体"/>
          <w:color w:val="auto"/>
          <w:szCs w:val="21"/>
          <w:highlight w:val="none"/>
        </w:rPr>
        <w:t>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14:paraId="3EBFFD63">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7.3 </w:t>
      </w:r>
      <w:r>
        <w:rPr>
          <w:rFonts w:hint="eastAsia" w:ascii="宋体" w:hAnsi="宋体" w:eastAsia="宋体" w:cs="宋体"/>
          <w:color w:val="auto"/>
          <w:szCs w:val="21"/>
          <w:highlight w:val="none"/>
        </w:rPr>
        <w:t>投标人一旦中标，招标文件的内容对招标人和中标人双方均有约束力。</w:t>
      </w:r>
    </w:p>
    <w:p w14:paraId="78A7AB51">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8．招标答疑</w:t>
      </w:r>
    </w:p>
    <w:p w14:paraId="12B41427">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8.1 </w:t>
      </w:r>
      <w:r>
        <w:rPr>
          <w:rFonts w:hint="eastAsia" w:ascii="宋体" w:hAnsi="宋体" w:eastAsia="宋体" w:cs="宋体"/>
          <w:color w:val="auto"/>
          <w:szCs w:val="21"/>
          <w:highlight w:val="none"/>
        </w:rPr>
        <w:t>投标人若对招标文件（包括招标图纸）中有疑问，可以书面形式通过</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交易平台提交给招标人或招标代理人，提交形式见本须知前附表第</w:t>
      </w:r>
      <w:r>
        <w:rPr>
          <w:rFonts w:ascii="宋体" w:hAnsi="宋体" w:eastAsia="宋体" w:cs="宋体"/>
          <w:color w:val="auto"/>
          <w:szCs w:val="21"/>
          <w:highlight w:val="none"/>
        </w:rPr>
        <w:t>16项。</w:t>
      </w:r>
    </w:p>
    <w:p w14:paraId="4FDB48EB">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8.2招标答疑会会议纪要将在提交投标文件截止时间15日前在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交易平台“项目答疑纪要”专区公开发布。答疑纪要一经在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交易平台发布，视作已发放给所有投标人。</w:t>
      </w:r>
    </w:p>
    <w:p w14:paraId="71553F59">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8.3答疑会会议纪要为招标文件的一部分。</w:t>
      </w:r>
    </w:p>
    <w:p w14:paraId="75FADD5B">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8.4若招标答疑会会议纪要与招标文件有矛盾，以答疑会议纪要最后发出的书面形式的文件为准。</w:t>
      </w:r>
    </w:p>
    <w:p w14:paraId="1599F8D4">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9.招标文件的澄清与修改</w:t>
      </w:r>
    </w:p>
    <w:p w14:paraId="60EA690C">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9.1招标文件发出后,在提交投标文件截止时间15日前，招标人可对招标文件进行必要的澄清或修改。</w:t>
      </w:r>
    </w:p>
    <w:p w14:paraId="34303F15">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9.2招标文件的澄清或修改将在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交易平台“项目答疑纪要”专区公开发布。答疑纪要一经在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交易平台发布，视作已发放给所有投标人，以</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交易平台上网发布时间作为送达时间。</w:t>
      </w:r>
    </w:p>
    <w:p w14:paraId="19EEE243">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9.3招标文件的修改内容为招标文件的组成部分。</w:t>
      </w:r>
    </w:p>
    <w:p w14:paraId="59760515">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9.4招标文件的澄清或修改均以书面形式明确的内容为准。当招标文件的澄清、修改、补充等在同一内容的表述不一致时，以最后发出的书面形式的文件为准。</w:t>
      </w:r>
    </w:p>
    <w:p w14:paraId="130BCD13">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14:paraId="13D27F32">
      <w:pPr>
        <w:pStyle w:val="6"/>
        <w:tabs>
          <w:tab w:val="left" w:pos="0"/>
        </w:tabs>
        <w:snapToGrid w:val="0"/>
        <w:spacing w:before="0" w:after="0" w:line="360" w:lineRule="auto"/>
        <w:rPr>
          <w:rFonts w:ascii="宋体" w:hAnsi="宋体" w:eastAsia="宋体" w:cs="宋体"/>
          <w:color w:val="auto"/>
          <w:sz w:val="21"/>
          <w:szCs w:val="21"/>
          <w:highlight w:val="none"/>
        </w:rPr>
      </w:pPr>
      <w:bookmarkStart w:id="10" w:name="_Toc21525495"/>
      <w:bookmarkStart w:id="11" w:name="_Toc32542"/>
      <w:r>
        <w:rPr>
          <w:rFonts w:hint="eastAsia" w:ascii="宋体" w:hAnsi="宋体" w:eastAsia="宋体" w:cs="宋体"/>
          <w:color w:val="auto"/>
          <w:sz w:val="21"/>
          <w:szCs w:val="21"/>
          <w:highlight w:val="none"/>
        </w:rPr>
        <w:t>（三）投标文件的编制</w:t>
      </w:r>
      <w:bookmarkEnd w:id="10"/>
      <w:bookmarkEnd w:id="11"/>
    </w:p>
    <w:p w14:paraId="35EDD114">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10．投标文件的语言及度量衡单位</w:t>
      </w:r>
    </w:p>
    <w:p w14:paraId="2772E171">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10.1 </w:t>
      </w:r>
      <w:r>
        <w:rPr>
          <w:rFonts w:hint="eastAsia" w:ascii="宋体" w:hAnsi="宋体" w:eastAsia="宋体" w:cs="宋体"/>
          <w:color w:val="auto"/>
          <w:szCs w:val="21"/>
          <w:highlight w:val="none"/>
        </w:rPr>
        <w:t>投标文件和与投标有关的所有文件均应使用中文。</w:t>
      </w:r>
    </w:p>
    <w:p w14:paraId="146CD060">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10.2 </w:t>
      </w:r>
      <w:r>
        <w:rPr>
          <w:rFonts w:hint="eastAsia" w:ascii="宋体" w:hAnsi="宋体" w:eastAsia="宋体" w:cs="宋体"/>
          <w:color w:val="auto"/>
          <w:szCs w:val="21"/>
          <w:highlight w:val="none"/>
        </w:rPr>
        <w:t>除工程规范另有规定外，投标文件使用的度量衡单位，均采用中华人民共和国法定计量单位。</w:t>
      </w:r>
    </w:p>
    <w:p w14:paraId="662DAA88">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11．投标文件的组成</w:t>
      </w:r>
    </w:p>
    <w:p w14:paraId="7AE7CAE9">
      <w:pPr>
        <w:pStyle w:val="86"/>
        <w:snapToGrid w:val="0"/>
        <w:spacing w:after="0" w:line="360" w:lineRule="auto"/>
        <w:ind w:firstLineChars="200"/>
        <w:rPr>
          <w:rFonts w:ascii="宋体" w:hAnsi="宋体" w:eastAsia="宋体" w:cs="宋体"/>
          <w:b/>
          <w:color w:val="auto"/>
          <w:szCs w:val="21"/>
          <w:highlight w:val="none"/>
        </w:rPr>
      </w:pPr>
      <w:r>
        <w:rPr>
          <w:rFonts w:ascii="宋体" w:hAnsi="宋体" w:eastAsia="宋体" w:cs="宋体"/>
          <w:color w:val="auto"/>
          <w:szCs w:val="21"/>
          <w:highlight w:val="none"/>
        </w:rPr>
        <w:t xml:space="preserve">11.1 </w:t>
      </w:r>
      <w:r>
        <w:rPr>
          <w:rFonts w:hint="eastAsia" w:ascii="宋体" w:hAnsi="宋体" w:eastAsia="宋体" w:cs="宋体"/>
          <w:color w:val="auto"/>
          <w:szCs w:val="21"/>
          <w:highlight w:val="none"/>
        </w:rPr>
        <w:t>投标文件由技术部分（含资格审查文件）和经济部分二部分投标文件组成</w:t>
      </w:r>
      <w:r>
        <w:rPr>
          <w:rFonts w:hint="eastAsia" w:ascii="宋体" w:hAnsi="宋体" w:eastAsia="宋体" w:cs="宋体"/>
          <w:b/>
          <w:color w:val="auto"/>
          <w:szCs w:val="21"/>
          <w:highlight w:val="none"/>
        </w:rPr>
        <w:t>。</w:t>
      </w:r>
    </w:p>
    <w:p w14:paraId="4B297DF0">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11.2投标文件技术标部分主要包括下列内容</w:t>
      </w:r>
      <w:r>
        <w:rPr>
          <w:rFonts w:hint="eastAsia" w:ascii="宋体" w:hAnsi="宋体" w:eastAsia="宋体" w:cs="宋体"/>
          <w:bCs/>
          <w:color w:val="auto"/>
          <w:szCs w:val="21"/>
          <w:highlight w:val="none"/>
        </w:rPr>
        <w:t>：</w:t>
      </w:r>
    </w:p>
    <w:p w14:paraId="26047026">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11.2.1 </w:t>
      </w:r>
      <w:r>
        <w:rPr>
          <w:rFonts w:hint="eastAsia" w:ascii="宋体" w:hAnsi="宋体" w:eastAsia="宋体" w:cs="宋体"/>
          <w:bCs/>
          <w:color w:val="auto"/>
          <w:szCs w:val="21"/>
          <w:highlight w:val="none"/>
        </w:rPr>
        <w:t>技术投标文件</w:t>
      </w:r>
      <w:r>
        <w:rPr>
          <w:rFonts w:ascii="宋体" w:hAnsi="宋体" w:eastAsia="宋体" w:cs="宋体"/>
          <w:color w:val="auto"/>
          <w:szCs w:val="21"/>
          <w:highlight w:val="none"/>
        </w:rPr>
        <w:t>(按招标文件的要求填写)</w:t>
      </w:r>
      <w:r>
        <w:rPr>
          <w:rFonts w:hint="eastAsia" w:ascii="宋体" w:hAnsi="宋体" w:eastAsia="宋体" w:cs="宋体"/>
          <w:bCs/>
          <w:color w:val="auto"/>
          <w:szCs w:val="21"/>
          <w:highlight w:val="none"/>
        </w:rPr>
        <w:t>；</w:t>
      </w:r>
    </w:p>
    <w:p w14:paraId="64A05EE9">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11.2.2 </w:t>
      </w:r>
      <w:r>
        <w:rPr>
          <w:rFonts w:hint="eastAsia" w:ascii="宋体" w:hAnsi="宋体" w:eastAsia="宋体" w:cs="宋体"/>
          <w:bCs/>
          <w:color w:val="auto"/>
          <w:szCs w:val="21"/>
          <w:highlight w:val="none"/>
        </w:rPr>
        <w:t>资格审查文件：</w:t>
      </w:r>
    </w:p>
    <w:p w14:paraId="5B0C3CE0">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1）投标人声明；</w:t>
      </w:r>
    </w:p>
    <w:p w14:paraId="3B8AE680">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2）法定代表人证明书、法定代表人签字或盖章的本投标文件授权委托证明书；</w:t>
      </w:r>
    </w:p>
    <w:p w14:paraId="4194EFDE">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3）企业营业执照扫描件或电子证照；</w:t>
      </w:r>
    </w:p>
    <w:p w14:paraId="61ABFE82">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4）企业资质证书扫描件或电子证照；</w:t>
      </w:r>
    </w:p>
    <w:p w14:paraId="11D4EDB4">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5）建筑施工企业安全生产许可证扫描件或电子证照；</w:t>
      </w:r>
    </w:p>
    <w:p w14:paraId="1F32504D">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6）项目负责人（按网上投标登记时选择拟</w:t>
      </w:r>
      <w:r>
        <w:rPr>
          <w:rFonts w:hint="eastAsia" w:ascii="宋体" w:hAnsi="宋体" w:eastAsia="宋体" w:cs="宋体"/>
          <w:bCs/>
          <w:color w:val="auto"/>
          <w:szCs w:val="21"/>
          <w:highlight w:val="none"/>
        </w:rPr>
        <w:t>投入本项目</w:t>
      </w:r>
      <w:r>
        <w:rPr>
          <w:rFonts w:ascii="宋体" w:hAnsi="宋体" w:eastAsia="宋体" w:cs="宋体"/>
          <w:bCs/>
          <w:color w:val="auto"/>
          <w:szCs w:val="21"/>
          <w:highlight w:val="none"/>
        </w:rPr>
        <w:t>的项目负责人）；</w:t>
      </w:r>
    </w:p>
    <w:p w14:paraId="4E3B9657">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7）专职安全员（按网上投标登记时选择拟</w:t>
      </w:r>
      <w:r>
        <w:rPr>
          <w:rFonts w:hint="eastAsia" w:ascii="宋体" w:hAnsi="宋体" w:eastAsia="宋体" w:cs="宋体"/>
          <w:bCs/>
          <w:color w:val="auto"/>
          <w:szCs w:val="21"/>
          <w:highlight w:val="none"/>
        </w:rPr>
        <w:t>投入本项目</w:t>
      </w:r>
      <w:r>
        <w:rPr>
          <w:rFonts w:ascii="宋体" w:hAnsi="宋体" w:eastAsia="宋体" w:cs="宋体"/>
          <w:bCs/>
          <w:color w:val="auto"/>
          <w:szCs w:val="21"/>
          <w:highlight w:val="none"/>
        </w:rPr>
        <w:t>的专职安全员）；</w:t>
      </w:r>
    </w:p>
    <w:p w14:paraId="4ECA4831">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8）拟委派技术负责人的相关证书、资料（具体要求由招标人明确；）</w:t>
      </w:r>
    </w:p>
    <w:p w14:paraId="0E32469F">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9）拟委派项目负责人的有效期内的建造师注册证书扫描件或电子证书；</w:t>
      </w:r>
    </w:p>
    <w:p w14:paraId="74D15C28">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10）项目负责人在有效期内的安全生产考核合格证书（B类）或建筑施工企业项目负责人安全生产考核合格证书扫描件或电子证书；</w:t>
      </w:r>
    </w:p>
    <w:p w14:paraId="61611270">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11）专职安全员须具有在有效期内的安全生产考核合格证书（C类）或建筑施工企业专职安全生产管理人员安全生产考核合格证书扫描件或电子证书；</w:t>
      </w:r>
    </w:p>
    <w:p w14:paraId="71662FE5">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12）用于资格审查的业绩（设置业绩要求时选择此项，投标人须提供类似工程业绩的项目名称及项目编号，具体格式由招标人自定）；</w:t>
      </w:r>
    </w:p>
    <w:p w14:paraId="525CE88E">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13）资格审查前，投标人须在广州市住房和城乡建设局建立企业信用档案，拟担任本工程项目负责人、专职安全员须是本企业信用档案中的在册人员；</w:t>
      </w:r>
    </w:p>
    <w:p w14:paraId="1D8CC316">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w:t>
      </w:r>
      <w:r>
        <w:rPr>
          <w:rFonts w:ascii="宋体" w:hAnsi="宋体" w:eastAsia="宋体" w:cs="宋体"/>
          <w:bCs/>
          <w:color w:val="auto"/>
          <w:szCs w:val="21"/>
          <w:highlight w:val="none"/>
        </w:rPr>
        <w:t>14）列明主办单位的联合体工作协议（采用联合体投标时需递交，投标人拟任本工程项目负责人应为联合体主办方信用档案中的在册人员，联合体工作协议应明确约定各方拟承担的工作和责任）。</w:t>
      </w:r>
    </w:p>
    <w:p w14:paraId="763F6536">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bCs/>
          <w:color w:val="auto"/>
          <w:szCs w:val="21"/>
          <w:highlight w:val="none"/>
        </w:rPr>
        <w:t>注：</w:t>
      </w:r>
      <w:r>
        <w:rPr>
          <w:rFonts w:ascii="宋体" w:hAnsi="宋体" w:eastAsia="宋体" w:cs="宋体"/>
          <w:bCs/>
          <w:color w:val="auto"/>
          <w:szCs w:val="21"/>
          <w:highlight w:val="none"/>
        </w:rPr>
        <w:t>1.相关电子证书按规定需打印后手写本人签名的，应按照规定手写本人签名后再扫描提交。</w:t>
      </w:r>
    </w:p>
    <w:p w14:paraId="303CF0D9">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2.投标人在投标登记时选择了拟投入本项目的项目负责人、专职安全员，即已满足“资格审查前，投标人须在广州市住房和城乡建设局建立企业信用档案，拟担任本工程项目负责人、专职安全员须是本企业信用档案中的在册人员”的要求，投标人无需提供证明材料。</w:t>
      </w:r>
    </w:p>
    <w:p w14:paraId="587726D7">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11.2.3项目管理机构配备。</w:t>
      </w:r>
    </w:p>
    <w:p w14:paraId="0ACE0CCD">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1）投标人应列出该项目工程的施工组织机构构成和画出机构框架图及其负责人；</w:t>
      </w:r>
    </w:p>
    <w:p w14:paraId="0FD168EA">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2）投标人应详细列出该施工组织机构中主要成员的名单、简历资料、职务职称和在本项目中拟担任的职务等资料，并附上有关证明材料扫描件；</w:t>
      </w:r>
    </w:p>
    <w:p w14:paraId="1DCC9BF7">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3）其他辅助说明资料。</w:t>
      </w:r>
    </w:p>
    <w:p w14:paraId="613240E5">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11.2.4投标人在广州市可使用适合本工程的机械设备（附：机械设备为自有或租赁的说明；及承诺机械设备如属于租赁的，其租赁是不属于重复租赁）。</w:t>
      </w:r>
    </w:p>
    <w:p w14:paraId="461A9FEA">
      <w:pPr>
        <w:tabs>
          <w:tab w:val="left" w:pos="1125"/>
        </w:tabs>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11.2.5施工组织设计或施工方案。</w:t>
      </w:r>
    </w:p>
    <w:p w14:paraId="648AB21A">
      <w:pPr>
        <w:tabs>
          <w:tab w:val="left" w:pos="1125"/>
        </w:tabs>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1）投标人在编制施工组织设计或施工方案时应按照招标人提出的施工现场建筑垃圾源头减量的具体要求以及建筑垃圾综合利用产品的使用要求提供相应措施。</w:t>
      </w:r>
    </w:p>
    <w:p w14:paraId="39D5CFE2">
      <w:pPr>
        <w:tabs>
          <w:tab w:val="left" w:pos="1125"/>
        </w:tabs>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投标人在编制施工组织设计或施工方案时应按照招标文件要求，并针对本项目的关键技术、工艺、重点、难点以及拟在本项目采用的新工艺、新技术、新材料编制，应突出重点，标准、规范中已有的内容无需赘述，一般篇幅不宜超过150页；对于技术特别复杂，施工工艺超出国家标准的项目，施工组织设计的篇幅要求可适当放宽，但不宜超过200页。超过部分不予评审。</w:t>
      </w:r>
    </w:p>
    <w:p w14:paraId="4D6DA4B6">
      <w:pPr>
        <w:tabs>
          <w:tab w:val="left" w:pos="1125"/>
        </w:tabs>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11.2.6按照</w:t>
      </w:r>
      <w:r>
        <w:rPr>
          <w:rFonts w:hint="eastAsia" w:ascii="宋体" w:hAnsi="宋体" w:eastAsia="宋体" w:cs="宋体"/>
          <w:bCs/>
          <w:color w:val="auto"/>
          <w:szCs w:val="21"/>
          <w:highlight w:val="none"/>
        </w:rPr>
        <w:t>招标文件要求</w:t>
      </w:r>
      <w:r>
        <w:rPr>
          <w:rFonts w:hint="eastAsia" w:ascii="宋体" w:hAnsi="宋体" w:eastAsia="宋体" w:cs="宋体"/>
          <w:color w:val="auto"/>
          <w:szCs w:val="21"/>
          <w:highlight w:val="none"/>
        </w:rPr>
        <w:t>填写的《参与编制技术标投标文件人员名单》。</w:t>
      </w:r>
    </w:p>
    <w:p w14:paraId="7195DBE3">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11.3 </w:t>
      </w:r>
      <w:r>
        <w:rPr>
          <w:rFonts w:hint="eastAsia" w:ascii="宋体" w:hAnsi="宋体" w:eastAsia="宋体" w:cs="宋体"/>
          <w:bCs/>
          <w:color w:val="auto"/>
          <w:szCs w:val="21"/>
          <w:highlight w:val="none"/>
        </w:rPr>
        <w:t>经济部分投标文件主要包括下列内容：</w:t>
      </w:r>
    </w:p>
    <w:p w14:paraId="25AD8513">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11.3.1 </w:t>
      </w:r>
      <w:r>
        <w:rPr>
          <w:rFonts w:hint="eastAsia" w:ascii="宋体" w:hAnsi="宋体" w:eastAsia="宋体" w:cs="宋体"/>
          <w:color w:val="auto"/>
          <w:szCs w:val="21"/>
          <w:highlight w:val="none"/>
        </w:rPr>
        <w:t>经济投标文件</w:t>
      </w:r>
      <w:r>
        <w:rPr>
          <w:rFonts w:ascii="宋体" w:hAnsi="宋体" w:eastAsia="宋体" w:cs="宋体"/>
          <w:color w:val="auto"/>
          <w:szCs w:val="21"/>
          <w:highlight w:val="none"/>
        </w:rPr>
        <w:t>(按招标文件的要求填写)。</w:t>
      </w:r>
    </w:p>
    <w:p w14:paraId="7AFF7354">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w:t>
      </w:r>
    </w:p>
    <w:p w14:paraId="0E5C10D4">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1）投标总价封面、扉页；</w:t>
      </w:r>
    </w:p>
    <w:p w14:paraId="709D8371">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2）总说明</w:t>
      </w:r>
    </w:p>
    <w:p w14:paraId="03181FCF">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3）工程项目投标报价汇总表；</w:t>
      </w:r>
    </w:p>
    <w:p w14:paraId="31183E00">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4）单项工程投标报价汇总表；</w:t>
      </w:r>
    </w:p>
    <w:p w14:paraId="7D17D20C">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5）单位工程投标报价汇总表；</w:t>
      </w:r>
    </w:p>
    <w:p w14:paraId="7C877A6C">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6）分部分项工程清单与计价表；</w:t>
      </w:r>
    </w:p>
    <w:p w14:paraId="11E01DD0">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7）单价措施项目清单与计价表；</w:t>
      </w:r>
    </w:p>
    <w:p w14:paraId="3031EE51">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8）总价措施项目清单与计价表；</w:t>
      </w:r>
    </w:p>
    <w:p w14:paraId="1D457369">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9）综合单价分析表；</w:t>
      </w:r>
    </w:p>
    <w:p w14:paraId="23462409">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10）其他项目清单与计价汇总表；</w:t>
      </w:r>
    </w:p>
    <w:p w14:paraId="1B197FFD">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11）暂列金额明细表；</w:t>
      </w:r>
    </w:p>
    <w:p w14:paraId="0A3C35EE">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12）材料（工程设备）暂估价明细表；</w:t>
      </w:r>
    </w:p>
    <w:p w14:paraId="0D9C4AB7">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13）专业工程暂估价明细表；</w:t>
      </w:r>
    </w:p>
    <w:p w14:paraId="28216049">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14）计日工表；</w:t>
      </w:r>
    </w:p>
    <w:p w14:paraId="419EDCD6">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15）总承包服务计价表；</w:t>
      </w:r>
    </w:p>
    <w:p w14:paraId="622900A2">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16）规费和税金项目计价表；</w:t>
      </w:r>
    </w:p>
    <w:p w14:paraId="01D568DB">
      <w:pPr>
        <w:snapToGrid w:val="0"/>
        <w:spacing w:line="360" w:lineRule="auto"/>
        <w:ind w:firstLine="495" w:firstLineChars="236"/>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17）人工、主要材料和设备一览表。</w:t>
      </w:r>
    </w:p>
    <w:p w14:paraId="32649859">
      <w:pPr>
        <w:tabs>
          <w:tab w:val="left" w:pos="1125"/>
        </w:tabs>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11.3.3按照</w:t>
      </w:r>
      <w:r>
        <w:rPr>
          <w:rFonts w:hint="eastAsia" w:ascii="宋体" w:hAnsi="宋体" w:eastAsia="宋体" w:cs="宋体"/>
          <w:bCs/>
          <w:color w:val="auto"/>
          <w:szCs w:val="21"/>
          <w:highlight w:val="none"/>
        </w:rPr>
        <w:t>招标文件要求</w:t>
      </w:r>
      <w:r>
        <w:rPr>
          <w:rFonts w:hint="eastAsia" w:ascii="宋体" w:hAnsi="宋体" w:eastAsia="宋体" w:cs="宋体"/>
          <w:color w:val="auto"/>
          <w:szCs w:val="21"/>
          <w:highlight w:val="none"/>
        </w:rPr>
        <w:t>填写的《参与编制经济标投标文件人员名单》。</w:t>
      </w:r>
    </w:p>
    <w:p w14:paraId="1FADD82A">
      <w:pPr>
        <w:tabs>
          <w:tab w:val="left" w:pos="1125"/>
        </w:tabs>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11.3.4若投标人的投标报价低于工程成本警戒价的，投标人还须提供详细的施工组织设计、单价、措施性费用、单价分析表、主要材料价格表、投标人成本分析供评标委员会评审。</w:t>
      </w:r>
    </w:p>
    <w:p w14:paraId="693AF005">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12．投标文件格式</w:t>
      </w:r>
    </w:p>
    <w:p w14:paraId="2337BF98">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12.1 </w:t>
      </w:r>
      <w:r>
        <w:rPr>
          <w:rFonts w:hint="eastAsia" w:ascii="宋体" w:hAnsi="宋体" w:eastAsia="宋体" w:cs="宋体"/>
          <w:color w:val="auto"/>
          <w:szCs w:val="21"/>
          <w:highlight w:val="none"/>
        </w:rPr>
        <w:t>投标文件包括本须知第</w:t>
      </w:r>
      <w:r>
        <w:rPr>
          <w:rFonts w:ascii="宋体" w:hAnsi="宋体" w:eastAsia="宋体" w:cs="宋体"/>
          <w:color w:val="auto"/>
          <w:szCs w:val="21"/>
          <w:highlight w:val="none"/>
        </w:rPr>
        <w:t>11条中规定的内容，投标人提交的投标文件应当使用招标文件所提供的投标文件全部格式（表格可以按同样格式扩展）。</w:t>
      </w:r>
    </w:p>
    <w:p w14:paraId="261DDEB9">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12.2 </w:t>
      </w:r>
      <w:r>
        <w:rPr>
          <w:rFonts w:hint="eastAsia" w:ascii="宋体" w:hAnsi="宋体" w:eastAsia="宋体" w:cs="宋体"/>
          <w:color w:val="auto"/>
          <w:szCs w:val="21"/>
          <w:highlight w:val="none"/>
        </w:rPr>
        <w:t>投标文件全部采用电子文档，投标文件所附证书证件均为原件扫描件，并采用单位数字证书，</w:t>
      </w:r>
      <w:r>
        <w:rPr>
          <w:rFonts w:hint="eastAsia" w:ascii="宋体" w:hAnsi="宋体" w:eastAsia="宋体" w:cs="宋体"/>
          <w:b/>
          <w:color w:val="auto"/>
          <w:szCs w:val="21"/>
          <w:highlight w:val="none"/>
        </w:rPr>
        <w:t>对投标文件</w:t>
      </w:r>
      <w:r>
        <w:rPr>
          <w:rFonts w:hint="eastAsia" w:ascii="宋体" w:hAnsi="宋体" w:eastAsia="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154413C2">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注：投标文件电子文档需要投标人单位盖章的材料，投标人加盖电子印章即可，不得将投标人未对电子文档加盖实物印章作为否决投标的情形。</w:t>
      </w:r>
    </w:p>
    <w:p w14:paraId="7D2E73F9">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12.3 </w:t>
      </w:r>
      <w:r>
        <w:rPr>
          <w:rFonts w:hint="eastAsia" w:ascii="宋体" w:hAnsi="宋体" w:eastAsia="宋体" w:cs="宋体"/>
          <w:bCs/>
          <w:color w:val="auto"/>
          <w:szCs w:val="21"/>
          <w:highlight w:val="none"/>
        </w:rPr>
        <w:t>投标文件应按</w:t>
      </w:r>
      <w:r>
        <w:rPr>
          <w:rFonts w:hint="eastAsia" w:ascii="宋体" w:hAnsi="宋体" w:eastAsia="宋体" w:cs="宋体"/>
          <w:color w:val="auto"/>
          <w:szCs w:val="21"/>
          <w:highlight w:val="none"/>
        </w:rPr>
        <w:t>照交易平台关于全流程电子化项目的相关指南进行编制，详见：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6B09ADD">
      <w:pPr>
        <w:pStyle w:val="86"/>
        <w:snapToGrid w:val="0"/>
        <w:spacing w:after="0" w:line="360" w:lineRule="auto"/>
        <w:ind w:firstLine="210"/>
        <w:rPr>
          <w:rFonts w:ascii="宋体" w:hAnsi="宋体" w:eastAsia="宋体" w:cs="宋体"/>
          <w:color w:val="auto"/>
          <w:szCs w:val="21"/>
          <w:highlight w:val="none"/>
        </w:rPr>
      </w:pPr>
      <w:r>
        <w:rPr>
          <w:rFonts w:hint="eastAsia" w:ascii="宋体" w:hAnsi="宋体" w:eastAsia="宋体" w:cs="宋体"/>
          <w:bCs/>
          <w:color w:val="auto"/>
          <w:szCs w:val="21"/>
          <w:highlight w:val="none"/>
        </w:rPr>
        <w:t>如不按上述要求编制引起系统无法检索、读取相关信息的，其后果由投标人承担。</w:t>
      </w:r>
    </w:p>
    <w:p w14:paraId="0EEE7F77">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13．投标报价及造价承包和变更结算方式</w:t>
      </w:r>
    </w:p>
    <w:p w14:paraId="66228416">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13.1 </w:t>
      </w:r>
      <w:r>
        <w:rPr>
          <w:rFonts w:hint="eastAsia" w:ascii="宋体" w:hAnsi="宋体" w:eastAsia="宋体" w:cs="宋体"/>
          <w:color w:val="auto"/>
          <w:szCs w:val="21"/>
          <w:highlight w:val="none"/>
        </w:rPr>
        <w:t>本工程的投标报价采用投标须知前附表第</w:t>
      </w:r>
      <w:r>
        <w:rPr>
          <w:rFonts w:ascii="宋体" w:hAnsi="宋体" w:eastAsia="宋体" w:cs="宋体"/>
          <w:color w:val="auto"/>
          <w:szCs w:val="21"/>
          <w:highlight w:val="none"/>
        </w:rPr>
        <w:t>12项所规定的方式。投标报价（含单价及总价）精确到“分”。</w:t>
      </w:r>
    </w:p>
    <w:p w14:paraId="4AA33CA5">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14:paraId="2416AE5D">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14:paraId="0AE9AE4F">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14:paraId="766CA1AD">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13.5工程项目实施期间和结算时，招标文件工程量清单中漏列而由监理单位和招标人现场签证确认的工程项目、原设计没有而由招标人批准设计变更产生的工程项目，视为新增项目，按以下顺序确定价格：</w:t>
      </w:r>
    </w:p>
    <w:p w14:paraId="1F308218">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13.5.1中标的投标文件工程量清单中已有相同项目的适用综合单价，则沿用；</w:t>
      </w:r>
    </w:p>
    <w:p w14:paraId="304875A4">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14:paraId="712BB760">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13.5.3 </w:t>
      </w:r>
      <w:r>
        <w:rPr>
          <w:rFonts w:hint="eastAsia" w:ascii="宋体" w:hAnsi="宋体" w:eastAsia="宋体" w:cs="宋体"/>
          <w:color w:val="auto"/>
          <w:szCs w:val="21"/>
          <w:highlight w:val="none"/>
        </w:rPr>
        <w:t>中标的投标文件工程量清单中没有相同项目或类似项目的，如可套取相关定额，则以相关定额为基数下浮计算单价</w:t>
      </w:r>
      <w:r>
        <w:rPr>
          <w:rFonts w:ascii="宋体" w:hAnsi="宋体" w:eastAsia="宋体" w:cs="宋体"/>
          <w:color w:val="auto"/>
          <w:szCs w:val="21"/>
          <w:highlight w:val="none"/>
        </w:rPr>
        <w:t xml:space="preserve">,下浮率为中标价相对于最高投标限价的下浮率（下浮率=(最高投标限价-中标价)/ </w:t>
      </w:r>
      <w:r>
        <w:rPr>
          <w:rFonts w:hint="eastAsia" w:ascii="宋体" w:hAnsi="宋体" w:eastAsia="宋体" w:cs="宋体"/>
          <w:color w:val="auto"/>
          <w:szCs w:val="21"/>
          <w:highlight w:val="none"/>
        </w:rPr>
        <w:t>最高投标限价）。</w:t>
      </w:r>
    </w:p>
    <w:p w14:paraId="132D34F3">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13.5.4 </w:t>
      </w:r>
      <w:r>
        <w:rPr>
          <w:rFonts w:hint="eastAsia" w:ascii="宋体" w:hAnsi="宋体" w:eastAsia="宋体" w:cs="宋体"/>
          <w:color w:val="auto"/>
          <w:szCs w:val="21"/>
          <w:highlight w:val="none"/>
        </w:rPr>
        <w:t>如相关定额没有相应子目的，其计价方式由招标人在本招标文件第三章中另行规定。未规定的，中标后双方协商约定。</w:t>
      </w:r>
    </w:p>
    <w:p w14:paraId="2F21AA29">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13.6暂列金额、暂估价</w:t>
      </w:r>
    </w:p>
    <w:p w14:paraId="14D3E878">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14:paraId="306BF4E4">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暂估价是指招标人在工程量清单中提供的用于支付必然发生但暂时不能确定价格的材料的单价以及专业工程的金额。</w:t>
      </w:r>
    </w:p>
    <w:p w14:paraId="3107951D">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14:paraId="069448CF">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14:paraId="7A5F1E04">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14:paraId="5834ABD0">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14:paraId="398968AB">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13.6.6 </w:t>
      </w:r>
      <w:r>
        <w:rPr>
          <w:rFonts w:hint="eastAsia" w:ascii="宋体" w:hAnsi="宋体" w:eastAsia="宋体" w:cs="宋体"/>
          <w:color w:val="auto"/>
          <w:szCs w:val="21"/>
          <w:highlight w:val="none"/>
        </w:rPr>
        <w:t>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14:paraId="40E31EB4">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13.7投标人可先到工地踏勘以充分了解工地位置、情况、道路、储存空间、装卸限制及任何其他足以影响承包价的情况，任何因忽视或误解工地情况而导致的索赔或工期延长申请将不被批准。</w:t>
      </w:r>
    </w:p>
    <w:p w14:paraId="589AE184">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14:paraId="7EC28287">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14:paraId="6F7DC0DD">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14．投标货币</w:t>
      </w:r>
    </w:p>
    <w:p w14:paraId="4AE52ECA">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14.1 </w:t>
      </w:r>
      <w:r>
        <w:rPr>
          <w:rFonts w:hint="eastAsia" w:ascii="宋体" w:hAnsi="宋体" w:eastAsia="宋体" w:cs="宋体"/>
          <w:color w:val="auto"/>
          <w:szCs w:val="21"/>
          <w:highlight w:val="none"/>
        </w:rPr>
        <w:t>本工程投标报价采用的币种为人民币。</w:t>
      </w:r>
    </w:p>
    <w:p w14:paraId="3A528A56">
      <w:pPr>
        <w:pStyle w:val="86"/>
        <w:snapToGrid w:val="0"/>
        <w:spacing w:after="0" w:line="360" w:lineRule="auto"/>
        <w:ind w:firstLine="422" w:firstLineChars="200"/>
        <w:rPr>
          <w:rFonts w:ascii="宋体" w:hAnsi="宋体" w:eastAsia="宋体" w:cs="宋体"/>
          <w:color w:val="auto"/>
          <w:szCs w:val="21"/>
          <w:highlight w:val="none"/>
        </w:rPr>
      </w:pPr>
      <w:r>
        <w:rPr>
          <w:rFonts w:ascii="宋体" w:hAnsi="宋体" w:eastAsia="宋体" w:cs="宋体"/>
          <w:b/>
          <w:bCs/>
          <w:color w:val="auto"/>
          <w:szCs w:val="21"/>
          <w:highlight w:val="none"/>
        </w:rPr>
        <w:t>15．投标有效期</w:t>
      </w:r>
    </w:p>
    <w:p w14:paraId="6719A4FF">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15.1 </w:t>
      </w:r>
      <w:r>
        <w:rPr>
          <w:rFonts w:hint="eastAsia" w:ascii="宋体" w:hAnsi="宋体" w:eastAsia="宋体" w:cs="宋体"/>
          <w:color w:val="auto"/>
          <w:szCs w:val="21"/>
          <w:highlight w:val="none"/>
        </w:rPr>
        <w:t>投标有效期见投标须知前附表第</w:t>
      </w:r>
      <w:r>
        <w:rPr>
          <w:rFonts w:ascii="宋体" w:hAnsi="宋体" w:eastAsia="宋体" w:cs="宋体"/>
          <w:color w:val="auto"/>
          <w:szCs w:val="21"/>
          <w:highlight w:val="none"/>
        </w:rPr>
        <w:t>13项所规定的期限，在此期限内，凡符合本招标文件要求的投标文件均保持有效。</w:t>
      </w:r>
    </w:p>
    <w:p w14:paraId="19C6519C">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15.2 </w:t>
      </w:r>
      <w:r>
        <w:rPr>
          <w:rFonts w:hint="eastAsia" w:ascii="宋体" w:hAnsi="宋体" w:eastAsia="宋体" w:cs="宋体"/>
          <w:color w:val="auto"/>
          <w:szCs w:val="21"/>
          <w:highlight w:val="none"/>
        </w:rPr>
        <w:t>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w:t>
      </w:r>
      <w:r>
        <w:rPr>
          <w:rFonts w:ascii="宋体" w:hAnsi="宋体" w:eastAsia="宋体" w:cs="宋体"/>
          <w:color w:val="auto"/>
          <w:szCs w:val="21"/>
          <w:highlight w:val="none"/>
        </w:rPr>
        <w:t>16条关于投标保证金的退还与不予退还的规定仍然适用。</w:t>
      </w:r>
    </w:p>
    <w:p w14:paraId="3892CEE9">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16．投标保证金</w:t>
      </w:r>
    </w:p>
    <w:p w14:paraId="57226F50">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16.1投标人应按投标须知前附表第14项所述金额和时间递交</w:t>
      </w:r>
      <w:r>
        <w:rPr>
          <w:rFonts w:hint="eastAsia" w:ascii="宋体" w:hAnsi="宋体" w:eastAsia="宋体" w:cs="宋体"/>
          <w:bCs/>
          <w:color w:val="auto"/>
          <w:szCs w:val="21"/>
          <w:highlight w:val="none"/>
        </w:rPr>
        <w:t>投标保证金</w:t>
      </w:r>
      <w:r>
        <w:rPr>
          <w:rFonts w:hint="eastAsia" w:ascii="宋体" w:hAnsi="宋体" w:eastAsia="宋体" w:cs="宋体"/>
          <w:color w:val="auto"/>
          <w:szCs w:val="21"/>
          <w:highlight w:val="none"/>
        </w:rPr>
        <w:t>。招标人应当允许投标人自主选择现金、银行保函、保证保险、专业工程担保公司担保等方式缴纳投标保证金。</w:t>
      </w:r>
    </w:p>
    <w:p w14:paraId="76696C9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16.1.1 </w:t>
      </w:r>
      <w:r>
        <w:rPr>
          <w:rFonts w:hint="eastAsia" w:ascii="宋体" w:hAnsi="宋体" w:eastAsia="宋体" w:cs="宋体"/>
          <w:color w:val="auto"/>
          <w:szCs w:val="21"/>
          <w:highlight w:val="none"/>
        </w:rPr>
        <w:t>采用现金或者支票形式提交的，投标保证金须从投标人的银行基本账户转出。</w:t>
      </w:r>
    </w:p>
    <w:p w14:paraId="2F3C8235">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16.1.2 </w:t>
      </w:r>
      <w:r>
        <w:rPr>
          <w:rFonts w:hint="eastAsia" w:ascii="宋体" w:hAnsi="宋体" w:eastAsia="宋体" w:cs="宋体"/>
          <w:color w:val="auto"/>
          <w:szCs w:val="21"/>
          <w:highlight w:val="none"/>
        </w:rPr>
        <w:t>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w:t>
      </w:r>
      <w:r>
        <w:rPr>
          <w:rFonts w:ascii="宋体" w:hAnsi="宋体" w:eastAsia="宋体" w:cs="宋体"/>
          <w:color w:val="auto"/>
          <w:szCs w:val="21"/>
          <w:highlight w:val="none"/>
        </w:rPr>
        <w:t>16.4条款所列情形的，应将纸质原件提交给招标人。</w:t>
      </w:r>
    </w:p>
    <w:p w14:paraId="26CCDFE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16.1.3 </w:t>
      </w:r>
      <w:r>
        <w:rPr>
          <w:rFonts w:hint="eastAsia" w:ascii="宋体" w:hAnsi="宋体" w:eastAsia="宋体" w:cs="宋体"/>
          <w:color w:val="auto"/>
          <w:szCs w:val="21"/>
          <w:highlight w:val="none"/>
        </w:rPr>
        <w:t>采用电子形式的保函、担保或保证保险提交投标保证金的，应在招标文件中明确电子递交途径。</w:t>
      </w:r>
    </w:p>
    <w:p w14:paraId="7BCC7007">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16.2开标时投标人没有按要求提供投标保证金的，其投标文件将被否决；未按招标文件要求提交符合免予提供投标保证金相关证明材料，且未提交投标保证金的投标人，视为未按要求提供投标保证金。</w:t>
      </w:r>
    </w:p>
    <w:p w14:paraId="4846128E">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16.3投标保证金应依据法律法规的相关规定退还。</w:t>
      </w:r>
    </w:p>
    <w:p w14:paraId="0B13420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16.4如有下列情况之一的，招标人可以不予退还投标保证金（是否退还投标保证金由招标人在招标文件中规定）：</w:t>
      </w:r>
    </w:p>
    <w:p w14:paraId="62559C70">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16.4.1因投标人原因造成投标文件未解密的；</w:t>
      </w:r>
    </w:p>
    <w:p w14:paraId="3294C95B">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16.4.2投标人在投标有效期内撤销投标文件；</w:t>
      </w:r>
    </w:p>
    <w:p w14:paraId="771E292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16.4.3中标人未能在规定期限内按要求提交履约担保；</w:t>
      </w:r>
    </w:p>
    <w:p w14:paraId="195EEA74">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16.4.4中标人未能在规定期限内签署合同协议。</w:t>
      </w:r>
    </w:p>
    <w:p w14:paraId="771E23E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16.5投标人如存在下列情况之一的，将被拒绝在一定时期内参与招标人后续工程投标（拒绝时限需在招标文件中明确）：</w:t>
      </w:r>
    </w:p>
    <w:p w14:paraId="392619EC">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16.5.1投标人存在16.4条款所列情形且投标人提交的保函、担保或保证保险无法兑付的；</w:t>
      </w:r>
    </w:p>
    <w:p w14:paraId="2C772A38">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16.5.2采用非电子形式提交投标保证金的投标人存在16.4条款所列情形，且未按招标人要求补交银行保函、专业工程担保公司担保或保证保险原件的；</w:t>
      </w:r>
    </w:p>
    <w:p w14:paraId="01089CF2">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16.5.3按招标文件要求免于提供投标保证金的投标人存在16.4条款所列情形，且未按招标人要求补交投标保证金的；</w:t>
      </w:r>
    </w:p>
    <w:p w14:paraId="7B930734">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16.5.3按招标文件要求免于提供投标保证金的投标人存在16.4条款所列情形的。</w:t>
      </w:r>
    </w:p>
    <w:p w14:paraId="003EDE17">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w:t>
      </w:r>
      <w:r>
        <w:rPr>
          <w:rFonts w:ascii="宋体" w:hAnsi="宋体" w:eastAsia="宋体" w:cs="宋体"/>
          <w:color w:val="auto"/>
          <w:szCs w:val="21"/>
          <w:highlight w:val="none"/>
        </w:rPr>
        <w:t>16.5.3款由招标人二选一，需在招标文件中明确。</w:t>
      </w:r>
    </w:p>
    <w:p w14:paraId="162CDFE4">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17．投标文件的签署</w:t>
      </w:r>
    </w:p>
    <w:p w14:paraId="5DF707D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17.1投标人应采用单位数字证书，</w:t>
      </w:r>
      <w:r>
        <w:rPr>
          <w:rFonts w:hint="eastAsia" w:ascii="宋体" w:hAnsi="宋体" w:eastAsia="宋体" w:cs="宋体"/>
          <w:b/>
          <w:color w:val="auto"/>
          <w:szCs w:val="21"/>
          <w:highlight w:val="none"/>
        </w:rPr>
        <w:t>对投标文件</w:t>
      </w:r>
      <w:r>
        <w:rPr>
          <w:rFonts w:ascii="宋体" w:hAnsi="宋体" w:eastAsia="宋体" w:cs="宋体"/>
          <w:color w:val="auto"/>
          <w:szCs w:val="21"/>
          <w:highlight w:val="none"/>
        </w:rPr>
        <w:t>加盖电子印章。投标文件中需个人签字或盖章的，应加盖个人电子印章或在线下完成后扫描上传。按照交易平台关于全流程电子化项目的相关指南进行操作。详见：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06653D3D">
      <w:pPr>
        <w:pStyle w:val="6"/>
        <w:tabs>
          <w:tab w:val="left" w:pos="0"/>
        </w:tabs>
        <w:snapToGrid w:val="0"/>
        <w:spacing w:before="0" w:after="0" w:line="360" w:lineRule="auto"/>
        <w:rPr>
          <w:rFonts w:ascii="宋体" w:hAnsi="宋体" w:eastAsia="宋体" w:cs="宋体"/>
          <w:color w:val="auto"/>
          <w:sz w:val="21"/>
          <w:szCs w:val="21"/>
          <w:highlight w:val="none"/>
        </w:rPr>
      </w:pPr>
      <w:bookmarkStart w:id="12" w:name="_Toc21525496"/>
      <w:bookmarkStart w:id="13" w:name="_Toc24057"/>
      <w:r>
        <w:rPr>
          <w:rFonts w:hint="eastAsia" w:ascii="宋体" w:hAnsi="宋体" w:eastAsia="宋体" w:cs="宋体"/>
          <w:color w:val="auto"/>
          <w:sz w:val="21"/>
          <w:szCs w:val="21"/>
          <w:highlight w:val="none"/>
        </w:rPr>
        <w:t>（四）投标文件的提交</w:t>
      </w:r>
      <w:bookmarkEnd w:id="12"/>
      <w:bookmarkEnd w:id="13"/>
    </w:p>
    <w:p w14:paraId="1132756B">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18．</w:t>
      </w:r>
      <w:r>
        <w:rPr>
          <w:rFonts w:hint="eastAsia" w:ascii="宋体" w:hAnsi="宋体" w:eastAsia="宋体" w:cs="宋体"/>
          <w:b/>
          <w:color w:val="auto"/>
          <w:szCs w:val="21"/>
          <w:highlight w:val="none"/>
        </w:rPr>
        <w:t>投标文件的密封和标记</w:t>
      </w:r>
    </w:p>
    <w:p w14:paraId="18B69B57">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18.1递交的电子投标文件（不含备用光盘）必须进行加密。按照交易平台关于</w:t>
      </w:r>
      <w:r>
        <w:rPr>
          <w:rFonts w:hint="eastAsia" w:ascii="宋体" w:hAnsi="宋体" w:eastAsia="宋体" w:cs="宋体"/>
          <w:color w:val="auto"/>
          <w:szCs w:val="21"/>
          <w:highlight w:val="none"/>
        </w:rPr>
        <w:t>全流程电子化项目的相关指南进行操作。详见：</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359D2A76">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 xml:space="preserve">18.2 </w:t>
      </w:r>
      <w:r>
        <w:rPr>
          <w:rFonts w:hint="eastAsia" w:ascii="宋体" w:hAnsi="宋体" w:eastAsia="宋体" w:cs="宋体"/>
          <w:bCs/>
          <w:color w:val="auto"/>
          <w:szCs w:val="21"/>
          <w:highlight w:val="none"/>
        </w:rPr>
        <w:t>未按要求加密的投标文件，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w:t>
      </w:r>
      <w:r>
        <w:rPr>
          <w:rFonts w:hint="eastAsia" w:ascii="宋体" w:hAnsi="宋体" w:eastAsia="宋体" w:cs="宋体"/>
          <w:bCs/>
          <w:color w:val="auto"/>
          <w:szCs w:val="21"/>
          <w:highlight w:val="none"/>
        </w:rPr>
        <w:t>将予以拒收。</w:t>
      </w:r>
    </w:p>
    <w:p w14:paraId="090C4C43">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19．投标文件的递交和接收</w:t>
      </w:r>
    </w:p>
    <w:p w14:paraId="6C978E4C">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19.1投标人通过</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交易平台递交电子投标文件。</w:t>
      </w:r>
    </w:p>
    <w:p w14:paraId="2DC5FA48">
      <w:pPr>
        <w:snapToGrid w:val="0"/>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19.2投标人完成电子</w:t>
      </w:r>
      <w:r>
        <w:rPr>
          <w:rFonts w:hint="eastAsia" w:ascii="宋体" w:hAnsi="宋体" w:eastAsia="宋体" w:cs="宋体"/>
          <w:color w:val="auto"/>
          <w:szCs w:val="21"/>
          <w:highlight w:val="none"/>
        </w:rPr>
        <w:t>投标文件</w:t>
      </w:r>
      <w:r>
        <w:rPr>
          <w:rFonts w:hint="eastAsia" w:ascii="宋体" w:hAnsi="宋体" w:eastAsia="宋体" w:cs="宋体"/>
          <w:bCs/>
          <w:color w:val="auto"/>
          <w:szCs w:val="21"/>
          <w:highlight w:val="none"/>
        </w:rPr>
        <w:t>上传后，</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交易平台即时向投标人发出递交回执通知。递交时间以递交回执通知载明的传输完成时间为准。</w:t>
      </w:r>
    </w:p>
    <w:p w14:paraId="1E208685">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bCs/>
          <w:color w:val="auto"/>
          <w:szCs w:val="21"/>
          <w:highlight w:val="none"/>
        </w:rPr>
        <w:t>19.3逾期送达的电子投标文件，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交易平台将予以拒收。</w:t>
      </w:r>
    </w:p>
    <w:p w14:paraId="3C2BE44F">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19.4 </w:t>
      </w:r>
      <w:r>
        <w:rPr>
          <w:rFonts w:hint="eastAsia" w:ascii="宋体" w:hAnsi="宋体" w:eastAsia="宋体" w:cs="宋体"/>
          <w:color w:val="auto"/>
          <w:szCs w:val="21"/>
          <w:highlight w:val="none"/>
        </w:rPr>
        <w:t>投标截止前，招标人拒绝接收符合条件的投标文件，投标人可向招标投标监督机构投诉。</w:t>
      </w:r>
    </w:p>
    <w:p w14:paraId="5672BBC0">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19.5如技术标和经济标先后分别开启，</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交易平台将按招标文件规定的时间分别开启技术标和经济标。</w:t>
      </w:r>
    </w:p>
    <w:p w14:paraId="5DDB9B33">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20．投标文件提交的截止时间</w:t>
      </w:r>
    </w:p>
    <w:p w14:paraId="410B7712">
      <w:pPr>
        <w:snapToGrid w:val="0"/>
        <w:spacing w:line="360" w:lineRule="auto"/>
        <w:ind w:firstLine="420" w:firstLineChars="200"/>
        <w:rPr>
          <w:rFonts w:ascii="宋体" w:hAnsi="宋体" w:eastAsia="宋体" w:cs="宋体"/>
          <w:b/>
          <w:bCs/>
          <w:color w:val="auto"/>
          <w:szCs w:val="21"/>
          <w:highlight w:val="none"/>
        </w:rPr>
      </w:pPr>
      <w:r>
        <w:rPr>
          <w:rFonts w:ascii="宋体" w:hAnsi="宋体" w:eastAsia="宋体" w:cs="宋体"/>
          <w:color w:val="auto"/>
          <w:szCs w:val="21"/>
          <w:highlight w:val="none"/>
        </w:rPr>
        <w:t>20.1投标人应在投标须知前附表第17项所述的时间前提交投标文件。</w:t>
      </w:r>
    </w:p>
    <w:p w14:paraId="1853FDE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20.2招标人可按本须知第9条规定以招标文件修改的方式，酌情延长提交投标文件的截止时间。在此情况下，投标人的所有权利和义务以及投标人受制约的截止时间，均以延长后新的投标截止时间为准。</w:t>
      </w:r>
    </w:p>
    <w:p w14:paraId="744F57C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20.3 </w:t>
      </w:r>
      <w:r>
        <w:rPr>
          <w:rFonts w:hint="eastAsia" w:ascii="宋体" w:hAnsi="宋体" w:eastAsia="宋体" w:cs="宋体"/>
          <w:color w:val="auto"/>
          <w:szCs w:val="21"/>
          <w:highlight w:val="none"/>
        </w:rPr>
        <w:t>到投标截止时间止，招标人收到的投标文件少于</w:t>
      </w:r>
      <w:r>
        <w:rPr>
          <w:rFonts w:ascii="宋体" w:hAnsi="宋体" w:eastAsia="宋体" w:cs="宋体"/>
          <w:color w:val="auto"/>
          <w:szCs w:val="21"/>
          <w:highlight w:val="none"/>
        </w:rPr>
        <w:t>3家的，招标人将重新组织招标（当N个标段同时招标且不允许兼中时，若有效投标人不足N+2家，则重新组织招标）。</w:t>
      </w:r>
    </w:p>
    <w:p w14:paraId="48FBCEB5">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21．迟交的投标文件</w:t>
      </w:r>
    </w:p>
    <w:p w14:paraId="478FB33D">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21.1 </w:t>
      </w:r>
      <w:r>
        <w:rPr>
          <w:rFonts w:hint="eastAsia" w:ascii="宋体" w:hAnsi="宋体" w:eastAsia="宋体" w:cs="宋体"/>
          <w:color w:val="auto"/>
          <w:szCs w:val="21"/>
          <w:highlight w:val="none"/>
        </w:rPr>
        <w:t>本须知前附表第</w:t>
      </w:r>
      <w:r>
        <w:rPr>
          <w:rFonts w:ascii="宋体" w:hAnsi="宋体" w:eastAsia="宋体" w:cs="宋体"/>
          <w:color w:val="auto"/>
          <w:szCs w:val="21"/>
          <w:highlight w:val="none"/>
        </w:rPr>
        <w:t>17项规定的投标截止时间</w:t>
      </w:r>
      <w:r>
        <w:rPr>
          <w:rFonts w:hint="eastAsia" w:ascii="宋体" w:hAnsi="宋体" w:eastAsia="宋体" w:cs="宋体"/>
          <w:bCs/>
          <w:color w:val="auto"/>
          <w:szCs w:val="21"/>
          <w:highlight w:val="none"/>
        </w:rPr>
        <w:t>后送达的电子投标文件，</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交易平台将予以拒收。</w:t>
      </w:r>
    </w:p>
    <w:p w14:paraId="35D8EBEE">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22．投标文件的修改与撤回</w:t>
      </w:r>
    </w:p>
    <w:p w14:paraId="4F23B917">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22.1在规定的投标截止时间前，投标人可以修改或撤回已递交的投标文件，但应以书面形式通知招标人。</w:t>
      </w:r>
    </w:p>
    <w:p w14:paraId="0D4414ED">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22.2投标人修改或撤回已递交的投标文件，需在交易平台发出修改或撤回通知，并按要求加盖电子印章。</w:t>
      </w:r>
      <w:r>
        <w:rPr>
          <w:rFonts w:hint="eastAsia" w:ascii="宋体" w:hAnsi="宋体" w:eastAsia="宋体" w:cs="宋体"/>
          <w:bCs/>
          <w:iCs/>
          <w:color w:val="auto"/>
          <w:szCs w:val="21"/>
          <w:highlight w:val="none"/>
        </w:rPr>
        <w:t>电子招标投标交易平台收到通知后，</w:t>
      </w:r>
      <w:r>
        <w:rPr>
          <w:rFonts w:hint="eastAsia" w:ascii="宋体" w:hAnsi="宋体" w:eastAsia="宋体" w:cs="宋体"/>
          <w:color w:val="auto"/>
          <w:szCs w:val="21"/>
          <w:highlight w:val="none"/>
        </w:rPr>
        <w:t>即时向投标人发出确认回执通知。</w:t>
      </w:r>
    </w:p>
    <w:p w14:paraId="7C4AFD12">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22.3修改后再次递交的，按19点的规定执行。</w:t>
      </w:r>
    </w:p>
    <w:p w14:paraId="1A314659">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22.4 </w:t>
      </w:r>
      <w:r>
        <w:rPr>
          <w:rFonts w:hint="eastAsia" w:ascii="宋体" w:hAnsi="宋体" w:eastAsia="宋体" w:cs="宋体"/>
          <w:color w:val="auto"/>
          <w:szCs w:val="21"/>
          <w:highlight w:val="none"/>
        </w:rPr>
        <w:t>在投标截止时间之后，投标人不得补充、修改和更换投标文件。</w:t>
      </w:r>
    </w:p>
    <w:p w14:paraId="173B30B4">
      <w:pPr>
        <w:pStyle w:val="6"/>
        <w:tabs>
          <w:tab w:val="left" w:pos="0"/>
        </w:tabs>
        <w:snapToGrid w:val="0"/>
        <w:spacing w:before="0" w:after="0" w:line="360" w:lineRule="auto"/>
        <w:rPr>
          <w:rFonts w:ascii="宋体" w:hAnsi="宋体" w:eastAsia="宋体" w:cs="宋体"/>
          <w:color w:val="auto"/>
          <w:sz w:val="21"/>
          <w:szCs w:val="21"/>
          <w:highlight w:val="none"/>
        </w:rPr>
      </w:pPr>
      <w:bookmarkStart w:id="14" w:name="_Toc13732"/>
      <w:bookmarkStart w:id="15" w:name="_Toc21525497"/>
      <w:r>
        <w:rPr>
          <w:rFonts w:hint="eastAsia" w:ascii="宋体" w:hAnsi="宋体" w:eastAsia="宋体" w:cs="宋体"/>
          <w:color w:val="auto"/>
          <w:sz w:val="21"/>
          <w:szCs w:val="21"/>
          <w:highlight w:val="none"/>
        </w:rPr>
        <w:t>（五）开标、评标、定标及合同签定</w:t>
      </w:r>
      <w:bookmarkEnd w:id="14"/>
      <w:bookmarkEnd w:id="15"/>
    </w:p>
    <w:p w14:paraId="0365DDE9">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23、开标。</w:t>
      </w:r>
    </w:p>
    <w:p w14:paraId="58307696">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详见第二章开标、评标及定标办法</w:t>
      </w:r>
    </w:p>
    <w:p w14:paraId="6324BF2C">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24．评标过程的保密</w:t>
      </w:r>
    </w:p>
    <w:p w14:paraId="56768DCE">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24.1 </w:t>
      </w:r>
      <w:r>
        <w:rPr>
          <w:rFonts w:hint="eastAsia" w:ascii="宋体" w:hAnsi="宋体" w:eastAsia="宋体" w:cs="宋体"/>
          <w:color w:val="auto"/>
          <w:szCs w:val="21"/>
          <w:highlight w:val="none"/>
        </w:rPr>
        <w:t>开标后，直至中标公示为止，凡属于对投标文件的审查、澄清、评价和比较有关的资料以及中标候选人的推荐情况，与评标有关的其他任何情况均严格保密。</w:t>
      </w:r>
    </w:p>
    <w:p w14:paraId="0515410E">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24.2 </w:t>
      </w:r>
      <w:r>
        <w:rPr>
          <w:rFonts w:hint="eastAsia" w:ascii="宋体" w:hAnsi="宋体" w:eastAsia="宋体" w:cs="宋体"/>
          <w:color w:val="auto"/>
          <w:szCs w:val="21"/>
          <w:highlight w:val="none"/>
        </w:rPr>
        <w:t>在投标文件的评审和比较、中标候选人推荐以及授予合同的过程中，投标人向招标人和评标委员会施加不公正影响的任何行为，都将会导致其投标被拒绝。</w:t>
      </w:r>
    </w:p>
    <w:p w14:paraId="5467DEB8">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25．投标文件的澄清，计算错误的修正</w:t>
      </w:r>
    </w:p>
    <w:p w14:paraId="0BE364C1">
      <w:pPr>
        <w:snapToGri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详见招标文件第二章开标、评标及定标办法</w:t>
      </w:r>
    </w:p>
    <w:p w14:paraId="19B0613D">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26．投标文件的评审、比较和否决</w:t>
      </w:r>
    </w:p>
    <w:p w14:paraId="43C78AC8">
      <w:pPr>
        <w:snapToGrid w:val="0"/>
        <w:spacing w:line="360" w:lineRule="auto"/>
        <w:ind w:firstLine="420" w:firstLineChars="200"/>
        <w:rPr>
          <w:rFonts w:ascii="宋体" w:hAnsi="宋体" w:eastAsia="宋体" w:cs="宋体"/>
          <w:bCs/>
          <w:color w:val="auto"/>
          <w:szCs w:val="21"/>
          <w:highlight w:val="none"/>
        </w:rPr>
      </w:pPr>
      <w:r>
        <w:rPr>
          <w:rFonts w:hint="eastAsia" w:ascii="宋体" w:hAnsi="宋体" w:eastAsia="宋体" w:cs="宋体"/>
          <w:color w:val="auto"/>
          <w:szCs w:val="21"/>
          <w:highlight w:val="none"/>
        </w:rPr>
        <w:t>详见招标文件第二章开标、评标及定标办法。</w:t>
      </w:r>
    </w:p>
    <w:p w14:paraId="0FCFC1BA">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27．中标通知书</w:t>
      </w:r>
    </w:p>
    <w:p w14:paraId="1014ACBD">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27.1招标人将在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广东省招标投标监管网和中国招标投标公共服务平台公示中标候选人，公示期为三天。投标人或其他利害关系人对评标结果有异议的，应当在中标候选人公示期间提出，可以通过线下或线上的形式提出异议。线上提交的，应通过</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交易平台进行，招标人也应通过</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交易平台答复线上提交的异议。作出答复前，应当暂停招标投标活动。</w:t>
      </w:r>
    </w:p>
    <w:p w14:paraId="74B69E8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27.2招标人应当自确定中标人后，向招标投标监管机构提交招标投标情况的书面报告；经招投标监管机构备案后，方可发出中标通知书。</w:t>
      </w:r>
    </w:p>
    <w:p w14:paraId="7C7BC04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27.3中标人必须在收到中标通知书后24小时之内以书面形式回复招标人，确认收到。</w:t>
      </w:r>
    </w:p>
    <w:p w14:paraId="1D854B7A">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27.4在产生中标候选人后，招标人将中标候选人的投标文件商务部分文件的所有内容（包括人员、业绩、奖项等资料）在</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交易平台和广东省招标投标监管网公开。</w:t>
      </w:r>
    </w:p>
    <w:p w14:paraId="2E696553">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28．合同协议书的签订</w:t>
      </w:r>
    </w:p>
    <w:p w14:paraId="7F852EE6">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28.1 </w:t>
      </w:r>
      <w:r>
        <w:rPr>
          <w:rFonts w:hint="eastAsia" w:ascii="宋体" w:hAnsi="宋体" w:eastAsia="宋体" w:cs="宋体"/>
          <w:color w:val="auto"/>
          <w:szCs w:val="21"/>
          <w:highlight w:val="none"/>
        </w:rPr>
        <w:t>招标人与中标人将于中标通知书发出之日起</w:t>
      </w:r>
      <w:r>
        <w:rPr>
          <w:rFonts w:ascii="宋体" w:hAnsi="宋体" w:eastAsia="宋体" w:cs="宋体"/>
          <w:color w:val="auto"/>
          <w:szCs w:val="21"/>
          <w:highlight w:val="none"/>
        </w:rPr>
        <w:t>30日内，按照招标文件和中标人的投标文件商定和签订合同，招标人和中标人不得再行订立背离合同实质性内容的其他协议。</w:t>
      </w:r>
    </w:p>
    <w:p w14:paraId="050A1168">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5259E481">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28.3非经招标人同意，中标人在投标过程中使用的银行名称及帐号至完成竣工结算不得变更，否则招标人有权停止工程款项的拔付及至解除合同，由此造成的一切责任由中标人承担。</w:t>
      </w:r>
    </w:p>
    <w:p w14:paraId="04E99995">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28.4</w:t>
      </w:r>
      <w:r>
        <w:rPr>
          <w:rFonts w:hint="eastAsia" w:ascii="宋体" w:hAnsi="宋体" w:eastAsia="宋体" w:cs="宋体"/>
          <w:bCs/>
          <w:color w:val="auto"/>
          <w:kern w:val="0"/>
          <w:sz w:val="22"/>
          <w:szCs w:val="22"/>
          <w:highlight w:val="none"/>
        </w:rPr>
        <w:t>工程进度款支付应不低于已完成工程价款的</w:t>
      </w:r>
      <w:r>
        <w:rPr>
          <w:rFonts w:ascii="宋体" w:hAnsi="宋体" w:eastAsia="宋体" w:cs="宋体"/>
          <w:bCs/>
          <w:color w:val="auto"/>
          <w:kern w:val="0"/>
          <w:sz w:val="22"/>
          <w:szCs w:val="22"/>
          <w:highlight w:val="none"/>
        </w:rPr>
        <w:t>80%，</w:t>
      </w:r>
      <w:r>
        <w:rPr>
          <w:rFonts w:hint="eastAsia" w:ascii="宋体" w:hAnsi="宋体" w:eastAsia="宋体" w:cs="宋体"/>
          <w:color w:val="auto"/>
          <w:kern w:val="0"/>
          <w:sz w:val="22"/>
          <w:szCs w:val="22"/>
          <w:highlight w:val="none"/>
        </w:rPr>
        <w:t>招标人支付工程款时，中标人应按规定开具发票。质量保证金不超过工程价款总额</w:t>
      </w:r>
      <w:r>
        <w:rPr>
          <w:rFonts w:ascii="宋体" w:hAnsi="宋体" w:eastAsia="宋体" w:cs="宋体"/>
          <w:color w:val="auto"/>
          <w:kern w:val="0"/>
          <w:sz w:val="22"/>
          <w:szCs w:val="22"/>
          <w:highlight w:val="none"/>
        </w:rPr>
        <w:t>3%。</w:t>
      </w:r>
      <w:r>
        <w:rPr>
          <w:rFonts w:hint="eastAsia" w:ascii="宋体" w:hAnsi="宋体" w:eastAsia="宋体" w:cs="宋体"/>
          <w:bCs/>
          <w:color w:val="auto"/>
          <w:kern w:val="0"/>
          <w:sz w:val="22"/>
          <w:szCs w:val="22"/>
          <w:highlight w:val="none"/>
        </w:rPr>
        <w:t>当年开工、当年不能竣工的新开工项目可以采用过程结算。</w:t>
      </w:r>
    </w:p>
    <w:p w14:paraId="21406DE1">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29．履约担保</w:t>
      </w:r>
    </w:p>
    <w:p w14:paraId="7D8E1058">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29.1 </w:t>
      </w:r>
      <w:r>
        <w:rPr>
          <w:rFonts w:hint="eastAsia" w:ascii="宋体" w:hAnsi="宋体" w:eastAsia="宋体" w:cs="宋体"/>
          <w:color w:val="auto"/>
          <w:szCs w:val="21"/>
          <w:highlight w:val="none"/>
        </w:rPr>
        <w:t>在收到中标通知书后的</w:t>
      </w:r>
      <w:r>
        <w:rPr>
          <w:rFonts w:ascii="宋体" w:hAnsi="宋体" w:eastAsia="宋体" w:cs="宋体"/>
          <w:b/>
          <w:color w:val="auto"/>
          <w:szCs w:val="21"/>
          <w:highlight w:val="none"/>
        </w:rPr>
        <w:t>15日</w:t>
      </w:r>
      <w:r>
        <w:rPr>
          <w:rFonts w:hint="eastAsia" w:ascii="宋体" w:hAnsi="宋体" w:eastAsia="宋体" w:cs="宋体"/>
          <w:color w:val="auto"/>
          <w:szCs w:val="21"/>
          <w:highlight w:val="none"/>
        </w:rPr>
        <w:t>内，中标人应按本须知前附表第</w:t>
      </w:r>
      <w:r>
        <w:rPr>
          <w:rFonts w:ascii="宋体" w:hAnsi="宋体" w:eastAsia="宋体" w:cs="宋体"/>
          <w:color w:val="auto"/>
          <w:szCs w:val="21"/>
          <w:highlight w:val="none"/>
        </w:rPr>
        <w:t>20项的规定向招标人提交履约担保。</w:t>
      </w:r>
    </w:p>
    <w:p w14:paraId="0E1C15B2">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14:paraId="6AB399E6">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30．合同生效</w:t>
      </w:r>
    </w:p>
    <w:p w14:paraId="04780D5C">
      <w:pPr>
        <w:snapToGrid w:val="0"/>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30.1在合同双方全权代表在合同协议书上签字，并分别加盖双方单位的公章后，合同正式生效。</w:t>
      </w:r>
    </w:p>
    <w:p w14:paraId="18BB6B94">
      <w:pPr>
        <w:snapToGrid w:val="0"/>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31．其它费用</w:t>
      </w:r>
    </w:p>
    <w:p w14:paraId="356A3029">
      <w:pPr>
        <w:pStyle w:val="86"/>
        <w:snapToGrid w:val="0"/>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32．腐败与欺诈行为</w:t>
      </w:r>
    </w:p>
    <w:p w14:paraId="19545922">
      <w:pPr>
        <w:pStyle w:val="86"/>
        <w:snapToGrid w:val="0"/>
        <w:spacing w:after="0" w:line="360" w:lineRule="auto"/>
        <w:ind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在招标和合同实施期间，招标人要求投标人和承包人遵守最高的道德标准。</w:t>
      </w:r>
    </w:p>
    <w:p w14:paraId="274B7D6F">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32．1对本条款的规定，特定义如下词汇：</w:t>
      </w:r>
    </w:p>
    <w:p w14:paraId="0898B786">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1）、“腐败行为”是指在招标或合同执行期间，通过提供、给予、接受或索要任何有价值的东西，从而影响招标人有关人员工作的行为；</w:t>
      </w:r>
    </w:p>
    <w:p w14:paraId="2EC0D047">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14:paraId="5DA99C1F">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32．2如果投标人被认定在本招标的竞争中有腐败或欺诈行为，则会被取消投标资格。</w:t>
      </w:r>
    </w:p>
    <w:p w14:paraId="725FB874">
      <w:pPr>
        <w:pStyle w:val="86"/>
        <w:snapToGrid w:val="0"/>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32.3投标人如在本项目中存在串通投标、弄虚作假骗取中标、行贿情形的，中标无效，行政监督部门将对其违法行为进行政处罚。该投标人将被招标人列入黑名单并限制其参与招标人后续项目的投标。</w:t>
      </w:r>
    </w:p>
    <w:p w14:paraId="21747B32">
      <w:pPr>
        <w:rPr>
          <w:rFonts w:ascii="宋体" w:hAnsi="宋体" w:eastAsia="宋体" w:cs="宋体"/>
          <w:color w:val="auto"/>
          <w:highlight w:val="none"/>
        </w:rPr>
      </w:pPr>
    </w:p>
    <w:p w14:paraId="74367AF8">
      <w:pPr>
        <w:pStyle w:val="4"/>
        <w:tabs>
          <w:tab w:val="left" w:pos="0"/>
        </w:tabs>
        <w:snapToGrid w:val="0"/>
        <w:spacing w:before="0" w:after="0"/>
        <w:jc w:val="center"/>
        <w:rPr>
          <w:rFonts w:ascii="宋体" w:hAnsi="宋体" w:eastAsia="宋体" w:cs="宋体"/>
          <w:color w:val="auto"/>
          <w:sz w:val="32"/>
          <w:szCs w:val="32"/>
          <w:highlight w:val="none"/>
        </w:rPr>
      </w:pPr>
      <w:r>
        <w:rPr>
          <w:rFonts w:ascii="宋体" w:hAnsi="宋体" w:eastAsia="宋体" w:cs="宋体"/>
          <w:color w:val="auto"/>
          <w:sz w:val="24"/>
          <w:highlight w:val="none"/>
        </w:rPr>
        <w:br w:type="page"/>
      </w:r>
      <w:bookmarkStart w:id="16" w:name="_Toc12835"/>
      <w:r>
        <w:rPr>
          <w:rFonts w:hint="eastAsia" w:ascii="宋体" w:hAnsi="宋体" w:eastAsia="宋体" w:cs="宋体"/>
          <w:color w:val="auto"/>
          <w:sz w:val="32"/>
          <w:szCs w:val="32"/>
          <w:highlight w:val="none"/>
        </w:rPr>
        <w:t>第二章</w:t>
      </w:r>
      <w:r>
        <w:rPr>
          <w:rFonts w:ascii="宋体" w:hAnsi="宋体" w:eastAsia="宋体" w:cs="宋体"/>
          <w:color w:val="auto"/>
          <w:sz w:val="32"/>
          <w:szCs w:val="32"/>
          <w:highlight w:val="none"/>
        </w:rPr>
        <w:t xml:space="preserve">  </w:t>
      </w:r>
      <w:r>
        <w:rPr>
          <w:rFonts w:hint="eastAsia" w:ascii="宋体" w:hAnsi="宋体" w:eastAsia="宋体" w:cs="宋体"/>
          <w:color w:val="auto"/>
          <w:sz w:val="32"/>
          <w:szCs w:val="32"/>
          <w:highlight w:val="none"/>
        </w:rPr>
        <w:t>开标、评标及定标办法</w:t>
      </w:r>
      <w:bookmarkEnd w:id="16"/>
    </w:p>
    <w:p w14:paraId="012421D3">
      <w:pPr>
        <w:pStyle w:val="5"/>
        <w:tabs>
          <w:tab w:val="left" w:pos="0"/>
        </w:tabs>
        <w:snapToGrid w:val="0"/>
        <w:spacing w:before="0" w:after="0" w:line="360" w:lineRule="auto"/>
        <w:jc w:val="center"/>
        <w:rPr>
          <w:rFonts w:ascii="宋体" w:hAnsi="宋体" w:eastAsia="宋体" w:cs="宋体"/>
          <w:color w:val="auto"/>
          <w:szCs w:val="32"/>
          <w:highlight w:val="none"/>
        </w:rPr>
      </w:pPr>
      <w:bookmarkStart w:id="17" w:name="_Toc20882"/>
      <w:r>
        <w:rPr>
          <w:rFonts w:hint="eastAsia" w:ascii="宋体" w:hAnsi="宋体" w:eastAsia="宋体" w:cs="宋体"/>
          <w:color w:val="auto"/>
          <w:szCs w:val="32"/>
          <w:highlight w:val="none"/>
        </w:rPr>
        <w:t>一、开标、评标及定标办法修改表</w:t>
      </w:r>
      <w:bookmarkEnd w:id="17"/>
    </w:p>
    <w:p w14:paraId="606AE764">
      <w:pPr>
        <w:pStyle w:val="86"/>
        <w:snapToGrid w:val="0"/>
        <w:spacing w:after="0" w:line="360" w:lineRule="auto"/>
        <w:ind w:firstLine="417" w:firstLineChars="198"/>
        <w:rPr>
          <w:rFonts w:ascii="宋体" w:hAnsi="宋体" w:eastAsia="宋体" w:cs="宋体"/>
          <w:b/>
          <w:color w:val="auto"/>
          <w:szCs w:val="21"/>
          <w:highlight w:val="none"/>
        </w:rPr>
      </w:pPr>
      <w:r>
        <w:rPr>
          <w:rFonts w:hint="eastAsia" w:ascii="宋体" w:hAnsi="宋体" w:eastAsia="宋体" w:cs="宋体"/>
          <w:b/>
          <w:color w:val="auto"/>
          <w:szCs w:val="21"/>
          <w:highlight w:val="none"/>
        </w:rPr>
        <w:t>声明：本开标、评标及定标办法使用</w:t>
      </w:r>
      <w:r>
        <w:rPr>
          <w:rFonts w:ascii="宋体" w:hAnsi="宋体" w:eastAsia="宋体" w:cs="宋体"/>
          <w:b/>
          <w:color w:val="auto"/>
          <w:szCs w:val="21"/>
          <w:highlight w:val="none"/>
        </w:rPr>
        <w:t>GZZB2018-3招标文件范本</w:t>
      </w:r>
      <w:r>
        <w:rPr>
          <w:rFonts w:ascii="宋体" w:hAnsi="宋体" w:eastAsia="宋体" w:cs="宋体"/>
          <w:b/>
          <w:color w:val="auto"/>
          <w:szCs w:val="21"/>
          <w:highlight w:val="none"/>
          <w:u w:val="single"/>
        </w:rPr>
        <w:t>[含招标文件范本（GZZB2018-3）修改对照表]</w:t>
      </w:r>
      <w:r>
        <w:rPr>
          <w:rFonts w:ascii="宋体" w:hAnsi="宋体" w:eastAsia="宋体" w:cs="宋体"/>
          <w:b/>
          <w:color w:val="auto"/>
          <w:szCs w:val="21"/>
          <w:highlight w:val="none"/>
        </w:rPr>
        <w:t>的开标、评标及定标办法通用条款，与该通用条款不同之处，均在本表中列明，并以现文为准，原文不再有效。本招标文件中不再转录开标、评标及定标办法通用条款，请投标人自行到广州市住房和城乡建设局网站（网址：</w:t>
      </w:r>
      <w:r>
        <w:rPr>
          <w:color w:val="auto"/>
          <w:highlight w:val="none"/>
        </w:rPr>
        <w:fldChar w:fldCharType="begin"/>
      </w:r>
      <w:r>
        <w:rPr>
          <w:color w:val="auto"/>
          <w:highlight w:val="none"/>
        </w:rPr>
        <w:instrText xml:space="preserve"> HYPERLINK "http://www.gzcc.gov.cn/）下载GZZB2018-3" </w:instrText>
      </w:r>
      <w:r>
        <w:rPr>
          <w:color w:val="auto"/>
          <w:highlight w:val="none"/>
        </w:rPr>
        <w:fldChar w:fldCharType="separate"/>
      </w:r>
      <w:r>
        <w:rPr>
          <w:rFonts w:ascii="宋体" w:hAnsi="宋体" w:eastAsia="宋体" w:cs="宋体"/>
          <w:b/>
          <w:color w:val="auto"/>
          <w:szCs w:val="21"/>
          <w:highlight w:val="none"/>
        </w:rPr>
        <w:t>http</w:t>
      </w:r>
      <w:r>
        <w:rPr>
          <w:rFonts w:hint="eastAsia" w:ascii="宋体" w:hAnsi="宋体" w:eastAsia="宋体" w:cs="宋体"/>
          <w:b/>
          <w:color w:val="auto"/>
          <w:szCs w:val="21"/>
          <w:highlight w:val="none"/>
        </w:rPr>
        <w:t>：</w:t>
      </w:r>
      <w:r>
        <w:rPr>
          <w:rFonts w:ascii="宋体" w:hAnsi="宋体" w:eastAsia="宋体" w:cs="宋体"/>
          <w:b/>
          <w:color w:val="auto"/>
          <w:szCs w:val="21"/>
          <w:highlight w:val="none"/>
        </w:rPr>
        <w:t>//zfcj.gz.gov.cn/</w:t>
      </w:r>
      <w:r>
        <w:rPr>
          <w:rStyle w:val="237"/>
          <w:rFonts w:hint="eastAsia" w:ascii="宋体" w:hAnsi="宋体" w:eastAsia="宋体" w:cs="宋体"/>
          <w:b/>
          <w:color w:val="auto"/>
          <w:sz w:val="21"/>
          <w:szCs w:val="21"/>
          <w:highlight w:val="none"/>
          <w:u w:val="none"/>
        </w:rPr>
        <w:t>）下载</w:t>
      </w:r>
      <w:r>
        <w:rPr>
          <w:rStyle w:val="237"/>
          <w:rFonts w:ascii="宋体" w:hAnsi="宋体" w:eastAsia="宋体" w:cs="宋体"/>
          <w:b/>
          <w:color w:val="auto"/>
          <w:sz w:val="21"/>
          <w:szCs w:val="21"/>
          <w:highlight w:val="none"/>
          <w:u w:val="none"/>
        </w:rPr>
        <w:t>GZZB2018-3</w:t>
      </w:r>
      <w:r>
        <w:rPr>
          <w:rStyle w:val="237"/>
          <w:rFonts w:ascii="宋体" w:hAnsi="宋体" w:eastAsia="宋体" w:cs="宋体"/>
          <w:b/>
          <w:color w:val="auto"/>
          <w:sz w:val="21"/>
          <w:szCs w:val="21"/>
          <w:highlight w:val="none"/>
          <w:u w:val="none"/>
        </w:rPr>
        <w:fldChar w:fldCharType="end"/>
      </w:r>
      <w:r>
        <w:rPr>
          <w:rFonts w:hint="eastAsia" w:ascii="宋体" w:hAnsi="宋体" w:eastAsia="宋体" w:cs="宋体"/>
          <w:b/>
          <w:color w:val="auto"/>
          <w:szCs w:val="21"/>
          <w:highlight w:val="none"/>
        </w:rPr>
        <w:t>范本查阅。</w:t>
      </w:r>
    </w:p>
    <w:p w14:paraId="38D1054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36.1            </w:t>
      </w:r>
      <w:r>
        <w:rPr>
          <w:rFonts w:hint="eastAsia" w:ascii="宋体" w:hAnsi="宋体" w:eastAsia="宋体" w:cs="宋体"/>
          <w:b/>
          <w:color w:val="auto"/>
          <w:szCs w:val="21"/>
          <w:highlight w:val="none"/>
        </w:rPr>
        <w:t xml:space="preserve">            修改类型：修改</w:t>
      </w:r>
    </w:p>
    <w:p w14:paraId="0D35DCA6">
      <w:pPr>
        <w:spacing w:line="360" w:lineRule="auto"/>
        <w:ind w:firstLine="495" w:firstLineChars="235"/>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p>
    <w:p w14:paraId="0D2B67C5">
      <w:pPr>
        <w:pBdr>
          <w:bottom w:val="single" w:color="auto" w:sz="6" w:space="1"/>
        </w:pBdr>
        <w:spacing w:line="360" w:lineRule="auto"/>
        <w:ind w:firstLine="424" w:firstLineChars="201"/>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36.1招标人按投标须知前附表第18项所规定的时间和地点公开开标，并邀请所有投标人参加。截标后，开标开始时间因故推迟的，相关评标信息仍以原定的开标开始时间的信息为准。</w:t>
      </w:r>
      <w:r>
        <w:rPr>
          <w:rFonts w:hint="eastAsia" w:ascii="宋体" w:hAnsi="宋体" w:eastAsia="宋体" w:cs="宋体"/>
          <w:color w:val="auto"/>
          <w:szCs w:val="21"/>
          <w:highlight w:val="none"/>
          <w:u w:val="single"/>
        </w:rPr>
        <w:t>若投标人不参加开标会的，其投标文件在开标现场的投标人或招标人代表、招标代理机构代表及交易中心代表见证下公开开启、解密、公布，并视同该投标人认可开标结果</w:t>
      </w:r>
      <w:r>
        <w:rPr>
          <w:rFonts w:hint="eastAsia" w:ascii="宋体" w:hAnsi="宋体" w:eastAsia="宋体" w:cs="宋体"/>
          <w:color w:val="auto"/>
          <w:szCs w:val="21"/>
          <w:highlight w:val="none"/>
        </w:rPr>
        <w:t>。</w:t>
      </w:r>
    </w:p>
    <w:p w14:paraId="504EF00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36.3                        </w:t>
      </w:r>
      <w:r>
        <w:rPr>
          <w:rFonts w:hint="eastAsia" w:ascii="宋体" w:hAnsi="宋体" w:eastAsia="宋体" w:cs="宋体"/>
          <w:b/>
          <w:color w:val="auto"/>
          <w:szCs w:val="21"/>
          <w:highlight w:val="none"/>
        </w:rPr>
        <w:t>修改类型：删除</w:t>
      </w:r>
    </w:p>
    <w:p w14:paraId="79384D89">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根据投标须知前附表第</w:t>
      </w:r>
      <w:r>
        <w:rPr>
          <w:rFonts w:ascii="宋体" w:hAnsi="宋体" w:eastAsia="宋体" w:cs="宋体"/>
          <w:color w:val="auto"/>
          <w:szCs w:val="21"/>
          <w:highlight w:val="none"/>
        </w:rPr>
        <w:t>19项，如需抽取某一种评标办法供评标时使用的，应在开标前抽取。首先对招标文件中约定的若干种评标方法进行编号，再随机抽取某一编号，该编号所对应的评标办法供评标时使用。</w:t>
      </w:r>
    </w:p>
    <w:p w14:paraId="44028A5E">
      <w:pPr>
        <w:pStyle w:val="22"/>
        <w:spacing w:line="360" w:lineRule="auto"/>
        <w:ind w:firstLine="422"/>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36.4                        </w:t>
      </w:r>
      <w:r>
        <w:rPr>
          <w:rFonts w:hint="eastAsia" w:ascii="宋体" w:hAnsi="宋体" w:eastAsia="宋体" w:cs="宋体"/>
          <w:b/>
          <w:color w:val="auto"/>
          <w:szCs w:val="21"/>
          <w:highlight w:val="none"/>
        </w:rPr>
        <w:t>修改类型：修改</w:t>
      </w:r>
    </w:p>
    <w:p w14:paraId="677E8242">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36.4若递交投标文件的投标人不足3家，则重新组织招标。（当N个标段同时招标且不允许兼中时，若有效投标人不足N+2家，则重新组织招标）</w:t>
      </w:r>
    </w:p>
    <w:p w14:paraId="4603AC14">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36.4若递交投标文件的投标人不足3家，</w:t>
      </w:r>
      <w:r>
        <w:rPr>
          <w:rFonts w:ascii="宋体" w:hAnsi="宋体" w:eastAsia="宋体" w:cs="宋体"/>
          <w:color w:val="auto"/>
          <w:szCs w:val="21"/>
          <w:highlight w:val="none"/>
          <w:u w:val="single"/>
        </w:rPr>
        <w:t>则重新组织招标。</w:t>
      </w:r>
    </w:p>
    <w:p w14:paraId="56F9D24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36.5.1                      修改类型：修改</w:t>
      </w:r>
    </w:p>
    <w:p w14:paraId="0F8E1D6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36.5.1在投标截止时间后一个小时内，投标人通过</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交易平台对已递交的电子投标文件进行解密。投标人完成解密后，再由招标人进行解密。解密完成后，公布招标项目名称、投标人名称、投标保证金的递交情况、投标报价、工期及其他内容；</w:t>
      </w:r>
    </w:p>
    <w:p w14:paraId="38A76054">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36.5.1在投标截止时间后</w:t>
      </w:r>
      <w:r>
        <w:rPr>
          <w:rFonts w:hint="eastAsia" w:ascii="宋体" w:hAnsi="宋体" w:eastAsia="宋体" w:cs="宋体"/>
          <w:bCs/>
          <w:color w:val="auto"/>
          <w:szCs w:val="21"/>
          <w:highlight w:val="none"/>
        </w:rPr>
        <w:t>一个小时</w:t>
      </w:r>
      <w:r>
        <w:rPr>
          <w:rFonts w:hint="eastAsia" w:ascii="宋体" w:hAnsi="宋体" w:eastAsia="宋体" w:cs="宋体"/>
          <w:color w:val="auto"/>
          <w:szCs w:val="21"/>
          <w:highlight w:val="none"/>
        </w:rPr>
        <w:t>内，投标人通过</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交易平台对已递交的电子投标文件进行解密。投标人完成解密后，再由招标人</w:t>
      </w:r>
      <w:r>
        <w:rPr>
          <w:rFonts w:hint="eastAsia" w:ascii="宋体" w:hAnsi="宋体" w:eastAsia="宋体" w:cs="宋体"/>
          <w:color w:val="auto"/>
          <w:szCs w:val="21"/>
          <w:highlight w:val="none"/>
          <w:u w:val="single"/>
        </w:rPr>
        <w:t>或招标代理</w:t>
      </w:r>
      <w:r>
        <w:rPr>
          <w:rFonts w:hint="eastAsia" w:ascii="宋体" w:hAnsi="宋体" w:eastAsia="宋体" w:cs="宋体"/>
          <w:color w:val="auto"/>
          <w:szCs w:val="21"/>
          <w:highlight w:val="none"/>
        </w:rPr>
        <w:t>进行解密。解密完成后，</w:t>
      </w:r>
      <w:r>
        <w:rPr>
          <w:rFonts w:hint="eastAsia" w:ascii="宋体" w:hAnsi="宋体" w:eastAsia="宋体" w:cs="宋体"/>
          <w:color w:val="auto"/>
          <w:szCs w:val="21"/>
          <w:highlight w:val="none"/>
          <w:u w:val="single"/>
        </w:rPr>
        <w:t>公布招标项目名称、投标人名称、投标报价、工期及其他内容</w:t>
      </w:r>
      <w:r>
        <w:rPr>
          <w:rFonts w:hint="eastAsia" w:ascii="宋体" w:hAnsi="宋体" w:eastAsia="宋体" w:cs="宋体"/>
          <w:color w:val="auto"/>
          <w:szCs w:val="21"/>
          <w:highlight w:val="none"/>
        </w:rPr>
        <w:t>；</w:t>
      </w:r>
    </w:p>
    <w:p w14:paraId="38DDAF4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36.5.3                      修改类型：修改</w:t>
      </w:r>
    </w:p>
    <w:p w14:paraId="5EA62E35">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36.5.3投标人代表、招标人代表、监标人、记录人等有关人员在开标记录上签字确认；若有关人员不签字的，不影响开标程序；</w:t>
      </w:r>
    </w:p>
    <w:p w14:paraId="663DA890">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36.5.3投标人代表、招标人代表、监标人、记录人等有关人员在开标记录上签字确认；若有关人员不签字的，不影响开标程序；</w:t>
      </w:r>
      <w:r>
        <w:rPr>
          <w:rFonts w:hint="eastAsia" w:ascii="宋体" w:hAnsi="宋体" w:eastAsia="宋体" w:cs="宋体"/>
          <w:color w:val="auto"/>
          <w:szCs w:val="21"/>
          <w:highlight w:val="none"/>
          <w:u w:val="single"/>
        </w:rPr>
        <w:t>若投标人不参加开标会的，或不签字确认的，视同该投标人认可开标结果；</w:t>
      </w:r>
    </w:p>
    <w:p w14:paraId="0289703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37.3.2                      修改类型：修改</w:t>
      </w:r>
    </w:p>
    <w:p w14:paraId="6A9E47FC">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37.3.2</w:t>
      </w:r>
      <w:r>
        <w:rPr>
          <w:rFonts w:hint="eastAsia" w:ascii="宋体" w:hAnsi="宋体" w:eastAsia="宋体" w:cs="宋体"/>
          <w:color w:val="auto"/>
          <w:szCs w:val="21"/>
          <w:highlight w:val="none"/>
        </w:rPr>
        <w:t>向招标人报告评审意见，推荐合格的中标候选人。</w:t>
      </w:r>
    </w:p>
    <w:p w14:paraId="58C1AC5D">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bCs/>
          <w:color w:val="auto"/>
          <w:szCs w:val="21"/>
          <w:highlight w:val="none"/>
        </w:rPr>
        <w:t>37.</w:t>
      </w:r>
      <w:r>
        <w:rPr>
          <w:rFonts w:ascii="宋体" w:hAnsi="宋体" w:eastAsia="宋体" w:cs="宋体"/>
          <w:color w:val="auto"/>
          <w:szCs w:val="21"/>
          <w:highlight w:val="none"/>
        </w:rPr>
        <w:t>3.</w:t>
      </w:r>
      <w:r>
        <w:rPr>
          <w:rFonts w:ascii="宋体" w:hAnsi="宋体" w:eastAsia="宋体" w:cs="宋体"/>
          <w:bCs/>
          <w:color w:val="auto"/>
          <w:szCs w:val="21"/>
          <w:highlight w:val="none"/>
        </w:rPr>
        <w:t>2向招标人报告评审意见，</w:t>
      </w:r>
      <w:r>
        <w:rPr>
          <w:rFonts w:hint="eastAsia" w:ascii="宋体" w:hAnsi="宋体" w:eastAsia="宋体" w:cs="宋体"/>
          <w:color w:val="auto"/>
          <w:szCs w:val="22"/>
          <w:highlight w:val="none"/>
          <w:u w:val="single"/>
        </w:rPr>
        <w:t>按照招标文件第一章投标须知前附表第</w:t>
      </w:r>
      <w:r>
        <w:rPr>
          <w:rFonts w:ascii="宋体" w:hAnsi="宋体" w:eastAsia="宋体" w:cs="宋体"/>
          <w:color w:val="auto"/>
          <w:szCs w:val="22"/>
          <w:highlight w:val="none"/>
          <w:u w:val="single"/>
        </w:rPr>
        <w:t>19项推荐合格中标候选人</w:t>
      </w:r>
      <w:r>
        <w:rPr>
          <w:rFonts w:hint="eastAsia" w:ascii="宋体" w:hAnsi="宋体" w:eastAsia="宋体" w:cs="宋体"/>
          <w:bCs/>
          <w:color w:val="auto"/>
          <w:szCs w:val="21"/>
          <w:highlight w:val="none"/>
          <w:u w:val="single"/>
        </w:rPr>
        <w:t>。</w:t>
      </w:r>
    </w:p>
    <w:p w14:paraId="678AC97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37.5                        修改类型：修改</w:t>
      </w:r>
    </w:p>
    <w:p w14:paraId="778C59D4">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bCs/>
          <w:color w:val="auto"/>
          <w:szCs w:val="21"/>
          <w:highlight w:val="none"/>
        </w:rPr>
        <w:t>37.5</w:t>
      </w:r>
      <w:r>
        <w:rPr>
          <w:rFonts w:hint="eastAsia" w:ascii="宋体" w:hAnsi="宋体" w:eastAsia="宋体" w:cs="宋体"/>
          <w:color w:val="auto"/>
          <w:szCs w:val="21"/>
          <w:highlight w:val="none"/>
        </w:rPr>
        <w:t>评标结束后，评标委员会递交评标报告并依法推荐中标候选人。</w:t>
      </w:r>
    </w:p>
    <w:p w14:paraId="3FBFDC01">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37.5</w:t>
      </w:r>
      <w:r>
        <w:rPr>
          <w:rFonts w:hint="eastAsia" w:ascii="宋体" w:hAnsi="宋体" w:eastAsia="宋体" w:cs="宋体"/>
          <w:color w:val="auto"/>
          <w:szCs w:val="21"/>
          <w:highlight w:val="none"/>
        </w:rPr>
        <w:t>评标结束后，评标委员会递交</w:t>
      </w:r>
      <w:r>
        <w:rPr>
          <w:rFonts w:hint="eastAsia" w:ascii="宋体" w:hAnsi="宋体" w:eastAsia="宋体" w:cs="宋体"/>
          <w:color w:val="auto"/>
          <w:szCs w:val="21"/>
          <w:highlight w:val="none"/>
          <w:u w:val="single"/>
        </w:rPr>
        <w:t>资格审查报告和</w:t>
      </w:r>
      <w:r>
        <w:rPr>
          <w:rFonts w:hint="eastAsia" w:ascii="宋体" w:hAnsi="宋体" w:eastAsia="宋体" w:cs="宋体"/>
          <w:color w:val="auto"/>
          <w:szCs w:val="21"/>
          <w:highlight w:val="none"/>
        </w:rPr>
        <w:t>评标报告并依法推荐</w:t>
      </w:r>
      <w:r>
        <w:rPr>
          <w:rFonts w:hint="eastAsia" w:ascii="宋体" w:hAnsi="宋体" w:eastAsia="宋体" w:cs="宋体"/>
          <w:color w:val="auto"/>
          <w:szCs w:val="21"/>
          <w:highlight w:val="none"/>
          <w:u w:val="single"/>
        </w:rPr>
        <w:t>合格</w:t>
      </w:r>
      <w:r>
        <w:rPr>
          <w:rFonts w:hint="eastAsia" w:ascii="宋体" w:hAnsi="宋体" w:eastAsia="宋体" w:cs="宋体"/>
          <w:color w:val="auto"/>
          <w:szCs w:val="21"/>
          <w:highlight w:val="none"/>
        </w:rPr>
        <w:t>中标候选人</w:t>
      </w:r>
      <w:r>
        <w:rPr>
          <w:rFonts w:hint="eastAsia" w:ascii="宋体" w:hAnsi="宋体" w:eastAsia="宋体" w:cs="宋体"/>
          <w:color w:val="auto"/>
          <w:szCs w:val="21"/>
          <w:highlight w:val="none"/>
          <w:u w:val="single"/>
        </w:rPr>
        <w:t>进入定标阶段</w:t>
      </w:r>
      <w:r>
        <w:rPr>
          <w:rFonts w:hint="eastAsia" w:ascii="宋体" w:hAnsi="宋体" w:eastAsia="宋体" w:cs="宋体"/>
          <w:color w:val="auto"/>
          <w:szCs w:val="21"/>
          <w:highlight w:val="none"/>
        </w:rPr>
        <w:t>。</w:t>
      </w:r>
    </w:p>
    <w:p w14:paraId="3D52ECE0">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38.1                        修改类型：修改</w:t>
      </w:r>
    </w:p>
    <w:p w14:paraId="2BAC4406">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76C920F4">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38.1为有助于投标文件的审查、评价和比较，评标期间，经评标委员会或评标委员会专业评审组中两人以上（含两人）</w:t>
      </w:r>
      <w:r>
        <w:rPr>
          <w:rFonts w:hint="eastAsia" w:ascii="宋体" w:hAnsi="宋体" w:eastAsia="宋体" w:cs="宋体"/>
          <w:color w:val="auto"/>
          <w:szCs w:val="21"/>
          <w:highlight w:val="none"/>
          <w:u w:val="single"/>
        </w:rPr>
        <w:t>的成员</w:t>
      </w:r>
      <w:r>
        <w:rPr>
          <w:rFonts w:hint="eastAsia" w:ascii="宋体" w:hAnsi="宋体" w:eastAsia="宋体" w:cs="宋体"/>
          <w:color w:val="auto"/>
          <w:szCs w:val="21"/>
          <w:highlight w:val="none"/>
        </w:rPr>
        <w:t>以书面形式提出动议，评标委员会或评标委员会专业评审组应当书面发出澄清通知，要求投标人对投标文件含义不明确</w:t>
      </w:r>
      <w:r>
        <w:rPr>
          <w:rFonts w:hint="eastAsia" w:ascii="宋体" w:hAnsi="宋体" w:eastAsia="宋体" w:cs="宋体"/>
          <w:color w:val="auto"/>
          <w:szCs w:val="21"/>
          <w:highlight w:val="none"/>
          <w:u w:val="single"/>
        </w:rPr>
        <w:t>、对同类问题表述不一致、有明显文字和计算错误的内容以及细微偏差</w:t>
      </w:r>
      <w:r>
        <w:rPr>
          <w:rFonts w:hint="eastAsia" w:ascii="宋体" w:hAnsi="宋体" w:eastAsia="宋体" w:cs="宋体"/>
          <w:color w:val="auto"/>
          <w:szCs w:val="21"/>
          <w:highlight w:val="none"/>
        </w:rPr>
        <w:t>的内容作出澄清。</w:t>
      </w:r>
    </w:p>
    <w:p w14:paraId="2252837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38.5                        </w:t>
      </w:r>
      <w:r>
        <w:rPr>
          <w:rFonts w:hint="eastAsia" w:ascii="宋体" w:hAnsi="宋体" w:eastAsia="宋体" w:cs="宋体"/>
          <w:b/>
          <w:color w:val="auto"/>
          <w:szCs w:val="21"/>
          <w:highlight w:val="none"/>
        </w:rPr>
        <w:t xml:space="preserve"> </w:t>
      </w:r>
      <w:r>
        <w:rPr>
          <w:rFonts w:ascii="宋体" w:hAnsi="宋体" w:eastAsia="宋体" w:cs="宋体"/>
          <w:b/>
          <w:color w:val="auto"/>
          <w:szCs w:val="21"/>
          <w:highlight w:val="none"/>
        </w:rPr>
        <w:t>修改类型：修改</w:t>
      </w:r>
    </w:p>
    <w:p w14:paraId="044F2C2A">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r>
        <w:rPr>
          <w:rFonts w:hint="eastAsia" w:ascii="宋体" w:hAnsi="宋体" w:eastAsia="宋体" w:cs="宋体"/>
          <w:color w:val="auto"/>
          <w:szCs w:val="21"/>
          <w:highlight w:val="none"/>
        </w:rPr>
        <w:t>。</w:t>
      </w:r>
    </w:p>
    <w:p w14:paraId="16B2BBE5">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38.5</w:t>
      </w:r>
      <w:r>
        <w:rPr>
          <w:rFonts w:hint="eastAsia" w:ascii="宋体" w:hAnsi="宋体" w:eastAsia="宋体" w:cs="宋体"/>
          <w:color w:val="auto"/>
          <w:szCs w:val="21"/>
          <w:highlight w:val="none"/>
        </w:rPr>
        <w:t>投标人如在本项目中存在串通投标、弄虚作假、行贿情形且在评标</w:t>
      </w:r>
      <w:r>
        <w:rPr>
          <w:rFonts w:hint="eastAsia" w:ascii="宋体" w:hAnsi="宋体" w:eastAsia="宋体" w:cs="宋体"/>
          <w:color w:val="auto"/>
          <w:szCs w:val="21"/>
          <w:highlight w:val="none"/>
          <w:u w:val="single"/>
        </w:rPr>
        <w:t>或定标</w:t>
      </w:r>
      <w:r>
        <w:rPr>
          <w:rFonts w:hint="eastAsia" w:ascii="宋体" w:hAnsi="宋体" w:eastAsia="宋体" w:cs="宋体"/>
          <w:color w:val="auto"/>
          <w:szCs w:val="21"/>
          <w:highlight w:val="none"/>
        </w:rPr>
        <w:t>过程中未被发现的，该投标不改变本项目评标结果排序，</w:t>
      </w:r>
      <w:r>
        <w:rPr>
          <w:rFonts w:hint="eastAsia" w:ascii="宋体" w:hAnsi="宋体" w:eastAsia="宋体" w:cs="宋体"/>
          <w:color w:val="auto"/>
          <w:szCs w:val="21"/>
          <w:highlight w:val="none"/>
          <w:u w:val="single"/>
        </w:rPr>
        <w:t>若在定标过程中被确定为中标人，其中标无效，招标人可从其他合格的中标候选人中采用原定标办法，由原定标委员会重新确定中标人，也可以重新招标。</w:t>
      </w:r>
    </w:p>
    <w:p w14:paraId="79297E57">
      <w:pPr>
        <w:spacing w:line="360" w:lineRule="auto"/>
        <w:ind w:firstLine="422" w:firstLineChars="200"/>
        <w:rPr>
          <w:rFonts w:ascii="宋体" w:hAnsi="宋体" w:eastAsia="宋体" w:cs="宋体"/>
          <w:color w:val="auto"/>
          <w:sz w:val="24"/>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39                          修改类型：修改</w:t>
      </w:r>
    </w:p>
    <w:p w14:paraId="3602E26E">
      <w:pPr>
        <w:spacing w:line="360" w:lineRule="auto"/>
        <w:ind w:firstLine="422" w:firstLineChars="200"/>
        <w:rPr>
          <w:rFonts w:ascii="宋体" w:hAnsi="宋体" w:eastAsia="宋体" w:cs="宋体"/>
          <w:b/>
          <w:bCs/>
          <w:color w:val="auto"/>
          <w:szCs w:val="21"/>
          <w:highlight w:val="none"/>
        </w:rPr>
      </w:pPr>
      <w:r>
        <w:rPr>
          <w:rFonts w:hint="eastAsia" w:ascii="宋体" w:hAnsi="宋体" w:eastAsia="宋体" w:cs="宋体"/>
          <w:b/>
          <w:bCs/>
          <w:color w:val="auto"/>
          <w:szCs w:val="21"/>
          <w:highlight w:val="none"/>
        </w:rPr>
        <w:t>原文：</w:t>
      </w:r>
      <w:r>
        <w:rPr>
          <w:rFonts w:ascii="宋体" w:hAnsi="宋体" w:eastAsia="宋体" w:cs="宋体"/>
          <w:color w:val="auto"/>
          <w:szCs w:val="21"/>
          <w:highlight w:val="none"/>
        </w:rPr>
        <w:t>39．定标</w:t>
      </w:r>
    </w:p>
    <w:p w14:paraId="60A6EC09">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39.1 </w:t>
      </w:r>
      <w:r>
        <w:rPr>
          <w:rFonts w:hint="eastAsia" w:ascii="宋体" w:hAnsi="宋体" w:eastAsia="宋体" w:cs="宋体"/>
          <w:color w:val="auto"/>
          <w:szCs w:val="21"/>
          <w:highlight w:val="none"/>
        </w:rPr>
        <w:t>招标人根据评标委员会递交的评标报告，最终审定中标人。</w:t>
      </w:r>
    </w:p>
    <w:p w14:paraId="0B2DE736">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39.2 </w:t>
      </w:r>
      <w:r>
        <w:rPr>
          <w:rFonts w:hint="eastAsia" w:ascii="宋体" w:hAnsi="宋体" w:eastAsia="宋体" w:cs="宋体"/>
          <w:color w:val="auto"/>
          <w:szCs w:val="21"/>
          <w:highlight w:val="none"/>
        </w:rPr>
        <w:t>依法必须进行公开招标的项目，招标人应当确定排名第一的中标候选人为中标人。</w:t>
      </w:r>
    </w:p>
    <w:p w14:paraId="34B6795E">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57B13BA3">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35759ECD">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39.5 </w:t>
      </w:r>
      <w:r>
        <w:rPr>
          <w:rFonts w:hint="eastAsia" w:ascii="宋体" w:hAnsi="宋体" w:eastAsia="宋体" w:cs="宋体"/>
          <w:color w:val="auto"/>
          <w:szCs w:val="21"/>
          <w:highlight w:val="none"/>
        </w:rPr>
        <w:t>重新评标的，评标信息（含业绩、奖项等）仍以投标截止时投标人的信息为准。因特殊原因需要延长投标有效期，投标人拒绝延长投标有效期的，仍参与评标，但不被推荐为中标候选人。</w:t>
      </w:r>
    </w:p>
    <w:p w14:paraId="49CB310B">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39.</w:t>
      </w:r>
      <w:r>
        <w:rPr>
          <w:rFonts w:hint="eastAsia" w:ascii="宋体" w:hAnsi="宋体" w:eastAsia="宋体" w:cs="宋体"/>
          <w:color w:val="auto"/>
          <w:szCs w:val="21"/>
          <w:highlight w:val="none"/>
          <w:u w:val="single"/>
        </w:rPr>
        <w:t>定标详细规定条款详见本章</w:t>
      </w:r>
      <w:r>
        <w:rPr>
          <w:rFonts w:ascii="宋体" w:hAnsi="宋体" w:eastAsia="宋体" w:cs="宋体"/>
          <w:color w:val="auto"/>
          <w:szCs w:val="21"/>
          <w:highlight w:val="none"/>
          <w:u w:val="single"/>
        </w:rPr>
        <w:t>43.定标</w:t>
      </w:r>
      <w:r>
        <w:rPr>
          <w:rFonts w:hint="eastAsia" w:ascii="宋体" w:hAnsi="宋体"/>
          <w:b/>
          <w:color w:val="auto"/>
          <w:szCs w:val="21"/>
          <w:highlight w:val="none"/>
          <w:u w:val="single"/>
        </w:rPr>
        <w:t>详细规定</w:t>
      </w:r>
      <w:r>
        <w:rPr>
          <w:rFonts w:hint="eastAsia" w:ascii="宋体" w:hAnsi="宋体" w:eastAsia="宋体" w:cs="宋体"/>
          <w:bCs/>
          <w:color w:val="auto"/>
          <w:szCs w:val="21"/>
          <w:highlight w:val="none"/>
          <w:u w:val="single"/>
        </w:rPr>
        <w:t>。</w:t>
      </w:r>
    </w:p>
    <w:p w14:paraId="3ADF3EF2">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b/>
          <w:bCs/>
          <w:color w:val="auto"/>
          <w:szCs w:val="21"/>
          <w:highlight w:val="none"/>
        </w:rPr>
        <w:t>（二）开标评标办法程序和细则</w:t>
      </w:r>
      <w:r>
        <w:rPr>
          <w:rFonts w:ascii="宋体" w:hAnsi="宋体" w:eastAsia="宋体" w:cs="宋体"/>
          <w:b/>
          <w:bCs/>
          <w:color w:val="auto"/>
          <w:szCs w:val="21"/>
          <w:highlight w:val="none"/>
        </w:rPr>
        <w:t xml:space="preserve">         </w:t>
      </w:r>
      <w:r>
        <w:rPr>
          <w:rFonts w:hint="eastAsia" w:ascii="宋体" w:hAnsi="宋体" w:eastAsia="宋体" w:cs="宋体"/>
          <w:b/>
          <w:bCs/>
          <w:color w:val="auto"/>
          <w:szCs w:val="21"/>
          <w:highlight w:val="none"/>
        </w:rPr>
        <w:t xml:space="preserve">                    注：</w:t>
      </w:r>
      <w:r>
        <w:rPr>
          <w:rFonts w:hint="eastAsia" w:ascii="宋体" w:hAnsi="宋体" w:eastAsia="宋体" w:cs="宋体"/>
          <w:b/>
          <w:color w:val="auto"/>
          <w:szCs w:val="21"/>
          <w:highlight w:val="none"/>
        </w:rPr>
        <w:t>修改类型：修改</w:t>
      </w:r>
    </w:p>
    <w:p w14:paraId="6CEE4D40">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bCs/>
          <w:color w:val="auto"/>
          <w:szCs w:val="21"/>
          <w:highlight w:val="none"/>
        </w:rPr>
        <w:t>原文：</w:t>
      </w:r>
      <w:r>
        <w:rPr>
          <w:rFonts w:hint="eastAsia" w:ascii="宋体" w:hAnsi="宋体" w:eastAsia="宋体" w:cs="宋体"/>
          <w:color w:val="auto"/>
          <w:szCs w:val="21"/>
          <w:highlight w:val="none"/>
        </w:rPr>
        <w:t>（二）开标评标办法程序和细则</w:t>
      </w:r>
    </w:p>
    <w:p w14:paraId="3104784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注：以下八种评标办法所述企业综合诚信评价分数即投标截止当日广州市工程招标代理行业协会网站上公布的企业综合诚信评价</w:t>
      </w:r>
      <w:r>
        <w:rPr>
          <w:rFonts w:ascii="宋体" w:hAnsi="宋体" w:eastAsia="宋体" w:cs="宋体"/>
          <w:color w:val="auto"/>
          <w:szCs w:val="21"/>
          <w:highlight w:val="none"/>
        </w:rPr>
        <w:t>60日诚信分。</w:t>
      </w:r>
    </w:p>
    <w:p w14:paraId="25E08404">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（二）开标评标办法程序和细则</w:t>
      </w:r>
    </w:p>
    <w:p w14:paraId="52B70075">
      <w:pPr>
        <w:pBdr>
          <w:bottom w:val="single" w:color="auto" w:sz="6" w:space="1"/>
        </w:pBdr>
        <w:spacing w:line="360" w:lineRule="auto"/>
        <w:ind w:firstLine="420" w:firstLineChars="200"/>
        <w:rPr>
          <w:rFonts w:ascii="宋体" w:hAnsi="宋体" w:eastAsia="宋体" w:cs="宋体"/>
          <w:color w:val="auto"/>
          <w:szCs w:val="21"/>
          <w:highlight w:val="none"/>
        </w:rPr>
      </w:pPr>
      <w:r>
        <w:rPr>
          <w:rFonts w:hint="eastAsia" w:ascii="宋体" w:hAnsi="宋体" w:eastAsia="宋体" w:cs="宋体"/>
          <w:strike/>
          <w:color w:val="auto"/>
          <w:szCs w:val="21"/>
          <w:highlight w:val="none"/>
        </w:rPr>
        <w:t>注：以下八种评标办法所述企业综合诚信评价分数即投标截止当日广州市工程招标代理行业协会网站上公布的企业综合诚信评价</w:t>
      </w:r>
      <w:r>
        <w:rPr>
          <w:rFonts w:ascii="宋体" w:hAnsi="宋体" w:eastAsia="宋体" w:cs="宋体"/>
          <w:strike/>
          <w:color w:val="auto"/>
          <w:szCs w:val="21"/>
          <w:highlight w:val="none"/>
        </w:rPr>
        <w:t>60日诚信分。</w:t>
      </w:r>
    </w:p>
    <w:p w14:paraId="4A1551B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 xml:space="preserve">可选办法一（适合综合评分法一，技术标与经济标先后分别开启）   </w:t>
      </w:r>
      <w:r>
        <w:rPr>
          <w:rFonts w:hint="eastAsia" w:ascii="宋体" w:hAnsi="宋体" w:eastAsia="宋体" w:cs="宋体"/>
          <w:b/>
          <w:color w:val="auto"/>
          <w:szCs w:val="21"/>
          <w:highlight w:val="none"/>
        </w:rPr>
        <w:t>修改类型：删除</w:t>
      </w:r>
    </w:p>
    <w:p w14:paraId="4DF98EF3">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Cs/>
          <w:color w:val="auto"/>
          <w:szCs w:val="21"/>
          <w:highlight w:val="none"/>
        </w:rPr>
        <w:t>GZZB2018-3</w:t>
      </w:r>
      <w:r>
        <w:rPr>
          <w:rFonts w:hint="eastAsia" w:ascii="宋体" w:hAnsi="宋体" w:eastAsia="宋体" w:cs="宋体"/>
          <w:color w:val="auto"/>
          <w:szCs w:val="21"/>
          <w:highlight w:val="none"/>
        </w:rPr>
        <w:t>。</w:t>
      </w:r>
    </w:p>
    <w:p w14:paraId="3680F24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 xml:space="preserve">可选办法二（适合综合评分法一，技术标与经济标同时开启）       </w:t>
      </w:r>
      <w:r>
        <w:rPr>
          <w:rFonts w:hint="eastAsia" w:ascii="宋体" w:hAnsi="宋体" w:eastAsia="宋体" w:cs="宋体"/>
          <w:b/>
          <w:color w:val="auto"/>
          <w:szCs w:val="21"/>
          <w:highlight w:val="none"/>
        </w:rPr>
        <w:t>修改类型：删除</w:t>
      </w:r>
    </w:p>
    <w:p w14:paraId="6D315D59">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Cs/>
          <w:color w:val="auto"/>
          <w:szCs w:val="21"/>
          <w:highlight w:val="none"/>
        </w:rPr>
        <w:t>GZZB2018-3</w:t>
      </w:r>
      <w:r>
        <w:rPr>
          <w:rFonts w:hint="eastAsia" w:ascii="宋体" w:hAnsi="宋体" w:eastAsia="宋体" w:cs="宋体"/>
          <w:color w:val="auto"/>
          <w:szCs w:val="21"/>
          <w:highlight w:val="none"/>
        </w:rPr>
        <w:t>。</w:t>
      </w:r>
    </w:p>
    <w:p w14:paraId="2961733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 xml:space="preserve">可选办法三（适合综合评分法二，技术标与经济标先后分别开启）   </w:t>
      </w:r>
      <w:r>
        <w:rPr>
          <w:rFonts w:hint="eastAsia" w:ascii="宋体" w:hAnsi="宋体" w:eastAsia="宋体" w:cs="宋体"/>
          <w:b/>
          <w:color w:val="auto"/>
          <w:szCs w:val="21"/>
          <w:highlight w:val="none"/>
        </w:rPr>
        <w:t>修改类型：删除</w:t>
      </w:r>
    </w:p>
    <w:p w14:paraId="4F8BE186">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Cs/>
          <w:color w:val="auto"/>
          <w:szCs w:val="21"/>
          <w:highlight w:val="none"/>
        </w:rPr>
        <w:t>GZZB2018-3</w:t>
      </w:r>
      <w:r>
        <w:rPr>
          <w:rFonts w:hint="eastAsia" w:ascii="宋体" w:hAnsi="宋体" w:eastAsia="宋体" w:cs="宋体"/>
          <w:color w:val="auto"/>
          <w:szCs w:val="21"/>
          <w:highlight w:val="none"/>
        </w:rPr>
        <w:t>。</w:t>
      </w:r>
    </w:p>
    <w:p w14:paraId="0C650E3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 xml:space="preserve">可选办法四（适合综合评分法二，技术标与经济标同时开启）       </w:t>
      </w:r>
      <w:r>
        <w:rPr>
          <w:rFonts w:hint="eastAsia" w:ascii="宋体" w:hAnsi="宋体" w:eastAsia="宋体" w:cs="宋体"/>
          <w:b/>
          <w:color w:val="auto"/>
          <w:szCs w:val="21"/>
          <w:highlight w:val="none"/>
        </w:rPr>
        <w:t>修改类型：删除</w:t>
      </w:r>
    </w:p>
    <w:p w14:paraId="216099A3">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Cs/>
          <w:color w:val="auto"/>
          <w:szCs w:val="21"/>
          <w:highlight w:val="none"/>
        </w:rPr>
        <w:t>GZZB2018-3</w:t>
      </w:r>
      <w:r>
        <w:rPr>
          <w:rFonts w:hint="eastAsia" w:ascii="宋体" w:hAnsi="宋体" w:eastAsia="宋体" w:cs="宋体"/>
          <w:color w:val="auto"/>
          <w:szCs w:val="21"/>
          <w:highlight w:val="none"/>
        </w:rPr>
        <w:t>。</w:t>
      </w:r>
    </w:p>
    <w:p w14:paraId="13904F9E">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 xml:space="preserve">可选办法五（适合综合评分法三，技术标与经济标先后分别开启）   </w:t>
      </w:r>
      <w:r>
        <w:rPr>
          <w:rFonts w:hint="eastAsia" w:ascii="宋体" w:hAnsi="宋体" w:eastAsia="宋体" w:cs="宋体"/>
          <w:b/>
          <w:color w:val="auto"/>
          <w:szCs w:val="21"/>
          <w:highlight w:val="none"/>
        </w:rPr>
        <w:t>修改类型：删除</w:t>
      </w:r>
    </w:p>
    <w:p w14:paraId="7C653720">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Cs/>
          <w:color w:val="auto"/>
          <w:szCs w:val="21"/>
          <w:highlight w:val="none"/>
        </w:rPr>
        <w:t>GZZB2018-3</w:t>
      </w:r>
      <w:r>
        <w:rPr>
          <w:rFonts w:hint="eastAsia" w:ascii="宋体" w:hAnsi="宋体" w:eastAsia="宋体" w:cs="宋体"/>
          <w:color w:val="auto"/>
          <w:szCs w:val="21"/>
          <w:highlight w:val="none"/>
        </w:rPr>
        <w:t>。</w:t>
      </w:r>
    </w:p>
    <w:p w14:paraId="6007DBA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 xml:space="preserve">可选办法六（适合综合评分法三，技术标与经济标同时开启）       </w:t>
      </w:r>
      <w:r>
        <w:rPr>
          <w:rFonts w:hint="eastAsia" w:ascii="宋体" w:hAnsi="宋体" w:eastAsia="宋体" w:cs="宋体"/>
          <w:b/>
          <w:color w:val="auto"/>
          <w:szCs w:val="21"/>
          <w:highlight w:val="none"/>
        </w:rPr>
        <w:t>修改类型：删除</w:t>
      </w:r>
    </w:p>
    <w:p w14:paraId="3115CCEA">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Cs/>
          <w:color w:val="auto"/>
          <w:szCs w:val="21"/>
          <w:highlight w:val="none"/>
        </w:rPr>
        <w:t>GZZB2018-3</w:t>
      </w:r>
      <w:r>
        <w:rPr>
          <w:rFonts w:hint="eastAsia" w:ascii="宋体" w:hAnsi="宋体" w:eastAsia="宋体" w:cs="宋体"/>
          <w:color w:val="auto"/>
          <w:szCs w:val="21"/>
          <w:highlight w:val="none"/>
        </w:rPr>
        <w:t>。</w:t>
      </w:r>
    </w:p>
    <w:p w14:paraId="7BF2C69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 xml:space="preserve">可选办法七（适合综合评分法四，技术标与经济标同时开启）       </w:t>
      </w:r>
      <w:r>
        <w:rPr>
          <w:rFonts w:hint="eastAsia" w:ascii="宋体" w:hAnsi="宋体" w:eastAsia="宋体" w:cs="宋体"/>
          <w:b/>
          <w:color w:val="auto"/>
          <w:szCs w:val="21"/>
          <w:highlight w:val="none"/>
        </w:rPr>
        <w:t>修改类型：删除</w:t>
      </w:r>
    </w:p>
    <w:p w14:paraId="09FB021A">
      <w:pPr>
        <w:pBdr>
          <w:bottom w:val="single" w:color="auto" w:sz="6" w:space="1"/>
        </w:pBdr>
        <w:spacing w:line="360" w:lineRule="auto"/>
        <w:ind w:firstLine="422" w:firstLineChars="200"/>
        <w:rPr>
          <w:rFonts w:ascii="宋体" w:hAnsi="宋体" w:eastAsia="宋体" w:cs="宋体"/>
          <w:bCs/>
          <w:color w:val="auto"/>
          <w:szCs w:val="21"/>
          <w:highlight w:val="none"/>
          <w:u w:val="singl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Cs/>
          <w:color w:val="auto"/>
          <w:szCs w:val="21"/>
          <w:highlight w:val="none"/>
        </w:rPr>
        <w:t>GZZB2018-3</w:t>
      </w:r>
    </w:p>
    <w:p w14:paraId="44750812">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条款号：</w:t>
      </w:r>
      <w:r>
        <w:rPr>
          <w:rFonts w:hint="eastAsia" w:ascii="宋体" w:hAnsi="宋体" w:eastAsia="宋体" w:cs="宋体"/>
          <w:color w:val="auto"/>
          <w:szCs w:val="21"/>
          <w:highlight w:val="none"/>
        </w:rPr>
        <w:t>可选办法八（适合经评审的最低投标价法，技术标与经济标同时开启）</w:t>
      </w:r>
    </w:p>
    <w:p w14:paraId="434D71A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修改类型：修改</w:t>
      </w:r>
    </w:p>
    <w:p w14:paraId="085AFBAB">
      <w:pPr>
        <w:pBdr>
          <w:bottom w:val="single" w:color="auto" w:sz="6" w:space="1"/>
        </w:pBd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color w:val="auto"/>
          <w:szCs w:val="21"/>
          <w:highlight w:val="none"/>
        </w:rPr>
        <w:t>详见</w:t>
      </w:r>
      <w:r>
        <w:rPr>
          <w:rFonts w:hint="eastAsia" w:ascii="宋体" w:hAnsi="宋体" w:eastAsia="宋体" w:cs="宋体"/>
          <w:bCs/>
          <w:color w:val="auto"/>
          <w:szCs w:val="21"/>
          <w:highlight w:val="none"/>
        </w:rPr>
        <w:t>最新版广州市建设工程施工公开招标项目招标文件范本（适用于资格后审综合评分法、经评审的最低投标价法的施工电子招标项目）</w:t>
      </w:r>
      <w:r>
        <w:rPr>
          <w:rFonts w:ascii="宋体" w:hAnsi="宋体" w:eastAsia="宋体" w:cs="宋体"/>
          <w:bCs/>
          <w:color w:val="auto"/>
          <w:szCs w:val="21"/>
          <w:highlight w:val="none"/>
        </w:rPr>
        <w:t>GZZB2018-3</w:t>
      </w:r>
    </w:p>
    <w:p w14:paraId="793F6566">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bCs/>
          <w:color w:val="auto"/>
          <w:szCs w:val="21"/>
          <w:highlight w:val="none"/>
          <w:u w:val="single"/>
        </w:rPr>
        <w:t>评定分离评标定标办法</w:t>
      </w:r>
      <w:r>
        <w:rPr>
          <w:rFonts w:hint="eastAsia" w:ascii="宋体" w:hAnsi="宋体" w:eastAsia="宋体" w:cs="宋体"/>
          <w:color w:val="auto"/>
          <w:szCs w:val="21"/>
          <w:highlight w:val="none"/>
        </w:rPr>
        <w:t>。</w:t>
      </w:r>
    </w:p>
    <w:p w14:paraId="5D87A3A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40                          修改类型：修改</w:t>
      </w:r>
    </w:p>
    <w:p w14:paraId="7FF105D2">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40.开标和评标程序</w:t>
      </w:r>
    </w:p>
    <w:p w14:paraId="00A9C633">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40.1投标人递交技术标、经济标投标文件；</w:t>
      </w:r>
    </w:p>
    <w:p w14:paraId="7D9FFF2C">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40.2技术标与经济标投标文件同时公开开标；</w:t>
      </w:r>
    </w:p>
    <w:p w14:paraId="21DA0095">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40.3由评标委员会对所有已公开开标的投标人进行资格审查；</w:t>
      </w:r>
    </w:p>
    <w:p w14:paraId="22FD437C">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40.4技术标投标文件有效性审查；</w:t>
      </w:r>
    </w:p>
    <w:p w14:paraId="3407D6AB">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40.5对经济标投标报价进行算术校核；</w:t>
      </w:r>
    </w:p>
    <w:p w14:paraId="08135A62">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40.6计算投标人总得分，并按总得分从高到低，确定经济标评审排序；</w:t>
      </w:r>
    </w:p>
    <w:p w14:paraId="24B5B129">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40.7按排序对经济标投标文件进行有效性审查，直至评出所有中标候选人；</w:t>
      </w:r>
    </w:p>
    <w:p w14:paraId="2680BFE9">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40.8评标委员会编写经济标评审报告，向招标人推荐中标候选人。</w:t>
      </w:r>
    </w:p>
    <w:p w14:paraId="200F4547">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40.开标和评标程序：</w:t>
      </w:r>
    </w:p>
    <w:p w14:paraId="3C3AF249">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40.1投标人递交技术标</w:t>
      </w:r>
      <w:r>
        <w:rPr>
          <w:rFonts w:hint="eastAsia" w:ascii="宋体" w:hAnsi="宋体" w:eastAsia="宋体" w:cs="宋体"/>
          <w:bCs/>
          <w:color w:val="auto"/>
          <w:szCs w:val="21"/>
          <w:highlight w:val="none"/>
          <w:u w:val="single"/>
        </w:rPr>
        <w:t>（含资格审查文件）投标文件</w:t>
      </w:r>
      <w:r>
        <w:rPr>
          <w:rFonts w:ascii="宋体" w:hAnsi="宋体" w:eastAsia="宋体" w:cs="宋体"/>
          <w:bCs/>
          <w:color w:val="auto"/>
          <w:szCs w:val="21"/>
          <w:highlight w:val="none"/>
        </w:rPr>
        <w:t>、经济标投标文件</w:t>
      </w:r>
      <w:r>
        <w:rPr>
          <w:rFonts w:hint="eastAsia" w:ascii="宋体" w:hAnsi="宋体" w:eastAsia="宋体" w:cs="宋体"/>
          <w:bCs/>
          <w:color w:val="auto"/>
          <w:szCs w:val="21"/>
          <w:highlight w:val="none"/>
          <w:u w:val="single"/>
        </w:rPr>
        <w:t>和定标文件</w:t>
      </w:r>
      <w:r>
        <w:rPr>
          <w:rFonts w:ascii="宋体" w:hAnsi="宋体" w:eastAsia="宋体" w:cs="宋体"/>
          <w:bCs/>
          <w:color w:val="auto"/>
          <w:szCs w:val="21"/>
          <w:highlight w:val="none"/>
        </w:rPr>
        <w:t>；</w:t>
      </w:r>
    </w:p>
    <w:p w14:paraId="3EFD8948">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40.2</w:t>
      </w:r>
      <w:r>
        <w:rPr>
          <w:rFonts w:hint="eastAsia" w:ascii="宋体" w:hAnsi="宋体" w:eastAsia="宋体" w:cs="宋体"/>
          <w:bCs/>
          <w:color w:val="auto"/>
          <w:szCs w:val="21"/>
          <w:highlight w:val="none"/>
        </w:rPr>
        <w:t>技术标</w:t>
      </w:r>
      <w:r>
        <w:rPr>
          <w:rFonts w:hint="eastAsia" w:ascii="宋体" w:hAnsi="宋体" w:eastAsia="宋体" w:cs="宋体"/>
          <w:bCs/>
          <w:color w:val="auto"/>
          <w:szCs w:val="21"/>
          <w:highlight w:val="none"/>
          <w:u w:val="single"/>
        </w:rPr>
        <w:t>（含资格审查文件）</w:t>
      </w:r>
      <w:r>
        <w:rPr>
          <w:rFonts w:hint="eastAsia" w:ascii="宋体" w:hAnsi="宋体" w:eastAsia="宋体" w:cs="宋体"/>
          <w:bCs/>
          <w:color w:val="auto"/>
          <w:szCs w:val="21"/>
          <w:highlight w:val="none"/>
        </w:rPr>
        <w:t>与经济标投标文件同时公开开标；</w:t>
      </w:r>
    </w:p>
    <w:p w14:paraId="78522132">
      <w:pP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40.3</w:t>
      </w:r>
      <w:r>
        <w:rPr>
          <w:rFonts w:hint="eastAsia" w:ascii="宋体" w:hAnsi="宋体" w:eastAsia="宋体" w:cs="宋体"/>
          <w:bCs/>
          <w:color w:val="auto"/>
          <w:szCs w:val="21"/>
          <w:highlight w:val="none"/>
        </w:rPr>
        <w:t>由评标委员会对所有已公开开标的投标人进行资格审查</w:t>
      </w:r>
      <w:r>
        <w:rPr>
          <w:rFonts w:hint="eastAsia" w:ascii="宋体" w:hAnsi="宋体" w:eastAsia="宋体" w:cs="宋体"/>
          <w:bCs/>
          <w:color w:val="auto"/>
          <w:szCs w:val="21"/>
          <w:highlight w:val="none"/>
          <w:u w:val="single"/>
        </w:rPr>
        <w:t>，并编写资格审查报告</w:t>
      </w:r>
      <w:r>
        <w:rPr>
          <w:rFonts w:hint="eastAsia" w:ascii="宋体" w:hAnsi="宋体" w:eastAsia="宋体" w:cs="宋体"/>
          <w:bCs/>
          <w:color w:val="auto"/>
          <w:szCs w:val="21"/>
          <w:highlight w:val="none"/>
        </w:rPr>
        <w:t>；</w:t>
      </w:r>
    </w:p>
    <w:p w14:paraId="022B158F">
      <w:pPr>
        <w:pBdr>
          <w:bottom w:val="single" w:color="auto" w:sz="6" w:space="1"/>
        </w:pBd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40.4技术标投标文件有效性审查；</w:t>
      </w:r>
    </w:p>
    <w:p w14:paraId="6CBA8BFB">
      <w:pPr>
        <w:pBdr>
          <w:bottom w:val="single" w:color="auto" w:sz="6" w:space="1"/>
        </w:pBd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40.5对经济标投标报价进行算术校核；</w:t>
      </w:r>
    </w:p>
    <w:p w14:paraId="5C3C73D0">
      <w:pPr>
        <w:pBdr>
          <w:bottom w:val="single" w:color="auto" w:sz="6" w:space="1"/>
        </w:pBd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40.6</w:t>
      </w:r>
      <w:r>
        <w:rPr>
          <w:rFonts w:hint="eastAsia" w:ascii="宋体" w:hAnsi="宋体" w:cs="宋体"/>
          <w:bCs/>
          <w:color w:val="auto"/>
          <w:szCs w:val="21"/>
          <w:highlight w:val="none"/>
          <w:u w:val="single"/>
        </w:rPr>
        <w:t>对</w:t>
      </w:r>
      <w:r>
        <w:rPr>
          <w:rFonts w:hint="eastAsia" w:ascii="宋体" w:hAnsi="宋体" w:cs="宋体"/>
          <w:bCs/>
          <w:color w:val="auto"/>
          <w:szCs w:val="21"/>
          <w:highlight w:val="none"/>
          <w:u w:val="single"/>
        </w:rPr>
        <w:t>通过有效性审查的</w:t>
      </w:r>
      <w:r>
        <w:rPr>
          <w:rFonts w:hint="eastAsia" w:ascii="宋体" w:hAnsi="宋体" w:cs="宋体"/>
          <w:bCs/>
          <w:color w:val="auto"/>
          <w:szCs w:val="21"/>
          <w:highlight w:val="none"/>
          <w:u w:val="single"/>
        </w:rPr>
        <w:t>经济标投标报价按量化因素进行折算</w:t>
      </w:r>
      <w:r>
        <w:rPr>
          <w:rFonts w:hint="eastAsia" w:ascii="宋体" w:hAnsi="宋体" w:cs="宋体"/>
          <w:bCs/>
          <w:color w:val="auto"/>
          <w:szCs w:val="21"/>
          <w:highlight w:val="none"/>
          <w:u w:val="single"/>
        </w:rPr>
        <w:t>（折算规则详见招标文件第二章附表《投标报价折算标准表》），得到各投标人经评审的投标报价。以所有经评审的投标报价中金额最小的投标报价作为经评审的最低投标价，并以经评审的最低投标价作为推荐合格中标候选人的依据</w:t>
      </w:r>
      <w:r>
        <w:rPr>
          <w:rFonts w:hint="eastAsia" w:ascii="宋体" w:hAnsi="宋体" w:cs="宋体"/>
          <w:bCs/>
          <w:color w:val="auto"/>
          <w:szCs w:val="21"/>
          <w:highlight w:val="none"/>
          <w:u w:val="single"/>
        </w:rPr>
        <w:t>，按经评审的投标报价从低到高进行排序</w:t>
      </w:r>
      <w:r>
        <w:rPr>
          <w:rFonts w:ascii="宋体" w:hAnsi="宋体" w:eastAsia="宋体" w:cs="宋体"/>
          <w:bCs/>
          <w:color w:val="auto"/>
          <w:szCs w:val="21"/>
          <w:highlight w:val="none"/>
        </w:rPr>
        <w:t>；</w:t>
      </w:r>
    </w:p>
    <w:p w14:paraId="539ECF4B">
      <w:pPr>
        <w:pBdr>
          <w:bottom w:val="single" w:color="auto" w:sz="6" w:space="1"/>
        </w:pBdr>
        <w:spacing w:line="360" w:lineRule="auto"/>
        <w:ind w:firstLine="420" w:firstLineChars="200"/>
        <w:rPr>
          <w:rFonts w:ascii="宋体" w:hAnsi="宋体" w:eastAsia="宋体" w:cs="宋体"/>
          <w:bCs/>
          <w:color w:val="auto"/>
          <w:szCs w:val="21"/>
          <w:highlight w:val="none"/>
        </w:rPr>
      </w:pPr>
      <w:r>
        <w:rPr>
          <w:rFonts w:ascii="宋体" w:hAnsi="宋体" w:eastAsia="宋体" w:cs="宋体"/>
          <w:bCs/>
          <w:color w:val="auto"/>
          <w:szCs w:val="21"/>
          <w:highlight w:val="none"/>
        </w:rPr>
        <w:t>40.7按排序对经济标投标文件进行有效性审查</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u w:val="single"/>
        </w:rPr>
        <w:t>按招标文件第一章投标须知前附表第</w:t>
      </w:r>
      <w:r>
        <w:rPr>
          <w:rFonts w:ascii="宋体" w:hAnsi="宋体" w:eastAsia="宋体" w:cs="宋体"/>
          <w:bCs/>
          <w:color w:val="auto"/>
          <w:szCs w:val="21"/>
          <w:highlight w:val="none"/>
          <w:u w:val="single"/>
        </w:rPr>
        <w:t>19项规定确定合格</w:t>
      </w:r>
      <w:r>
        <w:rPr>
          <w:rFonts w:hint="eastAsia" w:ascii="宋体" w:hAnsi="宋体" w:eastAsia="宋体" w:cs="宋体"/>
          <w:bCs/>
          <w:color w:val="auto"/>
          <w:szCs w:val="21"/>
          <w:highlight w:val="none"/>
        </w:rPr>
        <w:t>中标候选人</w:t>
      </w:r>
      <w:r>
        <w:rPr>
          <w:rFonts w:ascii="宋体" w:hAnsi="宋体" w:eastAsia="宋体" w:cs="宋体"/>
          <w:bCs/>
          <w:color w:val="auto"/>
          <w:szCs w:val="21"/>
          <w:highlight w:val="none"/>
        </w:rPr>
        <w:t>；</w:t>
      </w:r>
    </w:p>
    <w:p w14:paraId="6EED6128">
      <w:pPr>
        <w:pBdr>
          <w:bottom w:val="single" w:color="auto" w:sz="6" w:space="1"/>
        </w:pBdr>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Cs w:val="21"/>
          <w:highlight w:val="none"/>
        </w:rPr>
        <w:t>40.8评标委员会编写</w:t>
      </w:r>
      <w:r>
        <w:rPr>
          <w:rFonts w:ascii="宋体" w:hAnsi="宋体" w:eastAsia="宋体" w:cs="宋体"/>
          <w:bCs/>
          <w:color w:val="auto"/>
          <w:szCs w:val="21"/>
          <w:highlight w:val="none"/>
          <w:u w:val="single"/>
        </w:rPr>
        <w:t>评标报告</w:t>
      </w:r>
      <w:r>
        <w:rPr>
          <w:rFonts w:ascii="宋体" w:hAnsi="宋体" w:eastAsia="宋体" w:cs="宋体"/>
          <w:bCs/>
          <w:color w:val="auto"/>
          <w:szCs w:val="21"/>
          <w:highlight w:val="none"/>
        </w:rPr>
        <w:t>，向招标人</w:t>
      </w:r>
      <w:r>
        <w:rPr>
          <w:rFonts w:ascii="宋体" w:hAnsi="宋体" w:eastAsia="宋体" w:cs="宋体"/>
          <w:color w:val="auto"/>
          <w:szCs w:val="22"/>
          <w:highlight w:val="none"/>
        </w:rPr>
        <w:t>推荐</w:t>
      </w:r>
      <w:r>
        <w:rPr>
          <w:rFonts w:ascii="宋体" w:hAnsi="宋体" w:eastAsia="宋体" w:cs="宋体"/>
          <w:color w:val="auto"/>
          <w:szCs w:val="22"/>
          <w:highlight w:val="none"/>
          <w:u w:val="single"/>
        </w:rPr>
        <w:t>合格</w:t>
      </w:r>
      <w:r>
        <w:rPr>
          <w:rFonts w:ascii="宋体" w:hAnsi="宋体" w:eastAsia="宋体" w:cs="宋体"/>
          <w:color w:val="auto"/>
          <w:szCs w:val="22"/>
          <w:highlight w:val="none"/>
        </w:rPr>
        <w:t>中标候选人</w:t>
      </w:r>
      <w:r>
        <w:rPr>
          <w:rFonts w:hint="eastAsia" w:ascii="宋体" w:hAnsi="宋体"/>
          <w:bCs/>
          <w:color w:val="auto"/>
          <w:szCs w:val="21"/>
          <w:highlight w:val="none"/>
          <w:u w:val="single"/>
        </w:rPr>
        <w:t>进入定标阶段</w:t>
      </w:r>
      <w:r>
        <w:rPr>
          <w:rFonts w:hint="eastAsia" w:ascii="宋体" w:hAnsi="宋体" w:eastAsia="宋体" w:cs="宋体"/>
          <w:bCs/>
          <w:color w:val="auto"/>
          <w:szCs w:val="21"/>
          <w:highlight w:val="none"/>
        </w:rPr>
        <w:t>。</w:t>
      </w:r>
      <w:r>
        <w:rPr>
          <w:rFonts w:hint="eastAsia" w:ascii="宋体" w:hAnsi="宋体"/>
          <w:bCs/>
          <w:color w:val="auto"/>
          <w:szCs w:val="21"/>
          <w:highlight w:val="none"/>
          <w:u w:val="single"/>
        </w:rPr>
        <w:t>合格中标候选人不排序，按统一社会信用代码后4位（除校验码外）大小排位，如统一社会信用代码后4位出现字母情况的，字母以“0”进行代替大小排位；如出现后4位（除校验码外）大小一致的，则随机排位。</w:t>
      </w:r>
    </w:p>
    <w:p w14:paraId="5BB2412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41.1                        修改类型：修改</w:t>
      </w:r>
    </w:p>
    <w:p w14:paraId="4F667192">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41.1开标由招标人主持；</w:t>
      </w:r>
    </w:p>
    <w:p w14:paraId="40612D4E">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41.1开标由招标人</w:t>
      </w:r>
      <w:r>
        <w:rPr>
          <w:rFonts w:hint="eastAsia" w:ascii="宋体" w:hAnsi="宋体" w:eastAsia="宋体" w:cs="宋体"/>
          <w:color w:val="auto"/>
          <w:szCs w:val="21"/>
          <w:highlight w:val="none"/>
          <w:u w:val="single"/>
        </w:rPr>
        <w:t>或招标代理</w:t>
      </w:r>
      <w:r>
        <w:rPr>
          <w:rFonts w:hint="eastAsia" w:ascii="宋体" w:hAnsi="宋体" w:eastAsia="宋体" w:cs="宋体"/>
          <w:color w:val="auto"/>
          <w:szCs w:val="21"/>
          <w:highlight w:val="none"/>
        </w:rPr>
        <w:t>主持；</w:t>
      </w:r>
    </w:p>
    <w:p w14:paraId="31256EA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41.2.1                      修改类型：修改</w:t>
      </w:r>
    </w:p>
    <w:p w14:paraId="4BCCDA4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41.2.1投标截止期前，各投标人递交投标文件（包括技术标投标文件、经济标投标文件）至</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交易平台。有关投标文件提交的事项详见第一章投标须知。</w:t>
      </w:r>
    </w:p>
    <w:p w14:paraId="051D778D">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41.2.1投标截止期前，各投标人递交投标文件</w:t>
      </w:r>
      <w:r>
        <w:rPr>
          <w:rFonts w:ascii="宋体" w:hAnsi="宋体" w:eastAsia="宋体" w:cs="宋体"/>
          <w:color w:val="auto"/>
          <w:szCs w:val="21"/>
          <w:highlight w:val="none"/>
          <w:u w:val="single"/>
        </w:rPr>
        <w:t>[包括技术标投标文件（含资格审查文件）</w:t>
      </w:r>
      <w:r>
        <w:rPr>
          <w:rFonts w:hint="eastAsia" w:ascii="宋体" w:hAnsi="宋体" w:eastAsia="宋体" w:cs="宋体"/>
          <w:color w:val="auto"/>
          <w:szCs w:val="21"/>
          <w:highlight w:val="none"/>
          <w:u w:val="single"/>
        </w:rPr>
        <w:t>、经济标投标文件</w:t>
      </w:r>
      <w:r>
        <w:rPr>
          <w:rFonts w:hint="eastAsia" w:ascii="宋体" w:hAnsi="宋体" w:eastAsia="宋体" w:cs="宋体"/>
          <w:color w:val="auto"/>
          <w:szCs w:val="21"/>
          <w:highlight w:val="none"/>
          <w:u w:val="single"/>
        </w:rPr>
        <w:t>和定标文件</w:t>
      </w:r>
      <w:r>
        <w:rPr>
          <w:rFonts w:ascii="宋体" w:hAnsi="宋体" w:eastAsia="宋体" w:cs="宋体"/>
          <w:color w:val="auto"/>
          <w:szCs w:val="21"/>
          <w:highlight w:val="none"/>
          <w:u w:val="single"/>
        </w:rPr>
        <w:t>]</w:t>
      </w:r>
      <w:r>
        <w:rPr>
          <w:rFonts w:hint="eastAsia" w:ascii="宋体" w:hAnsi="宋体" w:eastAsia="宋体" w:cs="宋体"/>
          <w:color w:val="auto"/>
          <w:szCs w:val="21"/>
          <w:highlight w:val="none"/>
        </w:rPr>
        <w:t>至</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交易平台。有关投标文件提交的事项详见第一章投标须知。</w:t>
      </w:r>
    </w:p>
    <w:p w14:paraId="51A2A549">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41.3.1                      修改类型：修改</w:t>
      </w:r>
    </w:p>
    <w:p w14:paraId="692DD4C1">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2186B379">
      <w:pPr>
        <w:pBdr>
          <w:bottom w:val="single" w:color="auto" w:sz="4" w:space="0"/>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41.3.1</w:t>
      </w:r>
      <w:r>
        <w:rPr>
          <w:rFonts w:ascii="宋体" w:hAnsi="宋体" w:eastAsia="宋体" w:cs="宋体"/>
          <w:color w:val="auto"/>
          <w:szCs w:val="21"/>
          <w:highlight w:val="none"/>
        </w:rPr>
        <w:t>开标时，公布：a、投标人名称；b、投标文件密封情况；c、投标报价；</w:t>
      </w:r>
      <w:r>
        <w:rPr>
          <w:rFonts w:ascii="宋体" w:hAnsi="宋体" w:eastAsia="宋体" w:cs="宋体"/>
          <w:color w:val="auto"/>
          <w:szCs w:val="21"/>
          <w:highlight w:val="none"/>
          <w:u w:val="single"/>
        </w:rPr>
        <w:t>d、</w:t>
      </w:r>
      <w:r>
        <w:rPr>
          <w:rFonts w:hint="eastAsia" w:ascii="宋体" w:hAnsi="宋体" w:eastAsia="宋体" w:cs="宋体"/>
          <w:color w:val="auto"/>
          <w:szCs w:val="21"/>
          <w:highlight w:val="none"/>
          <w:u w:val="single"/>
        </w:rPr>
        <w:t>项目经理（负责人）名称；</w:t>
      </w:r>
      <w:r>
        <w:rPr>
          <w:rFonts w:ascii="宋体" w:hAnsi="宋体" w:eastAsia="宋体" w:cs="宋体"/>
          <w:color w:val="auto"/>
          <w:szCs w:val="21"/>
          <w:highlight w:val="none"/>
          <w:u w:val="single"/>
        </w:rPr>
        <w:t>e、</w:t>
      </w:r>
      <w:r>
        <w:rPr>
          <w:rFonts w:hint="eastAsia" w:ascii="宋体" w:hAnsi="宋体" w:eastAsia="宋体" w:cs="宋体"/>
          <w:color w:val="auto"/>
          <w:szCs w:val="21"/>
          <w:highlight w:val="none"/>
        </w:rPr>
        <w:t>法定代表人证明及授权委托等主要内容及开标记录表中的其他必要内容。投标报价以数字和文字两种方式表述的，应公布文字表述的投标报价。</w:t>
      </w:r>
    </w:p>
    <w:p w14:paraId="2F5C0E5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41.4                        修改类型：修改</w:t>
      </w:r>
    </w:p>
    <w:p w14:paraId="383DCD4A">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41.4</w:t>
      </w:r>
      <w:r>
        <w:rPr>
          <w:rFonts w:hint="eastAsia" w:ascii="宋体" w:hAnsi="宋体" w:eastAsia="宋体" w:cs="宋体"/>
          <w:color w:val="auto"/>
          <w:szCs w:val="21"/>
          <w:highlight w:val="none"/>
        </w:rPr>
        <w:t>招标人对开标过程进行记录，并存档备查，投标人在开标记录上签字。</w:t>
      </w:r>
    </w:p>
    <w:p w14:paraId="39BD0321">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41.4招标人</w:t>
      </w:r>
      <w:r>
        <w:rPr>
          <w:rFonts w:hint="eastAsia" w:ascii="宋体" w:hAnsi="宋体" w:eastAsia="宋体" w:cs="宋体"/>
          <w:color w:val="auto"/>
          <w:szCs w:val="21"/>
          <w:highlight w:val="none"/>
          <w:u w:val="single"/>
        </w:rPr>
        <w:t>或招标代理机构</w:t>
      </w:r>
      <w:r>
        <w:rPr>
          <w:rFonts w:hint="eastAsia" w:ascii="宋体" w:hAnsi="宋体" w:eastAsia="宋体" w:cs="宋体"/>
          <w:color w:val="auto"/>
          <w:szCs w:val="21"/>
          <w:highlight w:val="none"/>
        </w:rPr>
        <w:t>对开标过程进行记录，并存档备查，</w:t>
      </w:r>
      <w:r>
        <w:rPr>
          <w:rFonts w:hint="eastAsia" w:ascii="宋体" w:hAnsi="宋体" w:eastAsia="宋体" w:cs="宋体"/>
          <w:color w:val="auto"/>
          <w:szCs w:val="21"/>
          <w:highlight w:val="none"/>
          <w:u w:val="single"/>
        </w:rPr>
        <w:t>参加现场开标会的</w:t>
      </w:r>
      <w:r>
        <w:rPr>
          <w:rFonts w:hint="eastAsia" w:ascii="宋体" w:hAnsi="宋体" w:eastAsia="宋体" w:cs="宋体"/>
          <w:color w:val="auto"/>
          <w:szCs w:val="21"/>
          <w:highlight w:val="none"/>
        </w:rPr>
        <w:t>投标人在开标记录上签字。</w:t>
      </w:r>
    </w:p>
    <w:p w14:paraId="6029F5D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42.2.6                      修改类型：修改</w:t>
      </w:r>
    </w:p>
    <w:p w14:paraId="64C9F47B">
      <w:pPr>
        <w:widowControl/>
        <w:spacing w:line="360" w:lineRule="auto"/>
        <w:ind w:firstLine="422" w:firstLineChars="200"/>
        <w:jc w:val="left"/>
        <w:rPr>
          <w:rFonts w:ascii="宋体" w:hAnsi="宋体" w:eastAsia="宋体" w:cs="宋体"/>
          <w:color w:val="auto"/>
          <w:kern w:val="0"/>
          <w:szCs w:val="21"/>
          <w:highlight w:val="none"/>
        </w:rPr>
      </w:pPr>
      <w:r>
        <w:rPr>
          <w:rFonts w:hint="eastAsia" w:ascii="宋体" w:hAnsi="宋体" w:eastAsia="宋体" w:cs="宋体"/>
          <w:b/>
          <w:color w:val="auto"/>
          <w:szCs w:val="21"/>
          <w:highlight w:val="none"/>
        </w:rPr>
        <w:t>原文：</w:t>
      </w:r>
      <w:r>
        <w:rPr>
          <w:rFonts w:ascii="宋体" w:hAnsi="宋体" w:eastAsia="宋体" w:cs="宋体"/>
          <w:bCs/>
          <w:color w:val="auto"/>
          <w:szCs w:val="21"/>
          <w:highlight w:val="none"/>
        </w:rPr>
        <w:t>42.2.6</w:t>
      </w:r>
      <w:r>
        <w:rPr>
          <w:rFonts w:hint="eastAsia" w:ascii="宋体" w:hAnsi="宋体" w:eastAsia="宋体" w:cs="宋体"/>
          <w:bCs/>
          <w:color w:val="auto"/>
          <w:szCs w:val="21"/>
          <w:highlight w:val="none"/>
        </w:rPr>
        <w:t>资格审查合格的投标人少于</w:t>
      </w:r>
      <w:r>
        <w:rPr>
          <w:rFonts w:ascii="宋体" w:hAnsi="宋体" w:eastAsia="宋体" w:cs="宋体"/>
          <w:bCs/>
          <w:color w:val="auto"/>
          <w:szCs w:val="21"/>
          <w:highlight w:val="none"/>
        </w:rPr>
        <w:t>3名的（当N个标段同时招标且不允许兼中时，资格审查合格的投标人少于N+2名），则本项目招标失败</w:t>
      </w:r>
      <w:r>
        <w:rPr>
          <w:rFonts w:hint="eastAsia" w:ascii="宋体" w:hAnsi="宋体" w:eastAsia="宋体" w:cs="宋体"/>
          <w:color w:val="auto"/>
          <w:szCs w:val="21"/>
          <w:highlight w:val="none"/>
        </w:rPr>
        <w:t>。</w:t>
      </w:r>
    </w:p>
    <w:p w14:paraId="306E94EC">
      <w:pPr>
        <w:pBdr>
          <w:bottom w:val="single" w:color="auto" w:sz="6" w:space="1"/>
        </w:pBdr>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42.2.6</w:t>
      </w:r>
      <w:r>
        <w:rPr>
          <w:rFonts w:hint="eastAsia" w:ascii="宋体" w:hAnsi="宋体" w:eastAsia="宋体" w:cs="宋体"/>
          <w:color w:val="auto"/>
          <w:szCs w:val="21"/>
          <w:highlight w:val="none"/>
          <w:u w:val="single"/>
        </w:rPr>
        <w:t>若满足资格审查合格条件</w:t>
      </w:r>
      <w:r>
        <w:rPr>
          <w:rFonts w:ascii="宋体" w:hAnsi="宋体" w:eastAsia="宋体" w:cs="宋体"/>
          <w:color w:val="auto"/>
          <w:szCs w:val="21"/>
          <w:highlight w:val="none"/>
          <w:u w:val="single"/>
        </w:rPr>
        <w:t>(投标人合格条件)的投标申请人</w:t>
      </w:r>
      <w:r>
        <w:rPr>
          <w:rFonts w:hint="eastAsia" w:ascii="宋体" w:hAnsi="宋体" w:eastAsia="宋体" w:cs="宋体"/>
          <w:color w:val="auto"/>
          <w:szCs w:val="21"/>
          <w:highlight w:val="none"/>
          <w:u w:val="single"/>
        </w:rPr>
        <w:t>少于</w:t>
      </w:r>
      <w:r>
        <w:rPr>
          <w:rFonts w:ascii="宋体" w:hAnsi="宋体" w:eastAsia="宋体" w:cs="宋体"/>
          <w:color w:val="auto"/>
          <w:szCs w:val="21"/>
          <w:highlight w:val="none"/>
          <w:u w:val="single"/>
        </w:rPr>
        <w:t>3名，则重新招标。</w:t>
      </w:r>
    </w:p>
    <w:p w14:paraId="025C194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42.3                        修改类型：修改</w:t>
      </w:r>
    </w:p>
    <w:p w14:paraId="15D4514D">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r>
        <w:rPr>
          <w:rFonts w:hint="eastAsia" w:ascii="宋体" w:hAnsi="宋体" w:eastAsia="宋体" w:cs="宋体"/>
          <w:color w:val="auto"/>
          <w:szCs w:val="21"/>
          <w:highlight w:val="none"/>
        </w:rPr>
        <w:t>。</w:t>
      </w:r>
    </w:p>
    <w:p w14:paraId="09A55FEC">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w:t>
      </w:r>
      <w:r>
        <w:rPr>
          <w:rFonts w:hint="eastAsia" w:ascii="宋体" w:hAnsi="宋体" w:eastAsia="宋体" w:cs="宋体"/>
          <w:color w:val="auto"/>
          <w:szCs w:val="21"/>
          <w:highlight w:val="none"/>
          <w:u w:val="single"/>
        </w:rPr>
        <w:t>则重新招标。</w:t>
      </w:r>
      <w:r>
        <w:rPr>
          <w:rFonts w:hint="eastAsia" w:ascii="宋体" w:hAnsi="宋体" w:eastAsia="宋体" w:cs="宋体"/>
          <w:color w:val="auto"/>
          <w:szCs w:val="21"/>
          <w:highlight w:val="none"/>
        </w:rPr>
        <w:t>评委发现投标文件中含义不明确、对同类问题表述不一致、有明显文字和计算错误的，应当要求投标人作必要的澄清、说明后再判定投标人是否通过有效性审查，不得直接否决投标。</w:t>
      </w:r>
    </w:p>
    <w:p w14:paraId="044EE828">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42.4.8                      修改类型：修改</w:t>
      </w:r>
    </w:p>
    <w:p w14:paraId="6931C23D">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42.4.8按上述修正错误的原则及方法调整或修正投标文件的投标报价，调整后的投标报价对投标人起约束作用。如果投标人不接受修正后的报价，则取消其投标资格，并且其投标保证金也将不予退还。</w:t>
      </w:r>
    </w:p>
    <w:p w14:paraId="1025241F">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42.4.8按上述修正错误的原则及方法调整或修正投标文件的投标报价，调整后的投标报价对投标人起约束作用。如果投标人不接受修正后的报价，</w:t>
      </w:r>
      <w:r>
        <w:rPr>
          <w:rFonts w:hint="eastAsia" w:ascii="宋体" w:hAnsi="宋体" w:eastAsia="宋体" w:cs="宋体"/>
          <w:color w:val="auto"/>
          <w:szCs w:val="21"/>
          <w:highlight w:val="none"/>
          <w:u w:val="single"/>
        </w:rPr>
        <w:t>则取消其投标资格</w:t>
      </w:r>
      <w:r>
        <w:rPr>
          <w:rFonts w:hint="eastAsia" w:ascii="宋体" w:hAnsi="宋体" w:eastAsia="宋体" w:cs="宋体"/>
          <w:color w:val="auto"/>
          <w:szCs w:val="21"/>
          <w:highlight w:val="none"/>
        </w:rPr>
        <w:t>。</w:t>
      </w:r>
    </w:p>
    <w:p w14:paraId="0D9E48A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42.5.1                      修改类型：修改</w:t>
      </w:r>
    </w:p>
    <w:p w14:paraId="414D72CB">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42.5.1确定评标方式</w:t>
      </w:r>
    </w:p>
    <w:p w14:paraId="27592A45">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采用经评审的最低投标价法的，招标人应当提出必要的评标价格调整方法，不得以投标报价作为单一决定因素。鼓励招标人实施技术、质量、服务、信用、品牌和价格等多种因素的评标评审。</w:t>
      </w:r>
    </w:p>
    <w:p w14:paraId="48B303A0">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42.5.1确定评标方式</w:t>
      </w:r>
    </w:p>
    <w:p w14:paraId="46B8A16D">
      <w:pPr>
        <w:pBdr>
          <w:bottom w:val="single" w:color="auto" w:sz="6" w:space="1"/>
        </w:pBd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u w:val="single"/>
        </w:rPr>
        <w:t>评标方式为经评审的最低投标价法，具体内容如下：只有满足招标文件实质性要求的投标人才能进入详细评审。通过投标人的信用情况（即按投标人在广州交易集团有限公司</w:t>
      </w:r>
      <w:r>
        <w:rPr>
          <w:rFonts w:hint="eastAsia" w:ascii="宋体" w:hAnsi="宋体" w:eastAsia="宋体" w:cs="宋体"/>
          <w:color w:val="auto"/>
          <w:szCs w:val="21"/>
          <w:highlight w:val="none"/>
          <w:u w:val="single"/>
        </w:rPr>
        <w:t>（广州公共资源交易中心）</w:t>
      </w:r>
      <w:r>
        <w:rPr>
          <w:rFonts w:hint="eastAsia" w:ascii="宋体" w:hAnsi="宋体" w:eastAsia="宋体" w:cs="宋体"/>
          <w:color w:val="auto"/>
          <w:szCs w:val="21"/>
          <w:highlight w:val="none"/>
          <w:u w:val="single"/>
        </w:rPr>
        <w:t>门户网站</w:t>
      </w:r>
      <w:r>
        <w:rPr>
          <w:rFonts w:ascii="宋体" w:hAnsi="宋体" w:eastAsia="宋体" w:cs="宋体"/>
          <w:color w:val="auto"/>
          <w:szCs w:val="21"/>
          <w:highlight w:val="none"/>
          <w:u w:val="single"/>
        </w:rPr>
        <w:t>-信用信息-广州市住房和城乡建设局</w:t>
      </w:r>
      <w:r>
        <w:rPr>
          <w:rFonts w:ascii="宋体" w:hAnsi="宋体" w:eastAsia="宋体" w:cs="宋体"/>
          <w:color w:val="auto"/>
          <w:szCs w:val="21"/>
          <w:highlight w:val="none"/>
          <w:u w:val="single"/>
        </w:rPr>
        <w:t>诚信</w:t>
      </w:r>
      <w:r>
        <w:rPr>
          <w:rFonts w:hint="eastAsia" w:ascii="宋体" w:hAnsi="宋体" w:eastAsia="宋体" w:cs="宋体"/>
          <w:color w:val="auto"/>
          <w:szCs w:val="21"/>
          <w:highlight w:val="none"/>
          <w:u w:val="single"/>
        </w:rPr>
        <w:t>综合</w:t>
      </w:r>
      <w:r>
        <w:rPr>
          <w:rFonts w:ascii="宋体" w:hAnsi="宋体" w:eastAsia="宋体" w:cs="宋体"/>
          <w:color w:val="auto"/>
          <w:szCs w:val="21"/>
          <w:highlight w:val="none"/>
          <w:u w:val="single"/>
        </w:rPr>
        <w:t>评价</w:t>
      </w:r>
      <w:r>
        <w:rPr>
          <w:rFonts w:hint="eastAsia" w:ascii="宋体" w:hAnsi="宋体" w:eastAsia="宋体" w:cs="宋体"/>
          <w:color w:val="auto"/>
          <w:szCs w:val="21"/>
          <w:highlight w:val="none"/>
          <w:u w:val="single"/>
        </w:rPr>
        <w:t>专栏</w:t>
      </w:r>
      <w:r>
        <w:rPr>
          <w:rFonts w:ascii="宋体" w:hAnsi="宋体" w:eastAsia="宋体" w:cs="宋体"/>
          <w:color w:val="auto"/>
          <w:szCs w:val="21"/>
          <w:highlight w:val="none"/>
          <w:u w:val="single"/>
        </w:rPr>
        <w:t>-</w:t>
      </w:r>
      <w:r>
        <w:rPr>
          <w:rFonts w:hint="eastAsia" w:ascii="宋体" w:hAnsi="宋体" w:eastAsia="宋体" w:cs="宋体"/>
          <w:color w:val="auto"/>
          <w:szCs w:val="21"/>
          <w:highlight w:val="none"/>
          <w:u w:val="single"/>
        </w:rPr>
        <w:t>“施工企业”专栏投标截止当日查询的公布的“施工</w:t>
      </w:r>
      <w:r>
        <w:rPr>
          <w:rFonts w:ascii="宋体" w:hAnsi="宋体" w:eastAsia="宋体" w:cs="宋体"/>
          <w:color w:val="auto"/>
          <w:szCs w:val="21"/>
          <w:highlight w:val="none"/>
          <w:u w:val="single"/>
        </w:rPr>
        <w:t>-房建排名”【即“施工企业房建诚信评价排名”】</w:t>
      </w:r>
      <w:r>
        <w:rPr>
          <w:rFonts w:hint="eastAsia" w:ascii="宋体" w:hAnsi="宋体" w:eastAsia="宋体" w:cs="宋体"/>
          <w:color w:val="auto"/>
          <w:szCs w:val="21"/>
          <w:highlight w:val="none"/>
          <w:u w:val="single"/>
        </w:rPr>
        <w:t>中的“</w:t>
      </w:r>
      <w:r>
        <w:rPr>
          <w:rFonts w:ascii="宋体" w:hAnsi="宋体" w:eastAsia="宋体" w:cs="宋体"/>
          <w:color w:val="auto"/>
          <w:szCs w:val="21"/>
          <w:highlight w:val="none"/>
          <w:u w:val="single"/>
        </w:rPr>
        <w:t>60日诚信分</w:t>
      </w:r>
      <w:r>
        <w:rPr>
          <w:rFonts w:hint="eastAsia" w:ascii="宋体" w:hAnsi="宋体" w:eastAsia="宋体" w:cs="宋体"/>
          <w:color w:val="auto"/>
          <w:szCs w:val="21"/>
          <w:highlight w:val="none"/>
          <w:u w:val="single"/>
        </w:rPr>
        <w:t>”为准）对其投标报价进行折算</w:t>
      </w:r>
      <w:r>
        <w:rPr>
          <w:rFonts w:hint="eastAsia" w:ascii="宋体" w:hAnsi="宋体" w:eastAsia="宋体" w:cs="宋体"/>
          <w:color w:val="auto"/>
          <w:szCs w:val="22"/>
          <w:highlight w:val="none"/>
          <w:u w:val="single"/>
        </w:rPr>
        <w:t>（折算规则详见招标文件第二章附</w:t>
      </w:r>
      <w:r>
        <w:rPr>
          <w:rFonts w:hint="eastAsia" w:ascii="宋体" w:hAnsi="宋体" w:eastAsia="宋体" w:cs="宋体"/>
          <w:color w:val="auto"/>
          <w:szCs w:val="22"/>
          <w:highlight w:val="none"/>
          <w:u w:val="single"/>
        </w:rPr>
        <w:t>表</w:t>
      </w:r>
      <w:r>
        <w:rPr>
          <w:rFonts w:hint="eastAsia" w:ascii="宋体" w:hAnsi="宋体" w:eastAsia="宋体" w:cs="宋体"/>
          <w:color w:val="auto"/>
          <w:szCs w:val="22"/>
          <w:highlight w:val="none"/>
          <w:u w:val="single"/>
        </w:rPr>
        <w:t>《投标报价折算标准表》），得到各投标人经评审的投标报价。以所有经评审的投标报价中金额最小的投标报价作为经评审的最低投标价，并以经评审的最低投标价作为推荐合格中标候选人的依据</w:t>
      </w: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 xml:space="preserve"> </w:t>
      </w:r>
    </w:p>
    <w:p w14:paraId="71D0223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szCs w:val="21"/>
          <w:highlight w:val="none"/>
        </w:rPr>
        <w:t xml:space="preserve">42.7                        </w:t>
      </w:r>
      <w:r>
        <w:rPr>
          <w:rFonts w:hint="eastAsia" w:ascii="宋体" w:hAnsi="宋体" w:eastAsia="宋体" w:cs="宋体"/>
          <w:b/>
          <w:color w:val="auto"/>
          <w:szCs w:val="21"/>
          <w:highlight w:val="none"/>
        </w:rPr>
        <w:t>修改类型：修改</w:t>
      </w:r>
    </w:p>
    <w:p w14:paraId="7C0BF969">
      <w:pPr>
        <w:widowControl/>
        <w:spacing w:line="360" w:lineRule="auto"/>
        <w:ind w:firstLine="422" w:firstLineChars="200"/>
        <w:jc w:val="left"/>
        <w:rPr>
          <w:rFonts w:ascii="宋体" w:hAnsi="宋体" w:eastAsia="宋体" w:cs="宋体"/>
          <w:color w:val="auto"/>
          <w:kern w:val="0"/>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42.7评标结束后，评标委员会应当在通过投标文件有效性审查的投标人中，按照原投标文件的评审次序，推荐前3名依次为第一中标候选人至第三中标候选人，并编写评标报告</w:t>
      </w:r>
      <w:r>
        <w:rPr>
          <w:rFonts w:hint="eastAsia" w:ascii="宋体" w:hAnsi="宋体" w:eastAsia="宋体" w:cs="宋体"/>
          <w:color w:val="auto"/>
          <w:szCs w:val="21"/>
          <w:highlight w:val="none"/>
        </w:rPr>
        <w:t>。</w:t>
      </w:r>
    </w:p>
    <w:p w14:paraId="1B1FCB81">
      <w:pPr>
        <w:spacing w:line="360" w:lineRule="auto"/>
        <w:ind w:firstLine="422" w:firstLineChars="200"/>
        <w:rPr>
          <w:rFonts w:ascii="宋体" w:hAnsi="宋体" w:eastAsia="宋体" w:cs="宋体"/>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color w:val="auto"/>
          <w:szCs w:val="21"/>
          <w:highlight w:val="none"/>
        </w:rPr>
        <w:t>42.7</w:t>
      </w:r>
      <w:r>
        <w:rPr>
          <w:rFonts w:hint="eastAsia" w:ascii="宋体" w:hAnsi="宋体" w:eastAsia="宋体" w:cs="宋体"/>
          <w:bCs/>
          <w:color w:val="auto"/>
          <w:szCs w:val="22"/>
          <w:highlight w:val="none"/>
          <w:u w:val="single"/>
        </w:rPr>
        <w:t>在评标评审完成后，评标委员会编写评标报告，评标委员会采用“有限数量制评审法”推荐不超过</w:t>
      </w:r>
      <w:r>
        <w:rPr>
          <w:rFonts w:ascii="宋体" w:hAnsi="宋体" w:eastAsia="宋体" w:cs="宋体"/>
          <w:bCs/>
          <w:color w:val="auto"/>
          <w:szCs w:val="22"/>
          <w:highlight w:val="none"/>
          <w:u w:val="single"/>
        </w:rPr>
        <w:t>5家（经评审的投标报价介于经评审的最低投标价（含本数）与工程</w:t>
      </w:r>
      <w:r>
        <w:rPr>
          <w:rFonts w:hint="eastAsia" w:ascii="宋体" w:hAnsi="宋体" w:eastAsia="宋体" w:cs="宋体"/>
          <w:bCs/>
          <w:color w:val="auto"/>
          <w:szCs w:val="22"/>
          <w:highlight w:val="none"/>
          <w:u w:val="single"/>
        </w:rPr>
        <w:t>成本警示价</w:t>
      </w:r>
      <w:r>
        <w:rPr>
          <w:rFonts w:ascii="宋体" w:hAnsi="宋体" w:eastAsia="宋体" w:cs="宋体"/>
          <w:bCs/>
          <w:color w:val="auto"/>
          <w:szCs w:val="22"/>
          <w:highlight w:val="none"/>
          <w:u w:val="single"/>
        </w:rPr>
        <w:t>（含本数）之间的投标人数量≥5家时除外）不排序的合格中标候选人进入定标阶段</w:t>
      </w:r>
      <w:r>
        <w:rPr>
          <w:rFonts w:hint="eastAsia" w:ascii="宋体" w:hAnsi="宋体" w:eastAsia="宋体" w:cs="宋体"/>
          <w:color w:val="auto"/>
          <w:szCs w:val="21"/>
          <w:highlight w:val="none"/>
          <w:u w:val="single"/>
        </w:rPr>
        <w:t>。推荐规则如下：</w:t>
      </w:r>
    </w:p>
    <w:p w14:paraId="54FC1FA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1）当通过有效性审查的投标人数＜3家时，招标人应重新招标。</w:t>
      </w:r>
    </w:p>
    <w:p w14:paraId="69EA9C9F">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2）当通过有效性审查的投标人数≥3家且</w:t>
      </w: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5家时，则通过有效性审查的所有投标人全部进入定标阶段。</w:t>
      </w:r>
    </w:p>
    <w:p w14:paraId="55085B71">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3）当通过有效性审查的投标人数</w:t>
      </w:r>
      <w:r>
        <w:rPr>
          <w:rFonts w:hint="eastAsia" w:ascii="宋体" w:hAnsi="宋体" w:eastAsia="宋体" w:cs="宋体"/>
          <w:color w:val="auto"/>
          <w:szCs w:val="21"/>
          <w:highlight w:val="none"/>
          <w:u w:val="single"/>
        </w:rPr>
        <w:t>＞</w:t>
      </w:r>
      <w:r>
        <w:rPr>
          <w:rFonts w:ascii="宋体" w:hAnsi="宋体" w:eastAsia="宋体" w:cs="宋体"/>
          <w:color w:val="auto"/>
          <w:szCs w:val="21"/>
          <w:highlight w:val="none"/>
          <w:u w:val="single"/>
        </w:rPr>
        <w:t>5家时，则：</w:t>
      </w:r>
    </w:p>
    <w:p w14:paraId="626FCEE3">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①若经评审的投标报价介于经评审的最低投标价（含本数）与工程成本警示价（含本数）之间的数量≥</w:t>
      </w:r>
      <w:r>
        <w:rPr>
          <w:rFonts w:ascii="宋体" w:hAnsi="宋体" w:eastAsia="宋体" w:cs="宋体"/>
          <w:color w:val="auto"/>
          <w:szCs w:val="21"/>
          <w:highlight w:val="none"/>
          <w:u w:val="single"/>
        </w:rPr>
        <w:t>5家时,则经评审的投标报价介于经评审的最低投标价（含本数）与工程</w:t>
      </w:r>
      <w:r>
        <w:rPr>
          <w:rFonts w:hint="eastAsia" w:ascii="宋体" w:hAnsi="宋体" w:eastAsia="宋体" w:cs="宋体"/>
          <w:color w:val="auto"/>
          <w:szCs w:val="21"/>
          <w:highlight w:val="none"/>
          <w:u w:val="single"/>
        </w:rPr>
        <w:t>成本警示价</w:t>
      </w:r>
      <w:r>
        <w:rPr>
          <w:rFonts w:ascii="宋体" w:hAnsi="宋体" w:eastAsia="宋体" w:cs="宋体"/>
          <w:color w:val="auto"/>
          <w:szCs w:val="21"/>
          <w:highlight w:val="none"/>
          <w:u w:val="single"/>
        </w:rPr>
        <w:t>（含本数）之间的投标人全部进入定标阶段</w:t>
      </w:r>
      <w:r>
        <w:rPr>
          <w:rFonts w:hint="eastAsia" w:ascii="宋体" w:hAnsi="宋体" w:eastAsia="宋体" w:cs="宋体"/>
          <w:color w:val="auto"/>
          <w:szCs w:val="21"/>
          <w:highlight w:val="none"/>
          <w:u w:val="single"/>
        </w:rPr>
        <w:t>；</w:t>
      </w:r>
    </w:p>
    <w:p w14:paraId="3F499090">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②若经评审的投标报价介于经评审的最低投标价（含本数）与工程成本警示价（含本数）之间的数量＜</w:t>
      </w:r>
      <w:r>
        <w:rPr>
          <w:rFonts w:ascii="宋体" w:hAnsi="宋体" w:eastAsia="宋体" w:cs="宋体"/>
          <w:color w:val="auto"/>
          <w:szCs w:val="21"/>
          <w:highlight w:val="none"/>
          <w:u w:val="single"/>
        </w:rPr>
        <w:t>5家时,则按经评审的投标报价由低到高选取5家不排序的合格中标候选人进入定标阶段。</w:t>
      </w:r>
      <w:r>
        <w:rPr>
          <w:rFonts w:hint="eastAsia" w:ascii="宋体" w:hAnsi="宋体" w:eastAsia="宋体" w:cs="宋体"/>
          <w:color w:val="auto"/>
          <w:szCs w:val="21"/>
          <w:highlight w:val="none"/>
          <w:u w:val="single"/>
        </w:rPr>
        <w:t xml:space="preserve"> </w:t>
      </w:r>
    </w:p>
    <w:p w14:paraId="28B4D7F5">
      <w:pP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若投标人经评审的投标报价相同，以企业综合诚信评价分数高的排前；若经评审的投标报价、企业综合诚信评价分数均相同，则对具有相同情况的投标人，按入围合格中标候选人数量规定，由评标委员会采用记名投票方式，确定投标人的排序，并确定进入定标阶段的合格中标候选人。记名投票方式确定排序的具体操作步骤为：由评标委员会对出现该情况的投标人采取记名投票的方式确定，按得票数高低进行排序，以得票数高的排前，根据得票数高低确定投标人排序。</w:t>
      </w:r>
    </w:p>
    <w:p w14:paraId="141E96EF">
      <w:pPr>
        <w:pBdr>
          <w:bottom w:val="single" w:color="auto" w:sz="6" w:space="1"/>
        </w:pBdr>
        <w:spacing w:line="360" w:lineRule="auto"/>
        <w:ind w:firstLine="420" w:firstLineChars="200"/>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注：进入定标阶段的合格中标候选人不排序【按统一社会信用代码后</w:t>
      </w:r>
      <w:r>
        <w:rPr>
          <w:rFonts w:ascii="宋体" w:hAnsi="宋体" w:eastAsia="宋体" w:cs="宋体"/>
          <w:color w:val="auto"/>
          <w:szCs w:val="21"/>
          <w:highlight w:val="none"/>
          <w:u w:val="single"/>
        </w:rPr>
        <w:t>4位(除校验码外)大小排位，如统一社会信用代码后4位出现字母情况的，字母以“0”进行代替大小排位;如出现后4位(除校验码外)大小一致的，则随机排位】。</w:t>
      </w:r>
    </w:p>
    <w:p w14:paraId="036230F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kern w:val="0"/>
          <w:szCs w:val="21"/>
          <w:highlight w:val="none"/>
        </w:rPr>
        <w:t>42.8</w:t>
      </w:r>
      <w:r>
        <w:rPr>
          <w:rFonts w:ascii="宋体" w:hAnsi="宋体" w:eastAsia="宋体" w:cs="宋体"/>
          <w:b/>
          <w:color w:val="auto"/>
          <w:szCs w:val="21"/>
          <w:highlight w:val="none"/>
        </w:rPr>
        <w:t xml:space="preserve">                        </w:t>
      </w:r>
      <w:r>
        <w:rPr>
          <w:rFonts w:hint="eastAsia" w:ascii="宋体" w:hAnsi="宋体" w:eastAsia="宋体" w:cs="宋体"/>
          <w:b/>
          <w:color w:val="auto"/>
          <w:szCs w:val="21"/>
          <w:highlight w:val="none"/>
        </w:rPr>
        <w:t>修改类型：修改</w:t>
      </w:r>
    </w:p>
    <w:p w14:paraId="1430A47C">
      <w:pP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原文：</w:t>
      </w:r>
      <w:r>
        <w:rPr>
          <w:rFonts w:ascii="宋体" w:hAnsi="宋体" w:eastAsia="宋体" w:cs="宋体"/>
          <w:color w:val="auto"/>
          <w:szCs w:val="21"/>
          <w:highlight w:val="none"/>
        </w:rPr>
        <w:t>42.8若有效投标人不足三家，应当依法重新招标。（当N个标段同时招标且不允许兼中时，若有效投标人不足N+2家，应当依法重新招标）。</w:t>
      </w:r>
    </w:p>
    <w:p w14:paraId="477AFEDD">
      <w:pPr>
        <w:pBdr>
          <w:bottom w:val="single" w:color="auto" w:sz="6" w:space="1"/>
        </w:pBdr>
        <w:spacing w:line="360" w:lineRule="auto"/>
        <w:ind w:firstLine="422" w:firstLineChars="200"/>
        <w:rPr>
          <w:rFonts w:ascii="宋体" w:hAnsi="宋体" w:eastAsia="宋体" w:cs="宋体"/>
          <w:strike/>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w:t>
      </w:r>
      <w:r>
        <w:rPr>
          <w:rFonts w:ascii="宋体" w:hAnsi="宋体" w:eastAsia="宋体" w:cs="宋体"/>
          <w:color w:val="auto"/>
          <w:szCs w:val="21"/>
          <w:highlight w:val="none"/>
        </w:rPr>
        <w:t>42.8</w:t>
      </w:r>
      <w:r>
        <w:rPr>
          <w:rFonts w:hint="eastAsia" w:ascii="宋体" w:hAnsi="宋体" w:eastAsia="宋体" w:cs="宋体"/>
          <w:color w:val="auto"/>
          <w:szCs w:val="21"/>
          <w:highlight w:val="none"/>
        </w:rPr>
        <w:t>若有效投标人不足三家，</w:t>
      </w:r>
      <w:r>
        <w:rPr>
          <w:rFonts w:hint="eastAsia" w:ascii="宋体" w:hAnsi="宋体" w:eastAsia="宋体" w:cs="宋体"/>
          <w:color w:val="auto"/>
          <w:szCs w:val="21"/>
          <w:highlight w:val="none"/>
          <w:u w:val="single"/>
        </w:rPr>
        <w:t>应当依法重新招标。</w:t>
      </w:r>
    </w:p>
    <w:p w14:paraId="03B8FA04">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w:t>
      </w:r>
      <w:r>
        <w:rPr>
          <w:rFonts w:ascii="宋体" w:hAnsi="宋体" w:eastAsia="宋体" w:cs="宋体"/>
          <w:b/>
          <w:color w:val="auto"/>
          <w:kern w:val="0"/>
          <w:szCs w:val="21"/>
          <w:highlight w:val="none"/>
        </w:rPr>
        <w:t>43</w:t>
      </w:r>
      <w:r>
        <w:rPr>
          <w:rFonts w:ascii="宋体" w:hAnsi="宋体" w:eastAsia="宋体" w:cs="宋体"/>
          <w:b/>
          <w:color w:val="auto"/>
          <w:szCs w:val="21"/>
          <w:highlight w:val="none"/>
        </w:rPr>
        <w:t xml:space="preserve">                          </w:t>
      </w:r>
      <w:r>
        <w:rPr>
          <w:rFonts w:hint="eastAsia" w:ascii="宋体" w:hAnsi="宋体" w:eastAsia="宋体" w:cs="宋体"/>
          <w:b/>
          <w:color w:val="auto"/>
          <w:szCs w:val="21"/>
          <w:highlight w:val="none"/>
        </w:rPr>
        <w:t>修改类型：增加</w:t>
      </w:r>
    </w:p>
    <w:p w14:paraId="44346BAB">
      <w:pPr>
        <w:spacing w:line="360" w:lineRule="auto"/>
        <w:ind w:firstLine="422" w:firstLineChars="200"/>
        <w:rPr>
          <w:rFonts w:ascii="宋体" w:hAnsi="宋体" w:eastAsia="宋体" w:cs="宋体"/>
          <w:bCs/>
          <w:color w:val="auto"/>
          <w:szCs w:val="21"/>
          <w:highlight w:val="none"/>
          <w:u w:val="single"/>
        </w:rPr>
      </w:pPr>
      <w:r>
        <w:rPr>
          <w:rFonts w:hint="eastAsia" w:ascii="宋体" w:hAnsi="宋体" w:eastAsia="宋体" w:cs="宋体"/>
          <w:b/>
          <w:color w:val="auto"/>
          <w:szCs w:val="21"/>
          <w:highlight w:val="none"/>
        </w:rPr>
        <w:t>现文：</w:t>
      </w:r>
      <w:r>
        <w:rPr>
          <w:rFonts w:ascii="宋体" w:hAnsi="宋体" w:eastAsia="宋体" w:cs="宋体"/>
          <w:b/>
          <w:color w:val="auto"/>
          <w:szCs w:val="21"/>
          <w:highlight w:val="none"/>
          <w:u w:val="single"/>
        </w:rPr>
        <w:t>43.定标</w:t>
      </w:r>
    </w:p>
    <w:p w14:paraId="005DE96A">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如评标委员会推荐的合格中标候选人不足三家，招标人应当依法重新招标，不再进行定标工作。</w:t>
      </w:r>
    </w:p>
    <w:p w14:paraId="1E623B4A">
      <w:pPr>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Cs w:val="21"/>
          <w:highlight w:val="none"/>
          <w:u w:val="single"/>
        </w:rPr>
        <w:t>43.1定标时间和地点</w:t>
      </w:r>
    </w:p>
    <w:p w14:paraId="4CE04289">
      <w:pPr>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Cs w:val="21"/>
          <w:highlight w:val="none"/>
          <w:u w:val="single"/>
        </w:rPr>
        <w:t>招标人在合格中标候选人公示期满之日起5个工作日内在广州交易集团有限公司（广州公共资源交易中心）开展定标工作</w:t>
      </w:r>
      <w:r>
        <w:rPr>
          <w:rFonts w:hint="eastAsia" w:ascii="宋体" w:hAnsi="宋体" w:cs="宋体"/>
          <w:bCs/>
          <w:color w:val="auto"/>
          <w:szCs w:val="21"/>
          <w:highlight w:val="none"/>
          <w:u w:val="single"/>
        </w:rPr>
        <w:t>，招标人按规定程序在投标人须知的时间和地点完成定标工作。</w:t>
      </w:r>
    </w:p>
    <w:p w14:paraId="6342A607">
      <w:pPr>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Cs w:val="21"/>
          <w:highlight w:val="none"/>
          <w:u w:val="single"/>
        </w:rPr>
        <w:t>43.2定标委员会：成员数量为5人，由招标人组建。</w:t>
      </w:r>
    </w:p>
    <w:p w14:paraId="2D33B06C">
      <w:pPr>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Cs w:val="21"/>
          <w:highlight w:val="none"/>
          <w:u w:val="single"/>
        </w:rPr>
        <w:t>43.3定标监督小组：成员数量为2</w:t>
      </w:r>
      <w:r>
        <w:rPr>
          <w:rFonts w:hint="eastAsia" w:ascii="宋体" w:hAnsi="宋体" w:eastAsia="宋体" w:cs="宋体"/>
          <w:bCs/>
          <w:color w:val="auto"/>
          <w:szCs w:val="21"/>
          <w:highlight w:val="none"/>
          <w:u w:val="single"/>
        </w:rPr>
        <w:t>人，由招标人组建。</w:t>
      </w:r>
    </w:p>
    <w:p w14:paraId="3C9992B9">
      <w:pPr>
        <w:spacing w:line="360" w:lineRule="auto"/>
        <w:ind w:firstLine="470" w:firstLineChars="224"/>
        <w:rPr>
          <w:rFonts w:ascii="宋体" w:hAnsi="宋体" w:cs="宋体"/>
          <w:bCs/>
          <w:color w:val="auto"/>
          <w:szCs w:val="21"/>
          <w:highlight w:val="none"/>
          <w:u w:val="single"/>
        </w:rPr>
      </w:pPr>
      <w:r>
        <w:rPr>
          <w:rFonts w:ascii="宋体" w:hAnsi="宋体" w:eastAsia="宋体" w:cs="宋体"/>
          <w:bCs/>
          <w:color w:val="auto"/>
          <w:szCs w:val="21"/>
          <w:highlight w:val="none"/>
          <w:u w:val="single"/>
        </w:rPr>
        <w:t>43.4</w:t>
      </w:r>
      <w:r>
        <w:rPr>
          <w:rFonts w:hint="eastAsia" w:ascii="宋体" w:hAnsi="宋体" w:cs="宋体"/>
          <w:bCs/>
          <w:color w:val="auto"/>
          <w:szCs w:val="21"/>
          <w:highlight w:val="none"/>
          <w:u w:val="single"/>
        </w:rPr>
        <w:t>定标办法：定标采用“评分法”，定标委员会从评标委员会推荐的合格中标候选人中，依据评分法选出得分最高的候选人，确定为中标人。</w:t>
      </w:r>
    </w:p>
    <w:p w14:paraId="33F5D2D1">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本次定标采用“方案因素”＋“价格因素”，其中总分（100分）=方案因素得分（100分）×方案因素得分权重（70%）+价格因素得分（100分）×价格因素得分权重（30%）</w:t>
      </w:r>
    </w:p>
    <w:p w14:paraId="485D9BDD">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43.5定标因素：（1）方案因素：对合格中标候选人定标方案进行评审：</w:t>
      </w:r>
      <w:r>
        <w:rPr>
          <w:rFonts w:hint="eastAsia" w:ascii="宋体" w:hAnsi="宋体" w:cs="宋体"/>
          <w:bCs/>
          <w:color w:val="auto"/>
          <w:szCs w:val="21"/>
          <w:highlight w:val="none"/>
          <w:u w:val="single"/>
        </w:rPr>
        <w:t>①团队配置、②施工管理措施、③成本控制措施、④资金管理措施。</w:t>
      </w:r>
    </w:p>
    <w:p w14:paraId="12E768DA">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（2）价格因素：定标委员会对合格中标候选人投标报价进行打分，以合格中标候选人中最低的投标报价且高于成本警示价的为定标基准价</w:t>
      </w:r>
      <w:r>
        <w:rPr>
          <w:rFonts w:hint="eastAsia" w:ascii="宋体" w:hAnsi="宋体" w:cs="宋体"/>
          <w:bCs/>
          <w:color w:val="auto"/>
          <w:szCs w:val="21"/>
          <w:highlight w:val="none"/>
          <w:u w:val="single"/>
        </w:rPr>
        <w:t>（如合格中标候选人的投标报价均低于或等于成本警示价的，则以成本警示价为定标基准价），投标报价等于定标基准价时得100分。投标报价比定标基准价每高1%扣1.5分；每低1%扣1.0分，扣至0分为止。得出价格因素得分，分数出现小数点时，保留小数点后二位，第三位小数四舍五入。</w:t>
      </w:r>
    </w:p>
    <w:p w14:paraId="35411CD7">
      <w:pPr>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Cs w:val="21"/>
          <w:highlight w:val="none"/>
          <w:u w:val="single"/>
        </w:rPr>
        <w:t>43.6定标程序</w:t>
      </w:r>
    </w:p>
    <w:p w14:paraId="031BAE2E">
      <w:pPr>
        <w:spacing w:line="360" w:lineRule="auto"/>
        <w:ind w:firstLine="420" w:firstLineChars="200"/>
        <w:rPr>
          <w:rFonts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招标人或其委托的招标代理机构应安排</w:t>
      </w:r>
      <w:r>
        <w:rPr>
          <w:rFonts w:ascii="宋体" w:hAnsi="宋体" w:eastAsia="宋体" w:cs="宋体"/>
          <w:bCs/>
          <w:color w:val="auto"/>
          <w:szCs w:val="21"/>
          <w:highlight w:val="none"/>
          <w:u w:val="single"/>
        </w:rPr>
        <w:t>1名熟悉情况的工作人员在定标会场担任招标项目负责人，按程序组织定标工作：</w:t>
      </w:r>
    </w:p>
    <w:p w14:paraId="29F3B83F">
      <w:pPr>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Cs w:val="21"/>
          <w:highlight w:val="none"/>
          <w:u w:val="single"/>
        </w:rPr>
        <w:t>43.6.1招标项目负责人宣读定标委员会组建情况及成员名单，宣读定标纪律，签订廉政</w:t>
      </w:r>
      <w:r>
        <w:rPr>
          <w:rFonts w:hint="eastAsia" w:ascii="宋体" w:hAnsi="宋体" w:eastAsia="宋体" w:cs="宋体"/>
          <w:bCs/>
          <w:color w:val="auto"/>
          <w:szCs w:val="21"/>
          <w:highlight w:val="none"/>
          <w:u w:val="single"/>
        </w:rPr>
        <w:t>承诺</w:t>
      </w:r>
      <w:r>
        <w:rPr>
          <w:rFonts w:ascii="宋体" w:hAnsi="宋体" w:eastAsia="宋体" w:cs="宋体"/>
          <w:bCs/>
          <w:color w:val="auto"/>
          <w:szCs w:val="21"/>
          <w:highlight w:val="none"/>
          <w:u w:val="single"/>
        </w:rPr>
        <w:t>书。</w:t>
      </w:r>
    </w:p>
    <w:p w14:paraId="5D933698">
      <w:pPr>
        <w:spacing w:line="360" w:lineRule="auto"/>
        <w:ind w:firstLine="420" w:firstLineChars="200"/>
        <w:rPr>
          <w:rFonts w:ascii="宋体" w:hAnsi="宋体" w:eastAsia="宋体" w:cs="宋体"/>
          <w:bCs/>
          <w:color w:val="auto"/>
          <w:szCs w:val="21"/>
          <w:highlight w:val="none"/>
          <w:u w:val="single"/>
        </w:rPr>
      </w:pPr>
      <w:r>
        <w:rPr>
          <w:rFonts w:ascii="宋体" w:hAnsi="宋体" w:eastAsia="宋体" w:cs="宋体"/>
          <w:bCs/>
          <w:color w:val="auto"/>
          <w:szCs w:val="21"/>
          <w:highlight w:val="none"/>
          <w:u w:val="single"/>
        </w:rPr>
        <w:t>43.6.2发放定标辅助资料：招标文件、合格中标候选人提交的</w:t>
      </w:r>
      <w:r>
        <w:rPr>
          <w:rFonts w:hint="eastAsia" w:ascii="宋体" w:hAnsi="宋体" w:cs="宋体"/>
          <w:bCs/>
          <w:color w:val="auto"/>
          <w:szCs w:val="21"/>
          <w:highlight w:val="none"/>
          <w:u w:val="single"/>
        </w:rPr>
        <w:t>投标文件（含定标文件）</w:t>
      </w:r>
      <w:r>
        <w:rPr>
          <w:rFonts w:ascii="宋体" w:hAnsi="宋体" w:eastAsia="宋体" w:cs="宋体"/>
          <w:bCs/>
          <w:color w:val="auto"/>
          <w:szCs w:val="21"/>
          <w:highlight w:val="none"/>
          <w:u w:val="single"/>
        </w:rPr>
        <w:t>。</w:t>
      </w:r>
    </w:p>
    <w:p w14:paraId="1D7EF9AD">
      <w:pP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43.6.3定标委员会根据定标辅助资料，在同等条件下，根据定标因素的相对标准按以下方面进行评审：方案因素及价格因素，详见招标文件第二章附表《定标因素表（定标阶段用表）》。</w:t>
      </w:r>
    </w:p>
    <w:p w14:paraId="234540B1">
      <w:pPr>
        <w:spacing w:line="360" w:lineRule="auto"/>
        <w:ind w:firstLine="420" w:firstLineChars="200"/>
        <w:rPr>
          <w:rFonts w:ascii="宋体" w:hAnsi="宋体" w:cs="宋体"/>
          <w:b/>
          <w:color w:val="auto"/>
          <w:szCs w:val="21"/>
          <w:highlight w:val="none"/>
          <w:u w:val="single"/>
        </w:rPr>
      </w:pPr>
      <w:r>
        <w:rPr>
          <w:rFonts w:hint="eastAsia" w:ascii="宋体" w:hAnsi="宋体" w:cs="宋体"/>
          <w:bCs/>
          <w:color w:val="auto"/>
          <w:szCs w:val="21"/>
          <w:highlight w:val="none"/>
          <w:u w:val="single"/>
        </w:rPr>
        <w:t>43.6.4将所有定标委员会成员对同一投标人的评分进行相加【总分（100分）=方案因素得分（100分）×方案因素得分权重（70%）+价格因素得分（100分）×价格因素得分权重（30%）】，总分由高至低排序，总分最高的合格中标候选人为中标人；其中，</w:t>
      </w:r>
      <w:r>
        <w:rPr>
          <w:rFonts w:ascii="宋体" w:hAnsi="宋体" w:cs="宋体"/>
          <w:bCs/>
          <w:color w:val="auto"/>
          <w:szCs w:val="21"/>
          <w:highlight w:val="none"/>
          <w:u w:val="single"/>
        </w:rPr>
        <w:t>合格中标候选人方案</w:t>
      </w:r>
      <w:r>
        <w:rPr>
          <w:rFonts w:hint="eastAsia" w:ascii="宋体" w:hAnsi="宋体" w:cs="宋体"/>
          <w:bCs/>
          <w:color w:val="auto"/>
          <w:szCs w:val="21"/>
          <w:highlight w:val="none"/>
          <w:u w:val="single"/>
        </w:rPr>
        <w:t>因素</w:t>
      </w:r>
      <w:r>
        <w:rPr>
          <w:rFonts w:ascii="宋体" w:hAnsi="宋体" w:cs="宋体"/>
          <w:bCs/>
          <w:color w:val="auto"/>
          <w:szCs w:val="21"/>
          <w:highlight w:val="none"/>
          <w:u w:val="single"/>
        </w:rPr>
        <w:t>得分为所有定标委员会成员对同一</w:t>
      </w:r>
      <w:r>
        <w:rPr>
          <w:rFonts w:hint="eastAsia" w:ascii="宋体" w:hAnsi="宋体" w:cs="宋体"/>
          <w:bCs/>
          <w:color w:val="auto"/>
          <w:szCs w:val="21"/>
          <w:highlight w:val="none"/>
          <w:u w:val="single"/>
        </w:rPr>
        <w:t>合格中标候选人方案因素的各项评分相加去掉一个最高分和一个最低分后计取的算术平均分。方案因素得分、价格因素得分及总分，若分数出现小数点时，均保留小数点后二位小数，第三位小数四舍五入。</w:t>
      </w:r>
    </w:p>
    <w:p w14:paraId="29DB2CCF">
      <w:pPr>
        <w:pBdr>
          <w:bottom w:val="single" w:color="auto" w:sz="4" w:space="0"/>
        </w:pBd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注：</w:t>
      </w:r>
      <w:bookmarkStart w:id="18" w:name="OLE_LINK25"/>
      <w:r>
        <w:rPr>
          <w:rFonts w:hint="eastAsia" w:ascii="宋体" w:hAnsi="宋体" w:cs="宋体"/>
          <w:bCs/>
          <w:color w:val="auto"/>
          <w:szCs w:val="21"/>
          <w:highlight w:val="none"/>
          <w:u w:val="single"/>
        </w:rPr>
        <w:t>若合格中标候选人总分相同且影响定标排序的，以方案因素得分高的排前；若方案因素得分仍相同的，以报价低的排前，若报价仍相同的，由定标委员会投票确定排序</w:t>
      </w:r>
      <w:bookmarkEnd w:id="18"/>
      <w:r>
        <w:rPr>
          <w:rFonts w:hint="eastAsia" w:ascii="宋体" w:hAnsi="宋体" w:cs="宋体"/>
          <w:bCs/>
          <w:color w:val="auto"/>
          <w:szCs w:val="21"/>
          <w:highlight w:val="none"/>
          <w:u w:val="single"/>
        </w:rPr>
        <w:t>。</w:t>
      </w:r>
    </w:p>
    <w:p w14:paraId="56ABA1DC">
      <w:pPr>
        <w:pBdr>
          <w:bottom w:val="single" w:color="auto" w:sz="4" w:space="0"/>
        </w:pBd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43.6.</w:t>
      </w:r>
      <w:bookmarkStart w:id="19" w:name="OLE_LINK27"/>
      <w:bookmarkStart w:id="20" w:name="OLE_LINK26"/>
      <w:r>
        <w:rPr>
          <w:rFonts w:hint="eastAsia" w:ascii="宋体" w:hAnsi="宋体" w:cs="宋体"/>
          <w:bCs/>
          <w:color w:val="auto"/>
          <w:szCs w:val="21"/>
          <w:highlight w:val="none"/>
          <w:u w:val="single"/>
        </w:rPr>
        <w:t>5定标委员会根据评分情况及定标原则确定中标人</w:t>
      </w:r>
      <w:bookmarkEnd w:id="19"/>
      <w:bookmarkEnd w:id="20"/>
      <w:r>
        <w:rPr>
          <w:rFonts w:hint="eastAsia" w:ascii="宋体" w:hAnsi="宋体" w:cs="宋体"/>
          <w:bCs/>
          <w:color w:val="auto"/>
          <w:szCs w:val="21"/>
          <w:highlight w:val="none"/>
          <w:u w:val="single"/>
        </w:rPr>
        <w:t>。编写定标报告，定标委员会全体确认后签署定标报告。</w:t>
      </w:r>
    </w:p>
    <w:p w14:paraId="4462915B">
      <w:pPr>
        <w:pBdr>
          <w:bottom w:val="single" w:color="auto" w:sz="4" w:space="0"/>
        </w:pBd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43.7招标人应当在定标工作完成后3日内公示中标结果。</w:t>
      </w:r>
    </w:p>
    <w:p w14:paraId="0CF3A33D">
      <w:pPr>
        <w:pBdr>
          <w:bottom w:val="single" w:color="auto" w:sz="4" w:space="0"/>
        </w:pBdr>
        <w:spacing w:line="360" w:lineRule="auto"/>
        <w:ind w:firstLine="470" w:firstLineChars="224"/>
        <w:rPr>
          <w:rFonts w:ascii="宋体" w:hAnsi="宋体" w:cs="宋体"/>
          <w:bCs/>
          <w:color w:val="auto"/>
          <w:szCs w:val="21"/>
          <w:highlight w:val="none"/>
          <w:u w:val="single"/>
        </w:rPr>
      </w:pPr>
      <w:r>
        <w:rPr>
          <w:rFonts w:hint="eastAsia" w:ascii="宋体" w:hAnsi="宋体" w:cs="宋体"/>
          <w:bCs/>
          <w:color w:val="auto"/>
          <w:szCs w:val="21"/>
          <w:highlight w:val="none"/>
          <w:u w:val="single"/>
        </w:rPr>
        <w:t>43.7.1重新评标或定标的，评标信息（含业绩、奖项等）、定标信息仍以投标截止时投标人的信息为准。因特殊原因需要延长投标有效期，投标人拒绝延长投标有效期的，仍参与评标、定标，但不被推荐为合格中标候选人。</w:t>
      </w:r>
    </w:p>
    <w:p w14:paraId="14A8F2D5">
      <w:pPr>
        <w:pBdr>
          <w:bottom w:val="single" w:color="auto" w:sz="4" w:space="0"/>
        </w:pBdr>
        <w:spacing w:line="360" w:lineRule="auto"/>
        <w:ind w:firstLine="470" w:firstLineChars="224"/>
        <w:rPr>
          <w:rFonts w:ascii="宋体" w:hAnsi="宋体" w:cs="宋体"/>
          <w:bCs/>
          <w:color w:val="auto"/>
          <w:szCs w:val="21"/>
          <w:highlight w:val="none"/>
          <w:u w:val="single"/>
        </w:rPr>
      </w:pPr>
      <w:r>
        <w:rPr>
          <w:rFonts w:ascii="宋体" w:hAnsi="宋体" w:cs="宋体"/>
          <w:bCs/>
          <w:color w:val="auto"/>
          <w:szCs w:val="21"/>
          <w:highlight w:val="none"/>
          <w:u w:val="single"/>
        </w:rPr>
        <w:t>43.7.</w:t>
      </w:r>
      <w:r>
        <w:rPr>
          <w:rFonts w:hint="eastAsia" w:ascii="宋体" w:hAnsi="宋体" w:cs="宋体"/>
          <w:bCs/>
          <w:color w:val="auto"/>
          <w:szCs w:val="21"/>
          <w:highlight w:val="none"/>
          <w:u w:val="single"/>
        </w:rPr>
        <w:t>2</w:t>
      </w:r>
      <w:bookmarkStart w:id="21" w:name="OLE_LINK29"/>
      <w:bookmarkStart w:id="22" w:name="OLE_LINK28"/>
      <w:r>
        <w:rPr>
          <w:rFonts w:hint="eastAsia" w:ascii="宋体" w:hAnsi="宋体" w:cs="宋体"/>
          <w:bCs/>
          <w:color w:val="auto"/>
          <w:szCs w:val="21"/>
          <w:highlight w:val="none"/>
          <w:u w:val="single"/>
        </w:rPr>
        <w:t>在合格中标候选人公示期间或在定标前，如有合格中标候选人放弃中标候选人资格或者被查实存在影响中标候选人资格的违法行为等情形，且合格中标候选人至少有1名的，招标人不再递补其他合格中标候选人，可以继续定标或依法重新招标；如没有合格中标候选人的，则依法重新招标</w:t>
      </w:r>
      <w:bookmarkEnd w:id="21"/>
      <w:bookmarkEnd w:id="22"/>
      <w:r>
        <w:rPr>
          <w:rFonts w:hint="eastAsia" w:ascii="宋体" w:hAnsi="宋体" w:cs="宋体"/>
          <w:bCs/>
          <w:color w:val="auto"/>
          <w:szCs w:val="21"/>
          <w:highlight w:val="none"/>
          <w:u w:val="single"/>
        </w:rPr>
        <w:t>。</w:t>
      </w:r>
    </w:p>
    <w:p w14:paraId="58800FD7">
      <w:pPr>
        <w:pBdr>
          <w:bottom w:val="single" w:color="auto" w:sz="4" w:space="0"/>
        </w:pBdr>
        <w:spacing w:line="360" w:lineRule="auto"/>
        <w:ind w:firstLine="470" w:firstLineChars="224"/>
        <w:rPr>
          <w:rFonts w:ascii="宋体" w:hAnsi="宋体" w:cs="宋体"/>
          <w:bCs/>
          <w:color w:val="auto"/>
          <w:szCs w:val="21"/>
          <w:highlight w:val="none"/>
          <w:u w:val="single"/>
        </w:rPr>
      </w:pPr>
      <w:r>
        <w:rPr>
          <w:rFonts w:ascii="宋体" w:hAnsi="宋体" w:cs="宋体"/>
          <w:bCs/>
          <w:color w:val="auto"/>
          <w:szCs w:val="21"/>
          <w:highlight w:val="none"/>
          <w:u w:val="single"/>
        </w:rPr>
        <w:t>43.7.</w:t>
      </w:r>
      <w:r>
        <w:rPr>
          <w:rFonts w:hint="eastAsia" w:ascii="宋体" w:hAnsi="宋体" w:cs="宋体"/>
          <w:bCs/>
          <w:color w:val="auto"/>
          <w:szCs w:val="21"/>
          <w:highlight w:val="none"/>
          <w:u w:val="single"/>
        </w:rPr>
        <w:t>3</w:t>
      </w:r>
      <w:bookmarkStart w:id="23" w:name="OLE_LINK30"/>
      <w:r>
        <w:rPr>
          <w:rFonts w:hint="eastAsia" w:ascii="宋体" w:hAnsi="宋体" w:cs="宋体"/>
          <w:bCs/>
          <w:color w:val="auto"/>
          <w:szCs w:val="21"/>
          <w:highlight w:val="none"/>
          <w:u w:val="single"/>
        </w:rPr>
        <w:t>如在中标结果公示前出现合格中标候选人放弃其中标候选人资格的情形，招标人有权确定总得分排名第二名的合格中标候选人为中标人，如此类推，招标人也可以重新招标。如所有的合格中标候选人均放弃其中标候选人资格的，为招标失败，招标人依法重新招标</w:t>
      </w:r>
      <w:bookmarkEnd w:id="23"/>
      <w:r>
        <w:rPr>
          <w:rFonts w:hint="eastAsia" w:ascii="宋体" w:hAnsi="宋体" w:cs="宋体"/>
          <w:bCs/>
          <w:color w:val="auto"/>
          <w:szCs w:val="21"/>
          <w:highlight w:val="none"/>
          <w:u w:val="single"/>
        </w:rPr>
        <w:t>。</w:t>
      </w:r>
    </w:p>
    <w:p w14:paraId="4486670E">
      <w:pPr>
        <w:pBdr>
          <w:bottom w:val="single" w:color="auto" w:sz="4" w:space="0"/>
        </w:pBdr>
        <w:spacing w:line="360" w:lineRule="auto"/>
        <w:ind w:firstLine="470" w:firstLineChars="224"/>
        <w:rPr>
          <w:rFonts w:ascii="宋体" w:hAnsi="宋体" w:cs="宋体"/>
          <w:bCs/>
          <w:color w:val="auto"/>
          <w:szCs w:val="21"/>
          <w:highlight w:val="none"/>
        </w:rPr>
      </w:pPr>
      <w:r>
        <w:rPr>
          <w:rFonts w:hint="eastAsia" w:ascii="宋体" w:hAnsi="宋体" w:cs="宋体"/>
          <w:bCs/>
          <w:color w:val="auto"/>
          <w:szCs w:val="21"/>
          <w:highlight w:val="none"/>
          <w:u w:val="single"/>
        </w:rPr>
        <w:t>43.8如中标人放弃中标、或因不可抗力提出不能履行合同，或者招标文件规定应当提交履约担保而在规定的期限内未能提交的，或经核查发现委派的项目负责人已在其他在建项目中担任本职务的，招标人有权取消其中标人资格或解除合同，从其他合格中标候选人中采用上述办法，确定总得分排名第二名的合格中标候选人为中标人，如此类推，招标人也可以重新招标。</w:t>
      </w:r>
    </w:p>
    <w:p w14:paraId="17545201">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条款号：附表一《资格审查表》</w:t>
      </w:r>
      <w:r>
        <w:rPr>
          <w:rFonts w:ascii="宋体" w:hAnsi="宋体" w:eastAsia="宋体" w:cs="宋体"/>
          <w:b/>
          <w:color w:val="auto"/>
          <w:szCs w:val="21"/>
          <w:highlight w:val="none"/>
        </w:rPr>
        <w:t xml:space="preserve">        </w:t>
      </w:r>
      <w:r>
        <w:rPr>
          <w:rFonts w:hint="eastAsia" w:ascii="宋体" w:hAnsi="宋体" w:eastAsia="宋体" w:cs="宋体"/>
          <w:b/>
          <w:color w:val="auto"/>
          <w:szCs w:val="21"/>
          <w:highlight w:val="none"/>
        </w:rPr>
        <w:t xml:space="preserve">        修改类型：修改</w:t>
      </w:r>
    </w:p>
    <w:p w14:paraId="5D0DDA7D">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详见最新版广州市建设工程施工公开招标项目招标文件范本（适用于资格后审综合评分法、经评审的最低投标价法的施工电子招标项目）</w:t>
      </w:r>
      <w:r>
        <w:rPr>
          <w:rFonts w:ascii="宋体" w:hAnsi="宋体" w:eastAsia="宋体" w:cs="宋体"/>
          <w:bCs/>
          <w:color w:val="auto"/>
          <w:szCs w:val="21"/>
          <w:highlight w:val="none"/>
        </w:rPr>
        <w:t>GZZB2018-3</w:t>
      </w:r>
    </w:p>
    <w:p w14:paraId="68833D72">
      <w:pPr>
        <w:pBdr>
          <w:bottom w:val="single" w:color="auto" w:sz="6" w:space="1"/>
        </w:pBdr>
        <w:spacing w:line="360" w:lineRule="auto"/>
        <w:ind w:firstLine="422" w:firstLineChars="200"/>
        <w:rPr>
          <w:rFonts w:ascii="宋体" w:hAnsi="宋体" w:eastAsia="宋体" w:cs="宋体"/>
          <w:color w:val="auto"/>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详见本招标文件第二章附表一《资格审查表》</w:t>
      </w:r>
    </w:p>
    <w:p w14:paraId="6549E8E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条款号：附表二《技术标有效性审查表》</w:t>
      </w:r>
      <w:r>
        <w:rPr>
          <w:rFonts w:ascii="宋体" w:hAnsi="宋体" w:eastAsia="宋体" w:cs="宋体"/>
          <w:b/>
          <w:color w:val="auto"/>
          <w:szCs w:val="21"/>
          <w:highlight w:val="none"/>
        </w:rPr>
        <w:t xml:space="preserve">        </w:t>
      </w:r>
      <w:r>
        <w:rPr>
          <w:rFonts w:hint="eastAsia" w:ascii="宋体" w:hAnsi="宋体" w:eastAsia="宋体" w:cs="宋体"/>
          <w:b/>
          <w:color w:val="auto"/>
          <w:szCs w:val="21"/>
          <w:highlight w:val="none"/>
        </w:rPr>
        <w:t>修改类型：修改</w:t>
      </w:r>
    </w:p>
    <w:p w14:paraId="34231C21">
      <w:pP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详见最新版广州市建设工程施工公开招标项目招标文件范本（适用于资格后审综合评分法、经评审的最低投标价法的施工电子招标项目）</w:t>
      </w:r>
      <w:r>
        <w:rPr>
          <w:rFonts w:ascii="宋体" w:hAnsi="宋体" w:eastAsia="宋体" w:cs="宋体"/>
          <w:bCs/>
          <w:color w:val="auto"/>
          <w:szCs w:val="21"/>
          <w:highlight w:val="none"/>
        </w:rPr>
        <w:t>GZZB2018-3</w:t>
      </w:r>
    </w:p>
    <w:p w14:paraId="0C64FA77">
      <w:pPr>
        <w:pBdr>
          <w:bottom w:val="single" w:color="auto" w:sz="6" w:space="1"/>
        </w:pBdr>
        <w:spacing w:line="360" w:lineRule="auto"/>
        <w:ind w:firstLine="422" w:firstLineChars="200"/>
        <w:rPr>
          <w:rFonts w:ascii="宋体" w:hAnsi="宋体" w:eastAsia="宋体" w:cs="宋体"/>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详见本招标文件第二章附表二《技术标有效性审查表》</w:t>
      </w:r>
    </w:p>
    <w:p w14:paraId="06E0829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条款号：附表三《经济标有效性审查表》</w:t>
      </w:r>
      <w:r>
        <w:rPr>
          <w:rFonts w:ascii="宋体" w:hAnsi="宋体" w:eastAsia="宋体" w:cs="宋体"/>
          <w:b/>
          <w:color w:val="auto"/>
          <w:szCs w:val="21"/>
          <w:highlight w:val="none"/>
        </w:rPr>
        <w:t xml:space="preserve">        </w:t>
      </w:r>
      <w:r>
        <w:rPr>
          <w:rFonts w:hint="eastAsia" w:ascii="宋体" w:hAnsi="宋体" w:eastAsia="宋体" w:cs="宋体"/>
          <w:b/>
          <w:color w:val="auto"/>
          <w:szCs w:val="21"/>
          <w:highlight w:val="none"/>
        </w:rPr>
        <w:t>修改类型：修改</w:t>
      </w:r>
    </w:p>
    <w:p w14:paraId="4C268FCF">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详见最新版广州市建设工程施工公开招标项目招标文件范本（适用于资格后审综合评分法、经评审的最低投标价法的施工电子招标项目）</w:t>
      </w:r>
      <w:r>
        <w:rPr>
          <w:rFonts w:ascii="宋体" w:hAnsi="宋体" w:eastAsia="宋体" w:cs="宋体"/>
          <w:bCs/>
          <w:color w:val="auto"/>
          <w:szCs w:val="21"/>
          <w:highlight w:val="none"/>
        </w:rPr>
        <w:t>GZZB2018-3</w:t>
      </w:r>
    </w:p>
    <w:p w14:paraId="261EEBDC">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w:t>
      </w:r>
      <w:r>
        <w:rPr>
          <w:rFonts w:hint="eastAsia" w:ascii="宋体" w:hAnsi="宋体" w:eastAsia="宋体" w:cs="宋体"/>
          <w:color w:val="auto"/>
          <w:szCs w:val="21"/>
          <w:highlight w:val="none"/>
        </w:rPr>
        <w:t>详见本招标文件第二章附表三《经济标有效性审查表》</w:t>
      </w:r>
    </w:p>
    <w:p w14:paraId="7065654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条款号：附表四《技术标详细审查评分表》</w:t>
      </w:r>
      <w:r>
        <w:rPr>
          <w:rFonts w:ascii="宋体" w:hAnsi="宋体" w:eastAsia="宋体" w:cs="宋体"/>
          <w:b/>
          <w:color w:val="auto"/>
          <w:szCs w:val="21"/>
          <w:highlight w:val="none"/>
        </w:rPr>
        <w:t xml:space="preserve">      </w:t>
      </w:r>
      <w:r>
        <w:rPr>
          <w:rFonts w:hint="eastAsia" w:ascii="宋体" w:hAnsi="宋体" w:eastAsia="宋体" w:cs="宋体"/>
          <w:b/>
          <w:color w:val="auto"/>
          <w:szCs w:val="21"/>
          <w:highlight w:val="none"/>
        </w:rPr>
        <w:t>修改类型：修改</w:t>
      </w:r>
    </w:p>
    <w:p w14:paraId="6AA76A12">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详见最新版广州市建设工程施工公开招标项目招标文件范本（适用于资格后审综合评分法、经评审的最低投标价法的施工电子招标项目）</w:t>
      </w:r>
      <w:r>
        <w:rPr>
          <w:rFonts w:ascii="宋体" w:hAnsi="宋体" w:eastAsia="宋体" w:cs="宋体"/>
          <w:bCs/>
          <w:color w:val="auto"/>
          <w:szCs w:val="21"/>
          <w:highlight w:val="none"/>
        </w:rPr>
        <w:t>GZZB2018-3</w:t>
      </w:r>
    </w:p>
    <w:p w14:paraId="049ED4A6">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条款号：附表五（适用于区间抽取法）《经济标评分表》</w:t>
      </w:r>
      <w:r>
        <w:rPr>
          <w:rFonts w:ascii="宋体" w:hAnsi="宋体" w:eastAsia="宋体" w:cs="宋体"/>
          <w:b/>
          <w:color w:val="auto"/>
          <w:szCs w:val="21"/>
          <w:highlight w:val="none"/>
        </w:rPr>
        <w:t xml:space="preserve">      </w:t>
      </w:r>
      <w:r>
        <w:rPr>
          <w:rFonts w:hint="eastAsia" w:ascii="宋体" w:hAnsi="宋体" w:eastAsia="宋体" w:cs="宋体"/>
          <w:b/>
          <w:color w:val="auto"/>
          <w:szCs w:val="21"/>
          <w:highlight w:val="none"/>
        </w:rPr>
        <w:t>修改类型：修改</w:t>
      </w:r>
    </w:p>
    <w:p w14:paraId="7A97F4D0">
      <w:pPr>
        <w:pBdr>
          <w:bottom w:val="single" w:color="auto" w:sz="6" w:space="1"/>
        </w:pBdr>
        <w:spacing w:line="360" w:lineRule="auto"/>
        <w:ind w:firstLine="422" w:firstLineChars="200"/>
        <w:rPr>
          <w:rFonts w:ascii="宋体" w:hAnsi="宋体" w:eastAsia="宋体" w:cs="宋体"/>
          <w:bCs/>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详见最新版广州市建设工程施工公开招标项目招标文件范本（适用于资格后审综合评分法、经评审的最低投标价法的施工电子招标项目）</w:t>
      </w:r>
      <w:r>
        <w:rPr>
          <w:rFonts w:ascii="宋体" w:hAnsi="宋体" w:eastAsia="宋体" w:cs="宋体"/>
          <w:bCs/>
          <w:color w:val="auto"/>
          <w:szCs w:val="21"/>
          <w:highlight w:val="none"/>
        </w:rPr>
        <w:t>GZZB2018-3</w:t>
      </w:r>
    </w:p>
    <w:p w14:paraId="03249F0A">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现文：附表五《投标报价折算标准表》</w:t>
      </w:r>
    </w:p>
    <w:p w14:paraId="1646E93F">
      <w:pPr>
        <w:pBdr>
          <w:bottom w:val="single" w:color="auto" w:sz="6" w:space="1"/>
        </w:pBd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详见本招标文件第二章附表五《投标报价折算标准表》</w:t>
      </w:r>
    </w:p>
    <w:p w14:paraId="680948EB">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条款号：附表六《算术复核表》</w:t>
      </w:r>
      <w:r>
        <w:rPr>
          <w:rFonts w:ascii="宋体" w:hAnsi="宋体" w:eastAsia="宋体" w:cs="宋体"/>
          <w:b/>
          <w:color w:val="auto"/>
          <w:szCs w:val="21"/>
          <w:highlight w:val="none"/>
        </w:rPr>
        <w:t xml:space="preserve">                </w:t>
      </w:r>
      <w:r>
        <w:rPr>
          <w:rFonts w:hint="eastAsia" w:ascii="宋体" w:hAnsi="宋体" w:eastAsia="宋体" w:cs="宋体"/>
          <w:b/>
          <w:color w:val="auto"/>
          <w:szCs w:val="21"/>
          <w:highlight w:val="none"/>
        </w:rPr>
        <w:t>修改类型：修改</w:t>
      </w:r>
    </w:p>
    <w:p w14:paraId="29BB913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原文：</w:t>
      </w:r>
      <w:r>
        <w:rPr>
          <w:rFonts w:hint="eastAsia" w:ascii="宋体" w:hAnsi="宋体" w:eastAsia="宋体" w:cs="宋体"/>
          <w:bCs/>
          <w:color w:val="auto"/>
          <w:szCs w:val="21"/>
          <w:highlight w:val="none"/>
        </w:rPr>
        <w:t>详见最新版广州市建设工程施工公开招标项目招标文件范本（适用于资格后审综合评分法、经评审的最低投标价法的施工电子招标项目）</w:t>
      </w:r>
      <w:r>
        <w:rPr>
          <w:rFonts w:ascii="宋体" w:hAnsi="宋体" w:eastAsia="宋体" w:cs="宋体"/>
          <w:bCs/>
          <w:color w:val="auto"/>
          <w:szCs w:val="21"/>
          <w:highlight w:val="none"/>
        </w:rPr>
        <w:t>GZZB2018-3</w:t>
      </w:r>
    </w:p>
    <w:p w14:paraId="0655B057">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现文：附表四《算术复核表》</w:t>
      </w:r>
    </w:p>
    <w:p w14:paraId="0E8E0A09">
      <w:pPr>
        <w:pBdr>
          <w:bottom w:val="single" w:color="auto" w:sz="6" w:space="1"/>
        </w:pBdr>
        <w:spacing w:line="360" w:lineRule="auto"/>
        <w:ind w:firstLine="420" w:firstLineChars="200"/>
        <w:rPr>
          <w:rFonts w:ascii="宋体" w:hAnsi="宋体" w:eastAsia="宋体" w:cs="宋体"/>
          <w:b/>
          <w:color w:val="auto"/>
          <w:szCs w:val="21"/>
          <w:highlight w:val="none"/>
        </w:rPr>
      </w:pPr>
      <w:r>
        <w:rPr>
          <w:rFonts w:hint="eastAsia" w:ascii="宋体" w:hAnsi="宋体" w:eastAsia="宋体" w:cs="宋体"/>
          <w:color w:val="auto"/>
          <w:szCs w:val="21"/>
          <w:highlight w:val="none"/>
        </w:rPr>
        <w:t>详见本招标文件第二章附表四《算术复核表》</w:t>
      </w:r>
    </w:p>
    <w:p w14:paraId="7AC8A53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条款号：附表六至附表十三</w:t>
      </w:r>
      <w:r>
        <w:rPr>
          <w:rFonts w:ascii="宋体" w:hAnsi="宋体" w:eastAsia="宋体" w:cs="宋体"/>
          <w:b/>
          <w:color w:val="auto"/>
          <w:szCs w:val="21"/>
          <w:highlight w:val="none"/>
        </w:rPr>
        <w:t xml:space="preserve">                    </w:t>
      </w:r>
      <w:r>
        <w:rPr>
          <w:rFonts w:hint="eastAsia" w:ascii="宋体" w:hAnsi="宋体" w:eastAsia="宋体" w:cs="宋体"/>
          <w:b/>
          <w:color w:val="auto"/>
          <w:szCs w:val="21"/>
          <w:highlight w:val="none"/>
        </w:rPr>
        <w:t>修改类型：增加</w:t>
      </w:r>
    </w:p>
    <w:p w14:paraId="06924A95">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现文：附表六《定标因素表（定标阶段用表）》</w:t>
      </w:r>
    </w:p>
    <w:p w14:paraId="3C9DF07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附表七《定标阶段（方案因素）评审得分表》（定标委员个人用表）</w:t>
      </w:r>
    </w:p>
    <w:p w14:paraId="462C8AD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附表八《定标阶段（方案因素）得分汇总表》（定标委员会汇总用表）</w:t>
      </w:r>
    </w:p>
    <w:p w14:paraId="0A16715C">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附表九《定标阶段（价格因素）评审得分表》（定标委员会汇总用表）</w:t>
      </w:r>
    </w:p>
    <w:p w14:paraId="0CC18E1D">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附表十《定标因素得分汇总及排序表》（定标委员会汇总用表）</w:t>
      </w:r>
    </w:p>
    <w:p w14:paraId="476210F2">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附表十一《（第</w:t>
      </w:r>
      <w:r>
        <w:rPr>
          <w:rFonts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组第</w:t>
      </w:r>
      <w:r>
        <w:rPr>
          <w:rFonts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轮）附加投票表（如有）》（定标委员个人用表）</w:t>
      </w:r>
    </w:p>
    <w:p w14:paraId="3D6B88AA">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附表十二《（第</w:t>
      </w:r>
      <w:r>
        <w:rPr>
          <w:rFonts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组第</w:t>
      </w:r>
      <w:r>
        <w:rPr>
          <w:rFonts w:ascii="宋体" w:hAnsi="宋体" w:eastAsia="宋体" w:cs="宋体"/>
          <w:b/>
          <w:color w:val="auto"/>
          <w:szCs w:val="21"/>
          <w:highlight w:val="none"/>
          <w:u w:val="single"/>
        </w:rPr>
        <w:t xml:space="preserve">  </w:t>
      </w:r>
      <w:r>
        <w:rPr>
          <w:rFonts w:hint="eastAsia" w:ascii="宋体" w:hAnsi="宋体" w:eastAsia="宋体" w:cs="宋体"/>
          <w:b/>
          <w:color w:val="auto"/>
          <w:szCs w:val="21"/>
          <w:highlight w:val="none"/>
        </w:rPr>
        <w:t>轮）附加投票统计表（如有）》（定标委员会汇总用表）</w:t>
      </w:r>
    </w:p>
    <w:p w14:paraId="6C400E43">
      <w:pP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附表十三《定标情况汇总表（定标阶段）》（定标委员会汇总用表）</w:t>
      </w:r>
    </w:p>
    <w:p w14:paraId="0E24E37E">
      <w:pPr>
        <w:pBdr>
          <w:bottom w:val="single" w:color="auto" w:sz="6" w:space="1"/>
        </w:pBdr>
        <w:spacing w:line="360" w:lineRule="auto"/>
        <w:ind w:firstLine="422" w:firstLineChars="200"/>
        <w:rPr>
          <w:rFonts w:ascii="宋体" w:hAnsi="宋体" w:eastAsia="宋体" w:cs="宋体"/>
          <w:b/>
          <w:color w:val="auto"/>
          <w:szCs w:val="21"/>
          <w:highlight w:val="none"/>
        </w:rPr>
      </w:pPr>
      <w:r>
        <w:rPr>
          <w:rFonts w:hint="eastAsia" w:ascii="宋体" w:hAnsi="宋体" w:eastAsia="宋体" w:cs="宋体"/>
          <w:b/>
          <w:color w:val="auto"/>
          <w:szCs w:val="21"/>
          <w:highlight w:val="none"/>
        </w:rPr>
        <w:t>具体详见招标文件正文附表。</w:t>
      </w:r>
    </w:p>
    <w:p w14:paraId="689D1CC8">
      <w:pPr>
        <w:snapToGrid w:val="0"/>
        <w:spacing w:line="360" w:lineRule="auto"/>
        <w:ind w:firstLine="211" w:firstLineChars="100"/>
        <w:rPr>
          <w:rFonts w:ascii="宋体" w:hAnsi="宋体" w:eastAsia="宋体" w:cs="宋体"/>
          <w:b/>
          <w:strike/>
          <w:color w:val="auto"/>
          <w:szCs w:val="21"/>
          <w:highlight w:val="none"/>
        </w:rPr>
      </w:pPr>
      <w:r>
        <w:rPr>
          <w:rFonts w:hint="eastAsia" w:ascii="宋体" w:hAnsi="宋体" w:eastAsia="宋体" w:cs="宋体"/>
          <w:b/>
          <w:strike/>
          <w:color w:val="auto"/>
          <w:szCs w:val="21"/>
          <w:highlight w:val="none"/>
        </w:rPr>
        <w:t>注：以上修改，仅限于本范本中有可供选择条款的情形。</w:t>
      </w:r>
    </w:p>
    <w:p w14:paraId="620CA4DA">
      <w:pPr>
        <w:snapToGrid w:val="0"/>
        <w:spacing w:line="360" w:lineRule="auto"/>
        <w:rPr>
          <w:rFonts w:ascii="宋体" w:hAnsi="宋体" w:eastAsia="宋体" w:cs="宋体"/>
          <w:color w:val="auto"/>
          <w:highlight w:val="none"/>
        </w:rPr>
      </w:pPr>
      <w:r>
        <w:rPr>
          <w:rFonts w:hint="eastAsia" w:ascii="宋体" w:hAnsi="宋体" w:eastAsia="宋体" w:cs="宋体"/>
          <w:b/>
          <w:color w:val="auto"/>
          <w:szCs w:val="21"/>
          <w:highlight w:val="none"/>
        </w:rPr>
        <w:t>（以下无正文）</w:t>
      </w:r>
      <w:bookmarkStart w:id="24" w:name="_Toc2272556"/>
      <w:bookmarkStart w:id="25" w:name="_Toc5678"/>
      <w:bookmarkStart w:id="26" w:name="_Toc2272564"/>
      <w:bookmarkStart w:id="27" w:name="_Toc21525500"/>
      <w:r>
        <w:rPr>
          <w:rFonts w:ascii="宋体" w:hAnsi="宋体" w:eastAsia="宋体" w:cs="宋体"/>
          <w:color w:val="auto"/>
          <w:highlight w:val="none"/>
        </w:rPr>
        <w:br w:type="page"/>
      </w:r>
    </w:p>
    <w:p w14:paraId="6847B3B7">
      <w:pPr>
        <w:pStyle w:val="5"/>
        <w:tabs>
          <w:tab w:val="left" w:pos="0"/>
        </w:tabs>
        <w:snapToGrid w:val="0"/>
        <w:spacing w:before="0" w:after="0" w:line="360" w:lineRule="auto"/>
        <w:ind w:firstLine="525"/>
        <w:jc w:val="center"/>
        <w:rPr>
          <w:rFonts w:ascii="宋体" w:hAnsi="宋体" w:eastAsia="宋体" w:cs="宋体"/>
          <w:color w:val="auto"/>
          <w:szCs w:val="32"/>
          <w:highlight w:val="none"/>
        </w:rPr>
      </w:pPr>
      <w:r>
        <w:rPr>
          <w:rFonts w:hint="eastAsia" w:ascii="宋体" w:hAnsi="宋体" w:eastAsia="宋体" w:cs="宋体"/>
          <w:color w:val="auto"/>
          <w:szCs w:val="32"/>
          <w:highlight w:val="none"/>
        </w:rPr>
        <w:t>二、开标、评标及定标办法通用条款</w:t>
      </w:r>
      <w:bookmarkEnd w:id="24"/>
      <w:bookmarkEnd w:id="25"/>
    </w:p>
    <w:p w14:paraId="17AF8F45">
      <w:pPr>
        <w:pStyle w:val="6"/>
        <w:tabs>
          <w:tab w:val="left" w:pos="0"/>
        </w:tabs>
        <w:snapToGrid w:val="0"/>
        <w:spacing w:before="0" w:after="0" w:line="360" w:lineRule="auto"/>
        <w:ind w:firstLine="643" w:firstLineChars="200"/>
        <w:rPr>
          <w:rFonts w:ascii="宋体" w:hAnsi="宋体" w:eastAsia="宋体" w:cs="宋体"/>
          <w:bCs/>
          <w:color w:val="auto"/>
          <w:highlight w:val="none"/>
        </w:rPr>
      </w:pPr>
      <w:bookmarkStart w:id="28" w:name="_Toc2272557"/>
      <w:bookmarkStart w:id="29" w:name="_Toc31373"/>
      <w:r>
        <w:rPr>
          <w:rFonts w:hint="eastAsia" w:ascii="宋体" w:hAnsi="宋体" w:eastAsia="宋体" w:cs="宋体"/>
          <w:bCs/>
          <w:color w:val="auto"/>
          <w:highlight w:val="none"/>
        </w:rPr>
        <w:t>（一）总则</w:t>
      </w:r>
      <w:bookmarkEnd w:id="28"/>
      <w:bookmarkEnd w:id="29"/>
    </w:p>
    <w:p w14:paraId="02C9E7A1">
      <w:pPr>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 xml:space="preserve">35 </w:t>
      </w:r>
      <w:r>
        <w:rPr>
          <w:rFonts w:hint="eastAsia" w:ascii="宋体" w:hAnsi="宋体" w:eastAsia="宋体" w:cs="宋体"/>
          <w:b/>
          <w:bCs/>
          <w:color w:val="auto"/>
          <w:szCs w:val="21"/>
          <w:highlight w:val="none"/>
        </w:rPr>
        <w:t>开标、评标及定标所依据的规则</w:t>
      </w:r>
    </w:p>
    <w:p w14:paraId="09F03F3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35.1《中华人民共和国招标投标法》；</w:t>
      </w:r>
    </w:p>
    <w:p w14:paraId="25DEB65D">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35.2《中华人民共和国招标投标法实施条例》；</w:t>
      </w:r>
    </w:p>
    <w:p w14:paraId="691239A7">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35.3《评标委员会和评标方法暂行规定》（七部委第12号令）</w:t>
      </w:r>
    </w:p>
    <w:p w14:paraId="328034EE">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35.4《工程建设项目施工招标投标办法》（七部委2003年第30号令）</w:t>
      </w:r>
    </w:p>
    <w:p w14:paraId="61C05281">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35.5《广东省实施〈中华人民共和国招标投标法〉办法》；</w:t>
      </w:r>
    </w:p>
    <w:p w14:paraId="753AE909">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35.6《房屋建筑和市政基础设施工程施工招标投标管理办法》（建设部令第89号）</w:t>
      </w:r>
    </w:p>
    <w:p w14:paraId="345587EC">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35.7《财政部工业和信息化部关于印发〈政府采购促进中小企业发展管理办法〉的通知》（财库〔2020〕46号）；</w:t>
      </w:r>
    </w:p>
    <w:p w14:paraId="6594FC33">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35.8《广东省加强建设工程招标投标监督管理的若干规定》（粤发[2004]4号）；</w:t>
      </w:r>
    </w:p>
    <w:p w14:paraId="24AB14F2">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35.9《广东省政府采购促进中小企业发展实施细则（试行）》；</w:t>
      </w:r>
    </w:p>
    <w:p w14:paraId="0440F13E">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35.10《广州市工程建设项目招标投标管理办法》（穗建规字〔2023〕12号）；</w:t>
      </w:r>
    </w:p>
    <w:p w14:paraId="2B798804">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35.11《广州市财政局广州市工业和信息化局转发广东省财政厅广东省发展和改革委员会广东省工业和信息化厅广东省地方金融监督管理局关于印发</w:t>
      </w:r>
      <w:r>
        <w:rPr>
          <w:rFonts w:hint="eastAsia" w:ascii="宋体" w:hAnsi="宋体" w:eastAsia="宋体" w:cs="宋体"/>
          <w:color w:val="auto"/>
          <w:szCs w:val="21"/>
          <w:highlight w:val="none"/>
        </w:rPr>
        <w:t>＜广东省政府采购促进中小企业发展实施细则（试行）＞的通知》（穗财采〔</w:t>
      </w:r>
      <w:r>
        <w:rPr>
          <w:rFonts w:ascii="宋体" w:hAnsi="宋体" w:eastAsia="宋体" w:cs="宋体"/>
          <w:color w:val="auto"/>
          <w:szCs w:val="21"/>
          <w:highlight w:val="none"/>
        </w:rPr>
        <w:t>2023〕8号）；</w:t>
      </w:r>
    </w:p>
    <w:p w14:paraId="7A67A77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35.12本项目招标文件。</w:t>
      </w:r>
    </w:p>
    <w:p w14:paraId="6D8B1AFA">
      <w:pPr>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36．开标</w:t>
      </w:r>
    </w:p>
    <w:p w14:paraId="4DCE14B8">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36.1 </w:t>
      </w:r>
      <w:r>
        <w:rPr>
          <w:rFonts w:hint="eastAsia" w:ascii="宋体" w:hAnsi="宋体" w:eastAsia="宋体" w:cs="宋体"/>
          <w:color w:val="auto"/>
          <w:szCs w:val="21"/>
          <w:highlight w:val="none"/>
        </w:rPr>
        <w:t>招标人按投标须知前附表第</w:t>
      </w:r>
      <w:r>
        <w:rPr>
          <w:rFonts w:ascii="宋体" w:hAnsi="宋体" w:eastAsia="宋体" w:cs="宋体"/>
          <w:color w:val="auto"/>
          <w:szCs w:val="21"/>
          <w:highlight w:val="none"/>
        </w:rPr>
        <w:t>18项所规定的时间和地点公开开标，并邀请所有投标人参加。截标后，开标开始时间因故推迟的，相关评标信息仍以原定的开标开始时间的信息为准。</w:t>
      </w:r>
    </w:p>
    <w:p w14:paraId="057D5C9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36.2 </w:t>
      </w:r>
      <w:r>
        <w:rPr>
          <w:rFonts w:hint="eastAsia" w:ascii="宋体" w:hAnsi="宋体" w:eastAsia="宋体" w:cs="宋体"/>
          <w:color w:val="auto"/>
          <w:szCs w:val="21"/>
          <w:highlight w:val="none"/>
        </w:rPr>
        <w:t>招标人在招标文件要求提交投标文件的截止时间前收到的投标文件，开标时都当众予以解密、公布。</w:t>
      </w:r>
    </w:p>
    <w:p w14:paraId="7ACFD187">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36.3根据投标须知前附表第19项，如需抽取某一种评标办法供评标时使用的，应在开标前抽取。首先对招标文件中约定的若干种评标方法进行编号，再随机抽取某一编号，该编号所对应的评标办法供评标时使用。</w:t>
      </w:r>
    </w:p>
    <w:p w14:paraId="137F7B93">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36.4若递交投标文件的投标人不足3家，则重新组织招标。（当N个标段同时招标且不允许兼中时，若有效投标人不足N+2家，则重新组织招标）</w:t>
      </w:r>
    </w:p>
    <w:p w14:paraId="1C8765B3">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36.5按下列程序进行开标：</w:t>
      </w:r>
    </w:p>
    <w:p w14:paraId="2585C1C9">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36.5.1在投标截止时间后</w:t>
      </w:r>
      <w:r>
        <w:rPr>
          <w:rFonts w:hint="eastAsia" w:ascii="宋体" w:hAnsi="宋体" w:eastAsia="宋体" w:cs="宋体"/>
          <w:color w:val="auto"/>
          <w:szCs w:val="21"/>
          <w:highlight w:val="none"/>
        </w:rPr>
        <w:t>一小时内，投标人通过交易平台对已递交的电子投标文件进行解密。投标人完成解密后，再由招标人进行解密。解密完成后，公布招标项目名称、投标人名称、投标保证金的递交情况、投标报价、工期及其他内容；</w:t>
      </w:r>
    </w:p>
    <w:p w14:paraId="0134D211">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36.5.2备用光盘的读取按投标须知前附表第36项的规定执行；</w:t>
      </w:r>
    </w:p>
    <w:p w14:paraId="104BB30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36.5.3投标人代表、招标人代表、监标人、记录人等有关人员在开标记录上签字确认；若有关人员不签字的，不影响开标程序；</w:t>
      </w:r>
    </w:p>
    <w:p w14:paraId="2910FD8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36.5.4开标结束。</w:t>
      </w:r>
    </w:p>
    <w:p w14:paraId="48DE9612">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0891216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36.7开标时，两个（含两个）以上的投标人加密打包投标文件电脑机器特征码一致的，不参与下一程序，并由评标委员会否决其投标。</w:t>
      </w:r>
    </w:p>
    <w:p w14:paraId="33C6BE0D">
      <w:pPr>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37．评标</w:t>
      </w:r>
    </w:p>
    <w:p w14:paraId="282AD1D4">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37.1评标委员会由招标人依法组建。</w:t>
      </w:r>
    </w:p>
    <w:p w14:paraId="6AD1F490">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37.2评标委员会在开始评标前，应了解评标专家的职责及守则，认真阅读</w:t>
      </w:r>
      <w:r>
        <w:rPr>
          <w:rFonts w:hint="eastAsia" w:ascii="宋体" w:hAnsi="宋体" w:eastAsia="宋体" w:cs="宋体"/>
          <w:color w:val="auto"/>
          <w:szCs w:val="21"/>
          <w:highlight w:val="none"/>
        </w:rPr>
        <w:t>附件</w:t>
      </w:r>
      <w:r>
        <w:rPr>
          <w:rFonts w:ascii="宋体" w:hAnsi="宋体" w:eastAsia="宋体" w:cs="宋体"/>
          <w:color w:val="auto"/>
          <w:szCs w:val="21"/>
          <w:highlight w:val="none"/>
        </w:rPr>
        <w:t>1</w:t>
      </w:r>
      <w:r>
        <w:rPr>
          <w:rFonts w:hint="eastAsia" w:ascii="宋体" w:hAnsi="宋体" w:eastAsia="宋体" w:cs="宋体"/>
          <w:color w:val="auto"/>
          <w:szCs w:val="21"/>
          <w:highlight w:val="none"/>
        </w:rPr>
        <w:t>《评标委员会成员声明》的内容并签名，签字后方可进行评标；</w:t>
      </w:r>
    </w:p>
    <w:p w14:paraId="3CF37663">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37.3评标委员会的职责及守则：</w:t>
      </w:r>
    </w:p>
    <w:p w14:paraId="0732306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37.3.1根据评标细则，对投标文件进行认真评审，完成评审报告；</w:t>
      </w:r>
    </w:p>
    <w:p w14:paraId="0E56E674">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37.3.2向招标人报告评审意见，推荐合格的中标候选人。</w:t>
      </w:r>
    </w:p>
    <w:p w14:paraId="2E3B89C5">
      <w:pPr>
        <w:spacing w:line="360" w:lineRule="auto"/>
        <w:ind w:firstLine="420" w:firstLineChars="200"/>
        <w:rPr>
          <w:rFonts w:ascii="宋体" w:hAnsi="宋体" w:eastAsia="宋体" w:cs="宋体"/>
          <w:color w:val="auto"/>
          <w:szCs w:val="21"/>
          <w:highlight w:val="none"/>
        </w:rPr>
      </w:pPr>
      <w:r>
        <w:rPr>
          <w:rFonts w:ascii="宋体" w:hAnsi="宋体" w:eastAsia="宋体" w:cs="宋体"/>
          <w:bCs/>
          <w:color w:val="auto"/>
          <w:szCs w:val="21"/>
          <w:highlight w:val="none"/>
        </w:rPr>
        <w:t>37.3.3</w:t>
      </w:r>
      <w:r>
        <w:rPr>
          <w:rFonts w:hint="eastAsia" w:ascii="宋体" w:hAnsi="宋体" w:eastAsia="宋体" w:cs="宋体"/>
          <w:color w:val="auto"/>
          <w:szCs w:val="21"/>
          <w:highlight w:val="none"/>
        </w:rPr>
        <w:t>所有参加评标人员必须遵守国家、地方政府制定的有关工程招标投标的法则、规定，遵守有关工程招标投标的保密制度；如有违反者，给予行政处分；情节严重，构成犯罪的，由司法机关依法追究其刑事责任。</w:t>
      </w:r>
    </w:p>
    <w:p w14:paraId="3685EF86">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37.3.4全体参与评标人员：</w:t>
      </w:r>
    </w:p>
    <w:p w14:paraId="52513DF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37.3.4.1 </w:t>
      </w:r>
      <w:r>
        <w:rPr>
          <w:rFonts w:hint="eastAsia" w:ascii="宋体" w:hAnsi="宋体" w:eastAsia="宋体" w:cs="宋体"/>
          <w:color w:val="auto"/>
          <w:szCs w:val="21"/>
          <w:highlight w:val="none"/>
        </w:rPr>
        <w:t>必须遵守评标纪律、不得泄密；</w:t>
      </w:r>
    </w:p>
    <w:p w14:paraId="3E99D314">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37.3.4.2 </w:t>
      </w:r>
      <w:r>
        <w:rPr>
          <w:rFonts w:hint="eastAsia" w:ascii="宋体" w:hAnsi="宋体" w:eastAsia="宋体" w:cs="宋体"/>
          <w:color w:val="auto"/>
          <w:szCs w:val="21"/>
          <w:highlight w:val="none"/>
        </w:rPr>
        <w:t>必须公正、不得循私；</w:t>
      </w:r>
    </w:p>
    <w:p w14:paraId="6C3AD3F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37.3.4.3 </w:t>
      </w:r>
      <w:r>
        <w:rPr>
          <w:rFonts w:hint="eastAsia" w:ascii="宋体" w:hAnsi="宋体" w:eastAsia="宋体" w:cs="宋体"/>
          <w:color w:val="auto"/>
          <w:szCs w:val="21"/>
          <w:highlight w:val="none"/>
        </w:rPr>
        <w:t>必须科学、不得草率；</w:t>
      </w:r>
    </w:p>
    <w:p w14:paraId="2AAE6B69">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37.3.4.4 </w:t>
      </w:r>
      <w:r>
        <w:rPr>
          <w:rFonts w:hint="eastAsia" w:ascii="宋体" w:hAnsi="宋体" w:eastAsia="宋体" w:cs="宋体"/>
          <w:color w:val="auto"/>
          <w:szCs w:val="21"/>
          <w:highlight w:val="none"/>
        </w:rPr>
        <w:t>必须客观、不得带有成见；</w:t>
      </w:r>
    </w:p>
    <w:p w14:paraId="70FD984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37.3.4.5 </w:t>
      </w:r>
      <w:r>
        <w:rPr>
          <w:rFonts w:hint="eastAsia" w:ascii="宋体" w:hAnsi="宋体" w:eastAsia="宋体" w:cs="宋体"/>
          <w:color w:val="auto"/>
          <w:szCs w:val="21"/>
          <w:highlight w:val="none"/>
        </w:rPr>
        <w:t>必须平等、不得强加于人；</w:t>
      </w:r>
    </w:p>
    <w:p w14:paraId="30946065">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37.3.4.6 </w:t>
      </w:r>
      <w:r>
        <w:rPr>
          <w:rFonts w:hint="eastAsia" w:ascii="宋体" w:hAnsi="宋体" w:eastAsia="宋体" w:cs="宋体"/>
          <w:color w:val="auto"/>
          <w:szCs w:val="21"/>
          <w:highlight w:val="none"/>
        </w:rPr>
        <w:t>必须严谨、不得随意马虎。</w:t>
      </w:r>
    </w:p>
    <w:p w14:paraId="475250E0">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37.4评标工作开始前，招标人应当向评标委员会提供评标所需的信息，包括招标项目的范围、性质、特殊性、需求目标和实施要点，以及招标文件规定的评标方法、评标因素及标准等，但不得明示或者暗示其倾向或者排斥特定投标人</w:t>
      </w:r>
      <w:r>
        <w:rPr>
          <w:rFonts w:hint="eastAsia" w:ascii="宋体" w:hAnsi="宋体" w:eastAsia="宋体" w:cs="宋体"/>
          <w:color w:val="auto"/>
          <w:szCs w:val="21"/>
          <w:highlight w:val="none"/>
        </w:rPr>
        <w:t>。</w:t>
      </w:r>
    </w:p>
    <w:p w14:paraId="26676B28">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37.5评标结束后，评标委员会递交评标报告并依法推荐中标候选人。</w:t>
      </w:r>
    </w:p>
    <w:p w14:paraId="77002EB8">
      <w:pPr>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38．投标文件的澄清</w:t>
      </w:r>
    </w:p>
    <w:p w14:paraId="4A2861B7">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14:paraId="0096D5E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38.2 </w:t>
      </w:r>
      <w:r>
        <w:rPr>
          <w:rFonts w:hint="eastAsia" w:ascii="宋体" w:hAnsi="宋体" w:eastAsia="宋体" w:cs="宋体"/>
          <w:color w:val="auto"/>
          <w:szCs w:val="21"/>
          <w:highlight w:val="none"/>
        </w:rPr>
        <w:t>投标人应以书面形式进行澄清，澄清中的承诺性意思表示在投标文件有效期内均对投标人有约束力。除评标委员会对评标中发现算术错误进行修正后要求投标人以澄清形式进行的核实和确认外，澄清不得超出投标文件的范围或改变投标文件的实质性内容，超出部分不作为评标委员会评审的依据。</w:t>
      </w:r>
    </w:p>
    <w:p w14:paraId="0B404C22">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38.3 </w:t>
      </w:r>
      <w:r>
        <w:rPr>
          <w:rFonts w:hint="eastAsia" w:ascii="宋体" w:hAnsi="宋体" w:eastAsia="宋体" w:cs="宋体"/>
          <w:color w:val="auto"/>
          <w:szCs w:val="21"/>
          <w:highlight w:val="none"/>
        </w:rPr>
        <w:t>评标委员会或评标委员会专业评审组成员均应当阅读投标人的澄清，但应独立参考澄清对投标文件进行评审。</w:t>
      </w:r>
    </w:p>
    <w:p w14:paraId="3A78A66E">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38.4如果投标文件实质上不响应招标文件的各项要求，评标委员会将按照符合性审查标准予以拒绝，不接受投标人通过修改或撤销其不符合要求的差异或保留，使之成为具有响应性的投标。</w:t>
      </w:r>
    </w:p>
    <w:p w14:paraId="62E6DC1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14:paraId="3EDC7026">
      <w:pPr>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39．定标</w:t>
      </w:r>
    </w:p>
    <w:p w14:paraId="14EA4C71">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39.1 </w:t>
      </w:r>
      <w:r>
        <w:rPr>
          <w:rFonts w:hint="eastAsia" w:ascii="宋体" w:hAnsi="宋体" w:eastAsia="宋体" w:cs="宋体"/>
          <w:color w:val="auto"/>
          <w:szCs w:val="21"/>
          <w:highlight w:val="none"/>
        </w:rPr>
        <w:t>招标人根据评标委员会递交的评标报告，最终审定中标人。</w:t>
      </w:r>
    </w:p>
    <w:p w14:paraId="39C5F85C">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39.2 </w:t>
      </w:r>
      <w:r>
        <w:rPr>
          <w:rFonts w:hint="eastAsia" w:ascii="宋体" w:hAnsi="宋体" w:eastAsia="宋体" w:cs="宋体"/>
          <w:color w:val="auto"/>
          <w:szCs w:val="21"/>
          <w:highlight w:val="none"/>
        </w:rPr>
        <w:t>依法必须进行公开招标的项目，招标人应当确定排名第一的中标候选人为中标人。</w:t>
      </w:r>
    </w:p>
    <w:p w14:paraId="5A8010FE">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39.3排名第一的中标候选人放弃中标、或因不可抗力提出不能履行合同，或者招标文件规定应当提交履约担保而在规定的期限内未能提交的，招标人可以确定排名第二的中标候选人为中标人。</w:t>
      </w:r>
    </w:p>
    <w:p w14:paraId="5C6C3C32">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39.4排名第二的中标候选人出现前款所列的情形的，招标人可以确定排名第三的中标候选人为中标人。以此类推，如所有中标候选人均出现前款所列的情形，为招标失败，招标人依法重新招标。</w:t>
      </w:r>
    </w:p>
    <w:p w14:paraId="6A26897E">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39.5重新评标的，评标信息（含业绩、奖项等）仍以投标截止时投标人的信息为准。因特殊原因需要延长投标有效期，投标人拒绝延长投标有效期的，仍参与评标，但不被推荐为中标候选人。</w:t>
      </w:r>
    </w:p>
    <w:p w14:paraId="3295E3D9">
      <w:pPr>
        <w:pStyle w:val="6"/>
        <w:tabs>
          <w:tab w:val="left" w:pos="0"/>
        </w:tabs>
        <w:snapToGrid w:val="0"/>
        <w:spacing w:before="0" w:after="0" w:line="360" w:lineRule="auto"/>
        <w:ind w:firstLine="643" w:firstLineChars="200"/>
        <w:rPr>
          <w:rFonts w:ascii="宋体" w:hAnsi="宋体" w:eastAsia="宋体" w:cs="宋体"/>
          <w:bCs/>
          <w:color w:val="auto"/>
          <w:highlight w:val="none"/>
        </w:rPr>
      </w:pPr>
      <w:bookmarkStart w:id="30" w:name="_Toc2272558"/>
      <w:bookmarkStart w:id="31" w:name="_Toc9740"/>
      <w:r>
        <w:rPr>
          <w:rFonts w:hint="eastAsia" w:ascii="宋体" w:hAnsi="宋体" w:eastAsia="宋体" w:cs="宋体"/>
          <w:bCs/>
          <w:color w:val="auto"/>
          <w:highlight w:val="none"/>
        </w:rPr>
        <w:t>（二）开标评标办法程序和细则</w:t>
      </w:r>
      <w:bookmarkEnd w:id="30"/>
      <w:bookmarkEnd w:id="31"/>
    </w:p>
    <w:p w14:paraId="4204E8A6">
      <w:pPr>
        <w:pStyle w:val="6"/>
        <w:tabs>
          <w:tab w:val="left" w:pos="0"/>
        </w:tabs>
        <w:snapToGrid w:val="0"/>
        <w:spacing w:before="0" w:after="0" w:line="360" w:lineRule="auto"/>
        <w:ind w:firstLine="422" w:firstLineChars="200"/>
        <w:rPr>
          <w:rFonts w:ascii="宋体" w:hAnsi="宋体" w:eastAsia="宋体" w:cs="宋体"/>
          <w:color w:val="auto"/>
          <w:sz w:val="21"/>
          <w:szCs w:val="21"/>
          <w:highlight w:val="none"/>
        </w:rPr>
      </w:pPr>
      <w:bookmarkStart w:id="32" w:name="_Toc3121"/>
      <w:r>
        <w:rPr>
          <w:rFonts w:hint="eastAsia" w:ascii="宋体" w:hAnsi="宋体" w:eastAsia="宋体" w:cs="宋体"/>
          <w:color w:val="auto"/>
          <w:sz w:val="21"/>
          <w:szCs w:val="21"/>
          <w:highlight w:val="none"/>
        </w:rPr>
        <w:t>可选办法八（适合经评审的最低投标价法，技术标与经济标同时开启）</w:t>
      </w:r>
      <w:bookmarkEnd w:id="32"/>
    </w:p>
    <w:p w14:paraId="08722C8B">
      <w:pPr>
        <w:snapToGrid w:val="0"/>
        <w:spacing w:line="360" w:lineRule="auto"/>
        <w:ind w:firstLine="422" w:firstLineChars="200"/>
        <w:rPr>
          <w:rFonts w:ascii="宋体" w:hAnsi="宋体" w:eastAsia="宋体" w:cs="宋体"/>
          <w:color w:val="auto"/>
          <w:szCs w:val="21"/>
          <w:highlight w:val="none"/>
        </w:rPr>
      </w:pPr>
      <w:r>
        <w:rPr>
          <w:rFonts w:ascii="宋体" w:hAnsi="宋体" w:eastAsia="宋体" w:cs="宋体"/>
          <w:b/>
          <w:bCs/>
          <w:color w:val="auto"/>
          <w:szCs w:val="21"/>
          <w:highlight w:val="none"/>
        </w:rPr>
        <w:t>40．开标和评标程序</w:t>
      </w:r>
    </w:p>
    <w:p w14:paraId="3EBF8C77">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40.1投标人递交技术标、经济标投标文件；</w:t>
      </w:r>
    </w:p>
    <w:p w14:paraId="51AB5C8D">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40.2技术标与经济标投标文件同时公开开标；</w:t>
      </w:r>
    </w:p>
    <w:p w14:paraId="3E36229D">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40.3由评标委员会对所有已公开开标的投标人进行资格审查；</w:t>
      </w:r>
    </w:p>
    <w:p w14:paraId="6ED71ED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40.4技术标投标文件有效性审查；</w:t>
      </w:r>
    </w:p>
    <w:p w14:paraId="08D07586">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40.5对经济标投标报价进行算术校核；</w:t>
      </w:r>
    </w:p>
    <w:p w14:paraId="06F01E4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40.6计算投标人总得分，并按总得分从高到低，确定经济标评审排序；</w:t>
      </w:r>
    </w:p>
    <w:p w14:paraId="79391652">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40.7按排序对经济标投标文件进行有效性审查，直至评出所有中标候选人；</w:t>
      </w:r>
    </w:p>
    <w:p w14:paraId="446B50F5">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40.8评标委员会编写经济标评审报告，向招标人推荐中标候选人。</w:t>
      </w:r>
    </w:p>
    <w:p w14:paraId="342420B5">
      <w:pPr>
        <w:spacing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41．开标细则</w:t>
      </w:r>
    </w:p>
    <w:p w14:paraId="452D8EED">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41.1开标由招标人主持；</w:t>
      </w:r>
    </w:p>
    <w:p w14:paraId="4663B0B0">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41.2细则</w:t>
      </w:r>
    </w:p>
    <w:p w14:paraId="7396818D">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41.2.1投标截止期前，各投标人递交投标文件（包括技术标投标文件、经济标投标文件）至     </w:t>
      </w:r>
      <w:r>
        <w:rPr>
          <w:rFonts w:hint="eastAsia" w:ascii="宋体" w:hAnsi="宋体" w:eastAsia="宋体" w:cs="宋体"/>
          <w:color w:val="auto"/>
          <w:szCs w:val="21"/>
          <w:highlight w:val="none"/>
        </w:rPr>
        <w:t>交易平台。有关投标文件提交的事项详见第一章投标须知。</w:t>
      </w:r>
    </w:p>
    <w:p w14:paraId="5D0C86D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41.2.2开标时，投标人代表有权参加现场开标或在线开标，也可以自主决定不参加开标，若投标人代表对开标过程有异议的，参加现场开标的应当在开标现场提出，同时出示本人身份证原件，招标人应当当场作出答复，并制作记录；参加在线开标的，投标人应通过交易平台在线提出，招标人应通过交易平台答复，答复后方可结束开标。</w:t>
      </w:r>
    </w:p>
    <w:p w14:paraId="3658CFF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41.3按36.5.1的规定完成解密后，公布下列内容，并予以记录，记录提交评标委员会评审：</w:t>
      </w:r>
    </w:p>
    <w:p w14:paraId="0D22621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41.3.1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14:paraId="719A3457">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41.4招标人对开标过程进行记录，并存档备查，投标人在开标记录上签字。</w:t>
      </w:r>
    </w:p>
    <w:p w14:paraId="1AB23D2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41.5招标人将上述符合要求的投标文件，送至评标委员会进行评审。</w:t>
      </w:r>
    </w:p>
    <w:p w14:paraId="1FB5F646">
      <w:pPr>
        <w:pStyle w:val="86"/>
        <w:tabs>
          <w:tab w:val="left" w:pos="7380"/>
        </w:tabs>
        <w:spacing w:after="0" w:line="360" w:lineRule="auto"/>
        <w:ind w:firstLine="422" w:firstLineChars="200"/>
        <w:rPr>
          <w:rFonts w:ascii="宋体" w:hAnsi="宋体" w:eastAsia="宋体" w:cs="宋体"/>
          <w:b/>
          <w:bCs/>
          <w:color w:val="auto"/>
          <w:szCs w:val="21"/>
          <w:highlight w:val="none"/>
        </w:rPr>
      </w:pPr>
      <w:r>
        <w:rPr>
          <w:rFonts w:ascii="宋体" w:hAnsi="宋体" w:eastAsia="宋体" w:cs="宋体"/>
          <w:b/>
          <w:bCs/>
          <w:color w:val="auto"/>
          <w:szCs w:val="21"/>
          <w:highlight w:val="none"/>
        </w:rPr>
        <w:t>42.评标细则</w:t>
      </w:r>
    </w:p>
    <w:p w14:paraId="6FD25605">
      <w:pPr>
        <w:pStyle w:val="86"/>
        <w:tabs>
          <w:tab w:val="left" w:pos="7380"/>
        </w:tabs>
        <w:spacing w:after="0" w:line="360" w:lineRule="auto"/>
        <w:ind w:firstLineChars="200"/>
        <w:rPr>
          <w:rFonts w:ascii="宋体" w:hAnsi="宋体" w:eastAsia="宋体" w:cs="宋体"/>
          <w:color w:val="auto"/>
          <w:szCs w:val="21"/>
          <w:highlight w:val="none"/>
        </w:rPr>
      </w:pPr>
      <w:r>
        <w:rPr>
          <w:rFonts w:ascii="宋体" w:hAnsi="宋体" w:eastAsia="宋体" w:cs="宋体"/>
          <w:color w:val="auto"/>
          <w:szCs w:val="21"/>
          <w:highlight w:val="none"/>
        </w:rPr>
        <w:t>42.1评标委员会的组成：评标委员会为综合评标委员会，负责评标工作。</w:t>
      </w:r>
    </w:p>
    <w:p w14:paraId="3054A114">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42.2投标人资格审查</w:t>
      </w:r>
    </w:p>
    <w:p w14:paraId="641AAD95">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42.2.1资格审查文件中全部符合附表一《资格审查表》中情形的，为资格审查合格；否则为资格审查不合格。如评标委员会成员的评审意见不一致时，以评标委员会过半数成员的意见作为评标委员会对该情形的认定结论。评委发现资格审查文件中含义不明确、对同类问题表述不一致、有明显文字和计算错误的，应当要求投标人作必要的澄清、说明后再判定投标人是否通过资格审查，不得直接认定其不通过资格审查。</w:t>
      </w:r>
    </w:p>
    <w:p w14:paraId="21A5B2A1">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42.2.2汇总资格审查情况，编写资格审查报告。</w:t>
      </w:r>
    </w:p>
    <w:p w14:paraId="6639AC1C">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42.2.3资格审查不合格的投标文件不参加下一阶段的评标，不参与评标参考价的计算。</w:t>
      </w:r>
    </w:p>
    <w:p w14:paraId="3607ECFB">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42.2.4资格审查时，投标企业名称已经工商变更的，但企业及个人的资质证书未完成企业名称变更，仍然承认其有效。资质证书、安全生产许可证之间登记的信息不一致，应当允许投标人澄清，不得直接否决其投标。</w:t>
      </w:r>
    </w:p>
    <w:p w14:paraId="5053A689">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42.2.5资审合格后，投标人的资格发生变化而不满足投标人合格条件，在发出中标通知书前，资格问题仍未解决的，招标人将取消其中标资格。</w:t>
      </w:r>
    </w:p>
    <w:p w14:paraId="589AF740">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42.2.6资格审查合格的投标人少于3名的（当N个标段同时招标且不允许兼中时，资格审查合格的投标人少于N+2名），则本项目招标失败。 </w:t>
      </w:r>
    </w:p>
    <w:p w14:paraId="49D634DD">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42.3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评委发现投标文件中含义不明确、对同类问题表述不一致、有明显文字和计算错误的，应当要求投标人作必要的澄清、说明后再判定投标人是否通过有效性审查，不得直接否决投标。</w:t>
      </w:r>
    </w:p>
    <w:p w14:paraId="33421CAF">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42.4投标文件算术校核：</w:t>
      </w:r>
    </w:p>
    <w:p w14:paraId="3FEBFC52">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评标委员会将对通过技术标有效性审查的投标文件投标报价按照就低不就高的原则进行算术校核，具体标准如下：</w:t>
      </w:r>
    </w:p>
    <w:p w14:paraId="362E24F6">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42.4.1如果数字表示的金额和用文字表示的金额不一致时，应以文字表示的金额为准；</w:t>
      </w:r>
    </w:p>
    <w:p w14:paraId="4CAD89E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42.4.2经算术复核的中标候选人报价与其投标报价不一致时，按就低不就高原则确定其最终报价；</w:t>
      </w:r>
    </w:p>
    <w:p w14:paraId="2AB9291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42.4.3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14:paraId="17472361">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42.4.4当合价、金额累加错误时，按就低不就高原则，如果累加修正值小于原累加值，则按累加修正值；如果累加修正值大于原累加值，则按原累加值；</w:t>
      </w:r>
    </w:p>
    <w:p w14:paraId="6FA57BE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42.4.5如果投标人的有关规费、暂列金额、暂估价、绿色施工安全防护措施费等未按招标文件规定的金额填写的，由评标委员会按照招标文件规定的金额进行修正；</w:t>
      </w:r>
    </w:p>
    <w:p w14:paraId="04B356C6">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42.4.6 </w:t>
      </w:r>
      <w:r>
        <w:rPr>
          <w:rFonts w:hint="eastAsia" w:ascii="宋体" w:hAnsi="宋体" w:eastAsia="宋体" w:cs="宋体"/>
          <w:color w:val="auto"/>
          <w:szCs w:val="21"/>
          <w:highlight w:val="none"/>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14:paraId="67A6BACA">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42.4.7按就低不就高原则，当修正后报价小于原报价，总价按修正后报价；当修正后报价大于原报价，总价按原报价，并在签订合同时载明在结算价中扣除修正报价与原报价的差额。</w:t>
      </w:r>
    </w:p>
    <w:p w14:paraId="489C84F8">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42.4.8按上述修正错误的原则及方法调整或修正投标文件的投标报价，调整后的投标报价对投标人起约束作用。如果投标人不接受修正后的报价，则取消其投标资格，并且其投标保证金也将不予退还。</w:t>
      </w:r>
    </w:p>
    <w:p w14:paraId="4CF2AB2D">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42.5确定投标文件的评审次序</w:t>
      </w:r>
    </w:p>
    <w:p w14:paraId="5990C260">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42.5.1确定评标方式</w:t>
      </w:r>
    </w:p>
    <w:p w14:paraId="4ECE6C71">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采用经评审的最低投标价法的，招标人应当提出必要的评标价格调整方法，不得以投标报价作为单一决定因素。鼓励招标人实施技术、质量、服务、信用、品牌和价格等多种因素的评标评审。</w:t>
      </w:r>
    </w:p>
    <w:p w14:paraId="024BD035">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 xml:space="preserve">42.6 </w:t>
      </w:r>
      <w:r>
        <w:rPr>
          <w:rFonts w:hint="eastAsia" w:ascii="宋体" w:hAnsi="宋体" w:eastAsia="宋体" w:cs="宋体"/>
          <w:color w:val="auto"/>
          <w:szCs w:val="21"/>
          <w:highlight w:val="none"/>
        </w:rPr>
        <w:t>投标文件的有效性审查</w:t>
      </w:r>
    </w:p>
    <w:p w14:paraId="6F77ECCD">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3FD2D173">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42.7评标结束后，评标委员会应当在通过投标文件有效性审查的投标人中，按照原投标文件的评审次序，推荐前3名依次为第一中标候选人至第三中标候选人，并编写评标报告。</w:t>
      </w:r>
    </w:p>
    <w:p w14:paraId="3E186D4C">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42.8若有效投标人不足三家，应当依法重新招标。（当N个标段同时招标且不允许兼中时，若有效投标人不足N+2家，应当依法重新招标）</w:t>
      </w:r>
      <w:r>
        <w:rPr>
          <w:rFonts w:hint="eastAsia" w:ascii="宋体" w:hAnsi="宋体" w:eastAsia="宋体" w:cs="宋体"/>
          <w:color w:val="auto"/>
          <w:szCs w:val="21"/>
          <w:highlight w:val="none"/>
        </w:rPr>
        <w:t>。</w:t>
      </w:r>
    </w:p>
    <w:bookmarkEnd w:id="26"/>
    <w:bookmarkEnd w:id="27"/>
    <w:p w14:paraId="38961398">
      <w:pPr>
        <w:rPr>
          <w:rFonts w:ascii="宋体" w:hAnsi="宋体" w:eastAsia="宋体" w:cs="宋体"/>
          <w:color w:val="auto"/>
          <w:szCs w:val="22"/>
          <w:highlight w:val="none"/>
        </w:rPr>
      </w:pPr>
    </w:p>
    <w:p w14:paraId="51B943F6">
      <w:pPr>
        <w:rPr>
          <w:rFonts w:ascii="宋体" w:hAnsi="宋体" w:eastAsia="宋体" w:cs="宋体"/>
          <w:color w:val="auto"/>
          <w:highlight w:val="none"/>
        </w:rPr>
        <w:sectPr>
          <w:footerReference r:id="rId8" w:type="first"/>
          <w:footerReference r:id="rId7" w:type="default"/>
          <w:endnotePr>
            <w:numFmt w:val="decimal"/>
          </w:endnotePr>
          <w:pgSz w:w="11906" w:h="16838"/>
          <w:pgMar w:top="1440" w:right="1418" w:bottom="1440" w:left="1418" w:header="851" w:footer="992" w:gutter="0"/>
          <w:pgNumType w:start="1"/>
          <w:cols w:space="425" w:num="1"/>
          <w:docGrid w:type="lines" w:linePitch="312" w:charSpace="0"/>
        </w:sectPr>
      </w:pPr>
    </w:p>
    <w:p w14:paraId="71E29466">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附件</w:t>
      </w:r>
      <w:r>
        <w:rPr>
          <w:rFonts w:ascii="宋体" w:hAnsi="宋体" w:eastAsia="宋体" w:cs="宋体"/>
          <w:b/>
          <w:color w:val="auto"/>
          <w:sz w:val="28"/>
          <w:szCs w:val="28"/>
          <w:highlight w:val="none"/>
        </w:rPr>
        <w:t>1</w:t>
      </w:r>
    </w:p>
    <w:p w14:paraId="6E421B4F">
      <w:pPr>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评标委员会成员声明</w:t>
      </w:r>
    </w:p>
    <w:p w14:paraId="157DC212">
      <w:pPr>
        <w:spacing w:line="360" w:lineRule="auto"/>
        <w:rPr>
          <w:rFonts w:ascii="宋体" w:hAnsi="宋体" w:eastAsia="宋体" w:cs="宋体"/>
          <w:color w:val="auto"/>
          <w:szCs w:val="21"/>
          <w:highlight w:val="none"/>
        </w:rPr>
      </w:pPr>
      <w:r>
        <w:rPr>
          <w:rFonts w:ascii="宋体" w:hAnsi="宋体" w:eastAsia="宋体" w:cs="宋体"/>
          <w:color w:val="auto"/>
          <w:szCs w:val="21"/>
          <w:highlight w:val="none"/>
          <w:u w:val="single"/>
        </w:rPr>
        <w:t xml:space="preserve">   本项目招标人  </w:t>
      </w:r>
      <w:r>
        <w:rPr>
          <w:rFonts w:hint="eastAsia" w:ascii="宋体" w:hAnsi="宋体" w:eastAsia="宋体" w:cs="宋体"/>
          <w:color w:val="auto"/>
          <w:szCs w:val="21"/>
          <w:highlight w:val="none"/>
        </w:rPr>
        <w:t>：</w:t>
      </w:r>
    </w:p>
    <w:p w14:paraId="3393F098">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本人就参与</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项目的评标工作，作出郑重声明：</w:t>
      </w:r>
    </w:p>
    <w:p w14:paraId="7FB04D4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一、本人严格遵守评标场所管理规定，服从评标场所现场管理。本人完全知悉并自愿在评审过程中通过电子手写签名板产生电子形式的签名，并认同由此方式产生的签名与本人手写、电子签名具有同等效力；本人使用该签名所签署的评标（审）材料及内容均为本人充分理解并符合本人真实意思表示。</w:t>
      </w:r>
    </w:p>
    <w:p w14:paraId="0460E33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二、在本项目评标开始前，本人不存在以下需要向招标人提出回避的情形：（一）接收到任何单位或者个人授意本人倾向或者排斥本项目特定投标人的电话、短信、微信等；（二）私下接触本项目投标人；（三）收受本项目投标人、中介人、其他利害关系人的财物或者其他好处；（四）法律法规等规定的回避情形。</w:t>
      </w:r>
    </w:p>
    <w:p w14:paraId="551883CA">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三、本人将按照本项目招标文件规定的评标标准和方法，客观、公正地对投标文件提出评审意见，不故意拖延评标时间，或者敷衍塞责随意评标，不透露本项目评标委员会成员身份，不透露对本项目投标文件的评审和比较、中标候选人的推荐情况、在评标过程中知悉的国家秘密和商业秘密以及与评标有关的其他情况。在本项目评标过程中，本人不对评标委员会其他成员的独立评审施加不当影响；不接受任何单位或者个人明示或者暗示提出的倾向或者排斥本项目特定投标人的要求；不对评标委员会其他成员或者其他人员发表带有倾向性、误导性的言论或者暗示性的意见建议。</w:t>
      </w:r>
    </w:p>
    <w:p w14:paraId="25F73DC0">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四、评标结束后，如果本项目需要复核或者存在异议的，本人理解招标人将暂缓支付评审酬劳。本人保证在招标人要求的时间内配合招标人进行复核或者异议处理工作，也保证在规定时间内配合招标监督机构依法对本项目评审情况进行的调查。如果本人存在评审错误的，本人将主动改正错误，配合招标人挽回损失。</w:t>
      </w:r>
    </w:p>
    <w:p w14:paraId="6587141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五、招标监督机构依法处理本项目投诉、信访或者举报时，经调查后确认本人存在评审错误的，本人接受招标人不支付本项目评审酬劳、将本人列入招标人评标专家回避名单等相关处理措施，本人也接受本项目招标监督机构依法对本人进行的处理。</w:t>
      </w:r>
    </w:p>
    <w:p w14:paraId="7CD03A39">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如果本人违反上述声明内容，造成的后果由本人自行承担。</w:t>
      </w:r>
    </w:p>
    <w:p w14:paraId="7152FD0F">
      <w:pPr>
        <w:spacing w:line="240" w:lineRule="exact"/>
        <w:ind w:firstLine="420" w:firstLineChars="200"/>
        <w:rPr>
          <w:rFonts w:ascii="宋体" w:hAnsi="宋体" w:eastAsia="宋体" w:cs="宋体"/>
          <w:color w:val="auto"/>
          <w:szCs w:val="21"/>
          <w:highlight w:val="none"/>
        </w:rPr>
      </w:pPr>
    </w:p>
    <w:p w14:paraId="2FD8AFF0">
      <w:pPr>
        <w:pStyle w:val="35"/>
        <w:rPr>
          <w:rFonts w:ascii="宋体" w:hAnsi="宋体" w:eastAsia="宋体" w:cs="宋体"/>
          <w:b/>
          <w:color w:val="auto"/>
          <w:szCs w:val="21"/>
          <w:highlight w:val="none"/>
          <w:u w:val="single"/>
        </w:rPr>
        <w:sectPr>
          <w:endnotePr>
            <w:numFmt w:val="decimal"/>
          </w:endnotePr>
          <w:pgSz w:w="11906" w:h="16838"/>
          <w:pgMar w:top="1440" w:right="1440" w:bottom="1440" w:left="1440" w:header="851" w:footer="992" w:gutter="0"/>
          <w:cols w:space="425" w:num="1"/>
          <w:docGrid w:type="lines" w:linePitch="312" w:charSpace="0"/>
        </w:sectPr>
      </w:pPr>
      <w:r>
        <w:rPr>
          <w:rFonts w:ascii="宋体" w:hAnsi="宋体" w:eastAsia="宋体" w:cs="宋体"/>
          <w:color w:val="auto"/>
          <w:szCs w:val="21"/>
          <w:highlight w:val="none"/>
        </w:rPr>
        <w:t xml:space="preserve">                             </w:t>
      </w:r>
      <w:r>
        <w:rPr>
          <w:rFonts w:hint="eastAsia" w:ascii="宋体" w:hAnsi="宋体" w:eastAsia="宋体" w:cs="宋体"/>
          <w:b/>
          <w:color w:val="auto"/>
          <w:szCs w:val="21"/>
          <w:highlight w:val="none"/>
        </w:rPr>
        <w:t>声明人：</w:t>
      </w:r>
      <w:r>
        <w:rPr>
          <w:rFonts w:hint="eastAsia" w:ascii="宋体" w:hAnsi="宋体" w:eastAsia="宋体" w:cs="宋体"/>
          <w:b/>
          <w:color w:val="auto"/>
          <w:szCs w:val="21"/>
          <w:highlight w:val="none"/>
          <w:u w:val="single"/>
        </w:rPr>
        <w:t>（签名）</w:t>
      </w:r>
      <w:r>
        <w:rPr>
          <w:rFonts w:ascii="宋体" w:hAnsi="宋体" w:eastAsia="宋体" w:cs="宋体"/>
          <w:b/>
          <w:color w:val="auto"/>
          <w:szCs w:val="21"/>
          <w:highlight w:val="none"/>
          <w:u w:val="single"/>
        </w:rPr>
        <w:t xml:space="preserve">  </w:t>
      </w:r>
    </w:p>
    <w:p w14:paraId="639FB00D">
      <w:pPr>
        <w:snapToGrid w:val="0"/>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附表一</w:t>
      </w:r>
    </w:p>
    <w:p w14:paraId="16AA914D">
      <w:pPr>
        <w:snapToGrid w:val="0"/>
        <w:spacing w:line="360" w:lineRule="auto"/>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资格审查表</w:t>
      </w:r>
    </w:p>
    <w:p w14:paraId="613CD973">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p w14:paraId="3111F940">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投标人名称：</w:t>
      </w:r>
    </w:p>
    <w:tbl>
      <w:tblPr>
        <w:tblStyle w:val="88"/>
        <w:tblW w:w="14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5562"/>
        <w:gridCol w:w="7364"/>
        <w:gridCol w:w="1065"/>
      </w:tblGrid>
      <w:tr w14:paraId="26C2A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21B36C99">
            <w:pPr>
              <w:snapToGrid w:val="0"/>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5562" w:type="dxa"/>
            <w:tcBorders>
              <w:top w:val="single" w:color="auto" w:sz="4" w:space="0"/>
              <w:left w:val="single" w:color="auto" w:sz="4" w:space="0"/>
              <w:bottom w:val="single" w:color="auto" w:sz="4" w:space="0"/>
              <w:right w:val="single" w:color="auto" w:sz="4" w:space="0"/>
            </w:tcBorders>
            <w:noWrap/>
            <w:vAlign w:val="center"/>
          </w:tcPr>
          <w:p w14:paraId="2C4621D5">
            <w:pPr>
              <w:snapToGrid w:val="0"/>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审查项目</w:t>
            </w:r>
          </w:p>
        </w:tc>
        <w:tc>
          <w:tcPr>
            <w:tcW w:w="7364" w:type="dxa"/>
            <w:tcBorders>
              <w:top w:val="single" w:color="auto" w:sz="4" w:space="0"/>
              <w:left w:val="single" w:color="auto" w:sz="4" w:space="0"/>
              <w:bottom w:val="single" w:color="auto" w:sz="4" w:space="0"/>
              <w:right w:val="single" w:color="auto" w:sz="4" w:space="0"/>
            </w:tcBorders>
            <w:noWrap/>
            <w:vAlign w:val="center"/>
          </w:tcPr>
          <w:p w14:paraId="18EC3C5D">
            <w:pPr>
              <w:snapToGrid w:val="0"/>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须审查的资料</w:t>
            </w:r>
          </w:p>
        </w:tc>
        <w:tc>
          <w:tcPr>
            <w:tcW w:w="1065" w:type="dxa"/>
            <w:tcBorders>
              <w:top w:val="single" w:color="auto" w:sz="4" w:space="0"/>
              <w:left w:val="single" w:color="auto" w:sz="4" w:space="0"/>
              <w:bottom w:val="single" w:color="auto" w:sz="4" w:space="0"/>
              <w:right w:val="single" w:color="auto" w:sz="4" w:space="0"/>
            </w:tcBorders>
            <w:noWrap/>
            <w:vAlign w:val="center"/>
          </w:tcPr>
          <w:p w14:paraId="3A81AA18">
            <w:pPr>
              <w:snapToGrid w:val="0"/>
              <w:spacing w:line="380" w:lineRule="exact"/>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审查结果</w:t>
            </w:r>
          </w:p>
        </w:tc>
      </w:tr>
      <w:tr w14:paraId="0BBC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582AAC8">
            <w:pPr>
              <w:snapToGrid w:val="0"/>
              <w:spacing w:line="38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5562" w:type="dxa"/>
            <w:tcBorders>
              <w:top w:val="single" w:color="auto" w:sz="4" w:space="0"/>
              <w:left w:val="single" w:color="auto" w:sz="4" w:space="0"/>
              <w:bottom w:val="single" w:color="auto" w:sz="4" w:space="0"/>
              <w:right w:val="single" w:color="auto" w:sz="4" w:space="0"/>
            </w:tcBorders>
            <w:noWrap/>
            <w:vAlign w:val="center"/>
          </w:tcPr>
          <w:p w14:paraId="46283A3C">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投标人参加投标的意思表达清楚，投标人代表被授权有效；</w:t>
            </w:r>
          </w:p>
        </w:tc>
        <w:tc>
          <w:tcPr>
            <w:tcW w:w="7364" w:type="dxa"/>
            <w:tcBorders>
              <w:top w:val="single" w:color="auto" w:sz="4" w:space="0"/>
              <w:left w:val="single" w:color="auto" w:sz="4" w:space="0"/>
              <w:bottom w:val="single" w:color="auto" w:sz="4" w:space="0"/>
              <w:right w:val="single" w:color="auto" w:sz="4" w:space="0"/>
            </w:tcBorders>
            <w:noWrap/>
            <w:vAlign w:val="center"/>
          </w:tcPr>
          <w:p w14:paraId="25F12216">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投标人声明</w:t>
            </w:r>
            <w:r>
              <w:rPr>
                <w:rFonts w:hint="eastAsia" w:ascii="宋体" w:hAnsi="宋体" w:eastAsia="宋体" w:cs="宋体"/>
                <w:color w:val="auto"/>
                <w:szCs w:val="21"/>
                <w:highlight w:val="none"/>
                <w:u w:val="single"/>
              </w:rPr>
              <w:t>扫描件</w:t>
            </w:r>
            <w:r>
              <w:rPr>
                <w:rFonts w:hint="eastAsia" w:ascii="宋体" w:hAnsi="宋体" w:eastAsia="宋体" w:cs="宋体"/>
                <w:color w:val="auto"/>
                <w:szCs w:val="21"/>
                <w:highlight w:val="none"/>
              </w:rPr>
              <w:t>、法定代表人证明书</w:t>
            </w:r>
            <w:r>
              <w:rPr>
                <w:rFonts w:hint="eastAsia" w:ascii="宋体" w:hAnsi="宋体" w:eastAsia="宋体" w:cs="宋体"/>
                <w:color w:val="auto"/>
                <w:szCs w:val="21"/>
                <w:highlight w:val="none"/>
                <w:u w:val="single"/>
              </w:rPr>
              <w:t>扫描件</w:t>
            </w:r>
            <w:r>
              <w:rPr>
                <w:rFonts w:hint="eastAsia" w:ascii="宋体" w:hAnsi="宋体" w:eastAsia="宋体" w:cs="宋体"/>
                <w:color w:val="auto"/>
                <w:szCs w:val="21"/>
                <w:highlight w:val="none"/>
              </w:rPr>
              <w:t>；委托投标的还应提供法人授权委托证明书</w:t>
            </w:r>
            <w:r>
              <w:rPr>
                <w:rFonts w:hint="eastAsia" w:ascii="宋体" w:hAnsi="宋体" w:eastAsia="宋体" w:cs="宋体"/>
                <w:color w:val="auto"/>
                <w:szCs w:val="21"/>
                <w:highlight w:val="none"/>
                <w:u w:val="single"/>
              </w:rPr>
              <w:t>扫描件，同时提交被授权委托人离投标截止时间最近的至少1个月（2025年9月或10月）在本单位缴纳的社保证明文件。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153E2310">
            <w:pPr>
              <w:snapToGrid w:val="0"/>
              <w:spacing w:line="380" w:lineRule="exact"/>
              <w:jc w:val="center"/>
              <w:rPr>
                <w:rFonts w:ascii="宋体" w:hAnsi="宋体" w:eastAsia="宋体" w:cs="宋体"/>
                <w:color w:val="auto"/>
                <w:szCs w:val="21"/>
                <w:highlight w:val="none"/>
              </w:rPr>
            </w:pPr>
          </w:p>
        </w:tc>
      </w:tr>
      <w:tr w14:paraId="4C2E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6EE0ECCE">
            <w:pPr>
              <w:snapToGrid w:val="0"/>
              <w:spacing w:after="120" w:line="38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2</w:t>
            </w:r>
          </w:p>
        </w:tc>
        <w:tc>
          <w:tcPr>
            <w:tcW w:w="5562" w:type="dxa"/>
            <w:tcBorders>
              <w:top w:val="single" w:color="auto" w:sz="4" w:space="0"/>
              <w:left w:val="single" w:color="auto" w:sz="4" w:space="0"/>
              <w:bottom w:val="single" w:color="auto" w:sz="4" w:space="0"/>
              <w:right w:val="single" w:color="auto" w:sz="4" w:space="0"/>
            </w:tcBorders>
            <w:noWrap/>
            <w:vAlign w:val="center"/>
          </w:tcPr>
          <w:p w14:paraId="122F4626">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投标人具有独立法人资格，按国家法律经营；</w:t>
            </w:r>
          </w:p>
        </w:tc>
        <w:tc>
          <w:tcPr>
            <w:tcW w:w="7364" w:type="dxa"/>
            <w:tcBorders>
              <w:top w:val="single" w:color="auto" w:sz="4" w:space="0"/>
              <w:left w:val="single" w:color="auto" w:sz="4" w:space="0"/>
              <w:bottom w:val="single" w:color="auto" w:sz="4" w:space="0"/>
              <w:right w:val="single" w:color="auto" w:sz="4" w:space="0"/>
            </w:tcBorders>
            <w:noWrap/>
            <w:vAlign w:val="center"/>
          </w:tcPr>
          <w:p w14:paraId="6135D9C4">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营业执照</w:t>
            </w:r>
            <w:r>
              <w:rPr>
                <w:rFonts w:hint="eastAsia" w:ascii="宋体" w:hAnsi="宋体" w:eastAsia="宋体" w:cs="宋体"/>
                <w:color w:val="auto"/>
                <w:szCs w:val="21"/>
                <w:highlight w:val="none"/>
                <w:u w:val="single"/>
              </w:rPr>
              <w:t>（在有效期内）</w:t>
            </w:r>
            <w:r>
              <w:rPr>
                <w:rFonts w:hint="eastAsia" w:ascii="宋体" w:hAnsi="宋体" w:eastAsia="宋体" w:cs="宋体"/>
                <w:color w:val="auto"/>
                <w:szCs w:val="21"/>
                <w:highlight w:val="none"/>
              </w:rPr>
              <w:t>扫描</w:t>
            </w:r>
            <w:r>
              <w:rPr>
                <w:rFonts w:hint="eastAsia" w:ascii="宋体" w:hAnsi="宋体" w:eastAsia="宋体" w:cs="宋体"/>
                <w:color w:val="auto"/>
                <w:highlight w:val="none"/>
              </w:rPr>
              <w:t>件或电子证照。</w:t>
            </w:r>
          </w:p>
        </w:tc>
        <w:tc>
          <w:tcPr>
            <w:tcW w:w="1065" w:type="dxa"/>
            <w:tcBorders>
              <w:top w:val="single" w:color="auto" w:sz="4" w:space="0"/>
              <w:left w:val="single" w:color="auto" w:sz="4" w:space="0"/>
              <w:bottom w:val="single" w:color="auto" w:sz="4" w:space="0"/>
              <w:right w:val="single" w:color="auto" w:sz="4" w:space="0"/>
            </w:tcBorders>
            <w:noWrap/>
            <w:vAlign w:val="center"/>
          </w:tcPr>
          <w:p w14:paraId="07214BB6">
            <w:pPr>
              <w:snapToGrid w:val="0"/>
              <w:spacing w:line="380" w:lineRule="exact"/>
              <w:jc w:val="center"/>
              <w:rPr>
                <w:rFonts w:ascii="宋体" w:hAnsi="宋体" w:eastAsia="宋体" w:cs="宋体"/>
                <w:color w:val="auto"/>
                <w:szCs w:val="21"/>
                <w:highlight w:val="none"/>
              </w:rPr>
            </w:pPr>
          </w:p>
        </w:tc>
      </w:tr>
      <w:tr w14:paraId="6B79F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2A643E3E">
            <w:pPr>
              <w:snapToGrid w:val="0"/>
              <w:spacing w:after="120" w:line="38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3</w:t>
            </w:r>
          </w:p>
        </w:tc>
        <w:tc>
          <w:tcPr>
            <w:tcW w:w="5562" w:type="dxa"/>
            <w:tcBorders>
              <w:top w:val="single" w:color="auto" w:sz="4" w:space="0"/>
              <w:left w:val="single" w:color="auto" w:sz="4" w:space="0"/>
              <w:bottom w:val="single" w:color="auto" w:sz="4" w:space="0"/>
              <w:right w:val="single" w:color="auto" w:sz="4" w:space="0"/>
            </w:tcBorders>
            <w:noWrap/>
            <w:vAlign w:val="center"/>
          </w:tcPr>
          <w:p w14:paraId="658383BF">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投标人均持有建设行政主管部门颁发的有效期内的企业资质证书及安全生产许可证；投标人资质符合公告要求；</w:t>
            </w:r>
          </w:p>
        </w:tc>
        <w:tc>
          <w:tcPr>
            <w:tcW w:w="7364" w:type="dxa"/>
            <w:tcBorders>
              <w:top w:val="single" w:color="auto" w:sz="4" w:space="0"/>
              <w:left w:val="single" w:color="auto" w:sz="4" w:space="0"/>
              <w:bottom w:val="single" w:color="auto" w:sz="4" w:space="0"/>
              <w:right w:val="single" w:color="auto" w:sz="4" w:space="0"/>
            </w:tcBorders>
            <w:noWrap/>
            <w:vAlign w:val="center"/>
          </w:tcPr>
          <w:p w14:paraId="55395D5D">
            <w:pPr>
              <w:spacing w:line="380" w:lineRule="exact"/>
              <w:rPr>
                <w:rFonts w:ascii="宋体" w:hAnsi="宋体" w:eastAsia="宋体" w:cs="宋体"/>
                <w:color w:val="auto"/>
                <w:szCs w:val="21"/>
                <w:highlight w:val="none"/>
                <w:u w:val="single"/>
              </w:rPr>
            </w:pPr>
            <w:r>
              <w:rPr>
                <w:rFonts w:hint="eastAsia" w:ascii="宋体" w:hAnsi="宋体" w:eastAsia="宋体" w:cs="宋体"/>
                <w:color w:val="auto"/>
                <w:szCs w:val="21"/>
                <w:highlight w:val="none"/>
              </w:rPr>
              <w:t>资质证书扫描件或电子证照，</w:t>
            </w:r>
            <w:r>
              <w:rPr>
                <w:rFonts w:hint="eastAsia" w:ascii="宋体" w:hAnsi="宋体" w:eastAsia="宋体" w:cs="宋体"/>
                <w:color w:val="auto"/>
                <w:szCs w:val="21"/>
                <w:highlight w:val="none"/>
                <w:u w:val="single"/>
              </w:rPr>
              <w:t>或办理了资质延期的证明资料（符合招标公告第九条第</w:t>
            </w:r>
            <w:r>
              <w:rPr>
                <w:rFonts w:ascii="宋体" w:hAnsi="宋体" w:eastAsia="宋体" w:cs="宋体"/>
                <w:color w:val="auto"/>
                <w:szCs w:val="21"/>
                <w:highlight w:val="none"/>
                <w:u w:val="single"/>
              </w:rPr>
              <w:t>4款注①的规定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安全生产许可证扫描件或电子证照。</w:t>
            </w:r>
          </w:p>
        </w:tc>
        <w:tc>
          <w:tcPr>
            <w:tcW w:w="1065" w:type="dxa"/>
            <w:tcBorders>
              <w:top w:val="single" w:color="auto" w:sz="4" w:space="0"/>
              <w:left w:val="single" w:color="auto" w:sz="4" w:space="0"/>
              <w:bottom w:val="single" w:color="auto" w:sz="4" w:space="0"/>
              <w:right w:val="single" w:color="auto" w:sz="4" w:space="0"/>
            </w:tcBorders>
            <w:noWrap/>
            <w:vAlign w:val="center"/>
          </w:tcPr>
          <w:p w14:paraId="4C863B51">
            <w:pPr>
              <w:snapToGrid w:val="0"/>
              <w:spacing w:line="380" w:lineRule="exact"/>
              <w:jc w:val="center"/>
              <w:rPr>
                <w:rFonts w:ascii="宋体" w:hAnsi="宋体" w:eastAsia="宋体" w:cs="宋体"/>
                <w:color w:val="auto"/>
                <w:szCs w:val="21"/>
                <w:highlight w:val="none"/>
              </w:rPr>
            </w:pPr>
          </w:p>
        </w:tc>
      </w:tr>
      <w:tr w14:paraId="171D9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2E7C61D7">
            <w:pPr>
              <w:snapToGrid w:val="0"/>
              <w:spacing w:after="120" w:line="38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4</w:t>
            </w:r>
          </w:p>
        </w:tc>
        <w:tc>
          <w:tcPr>
            <w:tcW w:w="5562" w:type="dxa"/>
            <w:tcBorders>
              <w:top w:val="single" w:color="auto" w:sz="4" w:space="0"/>
              <w:left w:val="single" w:color="auto" w:sz="4" w:space="0"/>
              <w:bottom w:val="single" w:color="auto" w:sz="4" w:space="0"/>
              <w:right w:val="single" w:color="auto" w:sz="4" w:space="0"/>
            </w:tcBorders>
            <w:noWrap/>
            <w:vAlign w:val="center"/>
          </w:tcPr>
          <w:p w14:paraId="1EB2B27C">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投标人拟担任本工程项目负责人符合公告要求；</w:t>
            </w:r>
          </w:p>
        </w:tc>
        <w:tc>
          <w:tcPr>
            <w:tcW w:w="7364" w:type="dxa"/>
            <w:tcBorders>
              <w:top w:val="single" w:color="auto" w:sz="4" w:space="0"/>
              <w:left w:val="single" w:color="auto" w:sz="4" w:space="0"/>
              <w:bottom w:val="single" w:color="auto" w:sz="4" w:space="0"/>
              <w:right w:val="single" w:color="auto" w:sz="4" w:space="0"/>
            </w:tcBorders>
            <w:noWrap/>
            <w:vAlign w:val="center"/>
          </w:tcPr>
          <w:p w14:paraId="428F2065">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有效期内的注册建造师注册证书扫描件或电子证书。（注：</w:t>
            </w:r>
            <w:r>
              <w:rPr>
                <w:rFonts w:hint="eastAsia" w:ascii="宋体" w:hAnsi="宋体" w:eastAsia="宋体" w:cs="宋体"/>
                <w:color w:val="auto"/>
                <w:szCs w:val="21"/>
                <w:highlight w:val="none"/>
                <w:u w:val="single"/>
              </w:rPr>
              <w:t>递交的注册建造师注册证书须符合招标公告第九条第</w:t>
            </w:r>
            <w:r>
              <w:rPr>
                <w:rFonts w:ascii="宋体" w:hAnsi="宋体" w:eastAsia="宋体" w:cs="宋体"/>
                <w:color w:val="auto"/>
                <w:szCs w:val="21"/>
                <w:highlight w:val="none"/>
                <w:u w:val="single"/>
              </w:rPr>
              <w:t>4款注②的规定</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580C804E">
            <w:pPr>
              <w:snapToGrid w:val="0"/>
              <w:spacing w:line="380" w:lineRule="exact"/>
              <w:jc w:val="center"/>
              <w:rPr>
                <w:rFonts w:ascii="宋体" w:hAnsi="宋体" w:eastAsia="宋体" w:cs="宋体"/>
                <w:color w:val="auto"/>
                <w:szCs w:val="21"/>
                <w:highlight w:val="none"/>
              </w:rPr>
            </w:pPr>
          </w:p>
        </w:tc>
      </w:tr>
      <w:tr w14:paraId="6CEF4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C684DB5">
            <w:pPr>
              <w:snapToGrid w:val="0"/>
              <w:spacing w:after="120" w:line="38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5</w:t>
            </w:r>
          </w:p>
        </w:tc>
        <w:tc>
          <w:tcPr>
            <w:tcW w:w="5562" w:type="dxa"/>
            <w:tcBorders>
              <w:top w:val="single" w:color="auto" w:sz="4" w:space="0"/>
              <w:left w:val="single" w:color="auto" w:sz="4" w:space="0"/>
              <w:bottom w:val="single" w:color="auto" w:sz="4" w:space="0"/>
              <w:right w:val="single" w:color="auto" w:sz="4" w:space="0"/>
            </w:tcBorders>
            <w:noWrap/>
            <w:vAlign w:val="center"/>
          </w:tcPr>
          <w:p w14:paraId="384BD078">
            <w:pPr>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u w:val="single"/>
              </w:rPr>
              <w:t>项目负责人持有有效期内的</w:t>
            </w:r>
            <w:r>
              <w:rPr>
                <w:rFonts w:hint="eastAsia" w:ascii="宋体" w:hAnsi="宋体" w:eastAsia="宋体" w:cs="宋体"/>
                <w:color w:val="auto"/>
                <w:szCs w:val="21"/>
                <w:highlight w:val="none"/>
              </w:rPr>
              <w:t>项目负责人安全生产考核合格证（</w:t>
            </w:r>
            <w:r>
              <w:rPr>
                <w:rFonts w:ascii="宋体" w:hAnsi="宋体" w:eastAsia="宋体" w:cs="宋体"/>
                <w:color w:val="auto"/>
                <w:szCs w:val="21"/>
                <w:highlight w:val="none"/>
              </w:rPr>
              <w:t>B类）或建筑施工企业项目负责人安全生产考核合格证；</w:t>
            </w:r>
          </w:p>
        </w:tc>
        <w:tc>
          <w:tcPr>
            <w:tcW w:w="7364" w:type="dxa"/>
            <w:tcBorders>
              <w:top w:val="single" w:color="auto" w:sz="4" w:space="0"/>
              <w:left w:val="single" w:color="auto" w:sz="4" w:space="0"/>
              <w:bottom w:val="single" w:color="auto" w:sz="4" w:space="0"/>
              <w:right w:val="single" w:color="auto" w:sz="4" w:space="0"/>
            </w:tcBorders>
            <w:noWrap/>
            <w:vAlign w:val="center"/>
          </w:tcPr>
          <w:p w14:paraId="6B2C7F0F">
            <w:pPr>
              <w:spacing w:line="380" w:lineRule="exact"/>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有效期内的</w:t>
            </w:r>
            <w:r>
              <w:rPr>
                <w:rFonts w:hint="eastAsia" w:ascii="宋体" w:hAnsi="宋体" w:eastAsia="宋体" w:cs="宋体"/>
                <w:color w:val="auto"/>
                <w:szCs w:val="21"/>
                <w:highlight w:val="none"/>
              </w:rPr>
              <w:t>项目负责人安全生产考核合格证（</w:t>
            </w:r>
            <w:r>
              <w:rPr>
                <w:rFonts w:ascii="宋体" w:hAnsi="宋体" w:eastAsia="宋体" w:cs="宋体"/>
                <w:color w:val="auto"/>
                <w:szCs w:val="21"/>
                <w:highlight w:val="none"/>
              </w:rPr>
              <w:t>B证）或建筑施工企业项目负责人安全生产考核合格证</w:t>
            </w:r>
            <w:r>
              <w:rPr>
                <w:rFonts w:hint="eastAsia" w:ascii="宋体" w:hAnsi="宋体" w:eastAsia="宋体" w:cs="宋体"/>
                <w:color w:val="auto"/>
                <w:szCs w:val="21"/>
                <w:highlight w:val="none"/>
              </w:rPr>
              <w:t>证书扫描件或电子证书。</w:t>
            </w:r>
          </w:p>
          <w:p w14:paraId="41227F1E">
            <w:pPr>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u w:val="single"/>
              </w:rPr>
              <w:t>广东省建筑施工企业安全生产管理人员执行《广东省住房和城乡建设厅关于加快推进建筑施工企业安全生产管理人员考核合格证书电子证照办理相关工作的通知》（粤建质函〔</w:t>
            </w:r>
            <w:r>
              <w:rPr>
                <w:rFonts w:ascii="宋体" w:hAnsi="宋体" w:eastAsia="宋体" w:cs="宋体"/>
                <w:color w:val="auto"/>
                <w:szCs w:val="21"/>
                <w:highlight w:val="none"/>
                <w:u w:val="single"/>
              </w:rPr>
              <w:t>2023〕754号），在10月底前完成换证业务，从2023年11月1日起，旧版电子证照停止使用。其他地区建筑施工企业安全生产管理人员执行属地安全生产管理人员考核合格证书电子证照相关规定。</w:t>
            </w:r>
          </w:p>
        </w:tc>
        <w:tc>
          <w:tcPr>
            <w:tcW w:w="1065" w:type="dxa"/>
            <w:tcBorders>
              <w:top w:val="single" w:color="auto" w:sz="4" w:space="0"/>
              <w:left w:val="single" w:color="auto" w:sz="4" w:space="0"/>
              <w:bottom w:val="single" w:color="auto" w:sz="4" w:space="0"/>
              <w:right w:val="single" w:color="auto" w:sz="4" w:space="0"/>
            </w:tcBorders>
            <w:noWrap/>
            <w:vAlign w:val="center"/>
          </w:tcPr>
          <w:p w14:paraId="22CE58A6">
            <w:pPr>
              <w:snapToGrid w:val="0"/>
              <w:spacing w:line="380" w:lineRule="exact"/>
              <w:jc w:val="center"/>
              <w:rPr>
                <w:rFonts w:ascii="宋体" w:hAnsi="宋体" w:eastAsia="宋体" w:cs="宋体"/>
                <w:color w:val="auto"/>
                <w:szCs w:val="21"/>
                <w:highlight w:val="none"/>
              </w:rPr>
            </w:pPr>
          </w:p>
        </w:tc>
      </w:tr>
      <w:tr w14:paraId="4080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6C7624A0">
            <w:pPr>
              <w:snapToGrid w:val="0"/>
              <w:spacing w:after="120" w:line="38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6</w:t>
            </w:r>
          </w:p>
        </w:tc>
        <w:tc>
          <w:tcPr>
            <w:tcW w:w="5562" w:type="dxa"/>
            <w:tcBorders>
              <w:top w:val="single" w:color="auto" w:sz="4" w:space="0"/>
              <w:left w:val="single" w:color="auto" w:sz="4" w:space="0"/>
              <w:bottom w:val="single" w:color="auto" w:sz="4" w:space="0"/>
              <w:right w:val="single" w:color="auto" w:sz="4" w:space="0"/>
            </w:tcBorders>
            <w:noWrap/>
            <w:vAlign w:val="center"/>
          </w:tcPr>
          <w:p w14:paraId="7E4AF439">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投标人拟担任本工程技术负责人符合公告要求；</w:t>
            </w:r>
          </w:p>
        </w:tc>
        <w:tc>
          <w:tcPr>
            <w:tcW w:w="7364" w:type="dxa"/>
            <w:tcBorders>
              <w:top w:val="single" w:color="auto" w:sz="4" w:space="0"/>
              <w:left w:val="single" w:color="auto" w:sz="4" w:space="0"/>
              <w:bottom w:val="single" w:color="auto" w:sz="4" w:space="0"/>
              <w:right w:val="single" w:color="auto" w:sz="4" w:space="0"/>
            </w:tcBorders>
            <w:noWrap/>
            <w:vAlign w:val="center"/>
          </w:tcPr>
          <w:p w14:paraId="11785D4F">
            <w:pPr>
              <w:spacing w:line="380" w:lineRule="exact"/>
              <w:rPr>
                <w:rFonts w:ascii="宋体" w:hAnsi="宋体" w:eastAsia="宋体" w:cs="宋体"/>
                <w:color w:val="auto"/>
                <w:szCs w:val="21"/>
                <w:highlight w:val="none"/>
              </w:rPr>
            </w:pPr>
            <w:r>
              <w:rPr>
                <w:rFonts w:hint="eastAsia" w:ascii="宋体" w:hAnsi="宋体" w:eastAsia="宋体" w:cs="宋体"/>
                <w:bCs/>
                <w:color w:val="auto"/>
                <w:szCs w:val="21"/>
                <w:highlight w:val="none"/>
                <w:u w:val="single"/>
              </w:rPr>
              <w:t>拟委派技术负责人的职称证书扫描件或电子证</w:t>
            </w:r>
            <w:r>
              <w:rPr>
                <w:rFonts w:hint="eastAsia" w:ascii="宋体" w:hAnsi="宋体" w:eastAsia="宋体" w:cs="宋体"/>
                <w:bCs/>
                <w:color w:val="auto"/>
                <w:szCs w:val="21"/>
                <w:highlight w:val="none"/>
                <w:u w:val="single"/>
              </w:rPr>
              <w:t>书</w:t>
            </w:r>
            <w:r>
              <w:rPr>
                <w:rFonts w:hint="eastAsia" w:ascii="宋体" w:hAnsi="宋体" w:eastAsia="宋体" w:cs="宋体"/>
                <w:bCs/>
                <w:color w:val="auto"/>
                <w:szCs w:val="21"/>
                <w:highlight w:val="none"/>
                <w:u w:val="singl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4A486C5B">
            <w:pPr>
              <w:snapToGrid w:val="0"/>
              <w:spacing w:line="380" w:lineRule="exact"/>
              <w:jc w:val="center"/>
              <w:rPr>
                <w:rFonts w:ascii="宋体" w:hAnsi="宋体" w:eastAsia="宋体" w:cs="宋体"/>
                <w:color w:val="auto"/>
                <w:szCs w:val="21"/>
                <w:highlight w:val="none"/>
              </w:rPr>
            </w:pPr>
          </w:p>
        </w:tc>
      </w:tr>
      <w:tr w14:paraId="0793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5F3F27FF">
            <w:pPr>
              <w:snapToGrid w:val="0"/>
              <w:spacing w:after="120" w:line="380" w:lineRule="exact"/>
              <w:jc w:val="center"/>
              <w:rPr>
                <w:rFonts w:ascii="宋体" w:hAnsi="宋体" w:eastAsia="宋体" w:cs="宋体"/>
                <w:color w:val="auto"/>
                <w:szCs w:val="21"/>
                <w:highlight w:val="none"/>
              </w:rPr>
            </w:pPr>
            <w:r>
              <w:rPr>
                <w:rFonts w:ascii="宋体" w:hAnsi="宋体" w:eastAsia="宋体" w:cs="宋体"/>
                <w:color w:val="auto"/>
                <w:szCs w:val="21"/>
                <w:highlight w:val="none"/>
              </w:rPr>
              <w:t>7</w:t>
            </w:r>
          </w:p>
        </w:tc>
        <w:tc>
          <w:tcPr>
            <w:tcW w:w="5562" w:type="dxa"/>
            <w:tcBorders>
              <w:top w:val="single" w:color="auto" w:sz="4" w:space="0"/>
              <w:left w:val="single" w:color="auto" w:sz="4" w:space="0"/>
              <w:bottom w:val="single" w:color="auto" w:sz="4" w:space="0"/>
              <w:right w:val="single" w:color="auto" w:sz="4" w:space="0"/>
            </w:tcBorders>
            <w:noWrap/>
            <w:vAlign w:val="center"/>
          </w:tcPr>
          <w:p w14:paraId="37C97BE8">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专职安全员须具有</w:t>
            </w:r>
            <w:r>
              <w:rPr>
                <w:rFonts w:hint="eastAsia" w:ascii="宋体" w:hAnsi="宋体" w:eastAsia="宋体" w:cs="宋体"/>
                <w:color w:val="auto"/>
                <w:szCs w:val="21"/>
                <w:highlight w:val="none"/>
                <w:u w:val="single"/>
              </w:rPr>
              <w:t>有效期内的</w:t>
            </w:r>
            <w:r>
              <w:rPr>
                <w:rFonts w:hint="eastAsia" w:ascii="宋体" w:hAnsi="宋体" w:eastAsia="宋体" w:cs="宋体"/>
                <w:color w:val="auto"/>
                <w:szCs w:val="21"/>
                <w:highlight w:val="none"/>
              </w:rPr>
              <w:t>安全生产考核合格证（</w:t>
            </w:r>
            <w:r>
              <w:rPr>
                <w:rFonts w:ascii="宋体" w:hAnsi="宋体" w:eastAsia="宋体" w:cs="宋体"/>
                <w:color w:val="auto"/>
                <w:szCs w:val="21"/>
                <w:highlight w:val="none"/>
              </w:rPr>
              <w:t>C</w:t>
            </w:r>
            <w:r>
              <w:rPr>
                <w:rFonts w:hint="eastAsia" w:ascii="宋体" w:hAnsi="宋体" w:eastAsia="宋体" w:cs="宋体"/>
                <w:color w:val="auto"/>
                <w:szCs w:val="21"/>
                <w:highlight w:val="none"/>
                <w:u w:val="single"/>
              </w:rPr>
              <w:t>类</w:t>
            </w:r>
            <w:r>
              <w:rPr>
                <w:rFonts w:ascii="宋体" w:hAnsi="宋体" w:eastAsia="宋体" w:cs="宋体"/>
                <w:color w:val="auto"/>
                <w:szCs w:val="21"/>
                <w:highlight w:val="none"/>
              </w:rPr>
              <w:t>）或建筑施工企业专职安全生产管理人员安全生产考核合格证</w:t>
            </w:r>
            <w:r>
              <w:rPr>
                <w:rFonts w:ascii="宋体" w:hAnsi="宋体" w:eastAsia="宋体" w:cs="宋体"/>
                <w:color w:val="auto"/>
                <w:szCs w:val="21"/>
                <w:highlight w:val="none"/>
                <w:u w:val="single"/>
              </w:rPr>
              <w:t>（C3）</w:t>
            </w:r>
            <w:r>
              <w:rPr>
                <w:rFonts w:hint="eastAsia" w:ascii="宋体" w:hAnsi="宋体" w:eastAsia="宋体" w:cs="宋体"/>
                <w:color w:val="auto"/>
                <w:szCs w:val="21"/>
                <w:highlight w:val="none"/>
                <w:u w:val="single"/>
              </w:rPr>
              <w:t>，项目负责人和专职安全员不为同一人</w:t>
            </w:r>
            <w:r>
              <w:rPr>
                <w:rFonts w:ascii="宋体" w:hAnsi="宋体" w:eastAsia="宋体" w:cs="宋体"/>
                <w:color w:val="auto"/>
                <w:szCs w:val="21"/>
                <w:highlight w:val="none"/>
              </w:rPr>
              <w:t>；</w:t>
            </w:r>
          </w:p>
        </w:tc>
        <w:tc>
          <w:tcPr>
            <w:tcW w:w="7364" w:type="dxa"/>
            <w:tcBorders>
              <w:top w:val="single" w:color="auto" w:sz="4" w:space="0"/>
              <w:left w:val="single" w:color="auto" w:sz="4" w:space="0"/>
              <w:bottom w:val="single" w:color="auto" w:sz="4" w:space="0"/>
              <w:right w:val="single" w:color="auto" w:sz="4" w:space="0"/>
            </w:tcBorders>
            <w:noWrap/>
            <w:vAlign w:val="center"/>
          </w:tcPr>
          <w:p w14:paraId="7D58447F">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专职安全员</w:t>
            </w:r>
            <w:r>
              <w:rPr>
                <w:rFonts w:hint="eastAsia" w:ascii="宋体" w:hAnsi="宋体" w:eastAsia="宋体" w:cs="宋体"/>
                <w:color w:val="auto"/>
                <w:szCs w:val="21"/>
                <w:highlight w:val="none"/>
                <w:u w:val="single"/>
              </w:rPr>
              <w:t>在有效期内的</w:t>
            </w:r>
            <w:r>
              <w:rPr>
                <w:rFonts w:hint="eastAsia" w:ascii="宋体" w:hAnsi="宋体" w:eastAsia="宋体" w:cs="宋体"/>
                <w:color w:val="auto"/>
                <w:szCs w:val="21"/>
                <w:highlight w:val="none"/>
              </w:rPr>
              <w:t>的安全生产考核合格证（</w:t>
            </w:r>
            <w:r>
              <w:rPr>
                <w:rFonts w:ascii="宋体" w:hAnsi="宋体" w:eastAsia="宋体" w:cs="宋体"/>
                <w:color w:val="auto"/>
                <w:szCs w:val="21"/>
                <w:highlight w:val="none"/>
              </w:rPr>
              <w:t>C</w:t>
            </w:r>
            <w:r>
              <w:rPr>
                <w:rFonts w:hint="eastAsia" w:ascii="宋体" w:hAnsi="宋体" w:eastAsia="宋体" w:cs="宋体"/>
                <w:color w:val="auto"/>
                <w:szCs w:val="21"/>
                <w:highlight w:val="none"/>
              </w:rPr>
              <w:t>类</w:t>
            </w:r>
            <w:r>
              <w:rPr>
                <w:rFonts w:ascii="宋体" w:hAnsi="宋体" w:eastAsia="宋体" w:cs="宋体"/>
                <w:color w:val="auto"/>
                <w:szCs w:val="21"/>
                <w:highlight w:val="none"/>
              </w:rPr>
              <w:t>）或建筑施工企业专职安全生产管理人员安全生产考核合格证</w:t>
            </w:r>
            <w:r>
              <w:rPr>
                <w:rFonts w:hint="eastAsia" w:ascii="宋体" w:hAnsi="宋体" w:eastAsia="宋体" w:cs="宋体"/>
                <w:color w:val="auto"/>
                <w:kern w:val="0"/>
                <w:szCs w:val="21"/>
                <w:highlight w:val="none"/>
                <w:u w:val="single"/>
              </w:rPr>
              <w:t>（</w:t>
            </w:r>
            <w:r>
              <w:rPr>
                <w:rFonts w:ascii="宋体" w:hAnsi="宋体" w:eastAsia="宋体" w:cs="宋体"/>
                <w:color w:val="auto"/>
                <w:kern w:val="0"/>
                <w:szCs w:val="21"/>
                <w:highlight w:val="none"/>
                <w:u w:val="single"/>
              </w:rPr>
              <w:t>C3）</w:t>
            </w:r>
            <w:r>
              <w:rPr>
                <w:rFonts w:hint="eastAsia" w:ascii="宋体" w:hAnsi="宋体" w:eastAsia="宋体" w:cs="宋体"/>
                <w:color w:val="auto"/>
                <w:kern w:val="0"/>
                <w:szCs w:val="21"/>
                <w:highlight w:val="none"/>
              </w:rPr>
              <w:t>证书</w:t>
            </w:r>
            <w:r>
              <w:rPr>
                <w:rFonts w:hint="eastAsia" w:ascii="宋体" w:hAnsi="宋体" w:eastAsia="宋体" w:cs="宋体"/>
                <w:color w:val="auto"/>
                <w:szCs w:val="21"/>
                <w:highlight w:val="none"/>
              </w:rPr>
              <w:t>扫描件或电子证书。</w:t>
            </w:r>
            <w:r>
              <w:rPr>
                <w:rFonts w:hint="eastAsia" w:ascii="宋体" w:hAnsi="宋体" w:eastAsia="宋体" w:cs="宋体"/>
                <w:color w:val="auto"/>
                <w:szCs w:val="21"/>
                <w:highlight w:val="none"/>
                <w:u w:val="single"/>
              </w:rPr>
              <w:t>根据《建筑施工企业主要负责人、项目负责人和专职安全生产管理人员安全生产管理规定》（住房城乡建设部令第</w:t>
            </w:r>
            <w:r>
              <w:rPr>
                <w:rFonts w:ascii="宋体" w:hAnsi="宋体" w:eastAsia="宋体" w:cs="宋体"/>
                <w:color w:val="auto"/>
                <w:szCs w:val="21"/>
                <w:highlight w:val="none"/>
                <w:u w:val="single"/>
              </w:rPr>
              <w:t>17号）《关于印发建筑施工企业主要负责人、项目负责人和专职安全生产管理人员安全生产管理规定实施意见的通知》（建质〔2015〕206号），若投标人所属地区建设行政主管部门已对建筑施工企业专职安全生产管理人员实施机械、土建、综合分类管理的，本项目要求安全生产考核合格证（C类）或建筑施工企业专职安全生产管理人员安全生产考核合格证书须为综合类（C3）。广东省建筑施工企业安全生产管理人员执行《广东省住房和城乡建设厅关于加快推进建筑施工企业安全生产管理人员考核合格证书电子证照办理相关工作的通知》（粤建质函〔2023〕754号），在10月底前完成换证业务，从2023年11月1日起，旧版电子证照停止使用。其他地区建筑施工企业安全生产管理人员执行属地安全生产管理人员考核合格证书电子证照相关规定。</w:t>
            </w:r>
          </w:p>
        </w:tc>
        <w:tc>
          <w:tcPr>
            <w:tcW w:w="1065" w:type="dxa"/>
            <w:tcBorders>
              <w:top w:val="single" w:color="auto" w:sz="4" w:space="0"/>
              <w:left w:val="single" w:color="auto" w:sz="4" w:space="0"/>
              <w:bottom w:val="single" w:color="auto" w:sz="4" w:space="0"/>
              <w:right w:val="single" w:color="auto" w:sz="4" w:space="0"/>
            </w:tcBorders>
            <w:noWrap/>
            <w:vAlign w:val="center"/>
          </w:tcPr>
          <w:p w14:paraId="05E03DD5">
            <w:pPr>
              <w:snapToGrid w:val="0"/>
              <w:spacing w:line="380" w:lineRule="exact"/>
              <w:jc w:val="center"/>
              <w:rPr>
                <w:rFonts w:ascii="宋体" w:hAnsi="宋体" w:eastAsia="宋体" w:cs="宋体"/>
                <w:color w:val="auto"/>
                <w:szCs w:val="21"/>
                <w:highlight w:val="none"/>
              </w:rPr>
            </w:pPr>
          </w:p>
        </w:tc>
      </w:tr>
      <w:tr w14:paraId="5FFF9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40EB7EAC">
            <w:pPr>
              <w:snapToGrid w:val="0"/>
              <w:spacing w:after="120" w:line="380" w:lineRule="exact"/>
              <w:jc w:val="center"/>
              <w:rPr>
                <w:rFonts w:ascii="宋体" w:hAnsi="宋体" w:eastAsia="宋体" w:cs="宋体"/>
                <w:color w:val="auto"/>
                <w:szCs w:val="21"/>
                <w:highlight w:val="none"/>
                <w:u w:val="single"/>
              </w:rPr>
            </w:pPr>
            <w:r>
              <w:rPr>
                <w:rFonts w:ascii="宋体" w:hAnsi="宋体" w:eastAsia="宋体" w:cs="宋体"/>
                <w:color w:val="auto"/>
                <w:szCs w:val="21"/>
                <w:highlight w:val="none"/>
                <w:u w:val="single"/>
              </w:rPr>
              <w:t>8</w:t>
            </w:r>
          </w:p>
        </w:tc>
        <w:tc>
          <w:tcPr>
            <w:tcW w:w="5562" w:type="dxa"/>
            <w:tcBorders>
              <w:top w:val="single" w:color="auto" w:sz="4" w:space="0"/>
              <w:left w:val="single" w:color="auto" w:sz="4" w:space="0"/>
              <w:bottom w:val="single" w:color="auto" w:sz="4" w:space="0"/>
              <w:right w:val="single" w:color="auto" w:sz="4" w:space="0"/>
            </w:tcBorders>
            <w:noWrap/>
            <w:vAlign w:val="center"/>
          </w:tcPr>
          <w:p w14:paraId="73AEBCB9">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投标人提供的投标人声明符合公告要求；</w:t>
            </w:r>
          </w:p>
        </w:tc>
        <w:tc>
          <w:tcPr>
            <w:tcW w:w="7364" w:type="dxa"/>
            <w:tcBorders>
              <w:top w:val="single" w:color="auto" w:sz="4" w:space="0"/>
              <w:left w:val="single" w:color="auto" w:sz="4" w:space="0"/>
              <w:bottom w:val="single" w:color="auto" w:sz="4" w:space="0"/>
              <w:right w:val="single" w:color="auto" w:sz="4" w:space="0"/>
            </w:tcBorders>
            <w:noWrap/>
            <w:vAlign w:val="center"/>
          </w:tcPr>
          <w:p w14:paraId="6234E8B9">
            <w:pPr>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投标人声明</w:t>
            </w:r>
            <w:r>
              <w:rPr>
                <w:rFonts w:hint="eastAsia" w:ascii="宋体" w:hAnsi="宋体" w:eastAsia="宋体" w:cs="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478BA53B">
            <w:pPr>
              <w:snapToGrid w:val="0"/>
              <w:spacing w:line="380" w:lineRule="exact"/>
              <w:jc w:val="center"/>
              <w:rPr>
                <w:rFonts w:ascii="宋体" w:hAnsi="宋体" w:eastAsia="宋体" w:cs="宋体"/>
                <w:color w:val="auto"/>
                <w:szCs w:val="21"/>
                <w:highlight w:val="none"/>
              </w:rPr>
            </w:pPr>
          </w:p>
        </w:tc>
      </w:tr>
      <w:tr w14:paraId="38936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69FE9718">
            <w:pPr>
              <w:snapToGrid w:val="0"/>
              <w:spacing w:after="120" w:line="380" w:lineRule="exact"/>
              <w:jc w:val="center"/>
              <w:rPr>
                <w:rFonts w:ascii="宋体" w:hAnsi="宋体" w:eastAsia="宋体" w:cs="宋体"/>
                <w:color w:val="auto"/>
                <w:szCs w:val="21"/>
                <w:highlight w:val="none"/>
                <w:u w:val="single"/>
              </w:rPr>
            </w:pPr>
            <w:r>
              <w:rPr>
                <w:rFonts w:ascii="宋体" w:hAnsi="宋体" w:eastAsia="宋体" w:cs="宋体"/>
                <w:color w:val="auto"/>
                <w:szCs w:val="21"/>
                <w:highlight w:val="none"/>
                <w:u w:val="single"/>
              </w:rPr>
              <w:t>9</w:t>
            </w:r>
          </w:p>
        </w:tc>
        <w:tc>
          <w:tcPr>
            <w:tcW w:w="5562" w:type="dxa"/>
            <w:tcBorders>
              <w:top w:val="single" w:color="auto" w:sz="4" w:space="0"/>
              <w:left w:val="single" w:color="auto" w:sz="4" w:space="0"/>
              <w:bottom w:val="single" w:color="auto" w:sz="4" w:space="0"/>
              <w:right w:val="single" w:color="auto" w:sz="4" w:space="0"/>
            </w:tcBorders>
            <w:noWrap/>
            <w:vAlign w:val="center"/>
          </w:tcPr>
          <w:p w14:paraId="30CE5403">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投标人声明中签字的项目负责人和技术负责人与本项目拟派的项目负责人和技术负责人一致；</w:t>
            </w:r>
          </w:p>
        </w:tc>
        <w:tc>
          <w:tcPr>
            <w:tcW w:w="7364" w:type="dxa"/>
            <w:tcBorders>
              <w:top w:val="single" w:color="auto" w:sz="4" w:space="0"/>
              <w:left w:val="single" w:color="auto" w:sz="4" w:space="0"/>
              <w:bottom w:val="single" w:color="auto" w:sz="4" w:space="0"/>
              <w:right w:val="single" w:color="auto" w:sz="4" w:space="0"/>
            </w:tcBorders>
            <w:noWrap/>
            <w:vAlign w:val="center"/>
          </w:tcPr>
          <w:p w14:paraId="7F5B0A1D">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网上投标时选择拟投标的项目负责人、资格审查文件中拟委派的技术负责人及投标人声明</w:t>
            </w:r>
            <w:r>
              <w:rPr>
                <w:rFonts w:hint="eastAsia" w:ascii="宋体" w:hAnsi="宋体" w:eastAsia="宋体" w:cs="宋体"/>
                <w:color w:val="auto"/>
                <w:szCs w:val="21"/>
                <w:highlight w:val="none"/>
                <w:u w:val="single"/>
              </w:rPr>
              <w:t>扫描件</w:t>
            </w:r>
            <w:r>
              <w:rPr>
                <w:rFonts w:hint="eastAsia" w:ascii="宋体" w:hAnsi="宋体" w:eastAsia="宋体" w:cs="宋体"/>
                <w:color w:val="auto"/>
                <w:szCs w:val="21"/>
                <w:highlight w:val="none"/>
              </w:rPr>
              <w:t>。</w:t>
            </w:r>
          </w:p>
        </w:tc>
        <w:tc>
          <w:tcPr>
            <w:tcW w:w="1065" w:type="dxa"/>
            <w:tcBorders>
              <w:top w:val="single" w:color="auto" w:sz="4" w:space="0"/>
              <w:left w:val="single" w:color="auto" w:sz="4" w:space="0"/>
              <w:bottom w:val="single" w:color="auto" w:sz="4" w:space="0"/>
              <w:right w:val="single" w:color="auto" w:sz="4" w:space="0"/>
            </w:tcBorders>
            <w:noWrap/>
            <w:vAlign w:val="center"/>
          </w:tcPr>
          <w:p w14:paraId="28A60468">
            <w:pPr>
              <w:snapToGrid w:val="0"/>
              <w:spacing w:line="380" w:lineRule="exact"/>
              <w:jc w:val="center"/>
              <w:rPr>
                <w:rFonts w:ascii="宋体" w:hAnsi="宋体" w:eastAsia="宋体" w:cs="宋体"/>
                <w:color w:val="auto"/>
                <w:szCs w:val="21"/>
                <w:highlight w:val="none"/>
              </w:rPr>
            </w:pPr>
          </w:p>
        </w:tc>
      </w:tr>
      <w:tr w14:paraId="02CC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27286A3F">
            <w:pPr>
              <w:snapToGrid w:val="0"/>
              <w:spacing w:after="120" w:line="380" w:lineRule="exact"/>
              <w:jc w:val="center"/>
              <w:rPr>
                <w:rFonts w:ascii="宋体" w:hAnsi="宋体" w:eastAsia="宋体" w:cs="宋体"/>
                <w:color w:val="auto"/>
                <w:szCs w:val="21"/>
                <w:highlight w:val="none"/>
                <w:u w:val="single"/>
              </w:rPr>
            </w:pPr>
            <w:r>
              <w:rPr>
                <w:rFonts w:ascii="宋体" w:hAnsi="宋体" w:eastAsia="宋体" w:cs="宋体"/>
                <w:color w:val="auto"/>
                <w:szCs w:val="21"/>
                <w:highlight w:val="none"/>
                <w:u w:val="single"/>
              </w:rPr>
              <w:t>10</w:t>
            </w:r>
          </w:p>
        </w:tc>
        <w:tc>
          <w:tcPr>
            <w:tcW w:w="5562" w:type="dxa"/>
            <w:tcBorders>
              <w:top w:val="single" w:color="auto" w:sz="4" w:space="0"/>
              <w:left w:val="single" w:color="auto" w:sz="4" w:space="0"/>
              <w:bottom w:val="single" w:color="auto" w:sz="4" w:space="0"/>
              <w:right w:val="single" w:color="auto" w:sz="4" w:space="0"/>
            </w:tcBorders>
            <w:noWrap/>
            <w:vAlign w:val="center"/>
          </w:tcPr>
          <w:p w14:paraId="39868D0A">
            <w:pPr>
              <w:spacing w:line="380" w:lineRule="exact"/>
              <w:rPr>
                <w:rFonts w:ascii="宋体" w:hAnsi="宋体" w:eastAsia="宋体" w:cs="宋体"/>
                <w:color w:val="auto"/>
                <w:szCs w:val="21"/>
                <w:highlight w:val="none"/>
              </w:rPr>
            </w:pPr>
            <w:r>
              <w:rPr>
                <w:rStyle w:val="242"/>
                <w:rFonts w:hint="default" w:cs="宋体"/>
                <w:color w:val="auto"/>
                <w:sz w:val="21"/>
                <w:szCs w:val="21"/>
                <w:highlight w:val="none"/>
              </w:rPr>
              <w:t>关于联合体投标：本项目不接受联合体投标；</w:t>
            </w:r>
          </w:p>
        </w:tc>
        <w:tc>
          <w:tcPr>
            <w:tcW w:w="7364" w:type="dxa"/>
            <w:tcBorders>
              <w:top w:val="single" w:color="auto" w:sz="4" w:space="0"/>
              <w:left w:val="single" w:color="auto" w:sz="4" w:space="0"/>
              <w:bottom w:val="single" w:color="auto" w:sz="4" w:space="0"/>
              <w:right w:val="single" w:color="auto" w:sz="4" w:space="0"/>
            </w:tcBorders>
            <w:noWrap/>
            <w:vAlign w:val="center"/>
          </w:tcPr>
          <w:p w14:paraId="2CA9F502">
            <w:pPr>
              <w:spacing w:line="380" w:lineRule="exact"/>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投标人没有以联合体投标登记。</w:t>
            </w:r>
          </w:p>
        </w:tc>
        <w:tc>
          <w:tcPr>
            <w:tcW w:w="1065" w:type="dxa"/>
            <w:tcBorders>
              <w:top w:val="single" w:color="auto" w:sz="4" w:space="0"/>
              <w:left w:val="single" w:color="auto" w:sz="4" w:space="0"/>
              <w:bottom w:val="single" w:color="auto" w:sz="4" w:space="0"/>
              <w:right w:val="single" w:color="auto" w:sz="4" w:space="0"/>
            </w:tcBorders>
            <w:noWrap/>
            <w:vAlign w:val="center"/>
          </w:tcPr>
          <w:p w14:paraId="4E4EAA17">
            <w:pPr>
              <w:snapToGrid w:val="0"/>
              <w:spacing w:line="380" w:lineRule="exact"/>
              <w:jc w:val="center"/>
              <w:rPr>
                <w:rFonts w:ascii="宋体" w:hAnsi="宋体" w:eastAsia="宋体" w:cs="宋体"/>
                <w:color w:val="auto"/>
                <w:szCs w:val="21"/>
                <w:highlight w:val="none"/>
              </w:rPr>
            </w:pPr>
          </w:p>
        </w:tc>
      </w:tr>
      <w:tr w14:paraId="798A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0DF6788A">
            <w:pPr>
              <w:snapToGrid w:val="0"/>
              <w:spacing w:after="120" w:line="380" w:lineRule="exact"/>
              <w:jc w:val="center"/>
              <w:rPr>
                <w:rFonts w:ascii="宋体" w:hAnsi="宋体" w:eastAsia="宋体" w:cs="宋体"/>
                <w:color w:val="auto"/>
                <w:szCs w:val="21"/>
                <w:highlight w:val="none"/>
                <w:u w:val="single"/>
              </w:rPr>
            </w:pPr>
            <w:r>
              <w:rPr>
                <w:rFonts w:ascii="宋体" w:hAnsi="宋体" w:eastAsia="宋体" w:cs="宋体"/>
                <w:color w:val="auto"/>
                <w:szCs w:val="21"/>
                <w:highlight w:val="none"/>
                <w:u w:val="single"/>
              </w:rPr>
              <w:t>11</w:t>
            </w:r>
          </w:p>
        </w:tc>
        <w:tc>
          <w:tcPr>
            <w:tcW w:w="5562" w:type="dxa"/>
            <w:tcBorders>
              <w:top w:val="single" w:color="auto" w:sz="4" w:space="0"/>
              <w:left w:val="single" w:color="auto" w:sz="4" w:space="0"/>
              <w:bottom w:val="single" w:color="auto" w:sz="4" w:space="0"/>
              <w:right w:val="single" w:color="auto" w:sz="4" w:space="0"/>
            </w:tcBorders>
            <w:noWrap/>
            <w:vAlign w:val="center"/>
          </w:tcPr>
          <w:p w14:paraId="2C3802FD">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资格审查前，投标人须在广州市住房和城乡建设局建立企业信用档案及拟担任本工程项目负责人、专职安全员须是本企业信用档案中的在册人员；</w:t>
            </w:r>
          </w:p>
        </w:tc>
        <w:tc>
          <w:tcPr>
            <w:tcW w:w="7364" w:type="dxa"/>
            <w:tcBorders>
              <w:top w:val="single" w:color="auto" w:sz="4" w:space="0"/>
              <w:left w:val="single" w:color="auto" w:sz="4" w:space="0"/>
              <w:bottom w:val="single" w:color="auto" w:sz="4" w:space="0"/>
              <w:right w:val="single" w:color="auto" w:sz="4" w:space="0"/>
            </w:tcBorders>
            <w:noWrap/>
            <w:vAlign w:val="center"/>
          </w:tcPr>
          <w:p w14:paraId="6E0CAF9E">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投标人在广州市住建行业信用管理平台内企业信用档案的企业和人员信息。</w:t>
            </w:r>
            <w:r>
              <w:rPr>
                <w:rFonts w:hint="eastAsia" w:ascii="宋体" w:hAnsi="宋体" w:eastAsia="宋体" w:cs="宋体"/>
                <w:bCs/>
                <w:color w:val="auto"/>
                <w:szCs w:val="21"/>
                <w:highlight w:val="none"/>
                <w:u w:val="single"/>
              </w:rPr>
              <w:t>投标人无需提供证明资料。</w:t>
            </w:r>
          </w:p>
        </w:tc>
        <w:tc>
          <w:tcPr>
            <w:tcW w:w="1065" w:type="dxa"/>
            <w:tcBorders>
              <w:top w:val="single" w:color="auto" w:sz="4" w:space="0"/>
              <w:left w:val="single" w:color="auto" w:sz="4" w:space="0"/>
              <w:bottom w:val="single" w:color="auto" w:sz="4" w:space="0"/>
              <w:right w:val="single" w:color="auto" w:sz="4" w:space="0"/>
            </w:tcBorders>
            <w:noWrap/>
            <w:vAlign w:val="center"/>
          </w:tcPr>
          <w:p w14:paraId="0671598E">
            <w:pPr>
              <w:snapToGrid w:val="0"/>
              <w:spacing w:line="380" w:lineRule="exact"/>
              <w:jc w:val="center"/>
              <w:rPr>
                <w:rFonts w:ascii="宋体" w:hAnsi="宋体" w:eastAsia="宋体" w:cs="宋体"/>
                <w:color w:val="auto"/>
                <w:szCs w:val="21"/>
                <w:highlight w:val="none"/>
              </w:rPr>
            </w:pPr>
          </w:p>
        </w:tc>
      </w:tr>
      <w:tr w14:paraId="35972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7FA10509">
            <w:pPr>
              <w:snapToGrid w:val="0"/>
              <w:spacing w:after="120" w:line="380" w:lineRule="exact"/>
              <w:jc w:val="center"/>
              <w:rPr>
                <w:rFonts w:ascii="宋体" w:hAnsi="宋体" w:eastAsia="宋体" w:cs="宋体"/>
                <w:color w:val="auto"/>
                <w:szCs w:val="21"/>
                <w:highlight w:val="none"/>
                <w:u w:val="single"/>
              </w:rPr>
            </w:pPr>
            <w:r>
              <w:rPr>
                <w:rFonts w:hint="eastAsia" w:ascii="宋体" w:hAnsi="宋体" w:eastAsia="宋体" w:cs="宋体"/>
                <w:color w:val="auto"/>
                <w:szCs w:val="21"/>
                <w:highlight w:val="none"/>
                <w:u w:val="single"/>
              </w:rPr>
              <w:t>12</w:t>
            </w:r>
          </w:p>
        </w:tc>
        <w:tc>
          <w:tcPr>
            <w:tcW w:w="5562" w:type="dxa"/>
            <w:tcBorders>
              <w:top w:val="single" w:color="auto" w:sz="4" w:space="0"/>
              <w:left w:val="single" w:color="auto" w:sz="4" w:space="0"/>
              <w:bottom w:val="single" w:color="auto" w:sz="4" w:space="0"/>
              <w:right w:val="single" w:color="auto" w:sz="4" w:space="0"/>
            </w:tcBorders>
            <w:noWrap/>
            <w:vAlign w:val="center"/>
          </w:tcPr>
          <w:p w14:paraId="2C7F5ABF">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u w:val="single"/>
              </w:rPr>
              <w:t>投标人</w:t>
            </w:r>
            <w:r>
              <w:rPr>
                <w:rFonts w:hint="eastAsia" w:ascii="宋体" w:hAnsi="宋体" w:eastAsia="宋体" w:cs="宋体"/>
                <w:color w:val="auto"/>
                <w:szCs w:val="21"/>
                <w:highlight w:val="none"/>
              </w:rPr>
              <w:t>未在以往工程中因不充分履约行为被本项目招标人书面拒绝投标的</w:t>
            </w:r>
            <w:r>
              <w:rPr>
                <w:rFonts w:hint="eastAsia" w:ascii="宋体" w:hAnsi="宋体" w:eastAsia="宋体" w:cs="宋体"/>
                <w:color w:val="auto"/>
                <w:szCs w:val="21"/>
                <w:highlight w:val="none"/>
                <w:u w:val="single"/>
              </w:rPr>
              <w:t>（在拒绝投标的期限内）</w:t>
            </w:r>
            <w:r>
              <w:rPr>
                <w:rFonts w:hint="eastAsia" w:ascii="宋体" w:hAnsi="宋体" w:eastAsia="宋体" w:cs="宋体"/>
                <w:color w:val="auto"/>
                <w:szCs w:val="21"/>
                <w:highlight w:val="none"/>
              </w:rPr>
              <w:t>。</w:t>
            </w:r>
          </w:p>
        </w:tc>
        <w:tc>
          <w:tcPr>
            <w:tcW w:w="7364" w:type="dxa"/>
            <w:tcBorders>
              <w:top w:val="single" w:color="auto" w:sz="4" w:space="0"/>
              <w:left w:val="single" w:color="auto" w:sz="4" w:space="0"/>
              <w:bottom w:val="single" w:color="auto" w:sz="4" w:space="0"/>
              <w:right w:val="single" w:color="auto" w:sz="4" w:space="0"/>
            </w:tcBorders>
            <w:noWrap/>
            <w:vAlign w:val="center"/>
          </w:tcPr>
          <w:p w14:paraId="70252A33">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u w:val="single"/>
              </w:rPr>
              <w:t>投标人无需提供资料，资格审查时，按招标公告附件二《被招标人拒绝投标的企业名单》进行评审。</w:t>
            </w:r>
          </w:p>
        </w:tc>
        <w:tc>
          <w:tcPr>
            <w:tcW w:w="1065" w:type="dxa"/>
            <w:tcBorders>
              <w:top w:val="single" w:color="auto" w:sz="4" w:space="0"/>
              <w:left w:val="single" w:color="auto" w:sz="4" w:space="0"/>
              <w:bottom w:val="single" w:color="auto" w:sz="4" w:space="0"/>
              <w:right w:val="single" w:color="auto" w:sz="4" w:space="0"/>
            </w:tcBorders>
            <w:noWrap/>
            <w:vAlign w:val="center"/>
          </w:tcPr>
          <w:p w14:paraId="6EA6C3C5">
            <w:pPr>
              <w:snapToGrid w:val="0"/>
              <w:spacing w:line="380" w:lineRule="exact"/>
              <w:jc w:val="center"/>
              <w:rPr>
                <w:rFonts w:ascii="宋体" w:hAnsi="宋体" w:eastAsia="宋体" w:cs="宋体"/>
                <w:color w:val="auto"/>
                <w:szCs w:val="21"/>
                <w:highlight w:val="none"/>
              </w:rPr>
            </w:pPr>
          </w:p>
        </w:tc>
      </w:tr>
      <w:tr w14:paraId="47A56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60493A94">
            <w:pPr>
              <w:snapToGrid w:val="0"/>
              <w:spacing w:after="120" w:line="380" w:lineRule="exact"/>
              <w:jc w:val="center"/>
              <w:rPr>
                <w:rFonts w:ascii="宋体" w:hAnsi="宋体" w:eastAsia="宋体" w:cs="宋体"/>
                <w:color w:val="auto"/>
                <w:szCs w:val="21"/>
                <w:highlight w:val="none"/>
                <w:u w:val="single"/>
              </w:rPr>
            </w:pPr>
            <w:r>
              <w:rPr>
                <w:rFonts w:ascii="宋体" w:hAnsi="宋体" w:eastAsia="宋体" w:cs="宋体"/>
                <w:color w:val="auto"/>
                <w:szCs w:val="21"/>
                <w:highlight w:val="none"/>
                <w:u w:val="single"/>
              </w:rPr>
              <w:t>1</w:t>
            </w:r>
            <w:r>
              <w:rPr>
                <w:rFonts w:hint="eastAsia" w:ascii="宋体" w:hAnsi="宋体" w:eastAsia="宋体" w:cs="宋体"/>
                <w:color w:val="auto"/>
                <w:szCs w:val="21"/>
                <w:highlight w:val="none"/>
                <w:u w:val="single"/>
              </w:rPr>
              <w:t>3</w:t>
            </w:r>
          </w:p>
        </w:tc>
        <w:tc>
          <w:tcPr>
            <w:tcW w:w="5562" w:type="dxa"/>
            <w:tcBorders>
              <w:top w:val="single" w:color="auto" w:sz="4" w:space="0"/>
              <w:left w:val="single" w:color="auto" w:sz="4" w:space="0"/>
              <w:bottom w:val="single" w:color="auto" w:sz="4" w:space="0"/>
              <w:right w:val="single" w:color="auto" w:sz="4" w:space="0"/>
            </w:tcBorders>
            <w:noWrap/>
            <w:vAlign w:val="center"/>
          </w:tcPr>
          <w:p w14:paraId="7A8ADD29">
            <w:pPr>
              <w:spacing w:line="38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投标人未出现以下情形：与其它投标人的单位负责人为同一人或者存在控股、管理关系的（按投标人提供的《投标人声明》第九条内容进行评审）。</w:t>
            </w:r>
            <w:r>
              <w:rPr>
                <w:rFonts w:ascii="宋体" w:hAnsi="宋体" w:eastAsia="宋体" w:cs="宋体"/>
                <w:color w:val="auto"/>
                <w:szCs w:val="21"/>
                <w:highlight w:val="none"/>
                <w:u w:val="single"/>
              </w:rPr>
              <w:t>如不同投标申请人出现单位负责人为同一人或者存在控股、管理关系的情形，则均按不符合投标人合格条件处理。</w:t>
            </w:r>
          </w:p>
        </w:tc>
        <w:tc>
          <w:tcPr>
            <w:tcW w:w="7364" w:type="dxa"/>
            <w:tcBorders>
              <w:top w:val="single" w:color="auto" w:sz="4" w:space="0"/>
              <w:left w:val="single" w:color="auto" w:sz="4" w:space="0"/>
              <w:bottom w:val="single" w:color="auto" w:sz="4" w:space="0"/>
              <w:right w:val="single" w:color="auto" w:sz="4" w:space="0"/>
            </w:tcBorders>
            <w:noWrap/>
            <w:vAlign w:val="center"/>
          </w:tcPr>
          <w:p w14:paraId="639148AE">
            <w:pPr>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投标人声明</w:t>
            </w:r>
            <w:r>
              <w:rPr>
                <w:rFonts w:hint="eastAsia" w:ascii="宋体" w:hAnsi="宋体" w:eastAsia="宋体" w:cs="宋体"/>
                <w:color w:val="auto"/>
                <w:szCs w:val="21"/>
                <w:highlight w:val="none"/>
                <w:u w:val="single"/>
              </w:rPr>
              <w:t>扫描件。</w:t>
            </w:r>
          </w:p>
        </w:tc>
        <w:tc>
          <w:tcPr>
            <w:tcW w:w="1065" w:type="dxa"/>
            <w:tcBorders>
              <w:top w:val="single" w:color="auto" w:sz="4" w:space="0"/>
              <w:left w:val="single" w:color="auto" w:sz="4" w:space="0"/>
              <w:bottom w:val="single" w:color="auto" w:sz="4" w:space="0"/>
              <w:right w:val="single" w:color="auto" w:sz="4" w:space="0"/>
            </w:tcBorders>
            <w:noWrap/>
            <w:vAlign w:val="center"/>
          </w:tcPr>
          <w:p w14:paraId="7D38B103">
            <w:pPr>
              <w:snapToGrid w:val="0"/>
              <w:spacing w:line="380" w:lineRule="exact"/>
              <w:jc w:val="center"/>
              <w:rPr>
                <w:rFonts w:ascii="宋体" w:hAnsi="宋体" w:eastAsia="宋体" w:cs="宋体"/>
                <w:color w:val="auto"/>
                <w:szCs w:val="21"/>
                <w:highlight w:val="none"/>
              </w:rPr>
            </w:pPr>
          </w:p>
        </w:tc>
      </w:tr>
      <w:tr w14:paraId="28948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noWrap/>
            <w:vAlign w:val="center"/>
          </w:tcPr>
          <w:p w14:paraId="1E7F22D3">
            <w:pPr>
              <w:snapToGrid w:val="0"/>
              <w:spacing w:after="120" w:line="380" w:lineRule="exact"/>
              <w:jc w:val="center"/>
              <w:rPr>
                <w:rFonts w:ascii="宋体" w:hAnsi="宋体" w:eastAsia="宋体" w:cs="宋体"/>
                <w:color w:val="auto"/>
                <w:szCs w:val="21"/>
                <w:highlight w:val="none"/>
                <w:u w:val="single"/>
              </w:rPr>
            </w:pPr>
            <w:r>
              <w:rPr>
                <w:rFonts w:ascii="宋体" w:hAnsi="宋体" w:eastAsia="宋体" w:cs="宋体"/>
                <w:color w:val="auto"/>
                <w:szCs w:val="21"/>
                <w:highlight w:val="none"/>
                <w:u w:val="single"/>
              </w:rPr>
              <w:t>1</w:t>
            </w:r>
            <w:r>
              <w:rPr>
                <w:rFonts w:hint="eastAsia" w:ascii="宋体" w:hAnsi="宋体" w:eastAsia="宋体" w:cs="宋体"/>
                <w:color w:val="auto"/>
                <w:szCs w:val="21"/>
                <w:highlight w:val="none"/>
                <w:u w:val="single"/>
              </w:rPr>
              <w:t>4</w:t>
            </w:r>
          </w:p>
        </w:tc>
        <w:tc>
          <w:tcPr>
            <w:tcW w:w="5562" w:type="dxa"/>
            <w:tcBorders>
              <w:top w:val="single" w:color="auto" w:sz="4" w:space="0"/>
              <w:left w:val="single" w:color="auto" w:sz="4" w:space="0"/>
              <w:bottom w:val="single" w:color="auto" w:sz="4" w:space="0"/>
              <w:right w:val="single" w:color="auto" w:sz="4" w:space="0"/>
            </w:tcBorders>
            <w:noWrap/>
            <w:vAlign w:val="center"/>
          </w:tcPr>
          <w:p w14:paraId="48CA2DED">
            <w:pPr>
              <w:spacing w:line="38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u w:val="single"/>
              </w:rPr>
              <w:t>投标人</w:t>
            </w:r>
            <w:r>
              <w:rPr>
                <w:rFonts w:hint="eastAsia" w:ascii="宋体" w:hAnsi="宋体" w:eastAsia="宋体" w:cs="宋体"/>
                <w:color w:val="auto"/>
                <w:szCs w:val="21"/>
                <w:highlight w:val="none"/>
              </w:rPr>
              <w:t>未被列入拖欠农民工工资失信联合惩戒对象名单和失信被执行人；</w:t>
            </w:r>
          </w:p>
        </w:tc>
        <w:tc>
          <w:tcPr>
            <w:tcW w:w="7364" w:type="dxa"/>
            <w:tcBorders>
              <w:top w:val="single" w:color="auto" w:sz="4" w:space="0"/>
              <w:left w:val="single" w:color="auto" w:sz="4" w:space="0"/>
              <w:bottom w:val="single" w:color="auto" w:sz="4" w:space="0"/>
              <w:right w:val="single" w:color="auto" w:sz="4" w:space="0"/>
            </w:tcBorders>
            <w:noWrap/>
            <w:vAlign w:val="center"/>
          </w:tcPr>
          <w:p w14:paraId="636FEE1B">
            <w:pPr>
              <w:spacing w:line="380" w:lineRule="exact"/>
              <w:jc w:val="left"/>
              <w:rPr>
                <w:rFonts w:ascii="宋体" w:hAnsi="宋体" w:eastAsia="宋体" w:cs="宋体"/>
                <w:color w:val="auto"/>
                <w:szCs w:val="21"/>
                <w:highlight w:val="none"/>
                <w:u w:val="single"/>
              </w:rPr>
            </w:pPr>
            <w:r>
              <w:rPr>
                <w:rFonts w:hint="eastAsia" w:ascii="宋体" w:hAnsi="宋体" w:eastAsia="宋体" w:cs="宋体"/>
                <w:color w:val="auto"/>
                <w:szCs w:val="21"/>
                <w:highlight w:val="none"/>
              </w:rPr>
              <w:t>投标人无需提供资料，按</w:t>
            </w:r>
            <w:r>
              <w:rPr>
                <w:rFonts w:hint="eastAsia" w:ascii="宋体" w:hAnsi="宋体" w:eastAsia="宋体" w:cs="宋体"/>
                <w:color w:val="auto"/>
                <w:szCs w:val="21"/>
                <w:highlight w:val="none"/>
                <w:u w:val="single"/>
              </w:rPr>
              <w:t>投标截止时间广州交易集团有限公司（广州公共资源交易中心）</w:t>
            </w:r>
            <w:r>
              <w:rPr>
                <w:rFonts w:hint="eastAsia" w:ascii="宋体" w:hAnsi="宋体" w:eastAsia="宋体" w:cs="宋体"/>
                <w:color w:val="auto"/>
                <w:szCs w:val="21"/>
                <w:highlight w:val="none"/>
              </w:rPr>
              <w:t>交易系统比对的结果进行评审。</w:t>
            </w:r>
          </w:p>
        </w:tc>
        <w:tc>
          <w:tcPr>
            <w:tcW w:w="1065" w:type="dxa"/>
            <w:tcBorders>
              <w:top w:val="single" w:color="auto" w:sz="4" w:space="0"/>
              <w:left w:val="single" w:color="auto" w:sz="4" w:space="0"/>
              <w:bottom w:val="single" w:color="auto" w:sz="4" w:space="0"/>
              <w:right w:val="single" w:color="auto" w:sz="4" w:space="0"/>
            </w:tcBorders>
            <w:noWrap/>
            <w:vAlign w:val="center"/>
          </w:tcPr>
          <w:p w14:paraId="3CA8CBAE">
            <w:pPr>
              <w:snapToGrid w:val="0"/>
              <w:spacing w:line="380" w:lineRule="exact"/>
              <w:jc w:val="center"/>
              <w:rPr>
                <w:rFonts w:ascii="宋体" w:hAnsi="宋体" w:eastAsia="宋体" w:cs="宋体"/>
                <w:color w:val="auto"/>
                <w:szCs w:val="21"/>
                <w:highlight w:val="none"/>
              </w:rPr>
            </w:pPr>
          </w:p>
        </w:tc>
      </w:tr>
    </w:tbl>
    <w:p w14:paraId="35077C74">
      <w:pPr>
        <w:snapToGrid w:val="0"/>
        <w:spacing w:line="360" w:lineRule="auto"/>
        <w:ind w:firstLine="470" w:firstLineChars="224"/>
        <w:rPr>
          <w:rFonts w:ascii="宋体" w:hAnsi="宋体" w:eastAsia="宋体" w:cs="宋体"/>
          <w:color w:val="auto"/>
          <w:szCs w:val="21"/>
          <w:highlight w:val="none"/>
        </w:rPr>
      </w:pPr>
      <w:r>
        <w:rPr>
          <w:rFonts w:hint="eastAsia" w:ascii="宋体" w:hAnsi="宋体" w:eastAsia="宋体" w:cs="宋体"/>
          <w:color w:val="auto"/>
          <w:szCs w:val="21"/>
          <w:highlight w:val="none"/>
        </w:rPr>
        <w:t>备注：</w:t>
      </w:r>
      <w:r>
        <w:rPr>
          <w:rFonts w:ascii="宋体" w:hAnsi="宋体" w:eastAsia="宋体" w:cs="宋体"/>
          <w:color w:val="auto"/>
          <w:szCs w:val="21"/>
          <w:highlight w:val="none"/>
        </w:rPr>
        <w:t>1、每一项目符合的打“○”，不符合的打“×”；</w:t>
      </w:r>
    </w:p>
    <w:p w14:paraId="0921B4C7">
      <w:pPr>
        <w:snapToGrid w:val="0"/>
        <w:spacing w:line="360" w:lineRule="auto"/>
        <w:ind w:firstLine="470" w:firstLineChars="224"/>
        <w:rPr>
          <w:rFonts w:ascii="宋体" w:hAnsi="宋体" w:eastAsia="宋体" w:cs="宋体"/>
          <w:color w:val="auto"/>
          <w:szCs w:val="21"/>
          <w:highlight w:val="none"/>
        </w:rPr>
      </w:pPr>
      <w:r>
        <w:rPr>
          <w:rFonts w:ascii="宋体" w:hAnsi="宋体" w:eastAsia="宋体" w:cs="宋体"/>
          <w:color w:val="auto"/>
          <w:szCs w:val="21"/>
          <w:highlight w:val="none"/>
        </w:rPr>
        <w:t>2、若评委意见不一致时，则按少数服从多数的原则，作出评审结论。汇总后，出现一个“×”的结论为“不通过”。</w:t>
      </w:r>
    </w:p>
    <w:p w14:paraId="39CA31D0">
      <w:pPr>
        <w:snapToGrid w:val="0"/>
        <w:spacing w:line="360" w:lineRule="auto"/>
        <w:ind w:firstLine="470" w:firstLineChars="224"/>
        <w:rPr>
          <w:rFonts w:ascii="宋体" w:hAnsi="宋体" w:eastAsia="宋体" w:cs="宋体"/>
          <w:color w:val="auto"/>
          <w:szCs w:val="21"/>
          <w:highlight w:val="none"/>
        </w:rPr>
      </w:pPr>
      <w:r>
        <w:rPr>
          <w:rFonts w:ascii="宋体" w:hAnsi="宋体" w:eastAsia="宋体" w:cs="宋体"/>
          <w:color w:val="auto"/>
          <w:szCs w:val="21"/>
          <w:highlight w:val="none"/>
        </w:rPr>
        <w:t>3.不得将文件顺序、明显的文字错误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270D89DD">
      <w:pPr>
        <w:spacing w:line="360"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u w:val="single"/>
        </w:rPr>
        <w:t>4.</w:t>
      </w:r>
      <w:r>
        <w:rPr>
          <w:rFonts w:hint="eastAsia" w:ascii="宋体" w:hAnsi="宋体" w:eastAsia="宋体" w:cs="宋体"/>
          <w:color w:val="auto"/>
          <w:szCs w:val="21"/>
          <w:highlight w:val="none"/>
          <w:u w:val="single"/>
        </w:rPr>
        <w:t>如对本表中某种情形的评审意见不一致时，以评标委员会过半数成员的意见作为评标委员会对该情形的认定结论</w:t>
      </w:r>
      <w:r>
        <w:rPr>
          <w:rFonts w:hint="eastAsia" w:ascii="宋体" w:hAnsi="宋体" w:eastAsia="宋体" w:cs="宋体"/>
          <w:color w:val="auto"/>
          <w:szCs w:val="21"/>
          <w:highlight w:val="none"/>
        </w:rPr>
        <w:t>。</w:t>
      </w:r>
    </w:p>
    <w:p w14:paraId="477CE481">
      <w:pPr>
        <w:snapToGrid w:val="0"/>
        <w:spacing w:line="360" w:lineRule="auto"/>
        <w:ind w:firstLine="470" w:firstLineChars="224"/>
        <w:rPr>
          <w:rFonts w:ascii="宋体" w:hAnsi="宋体" w:eastAsia="宋体" w:cs="宋体"/>
          <w:color w:val="auto"/>
          <w:szCs w:val="21"/>
          <w:highlight w:val="none"/>
        </w:rPr>
      </w:pPr>
      <w:r>
        <w:rPr>
          <w:rFonts w:hint="eastAsia" w:ascii="宋体" w:hAnsi="宋体" w:eastAsia="宋体" w:cs="宋体"/>
          <w:bCs/>
          <w:color w:val="auto"/>
          <w:szCs w:val="21"/>
          <w:highlight w:val="none"/>
        </w:rPr>
        <w:t>评委签名：</w:t>
      </w:r>
    </w:p>
    <w:p w14:paraId="1208B3E0">
      <w:pPr>
        <w:snapToGrid w:val="0"/>
        <w:spacing w:line="360" w:lineRule="auto"/>
        <w:ind w:firstLine="537" w:firstLineChars="224"/>
        <w:rPr>
          <w:rFonts w:ascii="宋体" w:hAnsi="宋体" w:eastAsia="宋体" w:cs="宋体"/>
          <w:color w:val="auto"/>
          <w:sz w:val="24"/>
          <w:highlight w:val="none"/>
        </w:rPr>
      </w:pPr>
    </w:p>
    <w:p w14:paraId="602861FA">
      <w:pPr>
        <w:snapToGrid w:val="0"/>
        <w:spacing w:line="360" w:lineRule="auto"/>
        <w:rPr>
          <w:rFonts w:ascii="宋体" w:hAnsi="宋体" w:eastAsia="宋体" w:cs="宋体"/>
          <w:color w:val="auto"/>
          <w:sz w:val="24"/>
          <w:highlight w:val="none"/>
        </w:rPr>
        <w:sectPr>
          <w:endnotePr>
            <w:numFmt w:val="decimal"/>
          </w:endnotePr>
          <w:pgSz w:w="16838" w:h="11906" w:orient="landscape"/>
          <w:pgMar w:top="1440" w:right="1440" w:bottom="1440" w:left="1440" w:header="851" w:footer="992" w:gutter="0"/>
          <w:cols w:space="0" w:num="1"/>
          <w:docGrid w:type="lines" w:linePitch="322" w:charSpace="0"/>
        </w:sectPr>
      </w:pPr>
    </w:p>
    <w:p w14:paraId="41051492">
      <w:pPr>
        <w:snapToGrid w:val="0"/>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附表二</w:t>
      </w:r>
    </w:p>
    <w:p w14:paraId="45C2193C">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技术标有效性审查表</w:t>
      </w:r>
    </w:p>
    <w:p w14:paraId="67038D2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8"/>
        <w:gridCol w:w="12275"/>
        <w:gridCol w:w="507"/>
        <w:gridCol w:w="507"/>
        <w:gridCol w:w="507"/>
      </w:tblGrid>
      <w:tr w14:paraId="2DE4D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1BF3171D">
            <w:pP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328" w:type="pct"/>
            <w:tcBorders>
              <w:top w:val="single" w:color="auto" w:sz="4" w:space="0"/>
              <w:left w:val="single" w:color="auto" w:sz="4" w:space="0"/>
              <w:bottom w:val="single" w:color="auto" w:sz="4" w:space="0"/>
              <w:right w:val="single" w:color="auto" w:sz="4" w:space="0"/>
              <w:tl2br w:val="single" w:color="auto" w:sz="4" w:space="0"/>
            </w:tcBorders>
            <w:noWrap/>
          </w:tcPr>
          <w:p w14:paraId="64B9842D">
            <w:pPr>
              <w:adjustRightInd w:val="0"/>
              <w:snapToGrid w:val="0"/>
              <w:spacing w:line="360" w:lineRule="auto"/>
              <w:ind w:firstLine="8400" w:firstLineChars="4000"/>
              <w:rPr>
                <w:rFonts w:ascii="宋体" w:hAnsi="宋体" w:eastAsia="宋体" w:cs="宋体"/>
                <w:color w:val="auto"/>
                <w:szCs w:val="21"/>
                <w:highlight w:val="none"/>
              </w:rPr>
            </w:pPr>
            <w:r>
              <w:rPr>
                <w:rFonts w:hint="eastAsia" w:ascii="宋体" w:hAnsi="宋体" w:eastAsia="宋体" w:cs="宋体"/>
                <w:color w:val="auto"/>
                <w:szCs w:val="21"/>
                <w:highlight w:val="none"/>
              </w:rPr>
              <w:t>投标人</w:t>
            </w:r>
          </w:p>
          <w:p w14:paraId="2B74EECE">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179" w:type="pct"/>
            <w:tcBorders>
              <w:top w:val="single" w:color="auto" w:sz="4" w:space="0"/>
              <w:left w:val="single" w:color="auto" w:sz="4" w:space="0"/>
              <w:bottom w:val="single" w:color="auto" w:sz="4" w:space="0"/>
              <w:right w:val="single" w:color="auto" w:sz="4" w:space="0"/>
            </w:tcBorders>
            <w:noWrap/>
          </w:tcPr>
          <w:p w14:paraId="60439328">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75E9C34C">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2D5D5D13">
            <w:pPr>
              <w:adjustRightInd w:val="0"/>
              <w:snapToGrid w:val="0"/>
              <w:spacing w:line="360" w:lineRule="auto"/>
              <w:rPr>
                <w:rFonts w:ascii="宋体" w:hAnsi="宋体" w:eastAsia="宋体" w:cs="宋体"/>
                <w:color w:val="auto"/>
                <w:szCs w:val="21"/>
                <w:highlight w:val="none"/>
              </w:rPr>
            </w:pPr>
          </w:p>
        </w:tc>
      </w:tr>
      <w:tr w14:paraId="1DCD7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08549F4E">
            <w:pPr>
              <w:adjustRightInd w:val="0"/>
              <w:rPr>
                <w:rFonts w:ascii="宋体" w:hAnsi="宋体" w:eastAsia="宋体" w:cs="Times New Roman"/>
                <w:color w:val="auto"/>
                <w:szCs w:val="21"/>
                <w:highlight w:val="none"/>
              </w:rPr>
            </w:pPr>
            <w:r>
              <w:rPr>
                <w:rFonts w:ascii="宋体" w:hAnsi="宋体" w:eastAsia="宋体" w:cs="Times New Roman"/>
                <w:color w:val="auto"/>
                <w:szCs w:val="21"/>
                <w:highlight w:val="none"/>
              </w:rPr>
              <w:t>1</w:t>
            </w:r>
          </w:p>
        </w:tc>
        <w:tc>
          <w:tcPr>
            <w:tcW w:w="4328" w:type="pct"/>
            <w:tcBorders>
              <w:top w:val="single" w:color="auto" w:sz="4" w:space="0"/>
              <w:left w:val="single" w:color="auto" w:sz="4" w:space="0"/>
              <w:bottom w:val="single" w:color="auto" w:sz="4" w:space="0"/>
              <w:right w:val="single" w:color="auto" w:sz="4" w:space="0"/>
            </w:tcBorders>
            <w:noWrap/>
            <w:vAlign w:val="center"/>
          </w:tcPr>
          <w:p w14:paraId="3BA7F86F">
            <w:pPr>
              <w:adjustRightInd w:val="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《广州建设工程施工招标投标书（技术标）》中填报的投标总工期不符合招标文件要求的；</w:t>
            </w:r>
          </w:p>
        </w:tc>
        <w:tc>
          <w:tcPr>
            <w:tcW w:w="179" w:type="pct"/>
            <w:tcBorders>
              <w:top w:val="single" w:color="auto" w:sz="4" w:space="0"/>
              <w:left w:val="single" w:color="auto" w:sz="4" w:space="0"/>
              <w:bottom w:val="single" w:color="auto" w:sz="4" w:space="0"/>
              <w:right w:val="single" w:color="auto" w:sz="4" w:space="0"/>
            </w:tcBorders>
            <w:noWrap/>
          </w:tcPr>
          <w:p w14:paraId="2FF006D0">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32B513DA">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64334A68">
            <w:pPr>
              <w:adjustRightInd w:val="0"/>
              <w:snapToGrid w:val="0"/>
              <w:spacing w:line="360" w:lineRule="auto"/>
              <w:rPr>
                <w:rFonts w:ascii="宋体" w:hAnsi="宋体" w:eastAsia="宋体" w:cs="宋体"/>
                <w:color w:val="auto"/>
                <w:szCs w:val="21"/>
                <w:highlight w:val="none"/>
              </w:rPr>
            </w:pPr>
          </w:p>
        </w:tc>
      </w:tr>
      <w:tr w14:paraId="2D9C8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7C196548">
            <w:pPr>
              <w:adjustRightInd w:val="0"/>
              <w:rPr>
                <w:rFonts w:ascii="宋体" w:hAnsi="宋体" w:eastAsia="宋体" w:cs="Times New Roman"/>
                <w:color w:val="auto"/>
                <w:szCs w:val="21"/>
                <w:highlight w:val="none"/>
              </w:rPr>
            </w:pPr>
            <w:r>
              <w:rPr>
                <w:rFonts w:ascii="宋体" w:hAnsi="宋体" w:eastAsia="宋体" w:cs="Times New Roman"/>
                <w:color w:val="auto"/>
                <w:szCs w:val="21"/>
                <w:highlight w:val="none"/>
              </w:rPr>
              <w:t>2</w:t>
            </w:r>
          </w:p>
        </w:tc>
        <w:tc>
          <w:tcPr>
            <w:tcW w:w="4328" w:type="pct"/>
            <w:tcBorders>
              <w:top w:val="single" w:color="auto" w:sz="4" w:space="0"/>
              <w:left w:val="single" w:color="auto" w:sz="4" w:space="0"/>
              <w:bottom w:val="single" w:color="auto" w:sz="4" w:space="0"/>
              <w:right w:val="single" w:color="auto" w:sz="4" w:space="0"/>
            </w:tcBorders>
            <w:noWrap/>
            <w:vAlign w:val="center"/>
          </w:tcPr>
          <w:p w14:paraId="3F32949A">
            <w:pPr>
              <w:adjustRightInd w:val="0"/>
              <w:rPr>
                <w:rFonts w:ascii="宋体" w:hAnsi="宋体" w:eastAsia="宋体" w:cs="Times New Roman"/>
                <w:color w:val="auto"/>
                <w:szCs w:val="21"/>
                <w:highlight w:val="none"/>
                <w:u w:val="single"/>
              </w:rPr>
            </w:pPr>
            <w:r>
              <w:rPr>
                <w:rFonts w:hint="eastAsia" w:ascii="宋体" w:hAnsi="宋体" w:eastAsia="宋体" w:cs="Times New Roman"/>
                <w:color w:val="auto"/>
                <w:szCs w:val="21"/>
                <w:highlight w:val="none"/>
                <w:u w:val="single"/>
              </w:rPr>
              <w:t>《广州建设工程施工招标投标书（技术标）》中填报的工程质量标准不符合招标文件要求的；</w:t>
            </w:r>
          </w:p>
        </w:tc>
        <w:tc>
          <w:tcPr>
            <w:tcW w:w="179" w:type="pct"/>
            <w:tcBorders>
              <w:top w:val="single" w:color="auto" w:sz="4" w:space="0"/>
              <w:left w:val="single" w:color="auto" w:sz="4" w:space="0"/>
              <w:bottom w:val="single" w:color="auto" w:sz="4" w:space="0"/>
              <w:right w:val="single" w:color="auto" w:sz="4" w:space="0"/>
            </w:tcBorders>
            <w:noWrap/>
          </w:tcPr>
          <w:p w14:paraId="167A7643">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508B5623">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602EC7A0">
            <w:pPr>
              <w:adjustRightInd w:val="0"/>
              <w:snapToGrid w:val="0"/>
              <w:spacing w:line="360" w:lineRule="auto"/>
              <w:rPr>
                <w:rFonts w:ascii="宋体" w:hAnsi="宋体" w:eastAsia="宋体" w:cs="宋体"/>
                <w:color w:val="auto"/>
                <w:szCs w:val="21"/>
                <w:highlight w:val="none"/>
              </w:rPr>
            </w:pPr>
          </w:p>
        </w:tc>
      </w:tr>
      <w:tr w14:paraId="6E57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3D15114B">
            <w:pPr>
              <w:adjustRightInd w:val="0"/>
              <w:rPr>
                <w:rFonts w:ascii="宋体" w:hAnsi="宋体" w:eastAsia="宋体" w:cs="Times New Roman"/>
                <w:color w:val="auto"/>
                <w:szCs w:val="21"/>
                <w:highlight w:val="none"/>
                <w:u w:val="single"/>
              </w:rPr>
            </w:pPr>
            <w:r>
              <w:rPr>
                <w:rFonts w:ascii="宋体" w:hAnsi="宋体" w:eastAsia="宋体" w:cs="Times New Roman"/>
                <w:color w:val="auto"/>
                <w:szCs w:val="21"/>
                <w:highlight w:val="none"/>
                <w:u w:val="single"/>
              </w:rPr>
              <w:t>3</w:t>
            </w:r>
          </w:p>
        </w:tc>
        <w:tc>
          <w:tcPr>
            <w:tcW w:w="4328" w:type="pct"/>
            <w:tcBorders>
              <w:top w:val="single" w:color="auto" w:sz="4" w:space="0"/>
              <w:left w:val="single" w:color="auto" w:sz="4" w:space="0"/>
              <w:bottom w:val="single" w:color="auto" w:sz="4" w:space="0"/>
              <w:right w:val="single" w:color="auto" w:sz="4" w:space="0"/>
            </w:tcBorders>
            <w:noWrap/>
            <w:vAlign w:val="center"/>
          </w:tcPr>
          <w:p w14:paraId="43065837">
            <w:pPr>
              <w:adjustRightInd w:val="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投标文件中没有有效的法定代表人证明书，或由委托代理人</w:t>
            </w:r>
            <w:r>
              <w:rPr>
                <w:rFonts w:hint="eastAsia" w:ascii="宋体" w:hAnsi="宋体" w:eastAsia="宋体" w:cs="Times New Roman"/>
                <w:color w:val="auto"/>
                <w:szCs w:val="21"/>
                <w:highlight w:val="none"/>
                <w:u w:val="single"/>
              </w:rPr>
              <w:t>签字或盖章</w:t>
            </w:r>
            <w:r>
              <w:rPr>
                <w:rFonts w:hint="eastAsia" w:ascii="宋体" w:hAnsi="宋体" w:eastAsia="宋体" w:cs="Times New Roman"/>
                <w:color w:val="auto"/>
                <w:szCs w:val="21"/>
                <w:highlight w:val="none"/>
              </w:rPr>
              <w:t>的投标文件中没有法定代表人授权书</w:t>
            </w:r>
            <w:r>
              <w:rPr>
                <w:rFonts w:hint="eastAsia" w:ascii="宋体" w:hAnsi="宋体" w:eastAsia="宋体" w:cs="Times New Roman"/>
                <w:color w:val="auto"/>
                <w:szCs w:val="21"/>
                <w:highlight w:val="none"/>
                <w:u w:val="single"/>
              </w:rPr>
              <w:t>及被授权人的离投标截止时间最近的至少</w:t>
            </w:r>
            <w:r>
              <w:rPr>
                <w:rFonts w:ascii="宋体" w:hAnsi="宋体" w:eastAsia="宋体" w:cs="Times New Roman"/>
                <w:color w:val="auto"/>
                <w:szCs w:val="21"/>
                <w:highlight w:val="none"/>
                <w:u w:val="single"/>
              </w:rPr>
              <w:t>1个月（2025年</w:t>
            </w:r>
            <w:r>
              <w:rPr>
                <w:rFonts w:hint="eastAsia" w:ascii="宋体" w:hAnsi="宋体" w:eastAsia="宋体" w:cs="Times New Roman"/>
                <w:color w:val="auto"/>
                <w:szCs w:val="21"/>
                <w:highlight w:val="none"/>
                <w:u w:val="single"/>
              </w:rPr>
              <w:t>9</w:t>
            </w:r>
            <w:r>
              <w:rPr>
                <w:rFonts w:ascii="宋体" w:hAnsi="宋体" w:eastAsia="宋体" w:cs="Times New Roman"/>
                <w:color w:val="auto"/>
                <w:szCs w:val="21"/>
                <w:highlight w:val="none"/>
                <w:u w:val="single"/>
              </w:rPr>
              <w:t>月或</w:t>
            </w:r>
            <w:r>
              <w:rPr>
                <w:rFonts w:hint="eastAsia" w:ascii="宋体" w:hAnsi="宋体" w:eastAsia="宋体" w:cs="Times New Roman"/>
                <w:color w:val="auto"/>
                <w:szCs w:val="21"/>
                <w:highlight w:val="none"/>
                <w:u w:val="single"/>
              </w:rPr>
              <w:t>10</w:t>
            </w:r>
            <w:r>
              <w:rPr>
                <w:rFonts w:ascii="宋体" w:hAnsi="宋体" w:eastAsia="宋体" w:cs="Times New Roman"/>
                <w:color w:val="auto"/>
                <w:szCs w:val="21"/>
                <w:highlight w:val="none"/>
                <w:u w:val="single"/>
              </w:rPr>
              <w:t>月）在本单位缴纳的</w:t>
            </w:r>
            <w:r>
              <w:rPr>
                <w:rFonts w:hint="eastAsia" w:ascii="宋体" w:hAnsi="宋体" w:eastAsia="宋体" w:cs="Times New Roman"/>
                <w:color w:val="auto"/>
                <w:szCs w:val="21"/>
                <w:highlight w:val="none"/>
                <w:u w:val="single"/>
              </w:rPr>
              <w:t>社保证明文件的</w:t>
            </w:r>
            <w:r>
              <w:rPr>
                <w:rFonts w:hint="eastAsia" w:ascii="宋体" w:hAnsi="宋体" w:eastAsia="宋体" w:cs="Times New Roman"/>
                <w:color w:val="auto"/>
                <w:szCs w:val="21"/>
                <w:highlight w:val="none"/>
              </w:rPr>
              <w:t>；</w:t>
            </w:r>
          </w:p>
        </w:tc>
        <w:tc>
          <w:tcPr>
            <w:tcW w:w="179" w:type="pct"/>
            <w:tcBorders>
              <w:top w:val="single" w:color="auto" w:sz="4" w:space="0"/>
              <w:left w:val="single" w:color="auto" w:sz="4" w:space="0"/>
              <w:bottom w:val="single" w:color="auto" w:sz="4" w:space="0"/>
              <w:right w:val="single" w:color="auto" w:sz="4" w:space="0"/>
            </w:tcBorders>
            <w:noWrap/>
          </w:tcPr>
          <w:p w14:paraId="3795B59B">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2EC64376">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6D5185B1">
            <w:pPr>
              <w:adjustRightInd w:val="0"/>
              <w:snapToGrid w:val="0"/>
              <w:spacing w:line="360" w:lineRule="auto"/>
              <w:rPr>
                <w:rFonts w:ascii="宋体" w:hAnsi="宋体" w:eastAsia="宋体" w:cs="宋体"/>
                <w:color w:val="auto"/>
                <w:szCs w:val="21"/>
                <w:highlight w:val="none"/>
              </w:rPr>
            </w:pPr>
          </w:p>
        </w:tc>
      </w:tr>
      <w:tr w14:paraId="30461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591D088A">
            <w:pPr>
              <w:adjustRightInd w:val="0"/>
              <w:rPr>
                <w:rFonts w:ascii="宋体" w:hAnsi="宋体" w:eastAsia="宋体" w:cs="Times New Roman"/>
                <w:color w:val="auto"/>
                <w:szCs w:val="21"/>
                <w:highlight w:val="none"/>
                <w:u w:val="single"/>
              </w:rPr>
            </w:pPr>
            <w:r>
              <w:rPr>
                <w:rFonts w:ascii="宋体" w:hAnsi="宋体" w:eastAsia="宋体" w:cs="Times New Roman"/>
                <w:color w:val="auto"/>
                <w:szCs w:val="21"/>
                <w:highlight w:val="none"/>
                <w:u w:val="single"/>
              </w:rPr>
              <w:t>4</w:t>
            </w:r>
          </w:p>
        </w:tc>
        <w:tc>
          <w:tcPr>
            <w:tcW w:w="4328" w:type="pct"/>
            <w:tcBorders>
              <w:top w:val="single" w:color="auto" w:sz="4" w:space="0"/>
              <w:left w:val="single" w:color="auto" w:sz="4" w:space="0"/>
              <w:bottom w:val="single" w:color="auto" w:sz="4" w:space="0"/>
              <w:right w:val="single" w:color="auto" w:sz="4" w:space="0"/>
            </w:tcBorders>
            <w:noWrap/>
            <w:vAlign w:val="center"/>
          </w:tcPr>
          <w:p w14:paraId="32CA7173">
            <w:pPr>
              <w:adjustRightInd w:val="0"/>
              <w:rPr>
                <w:rFonts w:ascii="宋体" w:hAnsi="宋体" w:eastAsia="宋体" w:cs="宋体"/>
                <w:color w:val="auto"/>
                <w:szCs w:val="21"/>
                <w:highlight w:val="none"/>
                <w:u w:val="single"/>
              </w:rPr>
            </w:pPr>
            <w:r>
              <w:rPr>
                <w:rFonts w:hint="eastAsia" w:ascii="宋体" w:hAnsi="宋体" w:eastAsia="宋体" w:cs="宋体"/>
                <w:color w:val="auto"/>
                <w:szCs w:val="21"/>
                <w:highlight w:val="none"/>
              </w:rPr>
              <w:t>投标文件未按规定的格式填写</w:t>
            </w:r>
            <w:r>
              <w:rPr>
                <w:rFonts w:hint="eastAsia" w:ascii="宋体" w:hAnsi="宋体" w:eastAsia="宋体" w:cs="宋体"/>
                <w:color w:val="auto"/>
                <w:szCs w:val="21"/>
                <w:highlight w:val="none"/>
                <w:u w:val="single"/>
              </w:rPr>
              <w:t>（指招标文件第四章提供格式的《广州建设工程施工招标投标书（技术标）》《投标人廉洁承诺书》《投标函》《危险性较大的分部分项工程安全管理措施》）</w:t>
            </w:r>
            <w:r>
              <w:rPr>
                <w:rFonts w:hint="eastAsia" w:ascii="宋体" w:hAnsi="宋体" w:eastAsia="宋体" w:cs="宋体"/>
                <w:color w:val="auto"/>
                <w:szCs w:val="21"/>
                <w:highlight w:val="none"/>
              </w:rPr>
              <w:t>，或主要内容（指投标文件组成内容）不全，或关键字迹模糊、无法辨认的；</w:t>
            </w:r>
          </w:p>
        </w:tc>
        <w:tc>
          <w:tcPr>
            <w:tcW w:w="179" w:type="pct"/>
            <w:tcBorders>
              <w:top w:val="single" w:color="auto" w:sz="4" w:space="0"/>
              <w:left w:val="single" w:color="auto" w:sz="4" w:space="0"/>
              <w:bottom w:val="single" w:color="auto" w:sz="4" w:space="0"/>
              <w:right w:val="single" w:color="auto" w:sz="4" w:space="0"/>
            </w:tcBorders>
            <w:noWrap/>
          </w:tcPr>
          <w:p w14:paraId="0750F606">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3E51AFC3">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5AF753AE">
            <w:pPr>
              <w:adjustRightInd w:val="0"/>
              <w:snapToGrid w:val="0"/>
              <w:spacing w:line="360" w:lineRule="auto"/>
              <w:rPr>
                <w:rFonts w:ascii="宋体" w:hAnsi="宋体" w:eastAsia="宋体" w:cs="宋体"/>
                <w:color w:val="auto"/>
                <w:szCs w:val="21"/>
                <w:highlight w:val="none"/>
              </w:rPr>
            </w:pPr>
          </w:p>
        </w:tc>
      </w:tr>
      <w:tr w14:paraId="6EBAC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26B327E8">
            <w:pPr>
              <w:adjustRightInd w:val="0"/>
              <w:rPr>
                <w:rFonts w:ascii="宋体" w:hAnsi="宋体" w:eastAsia="宋体" w:cs="Times New Roman"/>
                <w:color w:val="auto"/>
                <w:szCs w:val="21"/>
                <w:highlight w:val="none"/>
                <w:u w:val="single"/>
              </w:rPr>
            </w:pPr>
            <w:r>
              <w:rPr>
                <w:rFonts w:ascii="宋体" w:hAnsi="宋体" w:eastAsia="宋体" w:cs="Times New Roman"/>
                <w:color w:val="auto"/>
                <w:szCs w:val="21"/>
                <w:highlight w:val="none"/>
                <w:u w:val="single"/>
              </w:rPr>
              <w:t>5</w:t>
            </w:r>
          </w:p>
        </w:tc>
        <w:tc>
          <w:tcPr>
            <w:tcW w:w="4328" w:type="pct"/>
            <w:tcBorders>
              <w:top w:val="single" w:color="auto" w:sz="4" w:space="0"/>
              <w:left w:val="single" w:color="auto" w:sz="4" w:space="0"/>
              <w:bottom w:val="single" w:color="auto" w:sz="4" w:space="0"/>
              <w:right w:val="single" w:color="auto" w:sz="4" w:space="0"/>
            </w:tcBorders>
            <w:noWrap/>
            <w:vAlign w:val="center"/>
          </w:tcPr>
          <w:p w14:paraId="7443A5F9">
            <w:pPr>
              <w:adjustRightInd w:val="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投标人之间存在《广东省实施＜中华人民共和国招标投标法＞》第十六条所禁止的情形的；</w:t>
            </w:r>
          </w:p>
        </w:tc>
        <w:tc>
          <w:tcPr>
            <w:tcW w:w="179" w:type="pct"/>
            <w:tcBorders>
              <w:top w:val="single" w:color="auto" w:sz="4" w:space="0"/>
              <w:left w:val="single" w:color="auto" w:sz="4" w:space="0"/>
              <w:bottom w:val="single" w:color="auto" w:sz="4" w:space="0"/>
              <w:right w:val="single" w:color="auto" w:sz="4" w:space="0"/>
            </w:tcBorders>
            <w:noWrap/>
          </w:tcPr>
          <w:p w14:paraId="03C9F07F">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157760C3">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736F4EF0">
            <w:pPr>
              <w:adjustRightInd w:val="0"/>
              <w:snapToGrid w:val="0"/>
              <w:spacing w:line="360" w:lineRule="auto"/>
              <w:rPr>
                <w:rFonts w:ascii="宋体" w:hAnsi="宋体" w:eastAsia="宋体" w:cs="宋体"/>
                <w:color w:val="auto"/>
                <w:szCs w:val="21"/>
                <w:highlight w:val="none"/>
              </w:rPr>
            </w:pPr>
          </w:p>
        </w:tc>
      </w:tr>
      <w:tr w14:paraId="1D978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7F17414D">
            <w:pPr>
              <w:adjustRightInd w:val="0"/>
              <w:rPr>
                <w:rFonts w:ascii="宋体" w:hAnsi="宋体" w:eastAsia="宋体" w:cs="Times New Roman"/>
                <w:color w:val="auto"/>
                <w:szCs w:val="21"/>
                <w:highlight w:val="none"/>
                <w:u w:val="single"/>
              </w:rPr>
            </w:pPr>
            <w:r>
              <w:rPr>
                <w:rFonts w:ascii="宋体" w:hAnsi="宋体" w:eastAsia="宋体" w:cs="Times New Roman"/>
                <w:color w:val="auto"/>
                <w:szCs w:val="21"/>
                <w:highlight w:val="none"/>
                <w:u w:val="single"/>
              </w:rPr>
              <w:t>6</w:t>
            </w:r>
          </w:p>
        </w:tc>
        <w:tc>
          <w:tcPr>
            <w:tcW w:w="4328" w:type="pct"/>
            <w:tcBorders>
              <w:top w:val="single" w:color="auto" w:sz="4" w:space="0"/>
              <w:left w:val="single" w:color="auto" w:sz="4" w:space="0"/>
              <w:bottom w:val="single" w:color="auto" w:sz="4" w:space="0"/>
              <w:right w:val="single" w:color="auto" w:sz="4" w:space="0"/>
            </w:tcBorders>
            <w:noWrap/>
            <w:vAlign w:val="center"/>
          </w:tcPr>
          <w:p w14:paraId="79AD1CDF">
            <w:pPr>
              <w:adjustRightInd w:val="0"/>
              <w:rPr>
                <w:rFonts w:ascii="宋体" w:hAnsi="宋体" w:eastAsia="宋体" w:cs="宋体"/>
                <w:color w:val="auto"/>
                <w:szCs w:val="21"/>
                <w:highlight w:val="none"/>
              </w:rPr>
            </w:pPr>
            <w:r>
              <w:rPr>
                <w:rFonts w:hint="eastAsia" w:ascii="宋体" w:hAnsi="宋体" w:eastAsia="宋体" w:cs="宋体"/>
                <w:color w:val="auto"/>
                <w:szCs w:val="21"/>
                <w:highlight w:val="none"/>
              </w:rPr>
              <w:t>无《参与编制技术标投标文件人员名单》的；</w:t>
            </w:r>
            <w:r>
              <w:rPr>
                <w:rFonts w:hint="eastAsia" w:ascii="宋体" w:hAnsi="宋体" w:eastAsia="宋体" w:cs="宋体"/>
                <w:color w:val="auto"/>
                <w:szCs w:val="21"/>
                <w:highlight w:val="none"/>
                <w:u w:val="single"/>
              </w:rPr>
              <w:t>或未提供《参与编制技术标投标文件人员名单》表中人员的离投标截止时间最近的至少1个月（</w:t>
            </w:r>
            <w:r>
              <w:rPr>
                <w:rFonts w:ascii="宋体" w:hAnsi="宋体" w:eastAsia="宋体" w:cs="宋体"/>
                <w:color w:val="auto"/>
                <w:szCs w:val="21"/>
                <w:highlight w:val="none"/>
                <w:u w:val="single"/>
              </w:rPr>
              <w:t>2025年</w:t>
            </w:r>
            <w:r>
              <w:rPr>
                <w:rFonts w:hint="eastAsia" w:ascii="宋体" w:hAnsi="宋体" w:eastAsia="宋体" w:cs="宋体"/>
                <w:color w:val="auto"/>
                <w:szCs w:val="21"/>
                <w:highlight w:val="none"/>
                <w:u w:val="single"/>
              </w:rPr>
              <w:t>9月或10月</w:t>
            </w:r>
            <w:r>
              <w:rPr>
                <w:rFonts w:hint="eastAsia" w:ascii="宋体" w:hAnsi="宋体" w:eastAsia="宋体" w:cs="宋体"/>
                <w:color w:val="auto"/>
                <w:szCs w:val="21"/>
                <w:highlight w:val="none"/>
                <w:u w:val="single"/>
              </w:rPr>
              <w:t>）在本单位缴纳的社保证明文件的。</w:t>
            </w:r>
          </w:p>
        </w:tc>
        <w:tc>
          <w:tcPr>
            <w:tcW w:w="179" w:type="pct"/>
            <w:tcBorders>
              <w:top w:val="single" w:color="auto" w:sz="4" w:space="0"/>
              <w:left w:val="single" w:color="auto" w:sz="4" w:space="0"/>
              <w:bottom w:val="single" w:color="auto" w:sz="4" w:space="0"/>
              <w:right w:val="single" w:color="auto" w:sz="4" w:space="0"/>
            </w:tcBorders>
            <w:noWrap/>
          </w:tcPr>
          <w:p w14:paraId="2749D5A6">
            <w:pPr>
              <w:adjustRightInd w:val="0"/>
              <w:snapToGrid w:val="0"/>
              <w:spacing w:line="360" w:lineRule="auto"/>
              <w:rPr>
                <w:rFonts w:ascii="宋体" w:hAnsi="宋体" w:eastAsia="宋体" w:cs="宋体"/>
                <w:color w:val="auto"/>
                <w:szCs w:val="21"/>
                <w:highlight w:val="none"/>
                <w:shd w:val="pct10" w:color="auto" w:fill="FFFFFF"/>
              </w:rPr>
            </w:pPr>
          </w:p>
        </w:tc>
        <w:tc>
          <w:tcPr>
            <w:tcW w:w="179" w:type="pct"/>
            <w:tcBorders>
              <w:top w:val="single" w:color="auto" w:sz="4" w:space="0"/>
              <w:left w:val="single" w:color="auto" w:sz="4" w:space="0"/>
              <w:bottom w:val="single" w:color="auto" w:sz="4" w:space="0"/>
              <w:right w:val="single" w:color="auto" w:sz="4" w:space="0"/>
            </w:tcBorders>
            <w:noWrap/>
          </w:tcPr>
          <w:p w14:paraId="2F2D88F7">
            <w:pPr>
              <w:adjustRightInd w:val="0"/>
              <w:snapToGrid w:val="0"/>
              <w:spacing w:line="360" w:lineRule="auto"/>
              <w:rPr>
                <w:rFonts w:ascii="宋体" w:hAnsi="宋体" w:eastAsia="宋体" w:cs="宋体"/>
                <w:color w:val="auto"/>
                <w:szCs w:val="21"/>
                <w:highlight w:val="none"/>
                <w:shd w:val="pct10" w:color="auto" w:fill="FFFFFF"/>
              </w:rPr>
            </w:pPr>
          </w:p>
        </w:tc>
        <w:tc>
          <w:tcPr>
            <w:tcW w:w="179" w:type="pct"/>
            <w:tcBorders>
              <w:top w:val="single" w:color="auto" w:sz="4" w:space="0"/>
              <w:left w:val="single" w:color="auto" w:sz="4" w:space="0"/>
              <w:bottom w:val="single" w:color="auto" w:sz="4" w:space="0"/>
              <w:right w:val="single" w:color="auto" w:sz="4" w:space="0"/>
            </w:tcBorders>
            <w:noWrap/>
          </w:tcPr>
          <w:p w14:paraId="30216298">
            <w:pPr>
              <w:adjustRightInd w:val="0"/>
              <w:snapToGrid w:val="0"/>
              <w:spacing w:line="360" w:lineRule="auto"/>
              <w:rPr>
                <w:rFonts w:ascii="宋体" w:hAnsi="宋体" w:eastAsia="宋体" w:cs="宋体"/>
                <w:color w:val="auto"/>
                <w:szCs w:val="21"/>
                <w:highlight w:val="none"/>
                <w:shd w:val="pct10" w:color="auto" w:fill="FFFFFF"/>
              </w:rPr>
            </w:pPr>
          </w:p>
        </w:tc>
      </w:tr>
      <w:tr w14:paraId="007D6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33" w:type="pct"/>
            <w:tcBorders>
              <w:top w:val="single" w:color="auto" w:sz="4" w:space="0"/>
              <w:left w:val="single" w:color="auto" w:sz="4" w:space="0"/>
              <w:bottom w:val="single" w:color="auto" w:sz="4" w:space="0"/>
              <w:right w:val="single" w:color="auto" w:sz="4" w:space="0"/>
            </w:tcBorders>
            <w:noWrap/>
            <w:vAlign w:val="center"/>
          </w:tcPr>
          <w:p w14:paraId="4C1835AC">
            <w:pPr>
              <w:adjustRightInd w:val="0"/>
              <w:rPr>
                <w:rFonts w:ascii="宋体" w:hAnsi="宋体" w:eastAsia="宋体" w:cs="Times New Roman"/>
                <w:color w:val="auto"/>
                <w:szCs w:val="21"/>
                <w:highlight w:val="none"/>
                <w:u w:val="single"/>
              </w:rPr>
            </w:pPr>
            <w:r>
              <w:rPr>
                <w:rFonts w:ascii="宋体" w:hAnsi="宋体" w:eastAsia="宋体" w:cs="Times New Roman"/>
                <w:color w:val="auto"/>
                <w:szCs w:val="21"/>
                <w:highlight w:val="none"/>
                <w:u w:val="single"/>
              </w:rPr>
              <w:t>7</w:t>
            </w:r>
          </w:p>
        </w:tc>
        <w:tc>
          <w:tcPr>
            <w:tcW w:w="4328" w:type="pct"/>
            <w:tcBorders>
              <w:top w:val="single" w:color="auto" w:sz="4" w:space="0"/>
              <w:left w:val="single" w:color="auto" w:sz="4" w:space="0"/>
              <w:bottom w:val="single" w:color="auto" w:sz="4" w:space="0"/>
              <w:right w:val="single" w:color="auto" w:sz="4" w:space="0"/>
            </w:tcBorders>
            <w:noWrap/>
            <w:vAlign w:val="center"/>
          </w:tcPr>
          <w:p w14:paraId="095A2556">
            <w:pPr>
              <w:adjustRightInd w:val="0"/>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投标人与本项目其他投标人加密打包投标文件电脑机器特征码一致的</w:t>
            </w:r>
            <w:r>
              <w:rPr>
                <w:rFonts w:ascii="宋体" w:hAnsi="宋体" w:eastAsia="宋体" w:cs="Times New Roman"/>
                <w:color w:val="auto"/>
                <w:szCs w:val="21"/>
                <w:highlight w:val="none"/>
              </w:rPr>
              <w:t>[以</w:t>
            </w:r>
            <w:r>
              <w:rPr>
                <w:rFonts w:hint="eastAsia" w:ascii="宋体" w:hAnsi="宋体" w:eastAsia="宋体" w:cs="Times New Roman"/>
                <w:color w:val="auto"/>
                <w:szCs w:val="21"/>
                <w:highlight w:val="none"/>
                <w:u w:val="single"/>
              </w:rPr>
              <w:t>广州交易集团有限公司（广州公共资源交易中心）</w:t>
            </w:r>
            <w:r>
              <w:rPr>
                <w:rFonts w:hint="eastAsia" w:ascii="宋体" w:hAnsi="宋体" w:eastAsia="宋体" w:cs="Times New Roman"/>
                <w:color w:val="auto"/>
                <w:szCs w:val="21"/>
                <w:highlight w:val="none"/>
              </w:rPr>
              <w:t>交易平台评标系统的检索信息为准</w:t>
            </w:r>
            <w:r>
              <w:rPr>
                <w:rFonts w:ascii="宋体" w:hAnsi="宋体" w:eastAsia="宋体" w:cs="Times New Roman"/>
                <w:color w:val="auto"/>
                <w:szCs w:val="21"/>
                <w:highlight w:val="none"/>
              </w:rPr>
              <w:t>]。</w:t>
            </w:r>
          </w:p>
        </w:tc>
        <w:tc>
          <w:tcPr>
            <w:tcW w:w="179" w:type="pct"/>
            <w:tcBorders>
              <w:top w:val="single" w:color="auto" w:sz="4" w:space="0"/>
              <w:left w:val="single" w:color="auto" w:sz="4" w:space="0"/>
              <w:bottom w:val="single" w:color="auto" w:sz="4" w:space="0"/>
              <w:right w:val="single" w:color="auto" w:sz="4" w:space="0"/>
            </w:tcBorders>
            <w:noWrap/>
          </w:tcPr>
          <w:p w14:paraId="51D154BC">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0A5B96B3">
            <w:pPr>
              <w:adjustRightInd w:val="0"/>
              <w:snapToGrid w:val="0"/>
              <w:spacing w:line="360" w:lineRule="auto"/>
              <w:rPr>
                <w:rFonts w:ascii="宋体" w:hAnsi="宋体" w:eastAsia="宋体" w:cs="宋体"/>
                <w:color w:val="auto"/>
                <w:szCs w:val="21"/>
                <w:highlight w:val="none"/>
              </w:rPr>
            </w:pPr>
          </w:p>
        </w:tc>
        <w:tc>
          <w:tcPr>
            <w:tcW w:w="179" w:type="pct"/>
            <w:tcBorders>
              <w:top w:val="single" w:color="auto" w:sz="4" w:space="0"/>
              <w:left w:val="single" w:color="auto" w:sz="4" w:space="0"/>
              <w:bottom w:val="single" w:color="auto" w:sz="4" w:space="0"/>
              <w:right w:val="single" w:color="auto" w:sz="4" w:space="0"/>
            </w:tcBorders>
            <w:noWrap/>
          </w:tcPr>
          <w:p w14:paraId="4CBE882A">
            <w:pPr>
              <w:adjustRightInd w:val="0"/>
              <w:snapToGrid w:val="0"/>
              <w:spacing w:line="360" w:lineRule="auto"/>
              <w:rPr>
                <w:rFonts w:ascii="宋体" w:hAnsi="宋体" w:eastAsia="宋体" w:cs="宋体"/>
                <w:color w:val="auto"/>
                <w:szCs w:val="21"/>
                <w:highlight w:val="none"/>
              </w:rPr>
            </w:pPr>
          </w:p>
        </w:tc>
      </w:tr>
    </w:tbl>
    <w:p w14:paraId="6D6001DE">
      <w:pPr>
        <w:rPr>
          <w:rFonts w:ascii="宋体" w:hAnsi="宋体" w:eastAsia="宋体" w:cs="Times New Roman"/>
          <w:color w:val="auto"/>
          <w:szCs w:val="21"/>
          <w:highlight w:val="none"/>
        </w:rPr>
      </w:pPr>
      <w:r>
        <w:rPr>
          <w:rFonts w:hint="eastAsia" w:ascii="宋体" w:hAnsi="宋体" w:eastAsia="宋体" w:cs="Times New Roman"/>
          <w:color w:val="auto"/>
          <w:szCs w:val="21"/>
          <w:highlight w:val="none"/>
        </w:rPr>
        <w:t>注：</w:t>
      </w:r>
      <w:r>
        <w:rPr>
          <w:rFonts w:ascii="宋体" w:hAnsi="宋体" w:eastAsia="宋体" w:cs="Times New Roman"/>
          <w:color w:val="auto"/>
          <w:szCs w:val="21"/>
          <w:highlight w:val="none"/>
        </w:rPr>
        <w:t>1.本表使用GZZB2018-3招标文件范本，与范本内容不同之处均以下划线标明。技术标评审中，响应性、承诺性内容不应作为评分因素，可在该表中对上述内容进行符合性审查。审查标准须具备可操作性。</w:t>
      </w:r>
    </w:p>
    <w:p w14:paraId="50AF6E7D">
      <w:pPr>
        <w:rPr>
          <w:rFonts w:ascii="宋体" w:hAnsi="宋体" w:eastAsia="宋体" w:cs="Times New Roman"/>
          <w:color w:val="auto"/>
          <w:szCs w:val="21"/>
          <w:highlight w:val="none"/>
        </w:rPr>
      </w:pPr>
      <w:r>
        <w:rPr>
          <w:rFonts w:ascii="宋体" w:hAnsi="宋体" w:eastAsia="宋体" w:cs="Times New Roman"/>
          <w:color w:val="auto"/>
          <w:szCs w:val="21"/>
          <w:highlight w:val="none"/>
        </w:rPr>
        <w:t>2.不得将文件顺序、明显的文字错误等列为否决投标的情形。评委发现投标文件中含义不明确、对同类问题表述不一致、有明显文字和计算错误的，应当要求投标人作必要的澄清、说明后再判定投标人是否通过有效性审查，不得直接否决投标，若出现评标委员会否决投标的，应在评标报告中载明否决投标的具体情形、原因。</w:t>
      </w:r>
    </w:p>
    <w:p w14:paraId="41A276A9">
      <w:pPr>
        <w:rPr>
          <w:rFonts w:ascii="宋体" w:hAnsi="宋体" w:eastAsia="宋体" w:cs="Times New Roman"/>
          <w:color w:val="auto"/>
          <w:szCs w:val="21"/>
          <w:highlight w:val="none"/>
        </w:rPr>
      </w:pPr>
      <w:r>
        <w:rPr>
          <w:rFonts w:ascii="宋体" w:hAnsi="宋体" w:eastAsia="宋体" w:cs="Times New Roman"/>
          <w:color w:val="auto"/>
          <w:szCs w:val="21"/>
          <w:highlight w:val="none"/>
        </w:rPr>
        <w:t>3.凡出现以上任何一项情形，结论均为无效，否则就为有效。</w:t>
      </w:r>
    </w:p>
    <w:p w14:paraId="407C39EC">
      <w:pPr>
        <w:rPr>
          <w:rFonts w:ascii="宋体" w:hAnsi="宋体" w:eastAsia="宋体" w:cs="Times New Roman"/>
          <w:color w:val="auto"/>
          <w:szCs w:val="21"/>
          <w:highlight w:val="none"/>
        </w:rPr>
      </w:pPr>
      <w:r>
        <w:rPr>
          <w:rFonts w:ascii="宋体" w:hAnsi="宋体" w:eastAsia="宋体" w:cs="Times New Roman"/>
          <w:color w:val="auto"/>
          <w:szCs w:val="21"/>
          <w:highlight w:val="none"/>
        </w:rPr>
        <w:t>4.如对本表中某种情形的评审意见不一致时，以评标委员会过半数成员的意见作为评标委员会对该情形的认定结论。</w:t>
      </w:r>
    </w:p>
    <w:p w14:paraId="67F04F3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评委签名：</w:t>
      </w:r>
    </w:p>
    <w:p w14:paraId="279795D1">
      <w:pPr>
        <w:pStyle w:val="22"/>
        <w:snapToGrid w:val="0"/>
        <w:spacing w:line="360" w:lineRule="auto"/>
        <w:ind w:firstLine="0" w:firstLineChars="0"/>
        <w:rPr>
          <w:rFonts w:ascii="宋体" w:hAnsi="宋体" w:eastAsia="宋体" w:cs="宋体"/>
          <w:b/>
          <w:bCs/>
          <w:color w:val="auto"/>
          <w:sz w:val="24"/>
          <w:highlight w:val="none"/>
        </w:rPr>
      </w:pPr>
      <w:r>
        <w:rPr>
          <w:rFonts w:ascii="宋体" w:hAnsi="宋体" w:eastAsia="宋体" w:cs="宋体"/>
          <w:color w:val="auto"/>
          <w:sz w:val="24"/>
          <w:highlight w:val="none"/>
        </w:rPr>
        <w:br w:type="page"/>
      </w:r>
      <w:r>
        <w:rPr>
          <w:rFonts w:hint="eastAsia" w:ascii="宋体" w:hAnsi="宋体" w:eastAsia="宋体" w:cs="宋体"/>
          <w:b/>
          <w:bCs/>
          <w:color w:val="auto"/>
          <w:sz w:val="24"/>
          <w:highlight w:val="none"/>
        </w:rPr>
        <w:t>附表三</w:t>
      </w:r>
    </w:p>
    <w:p w14:paraId="692B3B68">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经济标有效性审查表</w:t>
      </w:r>
    </w:p>
    <w:p w14:paraId="699CCFB5">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工程名称：</w:t>
      </w:r>
    </w:p>
    <w:tbl>
      <w:tblPr>
        <w:tblStyle w:val="8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2"/>
        <w:gridCol w:w="12287"/>
        <w:gridCol w:w="491"/>
        <w:gridCol w:w="491"/>
        <w:gridCol w:w="493"/>
      </w:tblGrid>
      <w:tr w14:paraId="11055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041F9577">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4331" w:type="pct"/>
            <w:tcBorders>
              <w:top w:val="single" w:color="auto" w:sz="4" w:space="0"/>
              <w:left w:val="single" w:color="auto" w:sz="4" w:space="0"/>
              <w:bottom w:val="single" w:color="auto" w:sz="4" w:space="0"/>
              <w:right w:val="single" w:color="auto" w:sz="4" w:space="0"/>
              <w:tl2br w:val="single" w:color="auto" w:sz="4" w:space="0"/>
            </w:tcBorders>
            <w:noWrap/>
          </w:tcPr>
          <w:p w14:paraId="5A8D4A36">
            <w:pPr>
              <w:snapToGrid w:val="0"/>
              <w:spacing w:line="360" w:lineRule="auto"/>
              <w:ind w:firstLine="7350" w:firstLineChars="3500"/>
              <w:rPr>
                <w:rFonts w:ascii="宋体" w:hAnsi="宋体" w:eastAsia="宋体" w:cs="宋体"/>
                <w:color w:val="auto"/>
                <w:szCs w:val="21"/>
                <w:highlight w:val="none"/>
              </w:rPr>
            </w:pPr>
            <w:r>
              <w:rPr>
                <w:rFonts w:hint="eastAsia" w:ascii="宋体" w:hAnsi="宋体" w:eastAsia="宋体" w:cs="宋体"/>
                <w:color w:val="auto"/>
                <w:szCs w:val="21"/>
                <w:highlight w:val="none"/>
              </w:rPr>
              <w:t>投标人</w:t>
            </w:r>
          </w:p>
          <w:p w14:paraId="77FF7A98">
            <w:pPr>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评审内容</w:t>
            </w:r>
          </w:p>
        </w:tc>
        <w:tc>
          <w:tcPr>
            <w:tcW w:w="173" w:type="pct"/>
            <w:tcBorders>
              <w:top w:val="single" w:color="auto" w:sz="4" w:space="0"/>
              <w:left w:val="single" w:color="auto" w:sz="4" w:space="0"/>
              <w:bottom w:val="single" w:color="auto" w:sz="4" w:space="0"/>
              <w:right w:val="single" w:color="auto" w:sz="4" w:space="0"/>
            </w:tcBorders>
            <w:noWrap/>
          </w:tcPr>
          <w:p w14:paraId="1AAEA6E8">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2F77A526">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1EEBFA02">
            <w:pPr>
              <w:snapToGrid w:val="0"/>
              <w:spacing w:line="360" w:lineRule="auto"/>
              <w:rPr>
                <w:rFonts w:ascii="宋体" w:hAnsi="宋体" w:eastAsia="宋体" w:cs="宋体"/>
                <w:color w:val="auto"/>
                <w:szCs w:val="21"/>
                <w:highlight w:val="none"/>
              </w:rPr>
            </w:pPr>
          </w:p>
        </w:tc>
      </w:tr>
      <w:tr w14:paraId="1B9EF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6E177F7A">
            <w:pPr>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4331" w:type="pct"/>
            <w:tcBorders>
              <w:top w:val="single" w:color="auto" w:sz="4" w:space="0"/>
              <w:left w:val="single" w:color="auto" w:sz="4" w:space="0"/>
              <w:bottom w:val="single" w:color="auto" w:sz="4" w:space="0"/>
              <w:right w:val="single" w:color="auto" w:sz="4" w:space="0"/>
            </w:tcBorders>
            <w:noWrap/>
            <w:vAlign w:val="center"/>
          </w:tcPr>
          <w:p w14:paraId="22212B1F">
            <w:pPr>
              <w:rPr>
                <w:rFonts w:ascii="宋体" w:hAnsi="宋体" w:eastAsia="宋体" w:cs="宋体"/>
                <w:color w:val="auto"/>
                <w:szCs w:val="21"/>
                <w:highlight w:val="none"/>
              </w:rPr>
            </w:pPr>
            <w:r>
              <w:rPr>
                <w:rFonts w:hint="eastAsia" w:ascii="宋体" w:hAnsi="宋体" w:eastAsia="宋体" w:cs="宋体"/>
                <w:color w:val="auto"/>
                <w:szCs w:val="21"/>
                <w:highlight w:val="none"/>
              </w:rPr>
              <w:t>对同一招标项目出现两个或以上的投标报价，且没有申明哪个有效；</w:t>
            </w:r>
          </w:p>
        </w:tc>
        <w:tc>
          <w:tcPr>
            <w:tcW w:w="173" w:type="pct"/>
            <w:tcBorders>
              <w:top w:val="single" w:color="auto" w:sz="4" w:space="0"/>
              <w:left w:val="single" w:color="auto" w:sz="4" w:space="0"/>
              <w:bottom w:val="single" w:color="auto" w:sz="4" w:space="0"/>
              <w:right w:val="single" w:color="auto" w:sz="4" w:space="0"/>
            </w:tcBorders>
            <w:noWrap/>
          </w:tcPr>
          <w:p w14:paraId="69B98529">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29982091">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1F7A4DAA">
            <w:pPr>
              <w:snapToGrid w:val="0"/>
              <w:spacing w:line="360" w:lineRule="auto"/>
              <w:rPr>
                <w:rFonts w:ascii="宋体" w:hAnsi="宋体" w:eastAsia="宋体" w:cs="宋体"/>
                <w:color w:val="auto"/>
                <w:szCs w:val="21"/>
                <w:highlight w:val="none"/>
              </w:rPr>
            </w:pPr>
          </w:p>
        </w:tc>
      </w:tr>
      <w:tr w14:paraId="4DC5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0E63933A">
            <w:pPr>
              <w:jc w:val="center"/>
              <w:rPr>
                <w:rFonts w:ascii="宋体" w:hAnsi="宋体" w:eastAsia="宋体" w:cs="宋体"/>
                <w:color w:val="auto"/>
                <w:szCs w:val="21"/>
                <w:highlight w:val="none"/>
              </w:rPr>
            </w:pPr>
            <w:r>
              <w:rPr>
                <w:rFonts w:ascii="宋体" w:hAnsi="宋体" w:eastAsia="宋体" w:cs="宋体"/>
                <w:color w:val="auto"/>
                <w:szCs w:val="21"/>
                <w:highlight w:val="none"/>
              </w:rPr>
              <w:t>2</w:t>
            </w:r>
          </w:p>
        </w:tc>
        <w:tc>
          <w:tcPr>
            <w:tcW w:w="4331" w:type="pct"/>
            <w:tcBorders>
              <w:top w:val="single" w:color="auto" w:sz="4" w:space="0"/>
              <w:left w:val="single" w:color="auto" w:sz="4" w:space="0"/>
              <w:bottom w:val="single" w:color="auto" w:sz="4" w:space="0"/>
              <w:right w:val="single" w:color="auto" w:sz="4" w:space="0"/>
            </w:tcBorders>
            <w:noWrap/>
            <w:vAlign w:val="center"/>
          </w:tcPr>
          <w:p w14:paraId="65475A44">
            <w:pPr>
              <w:rPr>
                <w:rFonts w:ascii="宋体" w:hAnsi="宋体" w:eastAsia="宋体" w:cs="宋体"/>
                <w:color w:val="auto"/>
                <w:szCs w:val="21"/>
                <w:highlight w:val="none"/>
              </w:rPr>
            </w:pPr>
            <w:r>
              <w:rPr>
                <w:rFonts w:hint="eastAsia" w:ascii="宋体" w:hAnsi="宋体" w:eastAsia="宋体" w:cs="宋体"/>
                <w:color w:val="auto"/>
                <w:szCs w:val="21"/>
                <w:highlight w:val="none"/>
              </w:rPr>
              <w:t>投标报价高于最高投标限价的；</w:t>
            </w:r>
          </w:p>
        </w:tc>
        <w:tc>
          <w:tcPr>
            <w:tcW w:w="173" w:type="pct"/>
            <w:tcBorders>
              <w:top w:val="single" w:color="auto" w:sz="4" w:space="0"/>
              <w:left w:val="single" w:color="auto" w:sz="4" w:space="0"/>
              <w:bottom w:val="single" w:color="auto" w:sz="4" w:space="0"/>
              <w:right w:val="single" w:color="auto" w:sz="4" w:space="0"/>
            </w:tcBorders>
            <w:noWrap/>
          </w:tcPr>
          <w:p w14:paraId="3B7520E9">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0F960409">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740133B7">
            <w:pPr>
              <w:snapToGrid w:val="0"/>
              <w:spacing w:line="360" w:lineRule="auto"/>
              <w:rPr>
                <w:rFonts w:ascii="宋体" w:hAnsi="宋体" w:eastAsia="宋体" w:cs="宋体"/>
                <w:color w:val="auto"/>
                <w:szCs w:val="21"/>
                <w:highlight w:val="none"/>
              </w:rPr>
            </w:pPr>
          </w:p>
        </w:tc>
      </w:tr>
      <w:tr w14:paraId="4AB6A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30BA47EA">
            <w:pPr>
              <w:jc w:val="center"/>
              <w:rPr>
                <w:rFonts w:ascii="宋体" w:hAnsi="宋体" w:eastAsia="宋体" w:cs="宋体"/>
                <w:color w:val="auto"/>
                <w:szCs w:val="21"/>
                <w:highlight w:val="none"/>
              </w:rPr>
            </w:pPr>
            <w:r>
              <w:rPr>
                <w:rFonts w:ascii="宋体" w:hAnsi="宋体" w:eastAsia="宋体" w:cs="宋体"/>
                <w:color w:val="auto"/>
                <w:szCs w:val="21"/>
                <w:highlight w:val="none"/>
              </w:rPr>
              <w:t>3</w:t>
            </w:r>
          </w:p>
        </w:tc>
        <w:tc>
          <w:tcPr>
            <w:tcW w:w="4331" w:type="pct"/>
            <w:tcBorders>
              <w:top w:val="single" w:color="auto" w:sz="4" w:space="0"/>
              <w:left w:val="single" w:color="auto" w:sz="4" w:space="0"/>
              <w:bottom w:val="single" w:color="auto" w:sz="4" w:space="0"/>
              <w:right w:val="single" w:color="auto" w:sz="4" w:space="0"/>
            </w:tcBorders>
            <w:noWrap/>
            <w:vAlign w:val="center"/>
          </w:tcPr>
          <w:p w14:paraId="65F57F37">
            <w:pPr>
              <w:rPr>
                <w:rFonts w:ascii="宋体" w:hAnsi="宋体" w:eastAsia="宋体" w:cs="宋体"/>
                <w:color w:val="auto"/>
                <w:szCs w:val="21"/>
                <w:highlight w:val="none"/>
              </w:rPr>
            </w:pPr>
            <w:r>
              <w:rPr>
                <w:rFonts w:hint="eastAsia" w:ascii="宋体" w:hAnsi="宋体" w:eastAsia="宋体" w:cs="宋体"/>
                <w:color w:val="auto"/>
                <w:szCs w:val="21"/>
                <w:highlight w:val="none"/>
              </w:rPr>
              <w:t>投标报价低于成本的</w:t>
            </w:r>
            <w:r>
              <w:rPr>
                <w:rFonts w:hint="eastAsia" w:ascii="宋体" w:hAnsi="宋体" w:eastAsia="宋体" w:cs="宋体"/>
                <w:color w:val="auto"/>
                <w:szCs w:val="21"/>
                <w:highlight w:val="none"/>
                <w:u w:val="single"/>
              </w:rPr>
              <w:t>（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w:t>
            </w:r>
            <w:r>
              <w:rPr>
                <w:rFonts w:hint="eastAsia" w:ascii="宋体" w:hAnsi="宋体" w:eastAsia="宋体" w:cs="宋体"/>
                <w:color w:val="auto"/>
                <w:szCs w:val="21"/>
                <w:highlight w:val="none"/>
              </w:rPr>
              <w:t>；</w:t>
            </w:r>
          </w:p>
        </w:tc>
        <w:tc>
          <w:tcPr>
            <w:tcW w:w="173" w:type="pct"/>
            <w:tcBorders>
              <w:top w:val="single" w:color="auto" w:sz="4" w:space="0"/>
              <w:left w:val="single" w:color="auto" w:sz="4" w:space="0"/>
              <w:bottom w:val="single" w:color="auto" w:sz="4" w:space="0"/>
              <w:right w:val="single" w:color="auto" w:sz="4" w:space="0"/>
            </w:tcBorders>
            <w:noWrap/>
          </w:tcPr>
          <w:p w14:paraId="4AEAAF60">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6B0C6F5C">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0C101C20">
            <w:pPr>
              <w:snapToGrid w:val="0"/>
              <w:spacing w:line="360" w:lineRule="auto"/>
              <w:rPr>
                <w:rFonts w:ascii="宋体" w:hAnsi="宋体" w:eastAsia="宋体" w:cs="宋体"/>
                <w:color w:val="auto"/>
                <w:szCs w:val="21"/>
                <w:highlight w:val="none"/>
              </w:rPr>
            </w:pPr>
          </w:p>
        </w:tc>
      </w:tr>
      <w:tr w14:paraId="35D02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5C98C6A1">
            <w:pPr>
              <w:jc w:val="center"/>
              <w:rPr>
                <w:rFonts w:ascii="宋体" w:hAnsi="宋体" w:eastAsia="宋体" w:cs="宋体"/>
                <w:color w:val="auto"/>
                <w:szCs w:val="21"/>
                <w:highlight w:val="none"/>
              </w:rPr>
            </w:pPr>
            <w:r>
              <w:rPr>
                <w:rFonts w:ascii="宋体" w:hAnsi="宋体" w:eastAsia="宋体" w:cs="宋体"/>
                <w:color w:val="auto"/>
                <w:szCs w:val="21"/>
                <w:highlight w:val="none"/>
              </w:rPr>
              <w:t>4</w:t>
            </w:r>
          </w:p>
        </w:tc>
        <w:tc>
          <w:tcPr>
            <w:tcW w:w="4331" w:type="pct"/>
            <w:tcBorders>
              <w:top w:val="single" w:color="auto" w:sz="4" w:space="0"/>
              <w:left w:val="single" w:color="auto" w:sz="4" w:space="0"/>
              <w:bottom w:val="single" w:color="auto" w:sz="4" w:space="0"/>
              <w:right w:val="single" w:color="auto" w:sz="4" w:space="0"/>
            </w:tcBorders>
            <w:noWrap/>
            <w:vAlign w:val="center"/>
          </w:tcPr>
          <w:p w14:paraId="326E7503">
            <w:pPr>
              <w:rPr>
                <w:rFonts w:ascii="宋体" w:hAnsi="宋体" w:eastAsia="宋体" w:cs="宋体"/>
                <w:color w:val="auto"/>
                <w:szCs w:val="21"/>
                <w:highlight w:val="none"/>
              </w:rPr>
            </w:pPr>
            <w:r>
              <w:rPr>
                <w:rFonts w:hint="eastAsia" w:ascii="宋体" w:hAnsi="宋体" w:eastAsia="宋体" w:cs="宋体"/>
                <w:color w:val="auto"/>
                <w:szCs w:val="21"/>
                <w:highlight w:val="none"/>
              </w:rPr>
              <w:t>投标文件未按规定的格式（</w:t>
            </w:r>
            <w:r>
              <w:rPr>
                <w:rFonts w:hint="eastAsia" w:ascii="宋体" w:hAnsi="宋体" w:eastAsia="宋体" w:cs="宋体"/>
                <w:color w:val="auto"/>
                <w:szCs w:val="21"/>
                <w:highlight w:val="none"/>
                <w:u w:val="single"/>
              </w:rPr>
              <w:t>指招标文件第四章提供格式的《广州建设工程施工招标投标书（经济标）》《对投标文件编制的承诺》</w:t>
            </w:r>
            <w:r>
              <w:rPr>
                <w:rFonts w:hint="eastAsia" w:ascii="宋体" w:hAnsi="宋体" w:eastAsia="宋体" w:cs="宋体"/>
                <w:color w:val="auto"/>
                <w:szCs w:val="21"/>
                <w:highlight w:val="none"/>
              </w:rPr>
              <w:t>）填写，或主要内容不全，或关键字迹模糊、无法辨认的；</w:t>
            </w:r>
          </w:p>
        </w:tc>
        <w:tc>
          <w:tcPr>
            <w:tcW w:w="173" w:type="pct"/>
            <w:tcBorders>
              <w:top w:val="single" w:color="auto" w:sz="4" w:space="0"/>
              <w:left w:val="single" w:color="auto" w:sz="4" w:space="0"/>
              <w:bottom w:val="single" w:color="auto" w:sz="4" w:space="0"/>
              <w:right w:val="single" w:color="auto" w:sz="4" w:space="0"/>
            </w:tcBorders>
            <w:noWrap/>
          </w:tcPr>
          <w:p w14:paraId="27BBB38C">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373117D3">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7D0FA761">
            <w:pPr>
              <w:snapToGrid w:val="0"/>
              <w:spacing w:line="360" w:lineRule="auto"/>
              <w:rPr>
                <w:rFonts w:ascii="宋体" w:hAnsi="宋体" w:eastAsia="宋体" w:cs="宋体"/>
                <w:color w:val="auto"/>
                <w:szCs w:val="21"/>
                <w:highlight w:val="none"/>
              </w:rPr>
            </w:pPr>
          </w:p>
        </w:tc>
      </w:tr>
      <w:tr w14:paraId="2A83B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44585563">
            <w:pPr>
              <w:jc w:val="center"/>
              <w:rPr>
                <w:rFonts w:ascii="宋体" w:hAnsi="宋体" w:eastAsia="宋体" w:cs="宋体"/>
                <w:color w:val="auto"/>
                <w:szCs w:val="21"/>
                <w:highlight w:val="none"/>
              </w:rPr>
            </w:pPr>
            <w:r>
              <w:rPr>
                <w:rFonts w:ascii="宋体" w:hAnsi="宋体" w:eastAsia="宋体" w:cs="宋体"/>
                <w:color w:val="auto"/>
                <w:szCs w:val="21"/>
                <w:highlight w:val="none"/>
              </w:rPr>
              <w:t>5</w:t>
            </w:r>
          </w:p>
        </w:tc>
        <w:tc>
          <w:tcPr>
            <w:tcW w:w="4331" w:type="pct"/>
            <w:tcBorders>
              <w:top w:val="single" w:color="auto" w:sz="4" w:space="0"/>
              <w:left w:val="single" w:color="auto" w:sz="4" w:space="0"/>
              <w:bottom w:val="single" w:color="auto" w:sz="4" w:space="0"/>
              <w:right w:val="single" w:color="auto" w:sz="4" w:space="0"/>
            </w:tcBorders>
            <w:noWrap/>
            <w:vAlign w:val="center"/>
          </w:tcPr>
          <w:p w14:paraId="4F738DF6">
            <w:pPr>
              <w:rPr>
                <w:rFonts w:ascii="宋体" w:hAnsi="宋体" w:eastAsia="宋体" w:cs="宋体"/>
                <w:color w:val="auto"/>
                <w:szCs w:val="21"/>
                <w:highlight w:val="none"/>
              </w:rPr>
            </w:pPr>
            <w:r>
              <w:rPr>
                <w:rFonts w:hint="eastAsia" w:ascii="宋体" w:hAnsi="宋体" w:eastAsia="宋体" w:cs="宋体"/>
                <w:color w:val="auto"/>
                <w:szCs w:val="21"/>
                <w:highlight w:val="none"/>
              </w:rPr>
              <w:t>投标人之间存在《广东省实施＜中华人民共和国招标投标法＞</w:t>
            </w:r>
            <w:r>
              <w:rPr>
                <w:rFonts w:hint="eastAsia" w:ascii="宋体" w:hAnsi="宋体" w:eastAsia="宋体" w:cs="宋体"/>
                <w:color w:val="auto"/>
                <w:szCs w:val="21"/>
                <w:highlight w:val="none"/>
              </w:rPr>
              <w:t>办法</w:t>
            </w:r>
            <w:r>
              <w:rPr>
                <w:rFonts w:hint="eastAsia" w:ascii="宋体" w:hAnsi="宋体" w:eastAsia="宋体" w:cs="宋体"/>
                <w:color w:val="auto"/>
                <w:szCs w:val="21"/>
                <w:highlight w:val="none"/>
              </w:rPr>
              <w:t>》第十六条所禁止的情形的；</w:t>
            </w:r>
          </w:p>
        </w:tc>
        <w:tc>
          <w:tcPr>
            <w:tcW w:w="173" w:type="pct"/>
            <w:tcBorders>
              <w:top w:val="single" w:color="auto" w:sz="4" w:space="0"/>
              <w:left w:val="single" w:color="auto" w:sz="4" w:space="0"/>
              <w:bottom w:val="single" w:color="auto" w:sz="4" w:space="0"/>
              <w:right w:val="single" w:color="auto" w:sz="4" w:space="0"/>
            </w:tcBorders>
            <w:noWrap/>
          </w:tcPr>
          <w:p w14:paraId="70EA4A13">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6C408A84">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2F46DE4A">
            <w:pPr>
              <w:snapToGrid w:val="0"/>
              <w:spacing w:line="360" w:lineRule="auto"/>
              <w:rPr>
                <w:rFonts w:ascii="宋体" w:hAnsi="宋体" w:eastAsia="宋体" w:cs="宋体"/>
                <w:color w:val="auto"/>
                <w:szCs w:val="21"/>
                <w:highlight w:val="none"/>
              </w:rPr>
            </w:pPr>
          </w:p>
        </w:tc>
      </w:tr>
      <w:tr w14:paraId="1358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62B79707">
            <w:pPr>
              <w:jc w:val="center"/>
              <w:rPr>
                <w:rFonts w:ascii="宋体" w:hAnsi="宋体" w:eastAsia="宋体" w:cs="宋体"/>
                <w:color w:val="auto"/>
                <w:szCs w:val="21"/>
                <w:highlight w:val="none"/>
              </w:rPr>
            </w:pPr>
            <w:r>
              <w:rPr>
                <w:rFonts w:ascii="宋体" w:hAnsi="宋体" w:eastAsia="宋体" w:cs="宋体"/>
                <w:color w:val="auto"/>
                <w:szCs w:val="21"/>
                <w:highlight w:val="none"/>
              </w:rPr>
              <w:t>6</w:t>
            </w:r>
          </w:p>
        </w:tc>
        <w:tc>
          <w:tcPr>
            <w:tcW w:w="4331" w:type="pct"/>
            <w:tcBorders>
              <w:top w:val="single" w:color="auto" w:sz="4" w:space="0"/>
              <w:left w:val="single" w:color="auto" w:sz="4" w:space="0"/>
              <w:bottom w:val="single" w:color="auto" w:sz="4" w:space="0"/>
              <w:right w:val="single" w:color="auto" w:sz="4" w:space="0"/>
            </w:tcBorders>
            <w:noWrap/>
            <w:vAlign w:val="center"/>
          </w:tcPr>
          <w:p w14:paraId="2101C0B1">
            <w:pPr>
              <w:rPr>
                <w:rFonts w:ascii="宋体" w:hAnsi="宋体" w:eastAsia="宋体" w:cs="宋体"/>
                <w:color w:val="auto"/>
                <w:szCs w:val="21"/>
                <w:highlight w:val="none"/>
              </w:rPr>
            </w:pPr>
            <w:r>
              <w:rPr>
                <w:rFonts w:hint="eastAsia" w:ascii="宋体" w:hAnsi="宋体" w:eastAsia="宋体" w:cs="宋体"/>
                <w:color w:val="auto"/>
                <w:szCs w:val="21"/>
                <w:highlight w:val="none"/>
              </w:rPr>
              <w:t>无《参与编制经济标投标文件人员名单》的；</w:t>
            </w:r>
            <w:r>
              <w:rPr>
                <w:rFonts w:hint="eastAsia" w:ascii="宋体" w:hAnsi="宋体" w:eastAsia="宋体" w:cs="宋体"/>
                <w:color w:val="auto"/>
                <w:szCs w:val="21"/>
                <w:highlight w:val="none"/>
                <w:u w:val="single"/>
              </w:rPr>
              <w:t>或未提供《参与编制经济标投标文件人员名单》表中人员的离投标截止时间最近的至少</w:t>
            </w:r>
            <w:r>
              <w:rPr>
                <w:rFonts w:ascii="宋体" w:hAnsi="宋体" w:eastAsia="宋体" w:cs="宋体"/>
                <w:color w:val="auto"/>
                <w:szCs w:val="21"/>
                <w:highlight w:val="none"/>
                <w:u w:val="single"/>
              </w:rPr>
              <w:t>1个月（2025年</w:t>
            </w:r>
            <w:r>
              <w:rPr>
                <w:rFonts w:hint="eastAsia" w:ascii="宋体" w:hAnsi="宋体" w:eastAsia="宋体" w:cs="宋体"/>
                <w:color w:val="auto"/>
                <w:szCs w:val="21"/>
                <w:highlight w:val="none"/>
                <w:u w:val="single"/>
              </w:rPr>
              <w:t>9月或10月）在本单位（委托编制投标文件报价的，指在委托单位）缴纳的社保证明文件。</w:t>
            </w:r>
          </w:p>
        </w:tc>
        <w:tc>
          <w:tcPr>
            <w:tcW w:w="173" w:type="pct"/>
            <w:tcBorders>
              <w:top w:val="single" w:color="auto" w:sz="4" w:space="0"/>
              <w:left w:val="single" w:color="auto" w:sz="4" w:space="0"/>
              <w:bottom w:val="single" w:color="auto" w:sz="4" w:space="0"/>
              <w:right w:val="single" w:color="auto" w:sz="4" w:space="0"/>
            </w:tcBorders>
            <w:noWrap/>
          </w:tcPr>
          <w:p w14:paraId="0769ACCC">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2CBB9D4F">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485C90B9">
            <w:pPr>
              <w:snapToGrid w:val="0"/>
              <w:spacing w:line="360" w:lineRule="auto"/>
              <w:rPr>
                <w:rFonts w:ascii="宋体" w:hAnsi="宋体" w:eastAsia="宋体" w:cs="宋体"/>
                <w:color w:val="auto"/>
                <w:szCs w:val="21"/>
                <w:highlight w:val="none"/>
              </w:rPr>
            </w:pPr>
          </w:p>
        </w:tc>
      </w:tr>
      <w:tr w14:paraId="176D4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257778D4">
            <w:pPr>
              <w:jc w:val="center"/>
              <w:rPr>
                <w:rFonts w:ascii="宋体" w:hAnsi="宋体" w:eastAsia="宋体" w:cs="宋体"/>
                <w:color w:val="auto"/>
                <w:szCs w:val="21"/>
                <w:highlight w:val="none"/>
              </w:rPr>
            </w:pPr>
            <w:r>
              <w:rPr>
                <w:rFonts w:ascii="宋体" w:hAnsi="宋体" w:eastAsia="宋体" w:cs="宋体"/>
                <w:color w:val="auto"/>
                <w:szCs w:val="21"/>
                <w:highlight w:val="none"/>
              </w:rPr>
              <w:t>7</w:t>
            </w:r>
          </w:p>
        </w:tc>
        <w:tc>
          <w:tcPr>
            <w:tcW w:w="4331" w:type="pct"/>
            <w:tcBorders>
              <w:top w:val="single" w:color="auto" w:sz="4" w:space="0"/>
              <w:left w:val="single" w:color="auto" w:sz="4" w:space="0"/>
              <w:bottom w:val="single" w:color="auto" w:sz="4" w:space="0"/>
              <w:right w:val="single" w:color="auto" w:sz="4" w:space="0"/>
            </w:tcBorders>
            <w:noWrap/>
            <w:vAlign w:val="center"/>
          </w:tcPr>
          <w:p w14:paraId="186E3E4C">
            <w:pPr>
              <w:rPr>
                <w:rFonts w:ascii="宋体" w:hAnsi="宋体" w:eastAsia="宋体" w:cs="宋体"/>
                <w:color w:val="auto"/>
                <w:szCs w:val="21"/>
                <w:highlight w:val="none"/>
              </w:rPr>
            </w:pPr>
            <w:r>
              <w:rPr>
                <w:rFonts w:hint="eastAsia" w:ascii="宋体" w:hAnsi="宋体" w:eastAsia="宋体" w:cs="宋体"/>
                <w:color w:val="auto"/>
                <w:szCs w:val="21"/>
                <w:highlight w:val="none"/>
              </w:rPr>
              <w:t>无《对投标文件编制的承诺》；</w:t>
            </w:r>
          </w:p>
        </w:tc>
        <w:tc>
          <w:tcPr>
            <w:tcW w:w="173" w:type="pct"/>
            <w:tcBorders>
              <w:top w:val="single" w:color="auto" w:sz="4" w:space="0"/>
              <w:left w:val="single" w:color="auto" w:sz="4" w:space="0"/>
              <w:bottom w:val="single" w:color="auto" w:sz="4" w:space="0"/>
              <w:right w:val="single" w:color="auto" w:sz="4" w:space="0"/>
            </w:tcBorders>
            <w:noWrap/>
          </w:tcPr>
          <w:p w14:paraId="46D2D1B5">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016A7B4D">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14DD8FAA">
            <w:pPr>
              <w:snapToGrid w:val="0"/>
              <w:spacing w:line="360" w:lineRule="auto"/>
              <w:rPr>
                <w:rFonts w:ascii="宋体" w:hAnsi="宋体" w:eastAsia="宋体" w:cs="宋体"/>
                <w:color w:val="auto"/>
                <w:szCs w:val="21"/>
                <w:highlight w:val="none"/>
              </w:rPr>
            </w:pPr>
          </w:p>
        </w:tc>
      </w:tr>
      <w:tr w14:paraId="60E73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5" w:type="pct"/>
            <w:tcBorders>
              <w:top w:val="single" w:color="auto" w:sz="4" w:space="0"/>
              <w:left w:val="single" w:color="auto" w:sz="4" w:space="0"/>
              <w:bottom w:val="single" w:color="auto" w:sz="4" w:space="0"/>
              <w:right w:val="single" w:color="auto" w:sz="4" w:space="0"/>
            </w:tcBorders>
            <w:noWrap/>
            <w:vAlign w:val="center"/>
          </w:tcPr>
          <w:p w14:paraId="0734B408">
            <w:pPr>
              <w:jc w:val="center"/>
              <w:rPr>
                <w:rFonts w:ascii="宋体" w:hAnsi="宋体" w:eastAsia="宋体" w:cs="宋体"/>
                <w:color w:val="auto"/>
                <w:szCs w:val="21"/>
                <w:highlight w:val="none"/>
              </w:rPr>
            </w:pPr>
            <w:r>
              <w:rPr>
                <w:rFonts w:ascii="宋体" w:hAnsi="宋体" w:eastAsia="宋体" w:cs="宋体"/>
                <w:color w:val="auto"/>
                <w:szCs w:val="21"/>
                <w:highlight w:val="none"/>
              </w:rPr>
              <w:t>8</w:t>
            </w:r>
          </w:p>
        </w:tc>
        <w:tc>
          <w:tcPr>
            <w:tcW w:w="4331" w:type="pct"/>
            <w:tcBorders>
              <w:top w:val="single" w:color="auto" w:sz="4" w:space="0"/>
              <w:left w:val="single" w:color="auto" w:sz="4" w:space="0"/>
              <w:bottom w:val="single" w:color="auto" w:sz="4" w:space="0"/>
              <w:right w:val="single" w:color="auto" w:sz="4" w:space="0"/>
            </w:tcBorders>
            <w:noWrap/>
            <w:vAlign w:val="center"/>
          </w:tcPr>
          <w:p w14:paraId="47615DF6">
            <w:pPr>
              <w:rPr>
                <w:rFonts w:ascii="宋体" w:hAnsi="宋体" w:eastAsia="宋体" w:cs="宋体"/>
                <w:color w:val="auto"/>
                <w:szCs w:val="21"/>
                <w:highlight w:val="none"/>
              </w:rPr>
            </w:pPr>
            <w:r>
              <w:rPr>
                <w:rFonts w:hint="eastAsia" w:ascii="宋体" w:hAnsi="宋体" w:eastAsia="宋体" w:cs="宋体"/>
                <w:color w:val="auto"/>
                <w:szCs w:val="21"/>
                <w:highlight w:val="none"/>
              </w:rPr>
              <w:t>投标人与本项目其他投标人的投标文件工程量清单编制机器硬件信息一致的</w:t>
            </w:r>
            <w:r>
              <w:rPr>
                <w:rFonts w:ascii="宋体" w:hAnsi="宋体" w:eastAsia="宋体" w:cs="宋体"/>
                <w:color w:val="auto"/>
                <w:szCs w:val="21"/>
                <w:highlight w:val="none"/>
              </w:rPr>
              <w:t>[以</w:t>
            </w:r>
            <w:r>
              <w:rPr>
                <w:rFonts w:hint="eastAsia" w:ascii="宋体" w:hAnsi="宋体" w:eastAsia="宋体" w:cs="宋体"/>
                <w:color w:val="auto"/>
                <w:szCs w:val="21"/>
                <w:highlight w:val="none"/>
                <w:u w:val="single"/>
              </w:rPr>
              <w:t>广州交易集团有限公司（广州公共资源交易中心）</w:t>
            </w:r>
            <w:r>
              <w:rPr>
                <w:rFonts w:hint="eastAsia" w:ascii="宋体" w:hAnsi="宋体" w:eastAsia="宋体" w:cs="宋体"/>
                <w:color w:val="auto"/>
                <w:szCs w:val="21"/>
                <w:highlight w:val="none"/>
              </w:rPr>
              <w:t>交易平台评标系统的检索信息为准</w:t>
            </w:r>
            <w:r>
              <w:rPr>
                <w:rFonts w:ascii="宋体" w:hAnsi="宋体" w:eastAsia="宋体" w:cs="宋体"/>
                <w:color w:val="auto"/>
                <w:szCs w:val="21"/>
                <w:highlight w:val="none"/>
              </w:rPr>
              <w:t>]。</w:t>
            </w:r>
          </w:p>
        </w:tc>
        <w:tc>
          <w:tcPr>
            <w:tcW w:w="173" w:type="pct"/>
            <w:tcBorders>
              <w:top w:val="single" w:color="auto" w:sz="4" w:space="0"/>
              <w:left w:val="single" w:color="auto" w:sz="4" w:space="0"/>
              <w:bottom w:val="single" w:color="auto" w:sz="4" w:space="0"/>
              <w:right w:val="single" w:color="auto" w:sz="4" w:space="0"/>
            </w:tcBorders>
            <w:noWrap/>
          </w:tcPr>
          <w:p w14:paraId="7A9A4BD8">
            <w:pPr>
              <w:snapToGrid w:val="0"/>
              <w:spacing w:line="360" w:lineRule="auto"/>
              <w:rPr>
                <w:rFonts w:ascii="宋体" w:hAnsi="宋体" w:eastAsia="宋体" w:cs="宋体"/>
                <w:color w:val="auto"/>
                <w:szCs w:val="21"/>
                <w:highlight w:val="none"/>
              </w:rPr>
            </w:pPr>
          </w:p>
        </w:tc>
        <w:tc>
          <w:tcPr>
            <w:tcW w:w="173" w:type="pct"/>
            <w:tcBorders>
              <w:top w:val="single" w:color="auto" w:sz="4" w:space="0"/>
              <w:left w:val="single" w:color="auto" w:sz="4" w:space="0"/>
              <w:bottom w:val="single" w:color="auto" w:sz="4" w:space="0"/>
              <w:right w:val="single" w:color="auto" w:sz="4" w:space="0"/>
            </w:tcBorders>
            <w:noWrap/>
          </w:tcPr>
          <w:p w14:paraId="12043DA0">
            <w:pPr>
              <w:snapToGrid w:val="0"/>
              <w:spacing w:line="360" w:lineRule="auto"/>
              <w:rPr>
                <w:rFonts w:ascii="宋体" w:hAnsi="宋体" w:eastAsia="宋体" w:cs="宋体"/>
                <w:color w:val="auto"/>
                <w:szCs w:val="21"/>
                <w:highlight w:val="none"/>
              </w:rPr>
            </w:pPr>
          </w:p>
        </w:tc>
        <w:tc>
          <w:tcPr>
            <w:tcW w:w="174" w:type="pct"/>
            <w:tcBorders>
              <w:top w:val="single" w:color="auto" w:sz="4" w:space="0"/>
              <w:left w:val="single" w:color="auto" w:sz="4" w:space="0"/>
              <w:bottom w:val="single" w:color="auto" w:sz="4" w:space="0"/>
              <w:right w:val="single" w:color="auto" w:sz="4" w:space="0"/>
            </w:tcBorders>
            <w:noWrap/>
          </w:tcPr>
          <w:p w14:paraId="63417578">
            <w:pPr>
              <w:snapToGrid w:val="0"/>
              <w:spacing w:line="360" w:lineRule="auto"/>
              <w:rPr>
                <w:rFonts w:ascii="宋体" w:hAnsi="宋体" w:eastAsia="宋体" w:cs="宋体"/>
                <w:color w:val="auto"/>
                <w:szCs w:val="21"/>
                <w:highlight w:val="none"/>
              </w:rPr>
            </w:pPr>
          </w:p>
        </w:tc>
      </w:tr>
    </w:tbl>
    <w:p w14:paraId="1D5D8AFA">
      <w:pPr>
        <w:adjustRightInd w:val="0"/>
        <w:snapToGrid w:val="0"/>
        <w:ind w:firstLine="459"/>
        <w:rPr>
          <w:rFonts w:ascii="宋体" w:hAnsi="宋体" w:eastAsia="宋体" w:cs="宋体"/>
          <w:color w:val="auto"/>
          <w:szCs w:val="21"/>
          <w:highlight w:val="none"/>
        </w:rPr>
      </w:pPr>
      <w:r>
        <w:rPr>
          <w:rFonts w:hint="eastAsia" w:ascii="宋体" w:hAnsi="宋体" w:eastAsia="宋体" w:cs="宋体"/>
          <w:color w:val="auto"/>
          <w:szCs w:val="21"/>
          <w:highlight w:val="none"/>
        </w:rPr>
        <w:t>注：</w:t>
      </w:r>
      <w:r>
        <w:rPr>
          <w:rFonts w:ascii="宋体" w:hAnsi="宋体" w:eastAsia="宋体" w:cs="宋体"/>
          <w:color w:val="auto"/>
          <w:szCs w:val="21"/>
          <w:highlight w:val="none"/>
        </w:rPr>
        <w:t>1.本表使用GZZB2018-3招标文件范本，与范本内容不同之处均以下划线标明。</w:t>
      </w:r>
    </w:p>
    <w:p w14:paraId="114B3D1D">
      <w:pPr>
        <w:adjustRightInd w:val="0"/>
        <w:snapToGrid w:val="0"/>
        <w:ind w:firstLine="459"/>
        <w:rPr>
          <w:rFonts w:ascii="宋体" w:hAnsi="宋体" w:eastAsia="宋体" w:cs="宋体"/>
          <w:color w:val="auto"/>
          <w:szCs w:val="21"/>
          <w:highlight w:val="none"/>
        </w:rPr>
      </w:pPr>
      <w:r>
        <w:rPr>
          <w:rFonts w:ascii="宋体" w:hAnsi="宋体" w:eastAsia="宋体" w:cs="宋体"/>
          <w:color w:val="auto"/>
          <w:szCs w:val="21"/>
          <w:highlight w:val="none"/>
        </w:rPr>
        <w:t>2.凡出现以上任何一项情形，结论均为无效，否则就为有效。</w:t>
      </w:r>
    </w:p>
    <w:p w14:paraId="52B092BE">
      <w:pPr>
        <w:adjustRightInd w:val="0"/>
        <w:snapToGrid w:val="0"/>
        <w:ind w:firstLine="459"/>
        <w:rPr>
          <w:rFonts w:ascii="宋体" w:hAnsi="宋体" w:eastAsia="宋体" w:cs="宋体"/>
          <w:color w:val="auto"/>
          <w:szCs w:val="21"/>
          <w:highlight w:val="none"/>
        </w:rPr>
      </w:pPr>
      <w:r>
        <w:rPr>
          <w:rFonts w:ascii="宋体" w:hAnsi="宋体" w:eastAsia="宋体" w:cs="宋体"/>
          <w:color w:val="auto"/>
          <w:szCs w:val="21"/>
          <w:highlight w:val="none"/>
        </w:rPr>
        <w:t>3.如对本表中某种情形的评审意见不一致时，以评标委员会过半数成员的意见作为评标委员会对该情形的认定结论。</w:t>
      </w:r>
    </w:p>
    <w:p w14:paraId="1E518094">
      <w:pPr>
        <w:adjustRightInd w:val="0"/>
        <w:snapToGrid w:val="0"/>
        <w:ind w:firstLine="459"/>
        <w:rPr>
          <w:rFonts w:ascii="宋体" w:hAnsi="宋体" w:eastAsia="宋体" w:cs="宋体"/>
          <w:color w:val="auto"/>
          <w:szCs w:val="21"/>
          <w:highlight w:val="none"/>
        </w:rPr>
      </w:pPr>
      <w:r>
        <w:rPr>
          <w:rFonts w:ascii="宋体" w:hAnsi="宋体" w:eastAsia="宋体" w:cs="宋体"/>
          <w:color w:val="auto"/>
          <w:szCs w:val="21"/>
          <w:highlight w:val="none"/>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14:paraId="728D330E">
      <w:pPr>
        <w:pStyle w:val="22"/>
        <w:snapToGrid w:val="0"/>
        <w:spacing w:line="360" w:lineRule="auto"/>
        <w:ind w:firstLine="0" w:firstLineChars="0"/>
        <w:rPr>
          <w:rFonts w:ascii="宋体" w:hAnsi="宋体" w:eastAsia="宋体" w:cs="宋体"/>
          <w:color w:val="auto"/>
          <w:sz w:val="24"/>
          <w:highlight w:val="none"/>
        </w:rPr>
      </w:pPr>
      <w:r>
        <w:rPr>
          <w:rFonts w:hint="eastAsia" w:ascii="宋体" w:hAnsi="宋体" w:eastAsia="宋体" w:cs="宋体"/>
          <w:color w:val="auto"/>
          <w:szCs w:val="21"/>
          <w:highlight w:val="none"/>
        </w:rPr>
        <w:t>评委签名：</w:t>
      </w:r>
    </w:p>
    <w:p w14:paraId="5E39D88C">
      <w:pPr>
        <w:snapToGrid w:val="0"/>
        <w:spacing w:line="360" w:lineRule="auto"/>
        <w:jc w:val="left"/>
        <w:rPr>
          <w:rFonts w:ascii="宋体" w:hAnsi="宋体" w:eastAsia="宋体" w:cs="宋体"/>
          <w:b/>
          <w:bCs/>
          <w:color w:val="auto"/>
          <w:sz w:val="24"/>
          <w:highlight w:val="none"/>
        </w:rPr>
        <w:sectPr>
          <w:footerReference r:id="rId9" w:type="default"/>
          <w:pgSz w:w="16838" w:h="11906" w:orient="landscape"/>
          <w:pgMar w:top="1440" w:right="1440" w:bottom="1440" w:left="1440" w:header="851" w:footer="992" w:gutter="0"/>
          <w:cols w:space="0" w:num="1"/>
          <w:docGrid w:type="lines" w:linePitch="322" w:charSpace="0"/>
        </w:sectPr>
      </w:pPr>
    </w:p>
    <w:p w14:paraId="0A420343">
      <w:pPr>
        <w:snapToGrid w:val="0"/>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附表四</w:t>
      </w:r>
    </w:p>
    <w:p w14:paraId="19587357">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算术复核表</w:t>
      </w:r>
    </w:p>
    <w:p w14:paraId="1C280575">
      <w:pPr>
        <w:snapToGrid w:val="0"/>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工程名称：投标人：单位：元</w:t>
      </w:r>
    </w:p>
    <w:tbl>
      <w:tblPr>
        <w:tblStyle w:val="88"/>
        <w:tblW w:w="5000" w:type="pct"/>
        <w:tblInd w:w="0" w:type="dxa"/>
        <w:tblLayout w:type="fixed"/>
        <w:tblCellMar>
          <w:top w:w="0" w:type="dxa"/>
          <w:left w:w="108" w:type="dxa"/>
          <w:bottom w:w="0" w:type="dxa"/>
          <w:right w:w="108" w:type="dxa"/>
        </w:tblCellMar>
      </w:tblPr>
      <w:tblGrid>
        <w:gridCol w:w="742"/>
        <w:gridCol w:w="2142"/>
        <w:gridCol w:w="2185"/>
        <w:gridCol w:w="2037"/>
        <w:gridCol w:w="2016"/>
        <w:gridCol w:w="1446"/>
        <w:gridCol w:w="3606"/>
      </w:tblGrid>
      <w:tr w14:paraId="77014209">
        <w:tblPrEx>
          <w:tblCellMar>
            <w:top w:w="0" w:type="dxa"/>
            <w:left w:w="108" w:type="dxa"/>
            <w:bottom w:w="0" w:type="dxa"/>
            <w:right w:w="108" w:type="dxa"/>
          </w:tblCellMar>
        </w:tblPrEx>
        <w:trPr>
          <w:trHeight w:val="705" w:hRule="atLeast"/>
        </w:trPr>
        <w:tc>
          <w:tcPr>
            <w:tcW w:w="262" w:type="pct"/>
            <w:tcBorders>
              <w:top w:val="single" w:color="auto" w:sz="4" w:space="0"/>
              <w:left w:val="single" w:color="auto" w:sz="4" w:space="0"/>
              <w:bottom w:val="single" w:color="auto" w:sz="4" w:space="0"/>
              <w:right w:val="single" w:color="auto" w:sz="4" w:space="0"/>
            </w:tcBorders>
            <w:noWrap/>
            <w:vAlign w:val="center"/>
          </w:tcPr>
          <w:p w14:paraId="5587FD77">
            <w:pPr>
              <w:snapToGrid w:val="0"/>
              <w:spacing w:line="360" w:lineRule="auto"/>
              <w:jc w:val="center"/>
              <w:rPr>
                <w:rFonts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编号</w:t>
            </w:r>
          </w:p>
        </w:tc>
        <w:tc>
          <w:tcPr>
            <w:tcW w:w="755" w:type="pct"/>
            <w:tcBorders>
              <w:top w:val="single" w:color="auto" w:sz="4" w:space="0"/>
              <w:left w:val="nil"/>
              <w:bottom w:val="single" w:color="auto" w:sz="4" w:space="0"/>
              <w:right w:val="single" w:color="auto" w:sz="4" w:space="0"/>
            </w:tcBorders>
            <w:noWrap/>
            <w:vAlign w:val="center"/>
          </w:tcPr>
          <w:p w14:paraId="1EA05A5A">
            <w:pPr>
              <w:snapToGrid w:val="0"/>
              <w:spacing w:line="360" w:lineRule="auto"/>
              <w:jc w:val="center"/>
              <w:rPr>
                <w:rFonts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算术校核项目</w:t>
            </w:r>
          </w:p>
        </w:tc>
        <w:tc>
          <w:tcPr>
            <w:tcW w:w="770" w:type="pct"/>
            <w:tcBorders>
              <w:top w:val="single" w:color="auto" w:sz="4" w:space="0"/>
              <w:left w:val="nil"/>
              <w:bottom w:val="single" w:color="auto" w:sz="4" w:space="0"/>
              <w:right w:val="single" w:color="auto" w:sz="4" w:space="0"/>
            </w:tcBorders>
            <w:noWrap/>
            <w:vAlign w:val="center"/>
          </w:tcPr>
          <w:p w14:paraId="295E5001">
            <w:pPr>
              <w:snapToGrid w:val="0"/>
              <w:spacing w:line="360" w:lineRule="auto"/>
              <w:jc w:val="center"/>
              <w:rPr>
                <w:rFonts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修正前投标报价</w:t>
            </w:r>
            <w:r>
              <w:rPr>
                <w:rFonts w:ascii="宋体" w:hAnsi="宋体" w:eastAsia="宋体" w:cs="宋体"/>
                <w:bCs/>
                <w:color w:val="auto"/>
                <w:kern w:val="0"/>
                <w:sz w:val="24"/>
                <w:highlight w:val="none"/>
              </w:rPr>
              <w:t>A</w:t>
            </w:r>
          </w:p>
        </w:tc>
        <w:tc>
          <w:tcPr>
            <w:tcW w:w="718" w:type="pct"/>
            <w:tcBorders>
              <w:top w:val="single" w:color="auto" w:sz="4" w:space="0"/>
              <w:left w:val="nil"/>
              <w:bottom w:val="single" w:color="auto" w:sz="4" w:space="0"/>
              <w:right w:val="single" w:color="auto" w:sz="4" w:space="0"/>
            </w:tcBorders>
            <w:noWrap/>
            <w:vAlign w:val="center"/>
          </w:tcPr>
          <w:p w14:paraId="142FCB94">
            <w:pPr>
              <w:snapToGrid w:val="0"/>
              <w:spacing w:line="360" w:lineRule="auto"/>
              <w:ind w:right="-55" w:rightChars="-26"/>
              <w:jc w:val="center"/>
              <w:rPr>
                <w:rFonts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修正后投标报价</w:t>
            </w:r>
            <w:r>
              <w:rPr>
                <w:rFonts w:ascii="宋体" w:hAnsi="宋体" w:eastAsia="宋体" w:cs="宋体"/>
                <w:bCs/>
                <w:color w:val="auto"/>
                <w:kern w:val="0"/>
                <w:sz w:val="24"/>
                <w:highlight w:val="none"/>
              </w:rPr>
              <w:t>B</w:t>
            </w:r>
          </w:p>
        </w:tc>
        <w:tc>
          <w:tcPr>
            <w:tcW w:w="710" w:type="pct"/>
            <w:tcBorders>
              <w:top w:val="single" w:color="auto" w:sz="4" w:space="0"/>
              <w:left w:val="nil"/>
              <w:bottom w:val="single" w:color="auto" w:sz="4" w:space="0"/>
              <w:right w:val="single" w:color="auto" w:sz="4" w:space="0"/>
            </w:tcBorders>
            <w:noWrap/>
            <w:vAlign w:val="center"/>
          </w:tcPr>
          <w:p w14:paraId="0C9BEF3E">
            <w:pPr>
              <w:snapToGrid w:val="0"/>
              <w:spacing w:line="360" w:lineRule="auto"/>
              <w:jc w:val="center"/>
              <w:rPr>
                <w:rFonts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修正率</w:t>
            </w:r>
          </w:p>
          <w:p w14:paraId="5BB42DDE">
            <w:pPr>
              <w:snapToGrid w:val="0"/>
              <w:spacing w:line="360" w:lineRule="auto"/>
              <w:jc w:val="center"/>
              <w:rPr>
                <w:rFonts w:ascii="宋体" w:hAnsi="宋体" w:eastAsia="宋体" w:cs="宋体"/>
                <w:bCs/>
                <w:color w:val="auto"/>
                <w:kern w:val="0"/>
                <w:sz w:val="24"/>
                <w:highlight w:val="none"/>
              </w:rPr>
            </w:pPr>
            <w:r>
              <w:rPr>
                <w:rFonts w:ascii="宋体" w:hAnsi="宋体" w:eastAsia="宋体" w:cs="宋体"/>
                <w:bCs/>
                <w:color w:val="auto"/>
                <w:kern w:val="0"/>
                <w:sz w:val="24"/>
                <w:highlight w:val="none"/>
              </w:rPr>
              <w:t>r=|A-B|/A*100%</w:t>
            </w:r>
          </w:p>
        </w:tc>
        <w:tc>
          <w:tcPr>
            <w:tcW w:w="510" w:type="pct"/>
            <w:tcBorders>
              <w:top w:val="single" w:color="auto" w:sz="4" w:space="0"/>
              <w:left w:val="nil"/>
              <w:bottom w:val="single" w:color="auto" w:sz="4" w:space="0"/>
              <w:right w:val="single" w:color="auto" w:sz="4" w:space="0"/>
            </w:tcBorders>
            <w:noWrap/>
            <w:vAlign w:val="center"/>
          </w:tcPr>
          <w:p w14:paraId="61A8D15D">
            <w:pPr>
              <w:snapToGrid w:val="0"/>
              <w:spacing w:line="360" w:lineRule="auto"/>
              <w:jc w:val="center"/>
              <w:rPr>
                <w:rFonts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经评审的最终投标报价</w:t>
            </w:r>
          </w:p>
        </w:tc>
        <w:tc>
          <w:tcPr>
            <w:tcW w:w="1271" w:type="pct"/>
            <w:tcBorders>
              <w:top w:val="single" w:color="auto" w:sz="4" w:space="0"/>
              <w:left w:val="nil"/>
              <w:bottom w:val="single" w:color="auto" w:sz="4" w:space="0"/>
              <w:right w:val="single" w:color="auto" w:sz="4" w:space="0"/>
            </w:tcBorders>
            <w:noWrap/>
            <w:vAlign w:val="center"/>
          </w:tcPr>
          <w:p w14:paraId="56D18144">
            <w:pPr>
              <w:snapToGrid w:val="0"/>
              <w:spacing w:line="360" w:lineRule="auto"/>
              <w:jc w:val="center"/>
              <w:rPr>
                <w:rFonts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当</w:t>
            </w:r>
            <w:r>
              <w:rPr>
                <w:rFonts w:ascii="宋体" w:hAnsi="宋体" w:eastAsia="宋体" w:cs="宋体"/>
                <w:bCs/>
                <w:color w:val="auto"/>
                <w:kern w:val="0"/>
                <w:sz w:val="24"/>
                <w:highlight w:val="none"/>
              </w:rPr>
              <w:t>B</w:t>
            </w:r>
            <w:r>
              <w:rPr>
                <w:rFonts w:hint="eastAsia" w:ascii="宋体" w:hAnsi="宋体" w:eastAsia="宋体" w:cs="宋体"/>
                <w:bCs/>
                <w:color w:val="auto"/>
                <w:kern w:val="0"/>
                <w:sz w:val="24"/>
                <w:highlight w:val="none"/>
              </w:rPr>
              <w:t>＞</w:t>
            </w:r>
            <w:r>
              <w:rPr>
                <w:rFonts w:ascii="宋体" w:hAnsi="宋体" w:eastAsia="宋体" w:cs="宋体"/>
                <w:bCs/>
                <w:color w:val="auto"/>
                <w:kern w:val="0"/>
                <w:sz w:val="24"/>
                <w:highlight w:val="none"/>
              </w:rPr>
              <w:t>A时，修正后报价与原报价的差额；当B≤A时,R=0</w:t>
            </w:r>
          </w:p>
        </w:tc>
      </w:tr>
      <w:tr w14:paraId="14BA1320">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75AD198A">
            <w:pPr>
              <w:snapToGrid w:val="0"/>
              <w:spacing w:line="360" w:lineRule="auto"/>
              <w:rPr>
                <w:rFonts w:ascii="宋体" w:hAnsi="宋体" w:eastAsia="宋体" w:cs="宋体"/>
                <w:color w:val="auto"/>
                <w:kern w:val="0"/>
                <w:sz w:val="24"/>
                <w:highlight w:val="none"/>
              </w:rPr>
            </w:pPr>
            <w:r>
              <w:rPr>
                <w:rFonts w:ascii="宋体" w:hAnsi="宋体" w:eastAsia="宋体" w:cs="宋体"/>
                <w:color w:val="auto"/>
                <w:kern w:val="0"/>
                <w:sz w:val="24"/>
                <w:highlight w:val="none"/>
              </w:rPr>
              <w:t>1</w:t>
            </w:r>
          </w:p>
        </w:tc>
        <w:tc>
          <w:tcPr>
            <w:tcW w:w="755" w:type="pct"/>
            <w:tcBorders>
              <w:top w:val="nil"/>
              <w:left w:val="nil"/>
              <w:bottom w:val="single" w:color="auto" w:sz="4" w:space="0"/>
              <w:right w:val="single" w:color="auto" w:sz="4" w:space="0"/>
            </w:tcBorders>
            <w:noWrap/>
            <w:vAlign w:val="center"/>
          </w:tcPr>
          <w:p w14:paraId="1319818A">
            <w:pPr>
              <w:snapToGrid w:val="0"/>
              <w:spacing w:after="120" w:line="360" w:lineRule="auto"/>
              <w:rPr>
                <w:rFonts w:ascii="宋体" w:hAnsi="宋体" w:eastAsia="宋体" w:cs="宋体"/>
                <w:color w:val="auto"/>
                <w:kern w:val="0"/>
                <w:sz w:val="24"/>
                <w:highlight w:val="none"/>
              </w:rPr>
            </w:pPr>
            <w:r>
              <w:rPr>
                <w:rFonts w:ascii="宋体" w:hAnsi="宋体" w:eastAsia="宋体" w:cs="宋体"/>
                <w:color w:val="auto"/>
                <w:kern w:val="0"/>
                <w:sz w:val="24"/>
                <w:highlight w:val="none"/>
              </w:rPr>
              <w:t>[单位工程1]</w:t>
            </w:r>
          </w:p>
        </w:tc>
        <w:tc>
          <w:tcPr>
            <w:tcW w:w="770" w:type="pct"/>
            <w:tcBorders>
              <w:top w:val="nil"/>
              <w:left w:val="nil"/>
              <w:bottom w:val="single" w:color="auto" w:sz="4" w:space="0"/>
              <w:right w:val="single" w:color="auto" w:sz="4" w:space="0"/>
            </w:tcBorders>
            <w:noWrap/>
            <w:vAlign w:val="center"/>
          </w:tcPr>
          <w:p w14:paraId="5FC37BFD">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718" w:type="pct"/>
            <w:tcBorders>
              <w:top w:val="nil"/>
              <w:left w:val="nil"/>
              <w:bottom w:val="single" w:color="auto" w:sz="4" w:space="0"/>
              <w:right w:val="single" w:color="auto" w:sz="4" w:space="0"/>
            </w:tcBorders>
            <w:noWrap/>
            <w:vAlign w:val="center"/>
          </w:tcPr>
          <w:p w14:paraId="4BB8238E">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710" w:type="pct"/>
            <w:tcBorders>
              <w:top w:val="nil"/>
              <w:left w:val="nil"/>
              <w:bottom w:val="single" w:color="auto" w:sz="4" w:space="0"/>
              <w:right w:val="single" w:color="auto" w:sz="4" w:space="0"/>
            </w:tcBorders>
            <w:noWrap/>
            <w:vAlign w:val="center"/>
          </w:tcPr>
          <w:p w14:paraId="6CA48673">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510" w:type="pct"/>
            <w:tcBorders>
              <w:top w:val="nil"/>
              <w:left w:val="nil"/>
              <w:bottom w:val="single" w:color="auto" w:sz="4" w:space="0"/>
              <w:right w:val="single" w:color="auto" w:sz="4" w:space="0"/>
            </w:tcBorders>
            <w:noWrap/>
            <w:vAlign w:val="center"/>
          </w:tcPr>
          <w:p w14:paraId="56EEC819">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02C8D4FD">
            <w:pPr>
              <w:snapToGrid w:val="0"/>
              <w:spacing w:line="360" w:lineRule="auto"/>
              <w:rPr>
                <w:rFonts w:ascii="宋体" w:hAnsi="宋体" w:eastAsia="宋体" w:cs="宋体"/>
                <w:color w:val="auto"/>
                <w:kern w:val="0"/>
                <w:sz w:val="24"/>
                <w:highlight w:val="none"/>
              </w:rPr>
            </w:pPr>
          </w:p>
        </w:tc>
      </w:tr>
      <w:tr w14:paraId="6F7880B9">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30AC2111">
            <w:pPr>
              <w:snapToGrid w:val="0"/>
              <w:spacing w:after="120" w:line="360" w:lineRule="auto"/>
              <w:rPr>
                <w:rFonts w:ascii="宋体" w:hAnsi="宋体" w:eastAsia="宋体" w:cs="宋体"/>
                <w:color w:val="auto"/>
                <w:kern w:val="0"/>
                <w:sz w:val="24"/>
                <w:highlight w:val="none"/>
              </w:rPr>
            </w:pPr>
            <w:r>
              <w:rPr>
                <w:rFonts w:ascii="宋体" w:hAnsi="宋体" w:eastAsia="宋体" w:cs="宋体"/>
                <w:color w:val="auto"/>
                <w:kern w:val="0"/>
                <w:sz w:val="24"/>
                <w:highlight w:val="none"/>
              </w:rPr>
              <w:t>2</w:t>
            </w:r>
          </w:p>
        </w:tc>
        <w:tc>
          <w:tcPr>
            <w:tcW w:w="755" w:type="pct"/>
            <w:tcBorders>
              <w:top w:val="nil"/>
              <w:left w:val="nil"/>
              <w:bottom w:val="single" w:color="auto" w:sz="4" w:space="0"/>
              <w:right w:val="single" w:color="auto" w:sz="4" w:space="0"/>
            </w:tcBorders>
            <w:noWrap/>
            <w:vAlign w:val="center"/>
          </w:tcPr>
          <w:p w14:paraId="047F7A73">
            <w:pPr>
              <w:snapToGrid w:val="0"/>
              <w:spacing w:after="120" w:line="360" w:lineRule="auto"/>
              <w:rPr>
                <w:rFonts w:ascii="宋体" w:hAnsi="宋体" w:eastAsia="宋体" w:cs="宋体"/>
                <w:color w:val="auto"/>
                <w:kern w:val="0"/>
                <w:sz w:val="24"/>
                <w:highlight w:val="none"/>
              </w:rPr>
            </w:pPr>
            <w:r>
              <w:rPr>
                <w:rFonts w:ascii="宋体" w:hAnsi="宋体" w:eastAsia="宋体" w:cs="宋体"/>
                <w:color w:val="auto"/>
                <w:kern w:val="0"/>
                <w:sz w:val="24"/>
                <w:highlight w:val="none"/>
              </w:rPr>
              <w:t>[单位工程2]</w:t>
            </w:r>
          </w:p>
        </w:tc>
        <w:tc>
          <w:tcPr>
            <w:tcW w:w="770" w:type="pct"/>
            <w:tcBorders>
              <w:top w:val="nil"/>
              <w:left w:val="nil"/>
              <w:bottom w:val="single" w:color="auto" w:sz="4" w:space="0"/>
              <w:right w:val="single" w:color="auto" w:sz="4" w:space="0"/>
            </w:tcBorders>
            <w:noWrap/>
            <w:vAlign w:val="center"/>
          </w:tcPr>
          <w:p w14:paraId="0CF549CD">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718" w:type="pct"/>
            <w:tcBorders>
              <w:top w:val="nil"/>
              <w:left w:val="nil"/>
              <w:bottom w:val="single" w:color="auto" w:sz="4" w:space="0"/>
              <w:right w:val="single" w:color="auto" w:sz="4" w:space="0"/>
            </w:tcBorders>
            <w:noWrap/>
            <w:vAlign w:val="center"/>
          </w:tcPr>
          <w:p w14:paraId="21248628">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710" w:type="pct"/>
            <w:tcBorders>
              <w:top w:val="nil"/>
              <w:left w:val="nil"/>
              <w:bottom w:val="single" w:color="auto" w:sz="4" w:space="0"/>
              <w:right w:val="single" w:color="auto" w:sz="4" w:space="0"/>
            </w:tcBorders>
            <w:noWrap/>
            <w:vAlign w:val="center"/>
          </w:tcPr>
          <w:p w14:paraId="0A077742">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510" w:type="pct"/>
            <w:tcBorders>
              <w:top w:val="nil"/>
              <w:left w:val="nil"/>
              <w:bottom w:val="single" w:color="auto" w:sz="4" w:space="0"/>
              <w:right w:val="single" w:color="auto" w:sz="4" w:space="0"/>
            </w:tcBorders>
            <w:noWrap/>
            <w:vAlign w:val="center"/>
          </w:tcPr>
          <w:p w14:paraId="6986356C">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7A76F1C6">
            <w:pPr>
              <w:snapToGrid w:val="0"/>
              <w:spacing w:line="360" w:lineRule="auto"/>
              <w:rPr>
                <w:rFonts w:ascii="宋体" w:hAnsi="宋体" w:eastAsia="宋体" w:cs="宋体"/>
                <w:color w:val="auto"/>
                <w:kern w:val="0"/>
                <w:sz w:val="24"/>
                <w:highlight w:val="none"/>
              </w:rPr>
            </w:pPr>
          </w:p>
        </w:tc>
      </w:tr>
      <w:tr w14:paraId="1C0B3D8B">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7AE2ACB5">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755" w:type="pct"/>
            <w:tcBorders>
              <w:top w:val="nil"/>
              <w:left w:val="nil"/>
              <w:bottom w:val="single" w:color="auto" w:sz="4" w:space="0"/>
              <w:right w:val="single" w:color="auto" w:sz="4" w:space="0"/>
            </w:tcBorders>
            <w:noWrap/>
            <w:vAlign w:val="center"/>
          </w:tcPr>
          <w:p w14:paraId="420E84C3">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770" w:type="pct"/>
            <w:tcBorders>
              <w:top w:val="nil"/>
              <w:left w:val="nil"/>
              <w:bottom w:val="single" w:color="auto" w:sz="4" w:space="0"/>
              <w:right w:val="single" w:color="auto" w:sz="4" w:space="0"/>
            </w:tcBorders>
            <w:noWrap/>
            <w:vAlign w:val="center"/>
          </w:tcPr>
          <w:p w14:paraId="3C444893">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718" w:type="pct"/>
            <w:tcBorders>
              <w:top w:val="nil"/>
              <w:left w:val="nil"/>
              <w:bottom w:val="single" w:color="auto" w:sz="4" w:space="0"/>
              <w:right w:val="single" w:color="auto" w:sz="4" w:space="0"/>
            </w:tcBorders>
            <w:noWrap/>
            <w:vAlign w:val="center"/>
          </w:tcPr>
          <w:p w14:paraId="34D23B9A">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710" w:type="pct"/>
            <w:tcBorders>
              <w:top w:val="nil"/>
              <w:left w:val="nil"/>
              <w:bottom w:val="single" w:color="auto" w:sz="4" w:space="0"/>
              <w:right w:val="single" w:color="auto" w:sz="4" w:space="0"/>
            </w:tcBorders>
            <w:noWrap/>
            <w:vAlign w:val="center"/>
          </w:tcPr>
          <w:p w14:paraId="3968478C">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510" w:type="pct"/>
            <w:tcBorders>
              <w:top w:val="nil"/>
              <w:left w:val="nil"/>
              <w:bottom w:val="single" w:color="auto" w:sz="4" w:space="0"/>
              <w:right w:val="single" w:color="auto" w:sz="4" w:space="0"/>
            </w:tcBorders>
            <w:noWrap/>
            <w:vAlign w:val="center"/>
          </w:tcPr>
          <w:p w14:paraId="10625AD1">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3E9BE615">
            <w:pPr>
              <w:snapToGrid w:val="0"/>
              <w:spacing w:line="360" w:lineRule="auto"/>
              <w:rPr>
                <w:rFonts w:ascii="宋体" w:hAnsi="宋体" w:eastAsia="宋体" w:cs="宋体"/>
                <w:color w:val="auto"/>
                <w:kern w:val="0"/>
                <w:sz w:val="24"/>
                <w:highlight w:val="none"/>
              </w:rPr>
            </w:pPr>
          </w:p>
        </w:tc>
      </w:tr>
      <w:tr w14:paraId="4B8D1110">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5141F0BE">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755" w:type="pct"/>
            <w:tcBorders>
              <w:top w:val="nil"/>
              <w:left w:val="nil"/>
              <w:bottom w:val="single" w:color="auto" w:sz="4" w:space="0"/>
              <w:right w:val="single" w:color="auto" w:sz="4" w:space="0"/>
            </w:tcBorders>
            <w:noWrap/>
            <w:vAlign w:val="center"/>
          </w:tcPr>
          <w:p w14:paraId="6A7B31BC">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770" w:type="pct"/>
            <w:tcBorders>
              <w:top w:val="nil"/>
              <w:left w:val="nil"/>
              <w:bottom w:val="single" w:color="auto" w:sz="4" w:space="0"/>
              <w:right w:val="single" w:color="auto" w:sz="4" w:space="0"/>
            </w:tcBorders>
            <w:noWrap/>
            <w:vAlign w:val="center"/>
          </w:tcPr>
          <w:p w14:paraId="0A41B153">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718" w:type="pct"/>
            <w:tcBorders>
              <w:top w:val="nil"/>
              <w:left w:val="nil"/>
              <w:bottom w:val="single" w:color="auto" w:sz="4" w:space="0"/>
              <w:right w:val="single" w:color="auto" w:sz="4" w:space="0"/>
            </w:tcBorders>
            <w:noWrap/>
            <w:vAlign w:val="center"/>
          </w:tcPr>
          <w:p w14:paraId="063B4D64">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710" w:type="pct"/>
            <w:tcBorders>
              <w:top w:val="nil"/>
              <w:left w:val="nil"/>
              <w:bottom w:val="single" w:color="auto" w:sz="4" w:space="0"/>
              <w:right w:val="single" w:color="auto" w:sz="4" w:space="0"/>
            </w:tcBorders>
            <w:noWrap/>
            <w:vAlign w:val="center"/>
          </w:tcPr>
          <w:p w14:paraId="339BAF6C">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510" w:type="pct"/>
            <w:tcBorders>
              <w:top w:val="nil"/>
              <w:left w:val="nil"/>
              <w:bottom w:val="single" w:color="auto" w:sz="4" w:space="0"/>
              <w:right w:val="single" w:color="auto" w:sz="4" w:space="0"/>
            </w:tcBorders>
            <w:noWrap/>
            <w:vAlign w:val="center"/>
          </w:tcPr>
          <w:p w14:paraId="3E4786E3">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7799B412">
            <w:pPr>
              <w:snapToGrid w:val="0"/>
              <w:spacing w:line="360" w:lineRule="auto"/>
              <w:rPr>
                <w:rFonts w:ascii="宋体" w:hAnsi="宋体" w:eastAsia="宋体" w:cs="宋体"/>
                <w:color w:val="auto"/>
                <w:kern w:val="0"/>
                <w:sz w:val="24"/>
                <w:highlight w:val="none"/>
              </w:rPr>
            </w:pPr>
          </w:p>
        </w:tc>
      </w:tr>
      <w:tr w14:paraId="25C0A752">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137F90EE">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755" w:type="pct"/>
            <w:tcBorders>
              <w:top w:val="nil"/>
              <w:left w:val="nil"/>
              <w:bottom w:val="single" w:color="auto" w:sz="4" w:space="0"/>
              <w:right w:val="single" w:color="auto" w:sz="4" w:space="0"/>
            </w:tcBorders>
            <w:noWrap/>
            <w:vAlign w:val="center"/>
          </w:tcPr>
          <w:p w14:paraId="455DA486">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770" w:type="pct"/>
            <w:tcBorders>
              <w:top w:val="nil"/>
              <w:left w:val="nil"/>
              <w:bottom w:val="single" w:color="auto" w:sz="4" w:space="0"/>
              <w:right w:val="single" w:color="auto" w:sz="4" w:space="0"/>
            </w:tcBorders>
            <w:noWrap/>
            <w:vAlign w:val="center"/>
          </w:tcPr>
          <w:p w14:paraId="07051535">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718" w:type="pct"/>
            <w:tcBorders>
              <w:top w:val="nil"/>
              <w:left w:val="nil"/>
              <w:bottom w:val="single" w:color="auto" w:sz="4" w:space="0"/>
              <w:right w:val="single" w:color="auto" w:sz="4" w:space="0"/>
            </w:tcBorders>
            <w:noWrap/>
            <w:vAlign w:val="center"/>
          </w:tcPr>
          <w:p w14:paraId="48565076">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710" w:type="pct"/>
            <w:tcBorders>
              <w:top w:val="nil"/>
              <w:left w:val="nil"/>
              <w:bottom w:val="single" w:color="auto" w:sz="4" w:space="0"/>
              <w:right w:val="single" w:color="auto" w:sz="4" w:space="0"/>
            </w:tcBorders>
            <w:noWrap/>
            <w:vAlign w:val="center"/>
          </w:tcPr>
          <w:p w14:paraId="6AD3FB0A">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510" w:type="pct"/>
            <w:tcBorders>
              <w:top w:val="nil"/>
              <w:left w:val="nil"/>
              <w:bottom w:val="single" w:color="auto" w:sz="4" w:space="0"/>
              <w:right w:val="single" w:color="auto" w:sz="4" w:space="0"/>
            </w:tcBorders>
            <w:noWrap/>
            <w:vAlign w:val="center"/>
          </w:tcPr>
          <w:p w14:paraId="68A9E184">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1FE3FE44">
            <w:pPr>
              <w:snapToGrid w:val="0"/>
              <w:spacing w:line="360" w:lineRule="auto"/>
              <w:rPr>
                <w:rFonts w:ascii="宋体" w:hAnsi="宋体" w:eastAsia="宋体" w:cs="宋体"/>
                <w:color w:val="auto"/>
                <w:kern w:val="0"/>
                <w:sz w:val="24"/>
                <w:highlight w:val="none"/>
              </w:rPr>
            </w:pPr>
          </w:p>
        </w:tc>
      </w:tr>
      <w:tr w14:paraId="11D82ACA">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24B2BFFE">
            <w:pPr>
              <w:snapToGrid w:val="0"/>
              <w:spacing w:after="120" w:line="360" w:lineRule="auto"/>
              <w:rPr>
                <w:rFonts w:ascii="宋体" w:hAnsi="宋体" w:eastAsia="宋体" w:cs="宋体"/>
                <w:color w:val="auto"/>
                <w:kern w:val="0"/>
                <w:sz w:val="24"/>
                <w:highlight w:val="none"/>
              </w:rPr>
            </w:pPr>
            <w:r>
              <w:rPr>
                <w:rFonts w:ascii="宋体" w:hAnsi="宋体" w:eastAsia="宋体" w:cs="宋体"/>
                <w:color w:val="auto"/>
                <w:kern w:val="0"/>
                <w:sz w:val="24"/>
                <w:highlight w:val="none"/>
              </w:rPr>
              <w:t>n</w:t>
            </w:r>
          </w:p>
        </w:tc>
        <w:tc>
          <w:tcPr>
            <w:tcW w:w="755" w:type="pct"/>
            <w:tcBorders>
              <w:top w:val="nil"/>
              <w:left w:val="nil"/>
              <w:bottom w:val="single" w:color="auto" w:sz="4" w:space="0"/>
              <w:right w:val="single" w:color="auto" w:sz="4" w:space="0"/>
            </w:tcBorders>
            <w:noWrap/>
            <w:vAlign w:val="center"/>
          </w:tcPr>
          <w:p w14:paraId="0B1F5D10">
            <w:pPr>
              <w:snapToGrid w:val="0"/>
              <w:spacing w:after="120" w:line="360" w:lineRule="auto"/>
              <w:rPr>
                <w:rFonts w:ascii="宋体" w:hAnsi="宋体" w:eastAsia="宋体" w:cs="宋体"/>
                <w:color w:val="auto"/>
                <w:kern w:val="0"/>
                <w:sz w:val="24"/>
                <w:highlight w:val="none"/>
              </w:rPr>
            </w:pPr>
            <w:r>
              <w:rPr>
                <w:rFonts w:ascii="宋体" w:hAnsi="宋体" w:eastAsia="宋体" w:cs="宋体"/>
                <w:color w:val="auto"/>
                <w:kern w:val="0"/>
                <w:sz w:val="24"/>
                <w:highlight w:val="none"/>
              </w:rPr>
              <w:t>[单位工程n]</w:t>
            </w:r>
          </w:p>
        </w:tc>
        <w:tc>
          <w:tcPr>
            <w:tcW w:w="770" w:type="pct"/>
            <w:tcBorders>
              <w:top w:val="nil"/>
              <w:left w:val="nil"/>
              <w:bottom w:val="single" w:color="auto" w:sz="4" w:space="0"/>
              <w:right w:val="single" w:color="auto" w:sz="4" w:space="0"/>
            </w:tcBorders>
            <w:noWrap/>
            <w:vAlign w:val="center"/>
          </w:tcPr>
          <w:p w14:paraId="72F9AA88">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718" w:type="pct"/>
            <w:tcBorders>
              <w:top w:val="nil"/>
              <w:left w:val="nil"/>
              <w:bottom w:val="single" w:color="auto" w:sz="4" w:space="0"/>
              <w:right w:val="single" w:color="auto" w:sz="4" w:space="0"/>
            </w:tcBorders>
            <w:noWrap/>
            <w:vAlign w:val="center"/>
          </w:tcPr>
          <w:p w14:paraId="1EA81347">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710" w:type="pct"/>
            <w:tcBorders>
              <w:top w:val="nil"/>
              <w:left w:val="nil"/>
              <w:bottom w:val="single" w:color="auto" w:sz="4" w:space="0"/>
              <w:right w:val="single" w:color="auto" w:sz="4" w:space="0"/>
            </w:tcBorders>
            <w:noWrap/>
            <w:vAlign w:val="center"/>
          </w:tcPr>
          <w:p w14:paraId="06DF4125">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510" w:type="pct"/>
            <w:tcBorders>
              <w:top w:val="nil"/>
              <w:left w:val="nil"/>
              <w:bottom w:val="single" w:color="auto" w:sz="4" w:space="0"/>
              <w:right w:val="single" w:color="auto" w:sz="4" w:space="0"/>
            </w:tcBorders>
            <w:noWrap/>
            <w:vAlign w:val="center"/>
          </w:tcPr>
          <w:p w14:paraId="4E4F9837">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3A810EB8">
            <w:pPr>
              <w:snapToGrid w:val="0"/>
              <w:spacing w:line="360" w:lineRule="auto"/>
              <w:rPr>
                <w:rFonts w:ascii="宋体" w:hAnsi="宋体" w:eastAsia="宋体" w:cs="宋体"/>
                <w:color w:val="auto"/>
                <w:kern w:val="0"/>
                <w:sz w:val="24"/>
                <w:highlight w:val="none"/>
              </w:rPr>
            </w:pPr>
          </w:p>
        </w:tc>
      </w:tr>
      <w:tr w14:paraId="0CDC694A">
        <w:tblPrEx>
          <w:tblCellMar>
            <w:top w:w="0" w:type="dxa"/>
            <w:left w:w="108" w:type="dxa"/>
            <w:bottom w:w="0" w:type="dxa"/>
            <w:right w:w="108" w:type="dxa"/>
          </w:tblCellMar>
        </w:tblPrEx>
        <w:trPr>
          <w:trHeight w:val="600" w:hRule="atLeast"/>
        </w:trPr>
        <w:tc>
          <w:tcPr>
            <w:tcW w:w="262" w:type="pct"/>
            <w:tcBorders>
              <w:top w:val="nil"/>
              <w:left w:val="single" w:color="auto" w:sz="4" w:space="0"/>
              <w:bottom w:val="single" w:color="auto" w:sz="4" w:space="0"/>
              <w:right w:val="single" w:color="auto" w:sz="4" w:space="0"/>
            </w:tcBorders>
            <w:noWrap/>
            <w:vAlign w:val="center"/>
          </w:tcPr>
          <w:p w14:paraId="21F0EB56">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755" w:type="pct"/>
            <w:tcBorders>
              <w:top w:val="nil"/>
              <w:left w:val="nil"/>
              <w:bottom w:val="single" w:color="auto" w:sz="4" w:space="0"/>
              <w:right w:val="single" w:color="auto" w:sz="4" w:space="0"/>
            </w:tcBorders>
            <w:noWrap/>
            <w:vAlign w:val="center"/>
          </w:tcPr>
          <w:p w14:paraId="4A62CD3D">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投标总报价</w:t>
            </w:r>
          </w:p>
        </w:tc>
        <w:tc>
          <w:tcPr>
            <w:tcW w:w="770" w:type="pct"/>
            <w:tcBorders>
              <w:top w:val="nil"/>
              <w:left w:val="nil"/>
              <w:bottom w:val="single" w:color="auto" w:sz="4" w:space="0"/>
              <w:right w:val="single" w:color="auto" w:sz="4" w:space="0"/>
            </w:tcBorders>
            <w:noWrap/>
            <w:vAlign w:val="center"/>
          </w:tcPr>
          <w:p w14:paraId="5AC5F135">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718" w:type="pct"/>
            <w:tcBorders>
              <w:top w:val="nil"/>
              <w:left w:val="nil"/>
              <w:bottom w:val="single" w:color="auto" w:sz="4" w:space="0"/>
              <w:right w:val="single" w:color="auto" w:sz="4" w:space="0"/>
            </w:tcBorders>
            <w:noWrap/>
            <w:vAlign w:val="center"/>
          </w:tcPr>
          <w:p w14:paraId="00E19917">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710" w:type="pct"/>
            <w:tcBorders>
              <w:top w:val="nil"/>
              <w:left w:val="nil"/>
              <w:bottom w:val="single" w:color="auto" w:sz="4" w:space="0"/>
              <w:right w:val="single" w:color="auto" w:sz="4" w:space="0"/>
              <w:tr2bl w:val="single" w:color="auto" w:sz="4" w:space="0"/>
            </w:tcBorders>
            <w:noWrap/>
            <w:vAlign w:val="center"/>
          </w:tcPr>
          <w:p w14:paraId="352B9967">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510" w:type="pct"/>
            <w:tcBorders>
              <w:top w:val="nil"/>
              <w:left w:val="nil"/>
              <w:bottom w:val="single" w:color="auto" w:sz="4" w:space="0"/>
              <w:right w:val="single" w:color="auto" w:sz="4" w:space="0"/>
            </w:tcBorders>
            <w:noWrap/>
            <w:vAlign w:val="center"/>
          </w:tcPr>
          <w:p w14:paraId="34419EC9">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71" w:type="pct"/>
            <w:tcBorders>
              <w:top w:val="single" w:color="auto" w:sz="4" w:space="0"/>
              <w:left w:val="nil"/>
              <w:bottom w:val="single" w:color="auto" w:sz="4" w:space="0"/>
              <w:right w:val="single" w:color="auto" w:sz="4" w:space="0"/>
            </w:tcBorders>
            <w:noWrap/>
            <w:vAlign w:val="center"/>
          </w:tcPr>
          <w:p w14:paraId="72F52A2C">
            <w:pPr>
              <w:snapToGrid w:val="0"/>
              <w:spacing w:after="120"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A=A</w:t>
            </w:r>
            <w:r>
              <w:rPr>
                <w:rFonts w:ascii="宋体" w:hAnsi="宋体" w:eastAsia="宋体" w:cs="宋体"/>
                <w:color w:val="auto"/>
                <w:kern w:val="0"/>
                <w:sz w:val="24"/>
                <w:highlight w:val="none"/>
                <w:vertAlign w:val="subscript"/>
              </w:rPr>
              <w:t>1</w:t>
            </w:r>
            <w:r>
              <w:rPr>
                <w:rFonts w:ascii="宋体" w:hAnsi="宋体" w:eastAsia="宋体" w:cs="宋体"/>
                <w:color w:val="auto"/>
                <w:kern w:val="0"/>
                <w:sz w:val="24"/>
                <w:highlight w:val="none"/>
              </w:rPr>
              <w:t>+A</w:t>
            </w:r>
            <w:r>
              <w:rPr>
                <w:rFonts w:ascii="宋体" w:hAnsi="宋体" w:eastAsia="宋体" w:cs="宋体"/>
                <w:color w:val="auto"/>
                <w:kern w:val="0"/>
                <w:sz w:val="24"/>
                <w:highlight w:val="none"/>
                <w:vertAlign w:val="subscript"/>
              </w:rPr>
              <w:t>2</w:t>
            </w:r>
            <w:r>
              <w:rPr>
                <w:rFonts w:ascii="宋体" w:hAnsi="宋体" w:eastAsia="宋体" w:cs="宋体"/>
                <w:color w:val="auto"/>
                <w:kern w:val="0"/>
                <w:sz w:val="24"/>
                <w:highlight w:val="none"/>
              </w:rPr>
              <w:t>+…An；∑B=B</w:t>
            </w:r>
            <w:r>
              <w:rPr>
                <w:rFonts w:ascii="宋体" w:hAnsi="宋体" w:eastAsia="宋体" w:cs="宋体"/>
                <w:color w:val="auto"/>
                <w:kern w:val="0"/>
                <w:sz w:val="24"/>
                <w:highlight w:val="none"/>
                <w:vertAlign w:val="subscript"/>
              </w:rPr>
              <w:t>1</w:t>
            </w:r>
            <w:r>
              <w:rPr>
                <w:rFonts w:ascii="宋体" w:hAnsi="宋体" w:eastAsia="宋体" w:cs="宋体"/>
                <w:color w:val="auto"/>
                <w:kern w:val="0"/>
                <w:sz w:val="24"/>
                <w:highlight w:val="none"/>
              </w:rPr>
              <w:t>+B</w:t>
            </w:r>
            <w:r>
              <w:rPr>
                <w:rFonts w:ascii="宋体" w:hAnsi="宋体" w:eastAsia="宋体" w:cs="宋体"/>
                <w:color w:val="auto"/>
                <w:kern w:val="0"/>
                <w:sz w:val="24"/>
                <w:highlight w:val="none"/>
                <w:vertAlign w:val="subscript"/>
              </w:rPr>
              <w:t>2</w:t>
            </w:r>
            <w:r>
              <w:rPr>
                <w:rFonts w:ascii="宋体" w:hAnsi="宋体" w:eastAsia="宋体" w:cs="宋体"/>
                <w:color w:val="auto"/>
                <w:kern w:val="0"/>
                <w:sz w:val="24"/>
                <w:highlight w:val="none"/>
              </w:rPr>
              <w:t>+…Bn</w:t>
            </w:r>
          </w:p>
        </w:tc>
      </w:tr>
    </w:tbl>
    <w:p w14:paraId="4295DD3A">
      <w:pPr>
        <w:snapToGrid w:val="0"/>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修正原则：</w:t>
      </w:r>
      <w:r>
        <w:rPr>
          <w:rFonts w:hint="eastAsia" w:ascii="宋体" w:hAnsi="宋体" w:eastAsia="宋体" w:cs="宋体"/>
          <w:color w:val="auto"/>
          <w:sz w:val="24"/>
          <w:highlight w:val="none"/>
        </w:rPr>
        <w:t>按就低不就高原则，当修正后报价小于原报价，总价按修正后报价；当修正后报价大于原报价，总价按原报价，并在签订合同时载明在结算价中扣除修正报价与原报价的差额。</w:t>
      </w:r>
    </w:p>
    <w:p w14:paraId="4991C44E">
      <w:pPr>
        <w:snapToGrid w:val="0"/>
        <w:spacing w:line="360" w:lineRule="auto"/>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评委签名：日期：</w:t>
      </w:r>
    </w:p>
    <w:p w14:paraId="6DA4B2D3">
      <w:pPr>
        <w:pStyle w:val="243"/>
        <w:ind w:firstLine="420" w:firstLineChars="200"/>
        <w:rPr>
          <w:rFonts w:ascii="宋体" w:hAnsi="宋体" w:eastAsia="宋体" w:cs="宋体"/>
          <w:color w:val="auto"/>
          <w:sz w:val="21"/>
          <w:szCs w:val="21"/>
          <w:highlight w:val="none"/>
        </w:rPr>
      </w:pPr>
    </w:p>
    <w:p w14:paraId="18AE80A8">
      <w:pPr>
        <w:snapToGrid w:val="0"/>
        <w:spacing w:line="360" w:lineRule="auto"/>
        <w:jc w:val="left"/>
        <w:rPr>
          <w:rFonts w:ascii="宋体" w:hAnsi="宋体" w:eastAsia="宋体" w:cs="宋体"/>
          <w:b/>
          <w:bCs/>
          <w:color w:val="auto"/>
          <w:sz w:val="24"/>
          <w:highlight w:val="none"/>
        </w:rPr>
        <w:sectPr>
          <w:pgSz w:w="16838" w:h="11906" w:orient="landscape"/>
          <w:pgMar w:top="1440" w:right="1440" w:bottom="1440" w:left="1440" w:header="851" w:footer="992" w:gutter="0"/>
          <w:cols w:space="0" w:num="1"/>
          <w:docGrid w:type="lines" w:linePitch="322" w:charSpace="0"/>
        </w:sectPr>
      </w:pPr>
    </w:p>
    <w:p w14:paraId="65430B91">
      <w:pPr>
        <w:snapToGrid w:val="0"/>
        <w:spacing w:line="360" w:lineRule="auto"/>
        <w:rPr>
          <w:rFonts w:ascii="宋体" w:hAnsi="宋体" w:eastAsia="宋体" w:cs="宋体"/>
          <w:b/>
          <w:color w:val="auto"/>
          <w:sz w:val="24"/>
          <w:highlight w:val="none"/>
        </w:rPr>
      </w:pPr>
    </w:p>
    <w:p w14:paraId="7332C218">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算术复核表</w:t>
      </w:r>
    </w:p>
    <w:p w14:paraId="2CA2A38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bl>
      <w:tblPr>
        <w:tblStyle w:val="8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4299"/>
        <w:gridCol w:w="2328"/>
        <w:gridCol w:w="3100"/>
        <w:gridCol w:w="3423"/>
      </w:tblGrid>
      <w:tr w14:paraId="05E51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359" w:type="pct"/>
            <w:tcBorders>
              <w:top w:val="single" w:color="auto" w:sz="4" w:space="0"/>
              <w:left w:val="single" w:color="auto" w:sz="4" w:space="0"/>
              <w:bottom w:val="single" w:color="auto" w:sz="4" w:space="0"/>
              <w:right w:val="single" w:color="auto" w:sz="4" w:space="0"/>
            </w:tcBorders>
            <w:noWrap/>
          </w:tcPr>
          <w:p w14:paraId="10BF9F9E">
            <w:pPr>
              <w:snapToGrid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编号</w:t>
            </w:r>
          </w:p>
        </w:tc>
        <w:tc>
          <w:tcPr>
            <w:tcW w:w="1516" w:type="pct"/>
            <w:tcBorders>
              <w:top w:val="single" w:color="auto" w:sz="4" w:space="0"/>
              <w:left w:val="single" w:color="auto" w:sz="4" w:space="0"/>
              <w:bottom w:val="single" w:color="auto" w:sz="4" w:space="0"/>
              <w:right w:val="single" w:color="auto" w:sz="4" w:space="0"/>
            </w:tcBorders>
            <w:noWrap/>
          </w:tcPr>
          <w:p w14:paraId="53A652BD">
            <w:pPr>
              <w:snapToGrid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投标人名称</w:t>
            </w:r>
          </w:p>
        </w:tc>
        <w:tc>
          <w:tcPr>
            <w:tcW w:w="821" w:type="pct"/>
            <w:tcBorders>
              <w:top w:val="single" w:color="auto" w:sz="4" w:space="0"/>
              <w:left w:val="single" w:color="auto" w:sz="4" w:space="0"/>
              <w:bottom w:val="single" w:color="auto" w:sz="4" w:space="0"/>
              <w:right w:val="single" w:color="auto" w:sz="4" w:space="0"/>
            </w:tcBorders>
            <w:noWrap/>
          </w:tcPr>
          <w:p w14:paraId="779DFE7A">
            <w:pPr>
              <w:snapToGrid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原投标报价（</w:t>
            </w:r>
            <w:r>
              <w:rPr>
                <w:rFonts w:ascii="宋体" w:hAnsi="宋体" w:eastAsia="宋体" w:cs="宋体"/>
                <w:b/>
                <w:color w:val="auto"/>
                <w:sz w:val="24"/>
                <w:highlight w:val="none"/>
              </w:rPr>
              <w:t>A）</w:t>
            </w:r>
          </w:p>
        </w:tc>
        <w:tc>
          <w:tcPr>
            <w:tcW w:w="1093" w:type="pct"/>
            <w:tcBorders>
              <w:top w:val="single" w:color="auto" w:sz="4" w:space="0"/>
              <w:left w:val="single" w:color="auto" w:sz="4" w:space="0"/>
              <w:bottom w:val="single" w:color="auto" w:sz="4" w:space="0"/>
              <w:right w:val="single" w:color="auto" w:sz="4" w:space="0"/>
            </w:tcBorders>
            <w:noWrap/>
          </w:tcPr>
          <w:p w14:paraId="560A619F">
            <w:pPr>
              <w:snapToGrid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算数复核后投标报价（</w:t>
            </w:r>
            <w:r>
              <w:rPr>
                <w:rFonts w:ascii="宋体" w:hAnsi="宋体" w:eastAsia="宋体" w:cs="宋体"/>
                <w:b/>
                <w:color w:val="auto"/>
                <w:sz w:val="24"/>
                <w:highlight w:val="none"/>
              </w:rPr>
              <w:t>B）</w:t>
            </w:r>
          </w:p>
        </w:tc>
        <w:tc>
          <w:tcPr>
            <w:tcW w:w="1207" w:type="pct"/>
            <w:tcBorders>
              <w:top w:val="single" w:color="auto" w:sz="4" w:space="0"/>
              <w:left w:val="single" w:color="auto" w:sz="4" w:space="0"/>
              <w:bottom w:val="single" w:color="auto" w:sz="4" w:space="0"/>
              <w:right w:val="single" w:color="auto" w:sz="4" w:space="0"/>
            </w:tcBorders>
            <w:noWrap/>
          </w:tcPr>
          <w:p w14:paraId="7E03C3EC">
            <w:pPr>
              <w:snapToGrid w:val="0"/>
              <w:spacing w:line="360" w:lineRule="auto"/>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误差率（</w:t>
            </w:r>
            <w:r>
              <w:rPr>
                <w:rFonts w:ascii="宋体" w:hAnsi="宋体" w:eastAsia="宋体" w:cs="宋体"/>
                <w:b/>
                <w:color w:val="auto"/>
                <w:sz w:val="24"/>
                <w:highlight w:val="none"/>
              </w:rPr>
              <w:t>r=|A-B|/A*100%）</w:t>
            </w:r>
          </w:p>
        </w:tc>
      </w:tr>
      <w:tr w14:paraId="3B532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367B63D3">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30DBC1A0">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69F942ED">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36BF591A">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7F52EBA8">
            <w:pPr>
              <w:snapToGrid w:val="0"/>
              <w:spacing w:line="360" w:lineRule="auto"/>
              <w:jc w:val="center"/>
              <w:rPr>
                <w:rFonts w:ascii="宋体" w:hAnsi="宋体" w:eastAsia="宋体" w:cs="宋体"/>
                <w:color w:val="auto"/>
                <w:sz w:val="24"/>
                <w:highlight w:val="none"/>
              </w:rPr>
            </w:pPr>
          </w:p>
        </w:tc>
      </w:tr>
      <w:tr w14:paraId="1FE4B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6E0B7A53">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212B8C11">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0C2A9C66">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309D8B4E">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46AAA0EF">
            <w:pPr>
              <w:snapToGrid w:val="0"/>
              <w:spacing w:line="360" w:lineRule="auto"/>
              <w:jc w:val="center"/>
              <w:rPr>
                <w:rFonts w:ascii="宋体" w:hAnsi="宋体" w:eastAsia="宋体" w:cs="宋体"/>
                <w:color w:val="auto"/>
                <w:sz w:val="24"/>
                <w:highlight w:val="none"/>
              </w:rPr>
            </w:pPr>
          </w:p>
        </w:tc>
      </w:tr>
      <w:tr w14:paraId="650FF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058C909E">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32223FFC">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0F91F080">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110407C5">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02EA2010">
            <w:pPr>
              <w:snapToGrid w:val="0"/>
              <w:spacing w:line="360" w:lineRule="auto"/>
              <w:jc w:val="center"/>
              <w:rPr>
                <w:rFonts w:ascii="宋体" w:hAnsi="宋体" w:eastAsia="宋体" w:cs="宋体"/>
                <w:color w:val="auto"/>
                <w:sz w:val="24"/>
                <w:highlight w:val="none"/>
              </w:rPr>
            </w:pPr>
          </w:p>
        </w:tc>
      </w:tr>
      <w:tr w14:paraId="5786D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251FD380">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264A7663">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44273FD0">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7AEB5230">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4C636CE2">
            <w:pPr>
              <w:snapToGrid w:val="0"/>
              <w:spacing w:line="360" w:lineRule="auto"/>
              <w:jc w:val="center"/>
              <w:rPr>
                <w:rFonts w:ascii="宋体" w:hAnsi="宋体" w:eastAsia="宋体" w:cs="宋体"/>
                <w:color w:val="auto"/>
                <w:sz w:val="24"/>
                <w:highlight w:val="none"/>
              </w:rPr>
            </w:pPr>
          </w:p>
        </w:tc>
      </w:tr>
      <w:tr w14:paraId="6795E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3E66C81A">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4DCED492">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617D8F5B">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484FA6E2">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51AE09C6">
            <w:pPr>
              <w:snapToGrid w:val="0"/>
              <w:spacing w:line="360" w:lineRule="auto"/>
              <w:jc w:val="center"/>
              <w:rPr>
                <w:rFonts w:ascii="宋体" w:hAnsi="宋体" w:eastAsia="宋体" w:cs="宋体"/>
                <w:color w:val="auto"/>
                <w:sz w:val="24"/>
                <w:highlight w:val="none"/>
              </w:rPr>
            </w:pPr>
          </w:p>
        </w:tc>
      </w:tr>
      <w:tr w14:paraId="3F3F9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40C9FFA8">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4D19ED24">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6B9B2049">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25C939BE">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5C02B3E7">
            <w:pPr>
              <w:snapToGrid w:val="0"/>
              <w:spacing w:line="360" w:lineRule="auto"/>
              <w:jc w:val="center"/>
              <w:rPr>
                <w:rFonts w:ascii="宋体" w:hAnsi="宋体" w:eastAsia="宋体" w:cs="宋体"/>
                <w:color w:val="auto"/>
                <w:sz w:val="24"/>
                <w:highlight w:val="none"/>
              </w:rPr>
            </w:pPr>
          </w:p>
        </w:tc>
      </w:tr>
      <w:tr w14:paraId="308C3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11144CE9">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355C72FE">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41890120">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2F34FE64">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2ED81E8F">
            <w:pPr>
              <w:snapToGrid w:val="0"/>
              <w:spacing w:line="360" w:lineRule="auto"/>
              <w:jc w:val="center"/>
              <w:rPr>
                <w:rFonts w:ascii="宋体" w:hAnsi="宋体" w:eastAsia="宋体" w:cs="宋体"/>
                <w:color w:val="auto"/>
                <w:sz w:val="24"/>
                <w:highlight w:val="none"/>
              </w:rPr>
            </w:pPr>
          </w:p>
        </w:tc>
      </w:tr>
      <w:tr w14:paraId="60030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 w:type="pct"/>
            <w:tcBorders>
              <w:top w:val="single" w:color="auto" w:sz="4" w:space="0"/>
              <w:left w:val="single" w:color="auto" w:sz="4" w:space="0"/>
              <w:bottom w:val="single" w:color="auto" w:sz="4" w:space="0"/>
              <w:right w:val="single" w:color="auto" w:sz="4" w:space="0"/>
            </w:tcBorders>
            <w:noWrap/>
          </w:tcPr>
          <w:p w14:paraId="38FD7970">
            <w:pPr>
              <w:snapToGrid w:val="0"/>
              <w:spacing w:line="360" w:lineRule="auto"/>
              <w:jc w:val="center"/>
              <w:rPr>
                <w:rFonts w:ascii="宋体" w:hAnsi="宋体" w:eastAsia="宋体" w:cs="宋体"/>
                <w:color w:val="auto"/>
                <w:sz w:val="24"/>
                <w:highlight w:val="none"/>
              </w:rPr>
            </w:pPr>
          </w:p>
        </w:tc>
        <w:tc>
          <w:tcPr>
            <w:tcW w:w="1516" w:type="pct"/>
            <w:tcBorders>
              <w:top w:val="single" w:color="auto" w:sz="4" w:space="0"/>
              <w:left w:val="single" w:color="auto" w:sz="4" w:space="0"/>
              <w:bottom w:val="single" w:color="auto" w:sz="4" w:space="0"/>
              <w:right w:val="single" w:color="auto" w:sz="4" w:space="0"/>
            </w:tcBorders>
            <w:noWrap/>
          </w:tcPr>
          <w:p w14:paraId="7B15C138">
            <w:pPr>
              <w:snapToGrid w:val="0"/>
              <w:spacing w:line="360" w:lineRule="auto"/>
              <w:jc w:val="center"/>
              <w:rPr>
                <w:rFonts w:ascii="宋体" w:hAnsi="宋体" w:eastAsia="宋体" w:cs="宋体"/>
                <w:color w:val="auto"/>
                <w:sz w:val="24"/>
                <w:highlight w:val="none"/>
              </w:rPr>
            </w:pPr>
          </w:p>
        </w:tc>
        <w:tc>
          <w:tcPr>
            <w:tcW w:w="821" w:type="pct"/>
            <w:tcBorders>
              <w:top w:val="single" w:color="auto" w:sz="4" w:space="0"/>
              <w:left w:val="single" w:color="auto" w:sz="4" w:space="0"/>
              <w:bottom w:val="single" w:color="auto" w:sz="4" w:space="0"/>
              <w:right w:val="single" w:color="auto" w:sz="4" w:space="0"/>
            </w:tcBorders>
            <w:noWrap/>
          </w:tcPr>
          <w:p w14:paraId="31F77E4C">
            <w:pPr>
              <w:snapToGrid w:val="0"/>
              <w:spacing w:line="360" w:lineRule="auto"/>
              <w:jc w:val="center"/>
              <w:rPr>
                <w:rFonts w:ascii="宋体" w:hAnsi="宋体" w:eastAsia="宋体" w:cs="宋体"/>
                <w:color w:val="auto"/>
                <w:sz w:val="24"/>
                <w:highlight w:val="none"/>
              </w:rPr>
            </w:pPr>
          </w:p>
        </w:tc>
        <w:tc>
          <w:tcPr>
            <w:tcW w:w="1093" w:type="pct"/>
            <w:tcBorders>
              <w:top w:val="single" w:color="auto" w:sz="4" w:space="0"/>
              <w:left w:val="single" w:color="auto" w:sz="4" w:space="0"/>
              <w:bottom w:val="single" w:color="auto" w:sz="4" w:space="0"/>
              <w:right w:val="single" w:color="auto" w:sz="4" w:space="0"/>
            </w:tcBorders>
            <w:noWrap/>
          </w:tcPr>
          <w:p w14:paraId="0354399C">
            <w:pPr>
              <w:snapToGrid w:val="0"/>
              <w:spacing w:line="360" w:lineRule="auto"/>
              <w:jc w:val="center"/>
              <w:rPr>
                <w:rFonts w:ascii="宋体" w:hAnsi="宋体" w:eastAsia="宋体" w:cs="宋体"/>
                <w:color w:val="auto"/>
                <w:sz w:val="24"/>
                <w:highlight w:val="none"/>
              </w:rPr>
            </w:pPr>
          </w:p>
        </w:tc>
        <w:tc>
          <w:tcPr>
            <w:tcW w:w="1207" w:type="pct"/>
            <w:tcBorders>
              <w:top w:val="single" w:color="auto" w:sz="4" w:space="0"/>
              <w:left w:val="single" w:color="auto" w:sz="4" w:space="0"/>
              <w:bottom w:val="single" w:color="auto" w:sz="4" w:space="0"/>
              <w:right w:val="single" w:color="auto" w:sz="4" w:space="0"/>
            </w:tcBorders>
            <w:noWrap/>
          </w:tcPr>
          <w:p w14:paraId="4ED824E0">
            <w:pPr>
              <w:snapToGrid w:val="0"/>
              <w:spacing w:line="360" w:lineRule="auto"/>
              <w:jc w:val="center"/>
              <w:rPr>
                <w:rFonts w:ascii="宋体" w:hAnsi="宋体" w:eastAsia="宋体" w:cs="宋体"/>
                <w:color w:val="auto"/>
                <w:sz w:val="24"/>
                <w:highlight w:val="none"/>
              </w:rPr>
            </w:pPr>
          </w:p>
        </w:tc>
      </w:tr>
    </w:tbl>
    <w:p w14:paraId="429A51AE">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评委签名：</w:t>
      </w:r>
    </w:p>
    <w:p w14:paraId="1225FC7F">
      <w:pPr>
        <w:pStyle w:val="243"/>
        <w:ind w:firstLine="420" w:firstLineChars="200"/>
        <w:rPr>
          <w:rFonts w:ascii="宋体" w:hAnsi="宋体" w:eastAsia="宋体" w:cs="宋体"/>
          <w:color w:val="auto"/>
          <w:sz w:val="21"/>
          <w:szCs w:val="21"/>
          <w:highlight w:val="none"/>
        </w:rPr>
      </w:pPr>
    </w:p>
    <w:p w14:paraId="29FD01F3">
      <w:pPr>
        <w:pStyle w:val="22"/>
        <w:snapToGrid w:val="0"/>
        <w:spacing w:line="360" w:lineRule="auto"/>
        <w:ind w:firstLine="0" w:firstLineChars="0"/>
        <w:rPr>
          <w:rFonts w:ascii="宋体" w:hAnsi="宋体" w:eastAsia="宋体" w:cs="宋体"/>
          <w:color w:val="auto"/>
          <w:sz w:val="24"/>
          <w:highlight w:val="none"/>
        </w:rPr>
      </w:pPr>
    </w:p>
    <w:p w14:paraId="51EFB655">
      <w:pPr>
        <w:snapToGrid w:val="0"/>
        <w:spacing w:line="360" w:lineRule="auto"/>
        <w:jc w:val="left"/>
        <w:rPr>
          <w:rFonts w:ascii="宋体" w:hAnsi="宋体" w:eastAsia="宋体" w:cs="宋体"/>
          <w:b/>
          <w:bCs/>
          <w:color w:val="auto"/>
          <w:sz w:val="24"/>
          <w:highlight w:val="none"/>
        </w:rPr>
        <w:sectPr>
          <w:footerReference r:id="rId10" w:type="default"/>
          <w:pgSz w:w="16838" w:h="11906" w:orient="landscape"/>
          <w:pgMar w:top="1440" w:right="1440" w:bottom="1440" w:left="1440" w:header="851" w:footer="992" w:gutter="0"/>
          <w:cols w:space="0" w:num="1"/>
          <w:docGrid w:type="lines" w:linePitch="322" w:charSpace="0"/>
        </w:sectPr>
      </w:pPr>
    </w:p>
    <w:p w14:paraId="1DB290FA">
      <w:pPr>
        <w:snapToGrid w:val="0"/>
        <w:spacing w:line="360" w:lineRule="auto"/>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附表五</w:t>
      </w:r>
    </w:p>
    <w:p w14:paraId="1BAA1B3F">
      <w:pPr>
        <w:pStyle w:val="243"/>
        <w:spacing w:line="240" w:lineRule="exact"/>
        <w:ind w:firstLine="420" w:firstLineChars="200"/>
        <w:rPr>
          <w:rFonts w:ascii="宋体" w:hAnsi="宋体" w:eastAsia="宋体" w:cs="宋体"/>
          <w:color w:val="auto"/>
          <w:sz w:val="21"/>
          <w:szCs w:val="21"/>
          <w:highlight w:val="none"/>
        </w:rPr>
      </w:pPr>
    </w:p>
    <w:p w14:paraId="0C63C6ED">
      <w:pPr>
        <w:snapToGrid w:val="0"/>
        <w:spacing w:line="360" w:lineRule="auto"/>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投标报价折算标准表</w:t>
      </w:r>
    </w:p>
    <w:tbl>
      <w:tblPr>
        <w:tblStyle w:val="88"/>
        <w:tblW w:w="143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6812"/>
        <w:gridCol w:w="6619"/>
      </w:tblGrid>
      <w:tr w14:paraId="6057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14:paraId="2FA300DF">
            <w:pPr>
              <w:pStyle w:val="81"/>
              <w:spacing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rPr>
              <w:t>量化因素</w:t>
            </w:r>
          </w:p>
        </w:tc>
        <w:tc>
          <w:tcPr>
            <w:tcW w:w="6812" w:type="dxa"/>
            <w:vAlign w:val="center"/>
          </w:tcPr>
          <w:p w14:paraId="0A9A3A8B">
            <w:pPr>
              <w:pStyle w:val="81"/>
              <w:spacing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rPr>
              <w:t>量化标准</w:t>
            </w:r>
          </w:p>
        </w:tc>
        <w:tc>
          <w:tcPr>
            <w:tcW w:w="6619" w:type="dxa"/>
            <w:vAlign w:val="center"/>
          </w:tcPr>
          <w:p w14:paraId="5ACD3D81">
            <w:pPr>
              <w:pStyle w:val="81"/>
              <w:spacing w:line="360" w:lineRule="auto"/>
              <w:jc w:val="center"/>
              <w:rPr>
                <w:rFonts w:ascii="宋体" w:hAnsi="宋体" w:eastAsia="宋体" w:cs="宋体"/>
                <w:b/>
                <w:bCs/>
                <w:color w:val="auto"/>
                <w:highlight w:val="none"/>
              </w:rPr>
            </w:pPr>
            <w:r>
              <w:rPr>
                <w:rFonts w:hint="eastAsia" w:ascii="宋体" w:hAnsi="宋体" w:eastAsia="宋体" w:cs="宋体"/>
                <w:b/>
                <w:bCs/>
                <w:color w:val="auto"/>
                <w:highlight w:val="none"/>
              </w:rPr>
              <w:t>备注</w:t>
            </w:r>
          </w:p>
        </w:tc>
      </w:tr>
      <w:tr w14:paraId="606BF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92" w:type="dxa"/>
            <w:vAlign w:val="center"/>
          </w:tcPr>
          <w:p w14:paraId="229B826B">
            <w:pPr>
              <w:pStyle w:val="81"/>
              <w:spacing w:line="360" w:lineRule="auto"/>
              <w:jc w:val="center"/>
              <w:rPr>
                <w:rFonts w:ascii="宋体" w:hAnsi="宋体" w:eastAsia="宋体" w:cs="宋体"/>
                <w:color w:val="auto"/>
                <w:highlight w:val="none"/>
              </w:rPr>
            </w:pPr>
            <w:r>
              <w:rPr>
                <w:rFonts w:hint="eastAsia" w:ascii="宋体" w:hAnsi="宋体" w:eastAsia="宋体" w:cs="宋体"/>
                <w:color w:val="auto"/>
                <w:highlight w:val="none"/>
              </w:rPr>
              <w:t>诚信评价</w:t>
            </w:r>
          </w:p>
        </w:tc>
        <w:tc>
          <w:tcPr>
            <w:tcW w:w="6812" w:type="dxa"/>
            <w:vAlign w:val="center"/>
          </w:tcPr>
          <w:p w14:paraId="3A4D74D2">
            <w:pPr>
              <w:pStyle w:val="81"/>
              <w:spacing w:line="360" w:lineRule="auto"/>
              <w:rPr>
                <w:rFonts w:ascii="宋体" w:hAnsi="宋体" w:eastAsia="宋体" w:cs="宋体"/>
                <w:color w:val="auto"/>
                <w:highlight w:val="none"/>
              </w:rPr>
            </w:pPr>
            <w:r>
              <w:rPr>
                <w:rFonts w:hint="eastAsia" w:ascii="宋体" w:hAnsi="宋体" w:eastAsia="宋体" w:cs="宋体"/>
                <w:color w:val="auto"/>
                <w:highlight w:val="none"/>
              </w:rPr>
              <w:t>根据投标人诚信评价</w:t>
            </w:r>
            <w:r>
              <w:rPr>
                <w:rFonts w:ascii="宋体" w:hAnsi="宋体" w:eastAsia="宋体" w:cs="宋体"/>
                <w:color w:val="auto"/>
                <w:highlight w:val="none"/>
              </w:rPr>
              <w:t>60日诚信分，对其投标报价作如下调整：</w:t>
            </w:r>
          </w:p>
          <w:p w14:paraId="2F720FEA">
            <w:pPr>
              <w:pStyle w:val="81"/>
              <w:spacing w:line="360" w:lineRule="auto"/>
              <w:rPr>
                <w:rFonts w:ascii="宋体" w:hAnsi="宋体" w:eastAsia="宋体" w:cs="宋体"/>
                <w:color w:val="auto"/>
                <w:highlight w:val="none"/>
              </w:rPr>
            </w:pPr>
            <w:r>
              <w:rPr>
                <w:rFonts w:ascii="宋体" w:hAnsi="宋体" w:eastAsia="宋体" w:cs="宋体"/>
                <w:color w:val="auto"/>
                <w:highlight w:val="none"/>
              </w:rPr>
              <w:t>1、诚信分85分（含）或以上，经评审的投标</w:t>
            </w:r>
            <w:r>
              <w:rPr>
                <w:rFonts w:hint="eastAsia" w:ascii="宋体" w:hAnsi="宋体" w:eastAsia="宋体" w:cs="宋体"/>
                <w:color w:val="auto"/>
                <w:highlight w:val="none"/>
              </w:rPr>
              <w:t>报</w:t>
            </w:r>
            <w:r>
              <w:rPr>
                <w:rFonts w:ascii="宋体" w:hAnsi="宋体" w:eastAsia="宋体" w:cs="宋体"/>
                <w:color w:val="auto"/>
                <w:highlight w:val="none"/>
              </w:rPr>
              <w:t>价＝投标</w:t>
            </w:r>
            <w:r>
              <w:rPr>
                <w:rFonts w:hint="eastAsia" w:ascii="宋体" w:hAnsi="宋体" w:eastAsia="宋体" w:cs="宋体"/>
                <w:color w:val="auto"/>
                <w:highlight w:val="none"/>
              </w:rPr>
              <w:t>报</w:t>
            </w:r>
            <w:r>
              <w:rPr>
                <w:rFonts w:ascii="宋体" w:hAnsi="宋体" w:eastAsia="宋体" w:cs="宋体"/>
                <w:color w:val="auto"/>
                <w:highlight w:val="none"/>
              </w:rPr>
              <w:t>价×0.95；</w:t>
            </w:r>
          </w:p>
          <w:p w14:paraId="4A83758C">
            <w:pPr>
              <w:pStyle w:val="81"/>
              <w:spacing w:line="360" w:lineRule="auto"/>
              <w:rPr>
                <w:rFonts w:ascii="宋体" w:hAnsi="宋体" w:eastAsia="宋体" w:cs="宋体"/>
                <w:color w:val="auto"/>
                <w:highlight w:val="none"/>
              </w:rPr>
            </w:pPr>
            <w:r>
              <w:rPr>
                <w:rFonts w:ascii="宋体" w:hAnsi="宋体" w:eastAsia="宋体" w:cs="宋体"/>
                <w:color w:val="auto"/>
                <w:highlight w:val="none"/>
              </w:rPr>
              <w:t>2、诚信分85分（不含）-80分（含），经评审的投标</w:t>
            </w:r>
            <w:r>
              <w:rPr>
                <w:rFonts w:hint="eastAsia" w:ascii="宋体" w:hAnsi="宋体" w:eastAsia="宋体" w:cs="宋体"/>
                <w:color w:val="auto"/>
                <w:highlight w:val="none"/>
              </w:rPr>
              <w:t>报</w:t>
            </w:r>
            <w:r>
              <w:rPr>
                <w:rFonts w:ascii="宋体" w:hAnsi="宋体" w:eastAsia="宋体" w:cs="宋体"/>
                <w:color w:val="auto"/>
                <w:highlight w:val="none"/>
              </w:rPr>
              <w:t>价＝投标</w:t>
            </w:r>
            <w:r>
              <w:rPr>
                <w:rFonts w:hint="eastAsia" w:ascii="宋体" w:hAnsi="宋体" w:eastAsia="宋体" w:cs="宋体"/>
                <w:color w:val="auto"/>
                <w:highlight w:val="none"/>
              </w:rPr>
              <w:t>报</w:t>
            </w:r>
            <w:r>
              <w:rPr>
                <w:rFonts w:ascii="宋体" w:hAnsi="宋体" w:eastAsia="宋体" w:cs="宋体"/>
                <w:color w:val="auto"/>
                <w:highlight w:val="none"/>
              </w:rPr>
              <w:t>价×0.98；</w:t>
            </w:r>
          </w:p>
          <w:p w14:paraId="2DCD31C5">
            <w:pPr>
              <w:pStyle w:val="81"/>
              <w:spacing w:line="360" w:lineRule="auto"/>
              <w:rPr>
                <w:rFonts w:ascii="宋体" w:hAnsi="宋体" w:eastAsia="宋体" w:cs="宋体"/>
                <w:color w:val="auto"/>
                <w:highlight w:val="none"/>
              </w:rPr>
            </w:pPr>
            <w:r>
              <w:rPr>
                <w:rFonts w:ascii="宋体" w:hAnsi="宋体" w:eastAsia="宋体" w:cs="宋体"/>
                <w:color w:val="auto"/>
                <w:highlight w:val="none"/>
              </w:rPr>
              <w:t>3、诚信分8</w:t>
            </w:r>
            <w:r>
              <w:rPr>
                <w:rFonts w:hint="eastAsia" w:ascii="宋体" w:hAnsi="宋体" w:eastAsia="宋体" w:cs="宋体"/>
                <w:color w:val="auto"/>
                <w:highlight w:val="none"/>
              </w:rPr>
              <w:t>0</w:t>
            </w:r>
            <w:r>
              <w:rPr>
                <w:rFonts w:ascii="宋体" w:hAnsi="宋体" w:eastAsia="宋体" w:cs="宋体"/>
                <w:color w:val="auto"/>
                <w:highlight w:val="none"/>
              </w:rPr>
              <w:t>分（不含）-65分（含），经评审的投标</w:t>
            </w:r>
            <w:r>
              <w:rPr>
                <w:rFonts w:hint="eastAsia" w:ascii="宋体" w:hAnsi="宋体" w:eastAsia="宋体" w:cs="宋体"/>
                <w:color w:val="auto"/>
                <w:highlight w:val="none"/>
              </w:rPr>
              <w:t>报</w:t>
            </w:r>
            <w:r>
              <w:rPr>
                <w:rFonts w:ascii="宋体" w:hAnsi="宋体" w:eastAsia="宋体" w:cs="宋体"/>
                <w:color w:val="auto"/>
                <w:highlight w:val="none"/>
              </w:rPr>
              <w:t>价＝投标</w:t>
            </w:r>
            <w:r>
              <w:rPr>
                <w:rFonts w:hint="eastAsia" w:ascii="宋体" w:hAnsi="宋体" w:eastAsia="宋体" w:cs="宋体"/>
                <w:color w:val="auto"/>
                <w:highlight w:val="none"/>
              </w:rPr>
              <w:t>报</w:t>
            </w:r>
            <w:r>
              <w:rPr>
                <w:rFonts w:ascii="宋体" w:hAnsi="宋体" w:eastAsia="宋体" w:cs="宋体"/>
                <w:color w:val="auto"/>
                <w:highlight w:val="none"/>
              </w:rPr>
              <w:t>价；</w:t>
            </w:r>
          </w:p>
          <w:p w14:paraId="4034FF8D">
            <w:pPr>
              <w:pStyle w:val="81"/>
              <w:spacing w:line="360" w:lineRule="auto"/>
              <w:rPr>
                <w:rFonts w:ascii="宋体" w:hAnsi="宋体" w:eastAsia="宋体" w:cs="宋体"/>
                <w:color w:val="auto"/>
                <w:highlight w:val="none"/>
              </w:rPr>
            </w:pPr>
            <w:r>
              <w:rPr>
                <w:rFonts w:ascii="宋体" w:hAnsi="宋体" w:eastAsia="宋体" w:cs="宋体"/>
                <w:color w:val="auto"/>
                <w:highlight w:val="none"/>
              </w:rPr>
              <w:t>4、诚信分65分（不含）以下或未获得，经评审的投标</w:t>
            </w:r>
            <w:r>
              <w:rPr>
                <w:rFonts w:hint="eastAsia" w:ascii="宋体" w:hAnsi="宋体" w:eastAsia="宋体" w:cs="宋体"/>
                <w:color w:val="auto"/>
                <w:highlight w:val="none"/>
              </w:rPr>
              <w:t>报</w:t>
            </w:r>
            <w:r>
              <w:rPr>
                <w:rFonts w:ascii="宋体" w:hAnsi="宋体" w:eastAsia="宋体" w:cs="宋体"/>
                <w:color w:val="auto"/>
                <w:highlight w:val="none"/>
              </w:rPr>
              <w:t>价＝投标</w:t>
            </w:r>
            <w:r>
              <w:rPr>
                <w:rFonts w:hint="eastAsia" w:ascii="宋体" w:hAnsi="宋体" w:eastAsia="宋体" w:cs="宋体"/>
                <w:color w:val="auto"/>
                <w:highlight w:val="none"/>
              </w:rPr>
              <w:t>报</w:t>
            </w:r>
            <w:r>
              <w:rPr>
                <w:rFonts w:ascii="宋体" w:hAnsi="宋体" w:eastAsia="宋体" w:cs="宋体"/>
                <w:color w:val="auto"/>
                <w:highlight w:val="none"/>
              </w:rPr>
              <w:t>价×1.02。</w:t>
            </w:r>
          </w:p>
        </w:tc>
        <w:tc>
          <w:tcPr>
            <w:tcW w:w="6619" w:type="dxa"/>
            <w:vAlign w:val="center"/>
          </w:tcPr>
          <w:p w14:paraId="7483DE41">
            <w:pPr>
              <w:pStyle w:val="81"/>
              <w:wordWrap w:val="0"/>
              <w:spacing w:line="360" w:lineRule="auto"/>
              <w:rPr>
                <w:rFonts w:ascii="宋体" w:hAnsi="宋体" w:eastAsia="宋体" w:cs="宋体"/>
                <w:color w:val="auto"/>
                <w:highlight w:val="none"/>
              </w:rPr>
            </w:pPr>
            <w:r>
              <w:rPr>
                <w:rFonts w:ascii="宋体" w:hAnsi="宋体" w:eastAsia="宋体" w:cs="宋体"/>
                <w:color w:val="auto"/>
                <w:highlight w:val="none"/>
              </w:rPr>
              <w:t>1.本项目投标人的诚信评价</w:t>
            </w:r>
            <w:r>
              <w:rPr>
                <w:rFonts w:hint="eastAsia" w:ascii="宋体" w:hAnsi="宋体" w:eastAsia="宋体" w:cs="宋体"/>
                <w:color w:val="auto"/>
                <w:highlight w:val="none"/>
              </w:rPr>
              <w:t>按</w:t>
            </w:r>
            <w:r>
              <w:rPr>
                <w:rFonts w:ascii="宋体" w:hAnsi="宋体" w:eastAsia="宋体" w:cs="宋体"/>
                <w:color w:val="auto"/>
                <w:highlight w:val="none"/>
              </w:rPr>
              <w:t>广州交易集团有限公司</w:t>
            </w:r>
            <w:r>
              <w:rPr>
                <w:rFonts w:hint="eastAsia" w:ascii="宋体" w:hAnsi="宋体" w:eastAsia="宋体" w:cs="宋体"/>
                <w:color w:val="auto"/>
                <w:highlight w:val="none"/>
              </w:rPr>
              <w:t>（广州公共资源交易中心）</w:t>
            </w:r>
            <w:r>
              <w:rPr>
                <w:rFonts w:ascii="宋体" w:hAnsi="宋体" w:eastAsia="宋体" w:cs="宋体"/>
                <w:color w:val="auto"/>
                <w:highlight w:val="none"/>
              </w:rPr>
              <w:t>门户网站-信用信息-广州市住房和城乡建设局</w:t>
            </w:r>
            <w:r>
              <w:rPr>
                <w:rFonts w:hint="eastAsia" w:ascii="宋体" w:hAnsi="宋体" w:eastAsia="宋体" w:cs="宋体"/>
                <w:color w:val="auto"/>
                <w:highlight w:val="none"/>
              </w:rPr>
              <w:t>诚信综合评价</w:t>
            </w:r>
            <w:r>
              <w:rPr>
                <w:rFonts w:ascii="宋体" w:hAnsi="宋体" w:eastAsia="宋体" w:cs="宋体"/>
                <w:color w:val="auto"/>
                <w:highlight w:val="none"/>
              </w:rPr>
              <w:t>专栏</w:t>
            </w:r>
            <w:r>
              <w:rPr>
                <w:rFonts w:hint="eastAsia" w:ascii="宋体" w:hAnsi="宋体" w:eastAsia="宋体" w:cs="宋体"/>
                <w:color w:val="auto"/>
                <w:highlight w:val="none"/>
              </w:rPr>
              <w:t>-</w:t>
            </w:r>
            <w:r>
              <w:rPr>
                <w:rFonts w:ascii="宋体" w:hAnsi="宋体" w:eastAsia="宋体" w:cs="宋体"/>
                <w:color w:val="auto"/>
                <w:highlight w:val="none"/>
              </w:rPr>
              <w:t>“施工企业”专栏（http://121.8.226.218:8081/eval/evalGateWay/list?typeCode=CONSTRUCTION）投标截止当日公布的“施工-房建排名”【即“施工企业房建诚信评价排名”】中</w:t>
            </w:r>
            <w:r>
              <w:rPr>
                <w:rFonts w:hint="eastAsia" w:ascii="宋体" w:hAnsi="宋体" w:eastAsia="宋体" w:cs="宋体"/>
                <w:color w:val="auto"/>
                <w:highlight w:val="none"/>
              </w:rPr>
              <w:t>的</w:t>
            </w:r>
            <w:r>
              <w:rPr>
                <w:rFonts w:ascii="宋体" w:hAnsi="宋体" w:eastAsia="宋体" w:cs="宋体"/>
                <w:color w:val="auto"/>
                <w:highlight w:val="none"/>
              </w:rPr>
              <w:t>“60日诚信分”为准。</w:t>
            </w:r>
          </w:p>
          <w:p w14:paraId="198ACE34">
            <w:pPr>
              <w:pStyle w:val="81"/>
              <w:wordWrap w:val="0"/>
              <w:spacing w:line="360" w:lineRule="auto"/>
              <w:rPr>
                <w:rFonts w:ascii="宋体" w:hAnsi="宋体" w:eastAsia="宋体" w:cs="宋体"/>
                <w:color w:val="auto"/>
                <w:highlight w:val="none"/>
              </w:rPr>
            </w:pPr>
            <w:r>
              <w:rPr>
                <w:rFonts w:hint="eastAsia" w:ascii="宋体" w:hAnsi="宋体" w:eastAsia="宋体" w:cs="宋体"/>
                <w:color w:val="auto"/>
                <w:highlight w:val="none"/>
              </w:rPr>
              <w:t>2</w:t>
            </w:r>
            <w:r>
              <w:rPr>
                <w:rFonts w:ascii="宋体" w:hAnsi="宋体" w:eastAsia="宋体" w:cs="宋体"/>
                <w:color w:val="auto"/>
                <w:highlight w:val="none"/>
              </w:rPr>
              <w:t>.经评审的投标报价以元为单位，若出现小数点时，保留小数点后二位，第三位小数四舍五入。</w:t>
            </w:r>
          </w:p>
        </w:tc>
      </w:tr>
    </w:tbl>
    <w:p w14:paraId="26302AC5">
      <w:pPr>
        <w:wordWrap w:val="0"/>
        <w:adjustRightInd w:val="0"/>
        <w:snapToGrid w:val="0"/>
        <w:ind w:firstLine="480" w:firstLineChars="200"/>
        <w:rPr>
          <w:rFonts w:ascii="宋体" w:hAnsi="宋体" w:eastAsia="宋体" w:cs="宋体"/>
          <w:snapToGrid w:val="0"/>
          <w:color w:val="auto"/>
          <w:sz w:val="24"/>
          <w:highlight w:val="none"/>
        </w:rPr>
      </w:pPr>
    </w:p>
    <w:p w14:paraId="65997026">
      <w:pPr>
        <w:snapToGrid w:val="0"/>
        <w:contextualSpacing/>
        <w:rPr>
          <w:rFonts w:ascii="宋体" w:hAnsi="宋体" w:eastAsia="宋体" w:cs="宋体"/>
          <w:color w:val="auto"/>
          <w:szCs w:val="21"/>
          <w:highlight w:val="none"/>
        </w:rPr>
      </w:pPr>
      <w:r>
        <w:rPr>
          <w:rFonts w:hint="eastAsia" w:ascii="宋体" w:hAnsi="宋体" w:eastAsia="宋体" w:cs="宋体"/>
          <w:b/>
          <w:bCs/>
          <w:color w:val="auto"/>
          <w:szCs w:val="21"/>
          <w:highlight w:val="none"/>
        </w:rPr>
        <w:t>经评审的投标</w:t>
      </w:r>
      <w:r>
        <w:rPr>
          <w:rFonts w:hint="eastAsia" w:ascii="宋体" w:hAnsi="宋体" w:eastAsia="宋体" w:cs="宋体"/>
          <w:b/>
          <w:bCs/>
          <w:color w:val="auto"/>
          <w:szCs w:val="21"/>
          <w:highlight w:val="none"/>
        </w:rPr>
        <w:t>报</w:t>
      </w:r>
      <w:r>
        <w:rPr>
          <w:rFonts w:hint="eastAsia" w:ascii="宋体" w:hAnsi="宋体" w:eastAsia="宋体" w:cs="宋体"/>
          <w:b/>
          <w:bCs/>
          <w:color w:val="auto"/>
          <w:szCs w:val="21"/>
          <w:highlight w:val="none"/>
        </w:rPr>
        <w:t>价按下列公式计算：</w:t>
      </w:r>
      <w:r>
        <w:rPr>
          <w:rFonts w:hint="eastAsia" w:ascii="宋体" w:hAnsi="宋体" w:eastAsia="宋体" w:cs="宋体"/>
          <w:color w:val="auto"/>
          <w:szCs w:val="21"/>
          <w:highlight w:val="none"/>
        </w:rPr>
        <w:t>经评审的投标</w:t>
      </w:r>
      <w:r>
        <w:rPr>
          <w:rFonts w:hint="eastAsia" w:ascii="宋体" w:hAnsi="宋体" w:eastAsia="宋体" w:cs="宋体"/>
          <w:color w:val="auto"/>
          <w:szCs w:val="21"/>
          <w:highlight w:val="none"/>
        </w:rPr>
        <w:t>报</w:t>
      </w:r>
      <w:r>
        <w:rPr>
          <w:rFonts w:hint="eastAsia" w:ascii="宋体" w:hAnsi="宋体" w:eastAsia="宋体" w:cs="宋体"/>
          <w:color w:val="auto"/>
          <w:szCs w:val="21"/>
          <w:highlight w:val="none"/>
        </w:rPr>
        <w:t>价</w:t>
      </w:r>
      <w:r>
        <w:rPr>
          <w:rFonts w:ascii="宋体" w:hAnsi="宋体" w:eastAsia="宋体" w:cs="宋体"/>
          <w:color w:val="auto"/>
          <w:szCs w:val="21"/>
          <w:highlight w:val="none"/>
        </w:rPr>
        <w:t>=投标</w:t>
      </w:r>
      <w:r>
        <w:rPr>
          <w:rFonts w:hint="eastAsia" w:ascii="宋体" w:hAnsi="宋体" w:eastAsia="宋体" w:cs="宋体"/>
          <w:color w:val="auto"/>
          <w:highlight w:val="none"/>
        </w:rPr>
        <w:t>报</w:t>
      </w:r>
      <w:r>
        <w:rPr>
          <w:rFonts w:ascii="宋体" w:hAnsi="宋体" w:eastAsia="宋体" w:cs="宋体"/>
          <w:color w:val="auto"/>
          <w:szCs w:val="21"/>
          <w:highlight w:val="none"/>
        </w:rPr>
        <w:t>价</w:t>
      </w:r>
      <w:r>
        <w:rPr>
          <w:rFonts w:hint="eastAsia" w:ascii="宋体" w:hAnsi="宋体" w:eastAsia="宋体" w:cs="宋体"/>
          <w:color w:val="auto"/>
          <w:szCs w:val="21"/>
          <w:highlight w:val="none"/>
        </w:rPr>
        <w:t>×折算系数</w:t>
      </w:r>
    </w:p>
    <w:p w14:paraId="78628A75">
      <w:pPr>
        <w:pStyle w:val="243"/>
        <w:rPr>
          <w:rFonts w:ascii="宋体" w:hAnsi="宋体" w:eastAsia="宋体" w:cs="宋体"/>
          <w:color w:val="auto"/>
          <w:sz w:val="21"/>
          <w:szCs w:val="21"/>
          <w:highlight w:val="none"/>
        </w:rPr>
        <w:sectPr>
          <w:pgSz w:w="16838" w:h="11906" w:orient="landscape"/>
          <w:pgMar w:top="1440" w:right="1440" w:bottom="1440" w:left="1440" w:header="851" w:footer="992" w:gutter="0"/>
          <w:cols w:space="0" w:num="1"/>
          <w:docGrid w:type="lines" w:linePitch="322" w:charSpace="0"/>
        </w:sectPr>
      </w:pPr>
    </w:p>
    <w:p w14:paraId="7718B3B7">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附表六</w:t>
      </w:r>
    </w:p>
    <w:p w14:paraId="08D4F2F4">
      <w:pPr>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定标因素表（定标阶段用表）</w:t>
      </w:r>
    </w:p>
    <w:p w14:paraId="43A00C5C">
      <w:pPr>
        <w:pStyle w:val="22"/>
        <w:spacing w:line="360" w:lineRule="exact"/>
        <w:rPr>
          <w:rFonts w:ascii="宋体" w:hAnsi="宋体" w:eastAsia="宋体" w:cs="宋体"/>
          <w:color w:val="auto"/>
          <w:highlight w:val="none"/>
        </w:rPr>
      </w:pPr>
      <w:r>
        <w:rPr>
          <w:rFonts w:hint="eastAsia" w:ascii="宋体" w:hAnsi="宋体" w:eastAsia="宋体" w:cs="宋体"/>
          <w:color w:val="auto"/>
          <w:highlight w:val="none"/>
        </w:rPr>
        <w:t>工程名称：</w:t>
      </w:r>
    </w:p>
    <w:tbl>
      <w:tblPr>
        <w:tblStyle w:val="88"/>
        <w:tblW w:w="94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
        <w:gridCol w:w="1137"/>
        <w:gridCol w:w="684"/>
        <w:gridCol w:w="7114"/>
      </w:tblGrid>
      <w:tr w14:paraId="421FB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3B7311DF">
            <w:pPr>
              <w:pStyle w:val="22"/>
              <w:spacing w:line="360" w:lineRule="exact"/>
              <w:ind w:firstLine="0" w:firstLineChars="0"/>
              <w:jc w:val="center"/>
              <w:rPr>
                <w:rFonts w:ascii="宋体" w:hAnsi="宋体" w:eastAsia="宋体" w:cs="宋体"/>
                <w:color w:val="auto"/>
                <w:highlight w:val="none"/>
              </w:rPr>
            </w:pPr>
            <w:r>
              <w:rPr>
                <w:rFonts w:ascii="宋体" w:hAnsi="宋体" w:eastAsia="宋体" w:cs="宋体"/>
                <w:color w:val="auto"/>
                <w:highlight w:val="none"/>
              </w:rPr>
              <w:br w:type="page"/>
            </w:r>
            <w:r>
              <w:rPr>
                <w:rFonts w:hint="eastAsia" w:ascii="宋体" w:hAnsi="宋体" w:eastAsia="宋体" w:cs="宋体"/>
                <w:color w:val="auto"/>
                <w:highlight w:val="none"/>
              </w:rPr>
              <w:t>序号</w:t>
            </w:r>
          </w:p>
        </w:tc>
        <w:tc>
          <w:tcPr>
            <w:tcW w:w="1137" w:type="dxa"/>
            <w:tcBorders>
              <w:top w:val="single" w:color="auto" w:sz="4" w:space="0"/>
              <w:left w:val="single" w:color="auto" w:sz="4" w:space="0"/>
              <w:bottom w:val="single" w:color="auto" w:sz="4" w:space="0"/>
              <w:right w:val="single" w:color="auto" w:sz="4" w:space="0"/>
            </w:tcBorders>
            <w:vAlign w:val="center"/>
          </w:tcPr>
          <w:p w14:paraId="045A97CC">
            <w:pPr>
              <w:pStyle w:val="22"/>
              <w:spacing w:line="360" w:lineRule="exact"/>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评价项目</w:t>
            </w:r>
          </w:p>
        </w:tc>
        <w:tc>
          <w:tcPr>
            <w:tcW w:w="684" w:type="dxa"/>
            <w:tcBorders>
              <w:top w:val="single" w:color="auto" w:sz="4" w:space="0"/>
              <w:left w:val="single" w:color="auto" w:sz="4" w:space="0"/>
              <w:bottom w:val="single" w:color="auto" w:sz="4" w:space="0"/>
              <w:right w:val="single" w:color="auto" w:sz="4" w:space="0"/>
            </w:tcBorders>
            <w:vAlign w:val="center"/>
          </w:tcPr>
          <w:p w14:paraId="32236E84">
            <w:pPr>
              <w:pStyle w:val="22"/>
              <w:spacing w:line="360" w:lineRule="exact"/>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分值</w:t>
            </w:r>
          </w:p>
        </w:tc>
        <w:tc>
          <w:tcPr>
            <w:tcW w:w="7114" w:type="dxa"/>
            <w:tcBorders>
              <w:top w:val="single" w:color="auto" w:sz="4" w:space="0"/>
              <w:left w:val="single" w:color="auto" w:sz="4" w:space="0"/>
              <w:bottom w:val="single" w:color="auto" w:sz="4" w:space="0"/>
              <w:right w:val="single" w:color="auto" w:sz="4" w:space="0"/>
            </w:tcBorders>
            <w:vAlign w:val="center"/>
          </w:tcPr>
          <w:p w14:paraId="49009EF1">
            <w:pPr>
              <w:pStyle w:val="22"/>
              <w:spacing w:line="360" w:lineRule="exact"/>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定标评价的内容</w:t>
            </w:r>
          </w:p>
        </w:tc>
      </w:tr>
      <w:tr w14:paraId="2E47F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77" w:type="dxa"/>
            <w:vMerge w:val="restart"/>
            <w:tcBorders>
              <w:top w:val="single" w:color="auto" w:sz="4" w:space="0"/>
              <w:left w:val="single" w:color="auto" w:sz="4" w:space="0"/>
              <w:right w:val="single" w:color="auto" w:sz="4" w:space="0"/>
            </w:tcBorders>
            <w:vAlign w:val="center"/>
          </w:tcPr>
          <w:p w14:paraId="4D8A8047">
            <w:pPr>
              <w:pStyle w:val="22"/>
              <w:spacing w:line="360" w:lineRule="exact"/>
              <w:ind w:firstLine="0" w:firstLineChars="0"/>
              <w:jc w:val="center"/>
              <w:rPr>
                <w:rFonts w:ascii="宋体" w:hAnsi="宋体" w:eastAsia="宋体" w:cs="宋体"/>
                <w:color w:val="auto"/>
                <w:highlight w:val="none"/>
              </w:rPr>
            </w:pPr>
            <w:r>
              <w:rPr>
                <w:rFonts w:ascii="宋体" w:hAnsi="宋体" w:eastAsia="宋体" w:cs="宋体"/>
                <w:color w:val="auto"/>
                <w:highlight w:val="none"/>
              </w:rPr>
              <w:t>1</w:t>
            </w:r>
          </w:p>
        </w:tc>
        <w:tc>
          <w:tcPr>
            <w:tcW w:w="1137" w:type="dxa"/>
            <w:vMerge w:val="restart"/>
            <w:tcBorders>
              <w:top w:val="single" w:color="auto" w:sz="4" w:space="0"/>
              <w:left w:val="single" w:color="auto" w:sz="4" w:space="0"/>
              <w:right w:val="single" w:color="auto" w:sz="4" w:space="0"/>
            </w:tcBorders>
            <w:vAlign w:val="center"/>
          </w:tcPr>
          <w:p w14:paraId="00B1EAA5">
            <w:pPr>
              <w:pStyle w:val="22"/>
              <w:spacing w:after="120" w:line="360" w:lineRule="exact"/>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方案因素</w:t>
            </w:r>
          </w:p>
          <w:p w14:paraId="342CFB86">
            <w:pPr>
              <w:pStyle w:val="22"/>
              <w:spacing w:after="120" w:line="360" w:lineRule="exact"/>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w:t>
            </w:r>
            <w:r>
              <w:rPr>
                <w:rFonts w:ascii="宋体" w:hAnsi="宋体" w:eastAsia="宋体" w:cs="宋体"/>
                <w:color w:val="auto"/>
                <w:highlight w:val="none"/>
              </w:rPr>
              <w:t>100</w:t>
            </w:r>
            <w:r>
              <w:rPr>
                <w:rFonts w:hint="eastAsia" w:ascii="宋体" w:hAnsi="宋体" w:eastAsia="宋体" w:cs="宋体"/>
                <w:color w:val="auto"/>
                <w:highlight w:val="none"/>
              </w:rPr>
              <w:t>）</w:t>
            </w:r>
          </w:p>
        </w:tc>
        <w:tc>
          <w:tcPr>
            <w:tcW w:w="684" w:type="dxa"/>
            <w:tcBorders>
              <w:top w:val="single" w:color="auto" w:sz="4" w:space="0"/>
              <w:left w:val="single" w:color="auto" w:sz="4" w:space="0"/>
              <w:bottom w:val="single" w:color="auto" w:sz="4" w:space="0"/>
              <w:right w:val="single" w:color="auto" w:sz="4" w:space="0"/>
            </w:tcBorders>
            <w:vAlign w:val="center"/>
          </w:tcPr>
          <w:p w14:paraId="66695227">
            <w:pPr>
              <w:pStyle w:val="22"/>
              <w:spacing w:after="120" w:line="360" w:lineRule="exact"/>
              <w:ind w:firstLine="0" w:firstLineChars="0"/>
              <w:jc w:val="center"/>
              <w:rPr>
                <w:rFonts w:ascii="宋体" w:hAnsi="宋体" w:eastAsia="宋体" w:cs="宋体"/>
                <w:color w:val="auto"/>
                <w:highlight w:val="none"/>
              </w:rPr>
            </w:pPr>
            <w:r>
              <w:rPr>
                <w:rFonts w:ascii="宋体" w:hAnsi="宋体" w:eastAsia="宋体" w:cs="宋体"/>
                <w:color w:val="auto"/>
                <w:highlight w:val="none"/>
              </w:rPr>
              <w:t>25</w:t>
            </w:r>
          </w:p>
        </w:tc>
        <w:tc>
          <w:tcPr>
            <w:tcW w:w="7114" w:type="dxa"/>
            <w:tcBorders>
              <w:top w:val="single" w:color="auto" w:sz="4" w:space="0"/>
              <w:left w:val="single" w:color="auto" w:sz="4" w:space="0"/>
              <w:bottom w:val="single" w:color="auto" w:sz="4" w:space="0"/>
              <w:right w:val="single" w:color="auto" w:sz="4" w:space="0"/>
            </w:tcBorders>
            <w:vAlign w:val="center"/>
          </w:tcPr>
          <w:p w14:paraId="5BA2DE13">
            <w:pPr>
              <w:pStyle w:val="22"/>
              <w:spacing w:line="276" w:lineRule="auto"/>
              <w:ind w:firstLine="0" w:firstLineChars="0"/>
              <w:rPr>
                <w:rFonts w:ascii="宋体" w:hAnsi="宋体" w:eastAsia="宋体" w:cs="宋体"/>
                <w:color w:val="auto"/>
                <w:highlight w:val="none"/>
              </w:rPr>
            </w:pPr>
            <w:r>
              <w:rPr>
                <w:rFonts w:hint="eastAsia" w:ascii="宋体" w:hAnsi="宋体" w:eastAsia="宋体" w:cs="宋体"/>
                <w:color w:val="auto"/>
                <w:highlight w:val="none"/>
                <w:lang w:val="zh-CN"/>
              </w:rPr>
              <w:t>对拟投入本项目的团队配置进行评审：</w:t>
            </w:r>
            <w:r>
              <w:rPr>
                <w:rFonts w:ascii="宋体" w:hAnsi="宋体" w:eastAsia="宋体" w:cs="宋体"/>
                <w:color w:val="auto"/>
                <w:highlight w:val="none"/>
              </w:rPr>
              <w:t xml:space="preserve"> </w:t>
            </w:r>
          </w:p>
          <w:p w14:paraId="5CB3DFE5">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（团队配置应能体现投入充分满足项目需求的管理力量和技术力量，包括不限于：人员资质、专业匹配度、类似项目经验、团队稳定性等内容）</w:t>
            </w:r>
          </w:p>
          <w:p w14:paraId="5E581260">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优得【</w:t>
            </w:r>
            <w:r>
              <w:rPr>
                <w:rFonts w:hint="eastAsia" w:ascii="宋体" w:hAnsi="宋体" w:eastAsia="宋体" w:cs="宋体"/>
                <w:color w:val="auto"/>
                <w:highlight w:val="none"/>
              </w:rPr>
              <w:t>23</w:t>
            </w:r>
            <w:r>
              <w:rPr>
                <w:rFonts w:ascii="宋体" w:hAnsi="宋体" w:eastAsia="宋体" w:cs="宋体"/>
                <w:color w:val="auto"/>
                <w:highlight w:val="none"/>
              </w:rPr>
              <w:t>，25】</w:t>
            </w:r>
            <w:r>
              <w:rPr>
                <w:rFonts w:hint="eastAsia" w:ascii="宋体" w:hAnsi="宋体" w:eastAsia="宋体" w:cs="宋体"/>
                <w:color w:val="auto"/>
                <w:highlight w:val="none"/>
                <w:lang w:val="zh-CN"/>
              </w:rPr>
              <w:t>分</w:t>
            </w:r>
          </w:p>
          <w:p w14:paraId="540F79AC">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良得【</w:t>
            </w:r>
            <w:r>
              <w:rPr>
                <w:rFonts w:hint="eastAsia" w:ascii="宋体" w:hAnsi="宋体" w:eastAsia="宋体" w:cs="宋体"/>
                <w:color w:val="auto"/>
                <w:highlight w:val="none"/>
              </w:rPr>
              <w:t>20</w:t>
            </w:r>
            <w:r>
              <w:rPr>
                <w:rFonts w:ascii="宋体" w:hAnsi="宋体" w:eastAsia="宋体" w:cs="宋体"/>
                <w:color w:val="auto"/>
                <w:highlight w:val="none"/>
              </w:rPr>
              <w:t>，</w:t>
            </w:r>
            <w:r>
              <w:rPr>
                <w:rFonts w:hint="eastAsia" w:ascii="宋体" w:hAnsi="宋体" w:eastAsia="宋体" w:cs="宋体"/>
                <w:color w:val="auto"/>
                <w:highlight w:val="none"/>
              </w:rPr>
              <w:t>22</w:t>
            </w:r>
            <w:r>
              <w:rPr>
                <w:rFonts w:ascii="宋体" w:hAnsi="宋体" w:eastAsia="宋体" w:cs="宋体"/>
                <w:color w:val="auto"/>
                <w:highlight w:val="none"/>
              </w:rPr>
              <w:t>】</w:t>
            </w:r>
            <w:r>
              <w:rPr>
                <w:rFonts w:hint="eastAsia" w:ascii="宋体" w:hAnsi="宋体" w:eastAsia="宋体" w:cs="宋体"/>
                <w:color w:val="auto"/>
                <w:highlight w:val="none"/>
                <w:lang w:val="zh-CN"/>
              </w:rPr>
              <w:t>分。</w:t>
            </w:r>
          </w:p>
          <w:p w14:paraId="1E505C7F">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中得【</w:t>
            </w:r>
            <w:r>
              <w:rPr>
                <w:rFonts w:hint="eastAsia" w:ascii="宋体" w:hAnsi="宋体" w:eastAsia="宋体" w:cs="宋体"/>
                <w:color w:val="auto"/>
                <w:highlight w:val="none"/>
              </w:rPr>
              <w:t>16</w:t>
            </w:r>
            <w:r>
              <w:rPr>
                <w:rFonts w:ascii="宋体" w:hAnsi="宋体" w:eastAsia="宋体" w:cs="宋体"/>
                <w:color w:val="auto"/>
                <w:highlight w:val="none"/>
              </w:rPr>
              <w:t>，</w:t>
            </w:r>
            <w:r>
              <w:rPr>
                <w:rFonts w:hint="eastAsia" w:ascii="宋体" w:hAnsi="宋体" w:eastAsia="宋体" w:cs="宋体"/>
                <w:color w:val="auto"/>
                <w:highlight w:val="none"/>
              </w:rPr>
              <w:t>19</w:t>
            </w:r>
            <w:r>
              <w:rPr>
                <w:rFonts w:ascii="宋体" w:hAnsi="宋体" w:eastAsia="宋体" w:cs="宋体"/>
                <w:color w:val="auto"/>
                <w:highlight w:val="none"/>
              </w:rPr>
              <w:t>】</w:t>
            </w:r>
            <w:r>
              <w:rPr>
                <w:rFonts w:hint="eastAsia" w:ascii="宋体" w:hAnsi="宋体" w:eastAsia="宋体" w:cs="宋体"/>
                <w:color w:val="auto"/>
                <w:highlight w:val="none"/>
                <w:lang w:val="zh-CN"/>
              </w:rPr>
              <w:t>分。</w:t>
            </w:r>
          </w:p>
          <w:p w14:paraId="562A5C83">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rPr>
              <w:t>差得</w:t>
            </w:r>
            <w:r>
              <w:rPr>
                <w:rFonts w:hint="eastAsia" w:ascii="宋体" w:hAnsi="宋体" w:eastAsia="宋体" w:cs="宋体"/>
                <w:color w:val="auto"/>
                <w:highlight w:val="none"/>
                <w:lang w:val="zh-CN"/>
              </w:rPr>
              <w:t>【</w:t>
            </w:r>
            <w:r>
              <w:rPr>
                <w:rFonts w:ascii="宋体" w:hAnsi="宋体" w:eastAsia="宋体" w:cs="宋体"/>
                <w:color w:val="auto"/>
                <w:highlight w:val="none"/>
              </w:rPr>
              <w:t>1，</w:t>
            </w:r>
            <w:r>
              <w:rPr>
                <w:rFonts w:hint="eastAsia" w:ascii="宋体" w:hAnsi="宋体" w:eastAsia="宋体" w:cs="宋体"/>
                <w:color w:val="auto"/>
                <w:highlight w:val="none"/>
              </w:rPr>
              <w:t>15</w:t>
            </w:r>
            <w:r>
              <w:rPr>
                <w:rFonts w:ascii="宋体" w:hAnsi="宋体" w:eastAsia="宋体" w:cs="宋体"/>
                <w:color w:val="auto"/>
                <w:highlight w:val="none"/>
              </w:rPr>
              <w:t>】</w:t>
            </w:r>
            <w:r>
              <w:rPr>
                <w:rFonts w:hint="eastAsia" w:ascii="宋体" w:hAnsi="宋体" w:eastAsia="宋体" w:cs="宋体"/>
                <w:color w:val="auto"/>
                <w:highlight w:val="none"/>
                <w:lang w:val="zh-CN"/>
              </w:rPr>
              <w:t>分。</w:t>
            </w:r>
          </w:p>
          <w:p w14:paraId="4185E022">
            <w:pPr>
              <w:pStyle w:val="22"/>
              <w:spacing w:line="276" w:lineRule="auto"/>
              <w:ind w:firstLine="0" w:firstLineChars="0"/>
              <w:rPr>
                <w:rFonts w:ascii="宋体" w:hAnsi="宋体" w:eastAsia="宋体" w:cs="宋体"/>
                <w:color w:val="auto"/>
                <w:highlight w:val="none"/>
              </w:rPr>
            </w:pPr>
            <w:r>
              <w:rPr>
                <w:rFonts w:hint="eastAsia" w:ascii="宋体" w:hAnsi="宋体" w:eastAsia="宋体" w:cs="宋体"/>
                <w:color w:val="auto"/>
                <w:highlight w:val="none"/>
              </w:rPr>
              <w:t>不满足或</w:t>
            </w:r>
            <w:r>
              <w:rPr>
                <w:rFonts w:hint="eastAsia" w:ascii="宋体" w:hAnsi="宋体" w:eastAsia="宋体" w:cs="宋体"/>
                <w:color w:val="auto"/>
                <w:highlight w:val="none"/>
                <w:lang w:val="zh-CN"/>
              </w:rPr>
              <w:t>未能按要求</w:t>
            </w:r>
            <w:r>
              <w:rPr>
                <w:rFonts w:hint="eastAsia" w:ascii="宋体" w:hAnsi="宋体" w:eastAsia="宋体" w:cs="宋体"/>
                <w:color w:val="auto"/>
                <w:highlight w:val="none"/>
              </w:rPr>
              <w:t>提供相关资料</w:t>
            </w:r>
            <w:r>
              <w:rPr>
                <w:rFonts w:hint="eastAsia" w:ascii="宋体" w:hAnsi="宋体" w:eastAsia="宋体" w:cs="宋体"/>
                <w:color w:val="auto"/>
                <w:highlight w:val="none"/>
                <w:lang w:val="zh-CN"/>
              </w:rPr>
              <w:t>得</w:t>
            </w:r>
            <w:r>
              <w:rPr>
                <w:rFonts w:ascii="宋体" w:hAnsi="宋体" w:eastAsia="宋体" w:cs="宋体"/>
                <w:color w:val="auto"/>
                <w:highlight w:val="none"/>
                <w:lang w:val="zh-CN"/>
              </w:rPr>
              <w:t>0分。</w:t>
            </w:r>
          </w:p>
        </w:tc>
      </w:tr>
      <w:tr w14:paraId="2A4DB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77" w:type="dxa"/>
            <w:vMerge w:val="continue"/>
            <w:tcBorders>
              <w:left w:val="single" w:color="auto" w:sz="4" w:space="0"/>
              <w:right w:val="single" w:color="auto" w:sz="4" w:space="0"/>
            </w:tcBorders>
            <w:vAlign w:val="center"/>
          </w:tcPr>
          <w:p w14:paraId="439BED91">
            <w:pPr>
              <w:pStyle w:val="22"/>
              <w:spacing w:line="360" w:lineRule="exact"/>
              <w:jc w:val="center"/>
              <w:rPr>
                <w:rFonts w:ascii="宋体" w:hAnsi="宋体" w:eastAsia="宋体" w:cs="宋体"/>
                <w:color w:val="auto"/>
                <w:highlight w:val="none"/>
              </w:rPr>
            </w:pPr>
          </w:p>
        </w:tc>
        <w:tc>
          <w:tcPr>
            <w:tcW w:w="1137" w:type="dxa"/>
            <w:vMerge w:val="continue"/>
            <w:tcBorders>
              <w:left w:val="single" w:color="auto" w:sz="4" w:space="0"/>
              <w:right w:val="single" w:color="auto" w:sz="4" w:space="0"/>
            </w:tcBorders>
            <w:vAlign w:val="center"/>
          </w:tcPr>
          <w:p w14:paraId="293C76D5">
            <w:pPr>
              <w:pStyle w:val="22"/>
              <w:spacing w:line="360" w:lineRule="exact"/>
              <w:jc w:val="center"/>
              <w:rPr>
                <w:rFonts w:ascii="宋体" w:hAnsi="宋体" w:eastAsia="宋体" w:cs="宋体"/>
                <w:color w:val="auto"/>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14:paraId="34976E24">
            <w:pPr>
              <w:pStyle w:val="22"/>
              <w:spacing w:after="120" w:line="360" w:lineRule="exact"/>
              <w:ind w:firstLine="0" w:firstLineChars="0"/>
              <w:jc w:val="center"/>
              <w:rPr>
                <w:rFonts w:ascii="宋体" w:hAnsi="宋体" w:eastAsia="宋体" w:cs="宋体"/>
                <w:color w:val="auto"/>
                <w:highlight w:val="none"/>
              </w:rPr>
            </w:pPr>
            <w:r>
              <w:rPr>
                <w:rFonts w:ascii="宋体" w:hAnsi="宋体" w:eastAsia="宋体" w:cs="宋体"/>
                <w:color w:val="auto"/>
                <w:highlight w:val="none"/>
              </w:rPr>
              <w:t>25</w:t>
            </w:r>
          </w:p>
        </w:tc>
        <w:tc>
          <w:tcPr>
            <w:tcW w:w="7114" w:type="dxa"/>
            <w:tcBorders>
              <w:top w:val="single" w:color="auto" w:sz="4" w:space="0"/>
              <w:left w:val="single" w:color="auto" w:sz="4" w:space="0"/>
              <w:bottom w:val="single" w:color="auto" w:sz="4" w:space="0"/>
              <w:right w:val="single" w:color="auto" w:sz="4" w:space="0"/>
            </w:tcBorders>
            <w:vAlign w:val="center"/>
          </w:tcPr>
          <w:p w14:paraId="3E7797FC">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对本项目施工管理措施进行评审：</w:t>
            </w:r>
            <w:r>
              <w:rPr>
                <w:rFonts w:ascii="宋体" w:hAnsi="宋体" w:eastAsia="宋体" w:cs="宋体"/>
                <w:color w:val="auto"/>
                <w:highlight w:val="none"/>
                <w:lang w:val="zh-CN"/>
              </w:rPr>
              <w:t xml:space="preserve"> </w:t>
            </w:r>
          </w:p>
          <w:p w14:paraId="3B28E072">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施工管理措施应根据本项目实际、结合企业优势编制，应响应项目需求、具备针对性、可行性、创新性。包括不限于：确保本工程质量、安全、进度目标的管理措施、危大分部分项管理措施、技术难点解决措施、应急响应措施等内容）</w:t>
            </w:r>
          </w:p>
          <w:p w14:paraId="63AD16E4">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优得【</w:t>
            </w:r>
            <w:r>
              <w:rPr>
                <w:rFonts w:hint="eastAsia" w:ascii="宋体" w:hAnsi="宋体" w:eastAsia="宋体" w:cs="宋体"/>
                <w:color w:val="auto"/>
                <w:highlight w:val="none"/>
              </w:rPr>
              <w:t>23，25</w:t>
            </w:r>
            <w:r>
              <w:rPr>
                <w:rFonts w:ascii="宋体" w:hAnsi="宋体" w:eastAsia="宋体" w:cs="宋体"/>
                <w:color w:val="auto"/>
                <w:highlight w:val="none"/>
                <w:lang w:val="zh-CN"/>
              </w:rPr>
              <w:t>】</w:t>
            </w:r>
            <w:r>
              <w:rPr>
                <w:rFonts w:hint="eastAsia" w:ascii="宋体" w:hAnsi="宋体" w:eastAsia="宋体" w:cs="宋体"/>
                <w:color w:val="auto"/>
                <w:highlight w:val="none"/>
                <w:lang w:val="zh-CN"/>
              </w:rPr>
              <w:t>分</w:t>
            </w:r>
          </w:p>
          <w:p w14:paraId="5C87D0BE">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良得【</w:t>
            </w:r>
            <w:r>
              <w:rPr>
                <w:rFonts w:hint="eastAsia" w:ascii="宋体" w:hAnsi="宋体" w:eastAsia="宋体" w:cs="宋体"/>
                <w:color w:val="auto"/>
                <w:highlight w:val="none"/>
              </w:rPr>
              <w:t>20，22</w:t>
            </w:r>
            <w:r>
              <w:rPr>
                <w:rFonts w:ascii="宋体" w:hAnsi="宋体" w:eastAsia="宋体" w:cs="宋体"/>
                <w:color w:val="auto"/>
                <w:highlight w:val="none"/>
                <w:lang w:val="zh-CN"/>
              </w:rPr>
              <w:t>】</w:t>
            </w:r>
            <w:r>
              <w:rPr>
                <w:rFonts w:hint="eastAsia" w:ascii="宋体" w:hAnsi="宋体" w:eastAsia="宋体" w:cs="宋体"/>
                <w:color w:val="auto"/>
                <w:highlight w:val="none"/>
                <w:lang w:val="zh-CN"/>
              </w:rPr>
              <w:t>分。</w:t>
            </w:r>
          </w:p>
          <w:p w14:paraId="0DA757ED">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中得【</w:t>
            </w:r>
            <w:r>
              <w:rPr>
                <w:rFonts w:hint="eastAsia" w:ascii="宋体" w:hAnsi="宋体" w:eastAsia="宋体" w:cs="宋体"/>
                <w:color w:val="auto"/>
                <w:highlight w:val="none"/>
              </w:rPr>
              <w:t>16，19</w:t>
            </w:r>
            <w:r>
              <w:rPr>
                <w:rFonts w:ascii="宋体" w:hAnsi="宋体" w:eastAsia="宋体" w:cs="宋体"/>
                <w:color w:val="auto"/>
                <w:highlight w:val="none"/>
                <w:lang w:val="zh-CN"/>
              </w:rPr>
              <w:t>】</w:t>
            </w:r>
            <w:r>
              <w:rPr>
                <w:rFonts w:hint="eastAsia" w:ascii="宋体" w:hAnsi="宋体" w:eastAsia="宋体" w:cs="宋体"/>
                <w:color w:val="auto"/>
                <w:highlight w:val="none"/>
                <w:lang w:val="zh-CN"/>
              </w:rPr>
              <w:t>分。</w:t>
            </w:r>
          </w:p>
          <w:p w14:paraId="647CBA51">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差得【</w:t>
            </w:r>
            <w:r>
              <w:rPr>
                <w:rFonts w:hint="eastAsia" w:ascii="宋体" w:hAnsi="宋体" w:eastAsia="宋体" w:cs="宋体"/>
                <w:color w:val="auto"/>
                <w:highlight w:val="none"/>
              </w:rPr>
              <w:t>1，15</w:t>
            </w:r>
            <w:r>
              <w:rPr>
                <w:rFonts w:ascii="宋体" w:hAnsi="宋体" w:eastAsia="宋体" w:cs="宋体"/>
                <w:color w:val="auto"/>
                <w:highlight w:val="none"/>
                <w:lang w:val="zh-CN"/>
              </w:rPr>
              <w:t>】</w:t>
            </w:r>
            <w:r>
              <w:rPr>
                <w:rFonts w:hint="eastAsia" w:ascii="宋体" w:hAnsi="宋体" w:eastAsia="宋体" w:cs="宋体"/>
                <w:color w:val="auto"/>
                <w:highlight w:val="none"/>
                <w:lang w:val="zh-CN"/>
              </w:rPr>
              <w:t>分。</w:t>
            </w:r>
          </w:p>
          <w:p w14:paraId="71DD75F2">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不满足或未能按要求提供相关资料得</w:t>
            </w:r>
            <w:r>
              <w:rPr>
                <w:rFonts w:ascii="宋体" w:hAnsi="宋体" w:eastAsia="宋体" w:cs="宋体"/>
                <w:color w:val="auto"/>
                <w:highlight w:val="none"/>
                <w:lang w:val="zh-CN"/>
              </w:rPr>
              <w:t>0分。</w:t>
            </w:r>
          </w:p>
        </w:tc>
      </w:tr>
      <w:tr w14:paraId="68D26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77" w:type="dxa"/>
            <w:vMerge w:val="continue"/>
            <w:tcBorders>
              <w:left w:val="single" w:color="auto" w:sz="4" w:space="0"/>
              <w:right w:val="single" w:color="auto" w:sz="4" w:space="0"/>
            </w:tcBorders>
            <w:vAlign w:val="center"/>
          </w:tcPr>
          <w:p w14:paraId="354F17CC">
            <w:pPr>
              <w:pStyle w:val="22"/>
              <w:spacing w:line="360" w:lineRule="exact"/>
              <w:jc w:val="center"/>
              <w:rPr>
                <w:rFonts w:ascii="宋体" w:hAnsi="宋体" w:eastAsia="宋体" w:cs="宋体"/>
                <w:color w:val="auto"/>
                <w:highlight w:val="none"/>
              </w:rPr>
            </w:pPr>
          </w:p>
        </w:tc>
        <w:tc>
          <w:tcPr>
            <w:tcW w:w="1137" w:type="dxa"/>
            <w:vMerge w:val="continue"/>
            <w:tcBorders>
              <w:left w:val="single" w:color="auto" w:sz="4" w:space="0"/>
              <w:right w:val="single" w:color="auto" w:sz="4" w:space="0"/>
            </w:tcBorders>
            <w:vAlign w:val="center"/>
          </w:tcPr>
          <w:p w14:paraId="7B51F180">
            <w:pPr>
              <w:pStyle w:val="22"/>
              <w:spacing w:line="360" w:lineRule="exact"/>
              <w:jc w:val="center"/>
              <w:rPr>
                <w:rFonts w:ascii="宋体" w:hAnsi="宋体" w:eastAsia="宋体" w:cs="宋体"/>
                <w:color w:val="auto"/>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14:paraId="1840BEA0">
            <w:pPr>
              <w:pStyle w:val="22"/>
              <w:spacing w:after="120" w:line="360" w:lineRule="exact"/>
              <w:ind w:firstLine="0" w:firstLineChars="0"/>
              <w:jc w:val="center"/>
              <w:rPr>
                <w:rFonts w:ascii="宋体" w:hAnsi="宋体" w:eastAsia="宋体" w:cs="宋体"/>
                <w:color w:val="auto"/>
                <w:highlight w:val="none"/>
              </w:rPr>
            </w:pPr>
            <w:r>
              <w:rPr>
                <w:rFonts w:ascii="宋体" w:hAnsi="宋体" w:eastAsia="宋体" w:cs="宋体"/>
                <w:color w:val="auto"/>
                <w:highlight w:val="none"/>
              </w:rPr>
              <w:t>25</w:t>
            </w:r>
          </w:p>
        </w:tc>
        <w:tc>
          <w:tcPr>
            <w:tcW w:w="7114" w:type="dxa"/>
            <w:tcBorders>
              <w:top w:val="single" w:color="auto" w:sz="4" w:space="0"/>
              <w:left w:val="single" w:color="auto" w:sz="4" w:space="0"/>
              <w:bottom w:val="single" w:color="auto" w:sz="4" w:space="0"/>
              <w:right w:val="single" w:color="auto" w:sz="4" w:space="0"/>
            </w:tcBorders>
            <w:vAlign w:val="center"/>
          </w:tcPr>
          <w:p w14:paraId="0E5245DC">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对本项目成本控制措施进行评审：</w:t>
            </w:r>
            <w:r>
              <w:rPr>
                <w:rFonts w:ascii="宋体" w:hAnsi="宋体" w:eastAsia="宋体" w:cs="宋体"/>
                <w:color w:val="auto"/>
                <w:highlight w:val="none"/>
                <w:lang w:val="zh-CN"/>
              </w:rPr>
              <w:t xml:space="preserve"> </w:t>
            </w:r>
          </w:p>
          <w:p w14:paraId="5657AB8C">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（成本控制措施包括不限于：成本控制目标、变更管理措施、成本控制风险防范措施等）</w:t>
            </w:r>
          </w:p>
          <w:p w14:paraId="6D2EBD49">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优得【</w:t>
            </w:r>
            <w:r>
              <w:rPr>
                <w:rFonts w:hint="eastAsia" w:ascii="宋体" w:hAnsi="宋体" w:eastAsia="宋体" w:cs="宋体"/>
                <w:color w:val="auto"/>
                <w:highlight w:val="none"/>
              </w:rPr>
              <w:t>23</w:t>
            </w:r>
            <w:r>
              <w:rPr>
                <w:rFonts w:ascii="宋体" w:hAnsi="宋体" w:eastAsia="宋体" w:cs="宋体"/>
                <w:color w:val="auto"/>
                <w:highlight w:val="none"/>
                <w:lang w:val="zh-CN"/>
              </w:rPr>
              <w:t>，25】</w:t>
            </w:r>
            <w:r>
              <w:rPr>
                <w:rFonts w:hint="eastAsia" w:ascii="宋体" w:hAnsi="宋体" w:eastAsia="宋体" w:cs="宋体"/>
                <w:color w:val="auto"/>
                <w:highlight w:val="none"/>
                <w:lang w:val="zh-CN"/>
              </w:rPr>
              <w:t>分</w:t>
            </w:r>
          </w:p>
          <w:p w14:paraId="0C68E729">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良得【</w:t>
            </w:r>
            <w:r>
              <w:rPr>
                <w:rFonts w:hint="eastAsia" w:ascii="宋体" w:hAnsi="宋体" w:eastAsia="宋体" w:cs="宋体"/>
                <w:color w:val="auto"/>
                <w:highlight w:val="none"/>
              </w:rPr>
              <w:t>20</w:t>
            </w:r>
            <w:r>
              <w:rPr>
                <w:rFonts w:ascii="宋体" w:hAnsi="宋体" w:eastAsia="宋体" w:cs="宋体"/>
                <w:color w:val="auto"/>
                <w:highlight w:val="none"/>
                <w:lang w:val="zh-CN"/>
              </w:rPr>
              <w:t>，</w:t>
            </w:r>
            <w:r>
              <w:rPr>
                <w:rFonts w:hint="eastAsia" w:ascii="宋体" w:hAnsi="宋体" w:eastAsia="宋体" w:cs="宋体"/>
                <w:color w:val="auto"/>
                <w:highlight w:val="none"/>
              </w:rPr>
              <w:t>22</w:t>
            </w:r>
            <w:r>
              <w:rPr>
                <w:rFonts w:ascii="宋体" w:hAnsi="宋体" w:eastAsia="宋体" w:cs="宋体"/>
                <w:color w:val="auto"/>
                <w:highlight w:val="none"/>
                <w:lang w:val="zh-CN"/>
              </w:rPr>
              <w:t>】</w:t>
            </w:r>
            <w:r>
              <w:rPr>
                <w:rFonts w:hint="eastAsia" w:ascii="宋体" w:hAnsi="宋体" w:eastAsia="宋体" w:cs="宋体"/>
                <w:color w:val="auto"/>
                <w:highlight w:val="none"/>
                <w:lang w:val="zh-CN"/>
              </w:rPr>
              <w:t>分。</w:t>
            </w:r>
          </w:p>
          <w:p w14:paraId="6BDEB879">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中得【</w:t>
            </w:r>
            <w:r>
              <w:rPr>
                <w:rFonts w:hint="eastAsia" w:ascii="宋体" w:hAnsi="宋体" w:eastAsia="宋体" w:cs="宋体"/>
                <w:color w:val="auto"/>
                <w:highlight w:val="none"/>
              </w:rPr>
              <w:t>16</w:t>
            </w:r>
            <w:r>
              <w:rPr>
                <w:rFonts w:ascii="宋体" w:hAnsi="宋体" w:eastAsia="宋体" w:cs="宋体"/>
                <w:color w:val="auto"/>
                <w:highlight w:val="none"/>
                <w:lang w:val="zh-CN"/>
              </w:rPr>
              <w:t>，</w:t>
            </w:r>
            <w:r>
              <w:rPr>
                <w:rFonts w:hint="eastAsia" w:ascii="宋体" w:hAnsi="宋体" w:eastAsia="宋体" w:cs="宋体"/>
                <w:color w:val="auto"/>
                <w:highlight w:val="none"/>
              </w:rPr>
              <w:t>19</w:t>
            </w:r>
            <w:r>
              <w:rPr>
                <w:rFonts w:ascii="宋体" w:hAnsi="宋体" w:eastAsia="宋体" w:cs="宋体"/>
                <w:color w:val="auto"/>
                <w:highlight w:val="none"/>
                <w:lang w:val="zh-CN"/>
              </w:rPr>
              <w:t>】</w:t>
            </w:r>
            <w:r>
              <w:rPr>
                <w:rFonts w:hint="eastAsia" w:ascii="宋体" w:hAnsi="宋体" w:eastAsia="宋体" w:cs="宋体"/>
                <w:color w:val="auto"/>
                <w:highlight w:val="none"/>
                <w:lang w:val="zh-CN"/>
              </w:rPr>
              <w:t>分。</w:t>
            </w:r>
          </w:p>
          <w:p w14:paraId="37CC8D7F">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差得【</w:t>
            </w:r>
            <w:r>
              <w:rPr>
                <w:rFonts w:ascii="宋体" w:hAnsi="宋体" w:eastAsia="宋体" w:cs="宋体"/>
                <w:color w:val="auto"/>
                <w:highlight w:val="none"/>
                <w:lang w:val="zh-CN"/>
              </w:rPr>
              <w:t>1，</w:t>
            </w:r>
            <w:r>
              <w:rPr>
                <w:rFonts w:hint="eastAsia" w:ascii="宋体" w:hAnsi="宋体" w:eastAsia="宋体" w:cs="宋体"/>
                <w:color w:val="auto"/>
                <w:highlight w:val="none"/>
              </w:rPr>
              <w:t>15</w:t>
            </w:r>
            <w:r>
              <w:rPr>
                <w:rFonts w:ascii="宋体" w:hAnsi="宋体" w:eastAsia="宋体" w:cs="宋体"/>
                <w:color w:val="auto"/>
                <w:highlight w:val="none"/>
                <w:lang w:val="zh-CN"/>
              </w:rPr>
              <w:t>】</w:t>
            </w:r>
            <w:r>
              <w:rPr>
                <w:rFonts w:hint="eastAsia" w:ascii="宋体" w:hAnsi="宋体" w:eastAsia="宋体" w:cs="宋体"/>
                <w:color w:val="auto"/>
                <w:highlight w:val="none"/>
                <w:lang w:val="zh-CN"/>
              </w:rPr>
              <w:t>分。</w:t>
            </w:r>
          </w:p>
          <w:p w14:paraId="766E83E4">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不满足或未能按要求提供相关资料得</w:t>
            </w:r>
            <w:r>
              <w:rPr>
                <w:rFonts w:ascii="宋体" w:hAnsi="宋体" w:eastAsia="宋体" w:cs="宋体"/>
                <w:color w:val="auto"/>
                <w:highlight w:val="none"/>
                <w:lang w:val="zh-CN"/>
              </w:rPr>
              <w:t>0分。</w:t>
            </w:r>
          </w:p>
        </w:tc>
      </w:tr>
      <w:tr w14:paraId="696EB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77" w:type="dxa"/>
            <w:vMerge w:val="continue"/>
            <w:tcBorders>
              <w:left w:val="single" w:color="auto" w:sz="4" w:space="0"/>
              <w:right w:val="single" w:color="auto" w:sz="4" w:space="0"/>
            </w:tcBorders>
            <w:vAlign w:val="center"/>
          </w:tcPr>
          <w:p w14:paraId="2CF164CA">
            <w:pPr>
              <w:pStyle w:val="22"/>
              <w:spacing w:line="360" w:lineRule="exact"/>
              <w:jc w:val="center"/>
              <w:rPr>
                <w:rFonts w:ascii="宋体" w:hAnsi="宋体" w:eastAsia="宋体" w:cs="宋体"/>
                <w:color w:val="auto"/>
                <w:highlight w:val="none"/>
              </w:rPr>
            </w:pPr>
          </w:p>
        </w:tc>
        <w:tc>
          <w:tcPr>
            <w:tcW w:w="1137" w:type="dxa"/>
            <w:vMerge w:val="continue"/>
            <w:tcBorders>
              <w:left w:val="single" w:color="auto" w:sz="4" w:space="0"/>
              <w:right w:val="single" w:color="auto" w:sz="4" w:space="0"/>
            </w:tcBorders>
            <w:vAlign w:val="center"/>
          </w:tcPr>
          <w:p w14:paraId="4B16484C">
            <w:pPr>
              <w:pStyle w:val="22"/>
              <w:spacing w:line="360" w:lineRule="exact"/>
              <w:jc w:val="center"/>
              <w:rPr>
                <w:rFonts w:ascii="宋体" w:hAnsi="宋体" w:eastAsia="宋体" w:cs="宋体"/>
                <w:color w:val="auto"/>
                <w:highlight w:val="none"/>
              </w:rPr>
            </w:pPr>
          </w:p>
        </w:tc>
        <w:tc>
          <w:tcPr>
            <w:tcW w:w="684" w:type="dxa"/>
            <w:tcBorders>
              <w:top w:val="single" w:color="auto" w:sz="4" w:space="0"/>
              <w:left w:val="single" w:color="auto" w:sz="4" w:space="0"/>
              <w:bottom w:val="single" w:color="auto" w:sz="4" w:space="0"/>
              <w:right w:val="single" w:color="auto" w:sz="4" w:space="0"/>
            </w:tcBorders>
            <w:vAlign w:val="center"/>
          </w:tcPr>
          <w:p w14:paraId="3BD43793">
            <w:pPr>
              <w:pStyle w:val="22"/>
              <w:spacing w:after="120" w:line="360" w:lineRule="exact"/>
              <w:ind w:firstLine="0" w:firstLineChars="0"/>
              <w:jc w:val="center"/>
              <w:rPr>
                <w:rFonts w:ascii="宋体" w:hAnsi="宋体" w:eastAsia="宋体" w:cs="宋体"/>
                <w:color w:val="auto"/>
                <w:highlight w:val="none"/>
              </w:rPr>
            </w:pPr>
            <w:r>
              <w:rPr>
                <w:rFonts w:ascii="宋体" w:hAnsi="宋体" w:eastAsia="宋体" w:cs="宋体"/>
                <w:color w:val="auto"/>
                <w:highlight w:val="none"/>
              </w:rPr>
              <w:t>25</w:t>
            </w:r>
          </w:p>
        </w:tc>
        <w:tc>
          <w:tcPr>
            <w:tcW w:w="7114" w:type="dxa"/>
            <w:tcBorders>
              <w:top w:val="single" w:color="auto" w:sz="4" w:space="0"/>
              <w:left w:val="single" w:color="auto" w:sz="4" w:space="0"/>
              <w:bottom w:val="single" w:color="auto" w:sz="4" w:space="0"/>
              <w:right w:val="single" w:color="auto" w:sz="4" w:space="0"/>
            </w:tcBorders>
            <w:vAlign w:val="center"/>
          </w:tcPr>
          <w:p w14:paraId="1AC92476">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对本项目资金管理措施进行评审：</w:t>
            </w:r>
          </w:p>
          <w:p w14:paraId="109E5175">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（资金管理措施包括不限于：工程款专款专用、项目资金投入规划、农民工工资保障、应急周转资金制度、工程款支付担保等措施等）</w:t>
            </w:r>
          </w:p>
          <w:p w14:paraId="68B304FB">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优得【</w:t>
            </w:r>
            <w:r>
              <w:rPr>
                <w:rFonts w:hint="eastAsia" w:ascii="宋体" w:hAnsi="宋体" w:eastAsia="宋体" w:cs="宋体"/>
                <w:color w:val="auto"/>
                <w:highlight w:val="none"/>
              </w:rPr>
              <w:t>23</w:t>
            </w:r>
            <w:r>
              <w:rPr>
                <w:rFonts w:ascii="宋体" w:hAnsi="宋体" w:eastAsia="宋体" w:cs="宋体"/>
                <w:color w:val="auto"/>
                <w:highlight w:val="none"/>
                <w:lang w:val="zh-CN"/>
              </w:rPr>
              <w:t>，25】</w:t>
            </w:r>
            <w:r>
              <w:rPr>
                <w:rFonts w:hint="eastAsia" w:ascii="宋体" w:hAnsi="宋体" w:eastAsia="宋体" w:cs="宋体"/>
                <w:color w:val="auto"/>
                <w:highlight w:val="none"/>
                <w:lang w:val="zh-CN"/>
              </w:rPr>
              <w:t>分</w:t>
            </w:r>
          </w:p>
          <w:p w14:paraId="5D0E9881">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良得【</w:t>
            </w:r>
            <w:r>
              <w:rPr>
                <w:rFonts w:hint="eastAsia" w:ascii="宋体" w:hAnsi="宋体" w:eastAsia="宋体" w:cs="宋体"/>
                <w:color w:val="auto"/>
                <w:highlight w:val="none"/>
              </w:rPr>
              <w:t>20</w:t>
            </w:r>
            <w:r>
              <w:rPr>
                <w:rFonts w:ascii="宋体" w:hAnsi="宋体" w:eastAsia="宋体" w:cs="宋体"/>
                <w:color w:val="auto"/>
                <w:highlight w:val="none"/>
                <w:lang w:val="zh-CN"/>
              </w:rPr>
              <w:t>，</w:t>
            </w:r>
            <w:r>
              <w:rPr>
                <w:rFonts w:hint="eastAsia" w:ascii="宋体" w:hAnsi="宋体" w:eastAsia="宋体" w:cs="宋体"/>
                <w:color w:val="auto"/>
                <w:highlight w:val="none"/>
              </w:rPr>
              <w:t>22</w:t>
            </w:r>
            <w:r>
              <w:rPr>
                <w:rFonts w:ascii="宋体" w:hAnsi="宋体" w:eastAsia="宋体" w:cs="宋体"/>
                <w:color w:val="auto"/>
                <w:highlight w:val="none"/>
                <w:lang w:val="zh-CN"/>
              </w:rPr>
              <w:t>】</w:t>
            </w:r>
            <w:r>
              <w:rPr>
                <w:rFonts w:hint="eastAsia" w:ascii="宋体" w:hAnsi="宋体" w:eastAsia="宋体" w:cs="宋体"/>
                <w:color w:val="auto"/>
                <w:highlight w:val="none"/>
                <w:lang w:val="zh-CN"/>
              </w:rPr>
              <w:t>分。</w:t>
            </w:r>
          </w:p>
          <w:p w14:paraId="47A8C243">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中得【</w:t>
            </w:r>
            <w:r>
              <w:rPr>
                <w:rFonts w:hint="eastAsia" w:ascii="宋体" w:hAnsi="宋体" w:eastAsia="宋体" w:cs="宋体"/>
                <w:color w:val="auto"/>
                <w:highlight w:val="none"/>
              </w:rPr>
              <w:t>16</w:t>
            </w:r>
            <w:r>
              <w:rPr>
                <w:rFonts w:ascii="宋体" w:hAnsi="宋体" w:eastAsia="宋体" w:cs="宋体"/>
                <w:color w:val="auto"/>
                <w:highlight w:val="none"/>
                <w:lang w:val="zh-CN"/>
              </w:rPr>
              <w:t>，</w:t>
            </w:r>
            <w:r>
              <w:rPr>
                <w:rFonts w:hint="eastAsia" w:ascii="宋体" w:hAnsi="宋体" w:eastAsia="宋体" w:cs="宋体"/>
                <w:color w:val="auto"/>
                <w:highlight w:val="none"/>
              </w:rPr>
              <w:t>19</w:t>
            </w:r>
            <w:r>
              <w:rPr>
                <w:rFonts w:ascii="宋体" w:hAnsi="宋体" w:eastAsia="宋体" w:cs="宋体"/>
                <w:color w:val="auto"/>
                <w:highlight w:val="none"/>
                <w:lang w:val="zh-CN"/>
              </w:rPr>
              <w:t>】</w:t>
            </w:r>
            <w:r>
              <w:rPr>
                <w:rFonts w:hint="eastAsia" w:ascii="宋体" w:hAnsi="宋体" w:eastAsia="宋体" w:cs="宋体"/>
                <w:color w:val="auto"/>
                <w:highlight w:val="none"/>
                <w:lang w:val="zh-CN"/>
              </w:rPr>
              <w:t>分。</w:t>
            </w:r>
          </w:p>
          <w:p w14:paraId="61B9E383">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差得【</w:t>
            </w:r>
            <w:r>
              <w:rPr>
                <w:rFonts w:ascii="宋体" w:hAnsi="宋体" w:eastAsia="宋体" w:cs="宋体"/>
                <w:color w:val="auto"/>
                <w:highlight w:val="none"/>
                <w:lang w:val="zh-CN"/>
              </w:rPr>
              <w:t>1，</w:t>
            </w:r>
            <w:r>
              <w:rPr>
                <w:rFonts w:hint="eastAsia" w:ascii="宋体" w:hAnsi="宋体" w:eastAsia="宋体" w:cs="宋体"/>
                <w:color w:val="auto"/>
                <w:highlight w:val="none"/>
              </w:rPr>
              <w:t>15</w:t>
            </w:r>
            <w:r>
              <w:rPr>
                <w:rFonts w:ascii="宋体" w:hAnsi="宋体" w:eastAsia="宋体" w:cs="宋体"/>
                <w:color w:val="auto"/>
                <w:highlight w:val="none"/>
                <w:lang w:val="zh-CN"/>
              </w:rPr>
              <w:t>】</w:t>
            </w:r>
            <w:r>
              <w:rPr>
                <w:rFonts w:hint="eastAsia" w:ascii="宋体" w:hAnsi="宋体" w:eastAsia="宋体" w:cs="宋体"/>
                <w:color w:val="auto"/>
                <w:highlight w:val="none"/>
                <w:lang w:val="zh-CN"/>
              </w:rPr>
              <w:t>分。</w:t>
            </w:r>
          </w:p>
          <w:p w14:paraId="5DB85463">
            <w:pPr>
              <w:pStyle w:val="22"/>
              <w:spacing w:line="276" w:lineRule="auto"/>
              <w:ind w:firstLine="0" w:firstLineChars="0"/>
              <w:rPr>
                <w:rFonts w:ascii="宋体" w:hAnsi="宋体" w:eastAsia="宋体" w:cs="宋体"/>
                <w:color w:val="auto"/>
                <w:highlight w:val="none"/>
                <w:lang w:val="zh-CN"/>
              </w:rPr>
            </w:pPr>
            <w:r>
              <w:rPr>
                <w:rFonts w:hint="eastAsia" w:ascii="宋体" w:hAnsi="宋体" w:eastAsia="宋体" w:cs="宋体"/>
                <w:color w:val="auto"/>
                <w:highlight w:val="none"/>
                <w:lang w:val="zh-CN"/>
              </w:rPr>
              <w:t>不满足或未能按要求提供相关资料得</w:t>
            </w:r>
            <w:r>
              <w:rPr>
                <w:rFonts w:ascii="宋体" w:hAnsi="宋体" w:eastAsia="宋体" w:cs="宋体"/>
                <w:color w:val="auto"/>
                <w:highlight w:val="none"/>
                <w:lang w:val="zh-CN"/>
              </w:rPr>
              <w:t>0分。</w:t>
            </w:r>
          </w:p>
        </w:tc>
      </w:tr>
      <w:tr w14:paraId="3706B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477" w:type="dxa"/>
            <w:tcBorders>
              <w:top w:val="single" w:color="auto" w:sz="4" w:space="0"/>
              <w:left w:val="single" w:color="auto" w:sz="4" w:space="0"/>
              <w:bottom w:val="single" w:color="auto" w:sz="4" w:space="0"/>
              <w:right w:val="single" w:color="auto" w:sz="4" w:space="0"/>
            </w:tcBorders>
            <w:vAlign w:val="center"/>
          </w:tcPr>
          <w:p w14:paraId="428F9A1A">
            <w:pPr>
              <w:pStyle w:val="22"/>
              <w:spacing w:after="120" w:line="360" w:lineRule="exact"/>
              <w:ind w:firstLine="0" w:firstLineChars="0"/>
              <w:jc w:val="center"/>
              <w:rPr>
                <w:rFonts w:ascii="宋体" w:hAnsi="宋体" w:eastAsia="宋体" w:cs="宋体"/>
                <w:color w:val="auto"/>
                <w:highlight w:val="none"/>
                <w:lang w:val="zh-CN"/>
              </w:rPr>
            </w:pPr>
            <w:r>
              <w:rPr>
                <w:rFonts w:ascii="宋体" w:hAnsi="宋体" w:eastAsia="宋体" w:cs="宋体"/>
                <w:color w:val="auto"/>
                <w:highlight w:val="none"/>
              </w:rPr>
              <w:t>2</w:t>
            </w:r>
          </w:p>
        </w:tc>
        <w:tc>
          <w:tcPr>
            <w:tcW w:w="1137" w:type="dxa"/>
            <w:tcBorders>
              <w:top w:val="single" w:color="auto" w:sz="4" w:space="0"/>
              <w:left w:val="single" w:color="auto" w:sz="4" w:space="0"/>
              <w:bottom w:val="single" w:color="auto" w:sz="4" w:space="0"/>
              <w:right w:val="single" w:color="auto" w:sz="4" w:space="0"/>
            </w:tcBorders>
            <w:vAlign w:val="center"/>
          </w:tcPr>
          <w:p w14:paraId="7CEB65AA">
            <w:pPr>
              <w:pStyle w:val="22"/>
              <w:spacing w:after="120" w:line="360" w:lineRule="exact"/>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价格因素</w:t>
            </w:r>
          </w:p>
          <w:p w14:paraId="688DC80F">
            <w:pPr>
              <w:pStyle w:val="22"/>
              <w:spacing w:line="360" w:lineRule="exact"/>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w:t>
            </w:r>
            <w:r>
              <w:rPr>
                <w:rFonts w:ascii="宋体" w:hAnsi="宋体" w:eastAsia="宋体" w:cs="宋体"/>
                <w:color w:val="auto"/>
                <w:highlight w:val="none"/>
              </w:rPr>
              <w:t>100</w:t>
            </w:r>
            <w:r>
              <w:rPr>
                <w:rFonts w:hint="eastAsia" w:ascii="宋体" w:hAnsi="宋体" w:eastAsia="宋体" w:cs="宋体"/>
                <w:color w:val="auto"/>
                <w:highlight w:val="none"/>
              </w:rPr>
              <w:t>）</w:t>
            </w:r>
          </w:p>
        </w:tc>
        <w:tc>
          <w:tcPr>
            <w:tcW w:w="684" w:type="dxa"/>
            <w:tcBorders>
              <w:top w:val="single" w:color="auto" w:sz="4" w:space="0"/>
              <w:left w:val="single" w:color="auto" w:sz="4" w:space="0"/>
              <w:bottom w:val="single" w:color="auto" w:sz="4" w:space="0"/>
              <w:right w:val="single" w:color="auto" w:sz="4" w:space="0"/>
            </w:tcBorders>
            <w:vAlign w:val="center"/>
          </w:tcPr>
          <w:p w14:paraId="6629B61C">
            <w:pPr>
              <w:pStyle w:val="22"/>
              <w:spacing w:after="120" w:line="360" w:lineRule="exact"/>
              <w:ind w:firstLine="0" w:firstLineChars="0"/>
              <w:jc w:val="center"/>
              <w:rPr>
                <w:rFonts w:ascii="宋体" w:hAnsi="宋体" w:eastAsia="宋体" w:cs="宋体"/>
                <w:color w:val="auto"/>
                <w:highlight w:val="none"/>
              </w:rPr>
            </w:pPr>
            <w:r>
              <w:rPr>
                <w:rFonts w:ascii="宋体" w:hAnsi="宋体" w:eastAsia="宋体" w:cs="宋体"/>
                <w:color w:val="auto"/>
                <w:highlight w:val="none"/>
              </w:rPr>
              <w:t>100</w:t>
            </w:r>
          </w:p>
        </w:tc>
        <w:tc>
          <w:tcPr>
            <w:tcW w:w="7114" w:type="dxa"/>
            <w:tcBorders>
              <w:top w:val="single" w:color="auto" w:sz="4" w:space="0"/>
              <w:left w:val="single" w:color="auto" w:sz="4" w:space="0"/>
              <w:bottom w:val="single" w:color="auto" w:sz="4" w:space="0"/>
              <w:right w:val="single" w:color="auto" w:sz="4" w:space="0"/>
            </w:tcBorders>
            <w:vAlign w:val="center"/>
          </w:tcPr>
          <w:p w14:paraId="46C22124">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定标委员会对合格中标候选人投标报价进行打分，以合格中标候选人中最低的投标报价且高于成本警示价的为定标基准价（如合格中标候选人的投标报价均低于或等于成本警示价的，则以成本警示价为定标基准价），投标报价等于定标基准价时得</w:t>
            </w:r>
            <w:r>
              <w:rPr>
                <w:rFonts w:ascii="宋体" w:hAnsi="宋体" w:eastAsia="宋体" w:cs="宋体"/>
                <w:color w:val="auto"/>
                <w:highlight w:val="none"/>
              </w:rPr>
              <w:t>100分。投标报价比</w:t>
            </w:r>
            <w:r>
              <w:rPr>
                <w:rFonts w:hint="eastAsia" w:ascii="宋体" w:hAnsi="宋体" w:eastAsia="宋体" w:cs="宋体"/>
                <w:color w:val="auto"/>
                <w:highlight w:val="none"/>
              </w:rPr>
              <w:t>定标基准价每高</w:t>
            </w:r>
            <w:r>
              <w:rPr>
                <w:rFonts w:ascii="宋体" w:hAnsi="宋体" w:eastAsia="宋体" w:cs="宋体"/>
                <w:color w:val="auto"/>
                <w:highlight w:val="none"/>
              </w:rPr>
              <w:t>1%扣1.5分；每低1%扣1.0分，扣至0分为止。得出价格因素得分，分数出现小数点时，保留小数点后二位，第三位小数四舍五入。</w:t>
            </w:r>
          </w:p>
        </w:tc>
      </w:tr>
      <w:tr w14:paraId="51EF3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477" w:type="dxa"/>
            <w:tcBorders>
              <w:left w:val="single" w:color="auto" w:sz="4" w:space="0"/>
              <w:right w:val="single" w:color="auto" w:sz="4" w:space="0"/>
            </w:tcBorders>
            <w:vAlign w:val="center"/>
          </w:tcPr>
          <w:p w14:paraId="7E59438A">
            <w:pPr>
              <w:pStyle w:val="22"/>
              <w:spacing w:after="120" w:line="360" w:lineRule="exact"/>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合计</w:t>
            </w:r>
          </w:p>
        </w:tc>
        <w:tc>
          <w:tcPr>
            <w:tcW w:w="1137" w:type="dxa"/>
            <w:tcBorders>
              <w:left w:val="single" w:color="auto" w:sz="4" w:space="0"/>
              <w:right w:val="single" w:color="auto" w:sz="4" w:space="0"/>
            </w:tcBorders>
            <w:vAlign w:val="center"/>
          </w:tcPr>
          <w:p w14:paraId="7CB8DA4B">
            <w:pPr>
              <w:pStyle w:val="22"/>
              <w:spacing w:after="120" w:line="360" w:lineRule="exact"/>
              <w:ind w:firstLine="0" w:firstLineChars="0"/>
              <w:jc w:val="center"/>
              <w:rPr>
                <w:rFonts w:ascii="宋体" w:hAnsi="宋体" w:eastAsia="宋体" w:cs="宋体"/>
                <w:color w:val="auto"/>
                <w:highlight w:val="none"/>
              </w:rPr>
            </w:pPr>
            <w:r>
              <w:rPr>
                <w:rFonts w:hint="eastAsia" w:ascii="宋体" w:hAnsi="宋体" w:eastAsia="宋体" w:cs="宋体"/>
                <w:color w:val="auto"/>
                <w:highlight w:val="none"/>
              </w:rPr>
              <w:t>定标因素得分</w:t>
            </w:r>
          </w:p>
        </w:tc>
        <w:tc>
          <w:tcPr>
            <w:tcW w:w="684" w:type="dxa"/>
            <w:tcBorders>
              <w:top w:val="single" w:color="auto" w:sz="4" w:space="0"/>
              <w:left w:val="single" w:color="auto" w:sz="4" w:space="0"/>
              <w:bottom w:val="single" w:color="auto" w:sz="4" w:space="0"/>
              <w:right w:val="single" w:color="auto" w:sz="4" w:space="0"/>
            </w:tcBorders>
            <w:vAlign w:val="center"/>
          </w:tcPr>
          <w:p w14:paraId="08D848E9">
            <w:pPr>
              <w:pStyle w:val="22"/>
              <w:spacing w:after="120" w:line="360" w:lineRule="exact"/>
              <w:ind w:firstLine="0" w:firstLineChars="0"/>
              <w:jc w:val="center"/>
              <w:rPr>
                <w:rFonts w:ascii="宋体" w:hAnsi="宋体" w:eastAsia="宋体" w:cs="宋体"/>
                <w:color w:val="auto"/>
                <w:highlight w:val="none"/>
              </w:rPr>
            </w:pPr>
            <w:r>
              <w:rPr>
                <w:rFonts w:ascii="宋体" w:hAnsi="宋体" w:eastAsia="宋体" w:cs="宋体"/>
                <w:color w:val="auto"/>
                <w:highlight w:val="none"/>
              </w:rPr>
              <w:t>100</w:t>
            </w:r>
          </w:p>
        </w:tc>
        <w:tc>
          <w:tcPr>
            <w:tcW w:w="7114" w:type="dxa"/>
            <w:tcBorders>
              <w:top w:val="single" w:color="auto" w:sz="4" w:space="0"/>
              <w:left w:val="single" w:color="auto" w:sz="4" w:space="0"/>
              <w:right w:val="single" w:color="auto" w:sz="4" w:space="0"/>
            </w:tcBorders>
            <w:vAlign w:val="center"/>
          </w:tcPr>
          <w:p w14:paraId="0069FD52">
            <w:pPr>
              <w:pStyle w:val="22"/>
              <w:spacing w:after="120" w:line="360" w:lineRule="exact"/>
              <w:ind w:firstLine="0" w:firstLineChars="0"/>
              <w:rPr>
                <w:rFonts w:ascii="宋体" w:hAnsi="宋体" w:eastAsia="宋体" w:cs="宋体"/>
                <w:color w:val="auto"/>
                <w:highlight w:val="none"/>
              </w:rPr>
            </w:pPr>
            <w:r>
              <w:rPr>
                <w:rFonts w:hint="eastAsia" w:ascii="宋体" w:hAnsi="宋体" w:eastAsia="宋体" w:cs="宋体"/>
                <w:color w:val="auto"/>
                <w:highlight w:val="none"/>
              </w:rPr>
              <w:t>总得分（</w:t>
            </w:r>
            <w:r>
              <w:rPr>
                <w:rFonts w:ascii="宋体" w:hAnsi="宋体" w:eastAsia="宋体" w:cs="宋体"/>
                <w:color w:val="auto"/>
                <w:highlight w:val="none"/>
              </w:rPr>
              <w:t>100分）=</w:t>
            </w:r>
            <w:r>
              <w:rPr>
                <w:rFonts w:hint="eastAsia" w:ascii="宋体" w:hAnsi="宋体" w:eastAsia="宋体" w:cs="宋体"/>
                <w:color w:val="auto"/>
                <w:highlight w:val="none"/>
                <w:lang w:val="zh-CN"/>
              </w:rPr>
              <w:t>方案</w:t>
            </w:r>
            <w:r>
              <w:rPr>
                <w:rFonts w:hint="eastAsia" w:ascii="宋体" w:hAnsi="宋体" w:eastAsia="宋体" w:cs="宋体"/>
                <w:color w:val="auto"/>
                <w:highlight w:val="none"/>
              </w:rPr>
              <w:t>因素得分（</w:t>
            </w:r>
            <w:r>
              <w:rPr>
                <w:rFonts w:ascii="宋体" w:hAnsi="宋体" w:eastAsia="宋体" w:cs="宋体"/>
                <w:color w:val="auto"/>
                <w:highlight w:val="none"/>
              </w:rPr>
              <w:t>100分）*</w:t>
            </w:r>
            <w:r>
              <w:rPr>
                <w:rFonts w:hint="eastAsia" w:ascii="宋体" w:hAnsi="宋体" w:eastAsia="宋体" w:cs="宋体"/>
                <w:color w:val="auto"/>
                <w:highlight w:val="none"/>
                <w:lang w:val="zh-CN"/>
              </w:rPr>
              <w:t>方案</w:t>
            </w:r>
            <w:r>
              <w:rPr>
                <w:rFonts w:hint="eastAsia" w:ascii="宋体" w:hAnsi="宋体" w:eastAsia="宋体" w:cs="宋体"/>
                <w:color w:val="auto"/>
                <w:highlight w:val="none"/>
              </w:rPr>
              <w:t>因素得分权重（</w:t>
            </w:r>
            <w:r>
              <w:rPr>
                <w:rFonts w:ascii="宋体" w:hAnsi="宋体" w:eastAsia="宋体" w:cs="宋体"/>
                <w:color w:val="auto"/>
                <w:highlight w:val="none"/>
              </w:rPr>
              <w:t>70%）+价格因素得分（100分）*价格因素</w:t>
            </w:r>
            <w:r>
              <w:rPr>
                <w:rFonts w:hint="eastAsia" w:ascii="宋体" w:hAnsi="宋体" w:eastAsia="宋体" w:cs="宋体"/>
                <w:color w:val="auto"/>
                <w:highlight w:val="none"/>
              </w:rPr>
              <w:t>得分</w:t>
            </w:r>
            <w:r>
              <w:rPr>
                <w:rFonts w:ascii="宋体" w:hAnsi="宋体" w:eastAsia="宋体" w:cs="宋体"/>
                <w:color w:val="auto"/>
                <w:highlight w:val="none"/>
              </w:rPr>
              <w:t>权重（30%）。</w:t>
            </w:r>
          </w:p>
        </w:tc>
      </w:tr>
    </w:tbl>
    <w:p w14:paraId="1F405532">
      <w:pPr>
        <w:pStyle w:val="22"/>
        <w:spacing w:line="360" w:lineRule="exact"/>
        <w:rPr>
          <w:rFonts w:ascii="宋体" w:hAnsi="宋体" w:eastAsia="宋体" w:cs="宋体"/>
          <w:color w:val="auto"/>
          <w:highlight w:val="none"/>
        </w:rPr>
      </w:pPr>
      <w:r>
        <w:rPr>
          <w:rFonts w:hint="eastAsia" w:ascii="宋体" w:hAnsi="宋体" w:eastAsia="宋体" w:cs="宋体"/>
          <w:color w:val="auto"/>
          <w:highlight w:val="none"/>
        </w:rPr>
        <w:t>备注：</w:t>
      </w:r>
    </w:p>
    <w:p w14:paraId="1C2CA2DF">
      <w:pPr>
        <w:pStyle w:val="22"/>
        <w:spacing w:line="360" w:lineRule="exact"/>
        <w:rPr>
          <w:rFonts w:ascii="宋体" w:hAnsi="宋体" w:eastAsia="宋体" w:cs="宋体"/>
          <w:color w:val="auto"/>
          <w:highlight w:val="none"/>
        </w:rPr>
      </w:pPr>
      <w:r>
        <w:rPr>
          <w:rFonts w:ascii="宋体" w:hAnsi="宋体" w:eastAsia="宋体" w:cs="宋体"/>
          <w:color w:val="auto"/>
          <w:highlight w:val="none"/>
        </w:rPr>
        <w:t>1、</w:t>
      </w:r>
      <w:r>
        <w:rPr>
          <w:rFonts w:hint="eastAsia" w:ascii="宋体" w:hAnsi="宋体" w:cs="宋体"/>
          <w:color w:val="auto"/>
          <w:szCs w:val="21"/>
          <w:highlight w:val="none"/>
        </w:rPr>
        <w:t>分值范围的解释：定标委员会对</w:t>
      </w:r>
      <w:r>
        <w:rPr>
          <w:rFonts w:hint="eastAsia" w:hAnsi="宋体" w:cs="宋体"/>
          <w:color w:val="auto"/>
          <w:szCs w:val="21"/>
          <w:highlight w:val="none"/>
          <w:shd w:val="clear" w:color="auto" w:fill="FFFFFF"/>
          <w:lang w:val="zh-CN"/>
        </w:rPr>
        <w:t>方案</w:t>
      </w:r>
      <w:r>
        <w:rPr>
          <w:rFonts w:hint="eastAsia" w:hAnsi="宋体" w:cs="宋体"/>
          <w:color w:val="auto"/>
          <w:szCs w:val="21"/>
          <w:highlight w:val="none"/>
          <w:shd w:val="clear" w:color="auto" w:fill="FFFFFF"/>
        </w:rPr>
        <w:t>因素评审</w:t>
      </w:r>
      <w:r>
        <w:rPr>
          <w:rFonts w:hint="eastAsia" w:ascii="宋体" w:hAnsi="宋体" w:cs="宋体"/>
          <w:color w:val="auto"/>
          <w:szCs w:val="21"/>
          <w:highlight w:val="none"/>
        </w:rPr>
        <w:t>时，</w:t>
      </w:r>
      <w:r>
        <w:rPr>
          <w:rFonts w:hint="eastAsia" w:hAnsi="宋体" w:cs="宋体"/>
          <w:color w:val="auto"/>
          <w:szCs w:val="21"/>
          <w:highlight w:val="none"/>
          <w:shd w:val="clear" w:color="auto" w:fill="FFFFFF"/>
        </w:rPr>
        <w:t>定标因素表中</w:t>
      </w:r>
      <w:r>
        <w:rPr>
          <w:rFonts w:hint="eastAsia" w:ascii="宋体" w:hAnsi="宋体" w:cs="宋体"/>
          <w:color w:val="auto"/>
          <w:szCs w:val="21"/>
          <w:highlight w:val="none"/>
        </w:rPr>
        <w:t>“【*，*】”等分值，以整数进行评分（如1.0、2.0、3.0等，以此类推）。“【”、“】”表示含本数。</w:t>
      </w:r>
      <w:r>
        <w:rPr>
          <w:rFonts w:ascii="宋体" w:hAnsi="宋体" w:eastAsia="宋体" w:cs="宋体"/>
          <w:color w:val="auto"/>
          <w:highlight w:val="none"/>
        </w:rPr>
        <w:t>。</w:t>
      </w:r>
    </w:p>
    <w:p w14:paraId="79A7E627">
      <w:pPr>
        <w:pStyle w:val="22"/>
        <w:spacing w:line="360" w:lineRule="exact"/>
        <w:rPr>
          <w:rFonts w:ascii="宋体" w:hAnsi="宋体" w:eastAsia="宋体" w:cs="宋体"/>
          <w:color w:val="auto"/>
          <w:szCs w:val="21"/>
          <w:highlight w:val="none"/>
        </w:rPr>
      </w:pPr>
      <w:r>
        <w:rPr>
          <w:rFonts w:hint="eastAsia"/>
          <w:color w:val="auto"/>
          <w:highlight w:val="none"/>
        </w:rPr>
        <w:t>2、</w:t>
      </w:r>
      <w:r>
        <w:rPr>
          <w:rFonts w:hint="eastAsia" w:ascii="宋体" w:hAnsi="宋体" w:eastAsia="宋体" w:cs="宋体"/>
          <w:color w:val="auto"/>
          <w:szCs w:val="21"/>
          <w:highlight w:val="none"/>
        </w:rPr>
        <w:t>合格中标候选人方案因素得分为所有定标委员会成员对同一合格中标候选人方案因素的各项评分相加去掉一个最高分和一个最低分后计取的算术平均分。</w:t>
      </w:r>
      <w:r>
        <w:rPr>
          <w:rFonts w:hint="eastAsia" w:ascii="宋体" w:hAnsi="宋体" w:eastAsia="宋体" w:cs="宋体"/>
          <w:b/>
          <w:color w:val="auto"/>
          <w:szCs w:val="21"/>
          <w:highlight w:val="none"/>
          <w:u w:val="single"/>
        </w:rPr>
        <w:t>分数出现小数点时，保留小数点后二位，第三位小数四舍五入。</w:t>
      </w:r>
      <w:r>
        <w:rPr>
          <w:rFonts w:ascii="宋体" w:hAnsi="宋体" w:eastAsia="宋体" w:cs="宋体"/>
          <w:color w:val="auto"/>
          <w:szCs w:val="21"/>
          <w:highlight w:val="none"/>
        </w:rPr>
        <w:br w:type="page"/>
      </w:r>
    </w:p>
    <w:p w14:paraId="5FDB337F">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附表七</w:t>
      </w:r>
    </w:p>
    <w:p w14:paraId="0BAF622A">
      <w:pPr>
        <w:rPr>
          <w:rFonts w:ascii="宋体" w:hAnsi="宋体" w:eastAsia="宋体" w:cs="宋体"/>
          <w:b/>
          <w:color w:val="auto"/>
          <w:sz w:val="24"/>
          <w:highlight w:val="none"/>
        </w:rPr>
      </w:pPr>
    </w:p>
    <w:p w14:paraId="1E31191A">
      <w:pPr>
        <w:snapToGrid w:val="0"/>
        <w:spacing w:line="360" w:lineRule="auto"/>
        <w:jc w:val="center"/>
        <w:outlineLvl w:val="2"/>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定标阶段（方案因素）评审得分表</w:t>
      </w:r>
    </w:p>
    <w:p w14:paraId="50932A0E">
      <w:pPr>
        <w:snapToGrid w:val="0"/>
        <w:spacing w:line="360" w:lineRule="auto"/>
        <w:jc w:val="center"/>
        <w:outlineLvl w:val="2"/>
        <w:rPr>
          <w:rFonts w:ascii="宋体" w:hAnsi="宋体" w:eastAsia="宋体" w:cs="宋体"/>
          <w:smallCaps/>
          <w:color w:val="auto"/>
          <w:sz w:val="20"/>
          <w:szCs w:val="20"/>
          <w:highlight w:val="none"/>
        </w:rPr>
      </w:pPr>
      <w:r>
        <w:rPr>
          <w:rFonts w:hint="eastAsia" w:ascii="宋体" w:hAnsi="宋体" w:eastAsia="宋体" w:cs="宋体"/>
          <w:b/>
          <w:color w:val="auto"/>
          <w:sz w:val="30"/>
          <w:szCs w:val="30"/>
          <w:highlight w:val="none"/>
        </w:rPr>
        <w:t>（定标委员个人用表）</w:t>
      </w:r>
    </w:p>
    <w:p w14:paraId="17ED16E3">
      <w:pPr>
        <w:rPr>
          <w:rFonts w:ascii="宋体" w:hAnsi="宋体" w:eastAsia="宋体" w:cs="宋体"/>
          <w:color w:val="auto"/>
          <w:sz w:val="24"/>
          <w:highlight w:val="none"/>
        </w:rPr>
      </w:pPr>
      <w:r>
        <w:rPr>
          <w:rFonts w:hint="eastAsia" w:ascii="宋体" w:hAnsi="宋体" w:eastAsia="宋体" w:cs="宋体"/>
          <w:color w:val="auto"/>
          <w:sz w:val="24"/>
          <w:szCs w:val="22"/>
          <w:highlight w:val="none"/>
        </w:rPr>
        <w:t>工程名称</w:t>
      </w:r>
      <w:r>
        <w:rPr>
          <w:rFonts w:hint="eastAsia" w:ascii="宋体" w:hAnsi="宋体" w:eastAsia="宋体" w:cs="宋体"/>
          <w:color w:val="auto"/>
          <w:sz w:val="24"/>
          <w:highlight w:val="none"/>
        </w:rPr>
        <w:t>：</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2127"/>
        <w:gridCol w:w="1247"/>
        <w:gridCol w:w="1247"/>
        <w:gridCol w:w="1248"/>
        <w:gridCol w:w="1247"/>
        <w:gridCol w:w="1248"/>
      </w:tblGrid>
      <w:tr w14:paraId="0A58F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9" w:hRule="atLeast"/>
        </w:trPr>
        <w:tc>
          <w:tcPr>
            <w:tcW w:w="674" w:type="dxa"/>
            <w:vAlign w:val="center"/>
          </w:tcPr>
          <w:p w14:paraId="76D279CB">
            <w:pPr>
              <w:spacing w:line="360" w:lineRule="atLeast"/>
              <w:rPr>
                <w:rFonts w:ascii="宋体" w:hAnsi="宋体" w:eastAsia="宋体" w:cs="宋体"/>
                <w:color w:val="auto"/>
                <w:szCs w:val="21"/>
                <w:highlight w:val="none"/>
              </w:rPr>
            </w:pPr>
            <w:r>
              <w:rPr>
                <w:rFonts w:hint="eastAsia" w:cs="宋体" w:asciiTheme="minorEastAsia" w:hAnsiTheme="minorEastAsia"/>
                <w:color w:val="auto"/>
                <w:szCs w:val="21"/>
                <w:highlight w:val="none"/>
                <w:shd w:val="clear" w:color="auto" w:fill="FFFFFF"/>
                <w:lang w:val="zh-CN"/>
              </w:rPr>
              <w:t>序号</w:t>
            </w:r>
          </w:p>
        </w:tc>
        <w:tc>
          <w:tcPr>
            <w:tcW w:w="2127" w:type="dxa"/>
            <w:vAlign w:val="center"/>
          </w:tcPr>
          <w:p w14:paraId="064BE40F">
            <w:pPr>
              <w:spacing w:line="360" w:lineRule="atLeast"/>
              <w:jc w:val="center"/>
              <w:rPr>
                <w:rFonts w:ascii="宋体" w:hAnsi="宋体" w:eastAsia="宋体" w:cs="宋体"/>
                <w:color w:val="auto"/>
                <w:szCs w:val="21"/>
                <w:highlight w:val="none"/>
              </w:rPr>
            </w:pPr>
            <w:r>
              <w:rPr>
                <w:rFonts w:hint="eastAsia" w:cs="宋体" w:asciiTheme="minorEastAsia" w:hAnsiTheme="minorEastAsia"/>
                <w:color w:val="auto"/>
                <w:szCs w:val="21"/>
                <w:highlight w:val="none"/>
                <w:shd w:val="clear" w:color="auto" w:fill="FFFFFF"/>
                <w:lang w:val="zh-CN"/>
              </w:rPr>
              <w:t>合格中标候选人名称</w:t>
            </w:r>
          </w:p>
        </w:tc>
        <w:tc>
          <w:tcPr>
            <w:tcW w:w="1247" w:type="dxa"/>
            <w:vAlign w:val="center"/>
          </w:tcPr>
          <w:p w14:paraId="7CAA3F68">
            <w:pPr>
              <w:jc w:val="center"/>
              <w:rPr>
                <w:rFonts w:ascii="宋体" w:hAnsi="宋体" w:eastAsia="宋体" w:cs="宋体"/>
                <w:color w:val="auto"/>
                <w:szCs w:val="21"/>
                <w:highlight w:val="none"/>
              </w:rPr>
            </w:pPr>
            <w:r>
              <w:rPr>
                <w:rFonts w:hint="eastAsia" w:cs="宋体" w:asciiTheme="minorEastAsia" w:hAnsiTheme="minorEastAsia"/>
                <w:bCs/>
                <w:color w:val="auto"/>
                <w:szCs w:val="21"/>
                <w:highlight w:val="none"/>
                <w:shd w:val="clear" w:color="auto" w:fill="FFFFFF"/>
                <w:lang w:val="zh-CN"/>
              </w:rPr>
              <w:t>团队配置（</w:t>
            </w:r>
            <w:r>
              <w:rPr>
                <w:rFonts w:hint="eastAsia" w:cs="宋体" w:asciiTheme="minorEastAsia" w:hAnsiTheme="minorEastAsia"/>
                <w:bCs/>
                <w:color w:val="auto"/>
                <w:szCs w:val="21"/>
                <w:highlight w:val="none"/>
                <w:shd w:val="clear" w:color="auto" w:fill="FFFFFF"/>
              </w:rPr>
              <w:t>1</w:t>
            </w:r>
            <w:r>
              <w:rPr>
                <w:rFonts w:hint="eastAsia" w:cs="宋体" w:asciiTheme="minorEastAsia" w:hAnsiTheme="minorEastAsia"/>
                <w:bCs/>
                <w:color w:val="auto"/>
                <w:szCs w:val="21"/>
                <w:highlight w:val="none"/>
                <w:shd w:val="clear" w:color="auto" w:fill="FFFFFF"/>
                <w:lang w:val="zh-CN"/>
              </w:rPr>
              <w:t>）</w:t>
            </w:r>
          </w:p>
        </w:tc>
        <w:tc>
          <w:tcPr>
            <w:tcW w:w="1247" w:type="dxa"/>
            <w:vAlign w:val="center"/>
          </w:tcPr>
          <w:p w14:paraId="77B7A62C">
            <w:pPr>
              <w:jc w:val="center"/>
              <w:rPr>
                <w:rFonts w:ascii="宋体" w:hAnsi="宋体" w:eastAsia="宋体" w:cs="宋体"/>
                <w:color w:val="auto"/>
                <w:szCs w:val="21"/>
                <w:highlight w:val="none"/>
              </w:rPr>
            </w:pPr>
            <w:r>
              <w:rPr>
                <w:rFonts w:hint="eastAsia" w:cs="宋体" w:asciiTheme="minorEastAsia" w:hAnsiTheme="minorEastAsia"/>
                <w:bCs/>
                <w:color w:val="auto"/>
                <w:kern w:val="0"/>
                <w:szCs w:val="21"/>
                <w:highlight w:val="none"/>
              </w:rPr>
              <w:t>施工管理措施(2)</w:t>
            </w:r>
          </w:p>
        </w:tc>
        <w:tc>
          <w:tcPr>
            <w:tcW w:w="1248" w:type="dxa"/>
            <w:vAlign w:val="center"/>
          </w:tcPr>
          <w:p w14:paraId="15BADB37">
            <w:pPr>
              <w:jc w:val="center"/>
              <w:rPr>
                <w:rFonts w:ascii="宋体" w:hAnsi="宋体" w:eastAsia="宋体" w:cs="宋体"/>
                <w:color w:val="auto"/>
                <w:szCs w:val="21"/>
                <w:highlight w:val="none"/>
              </w:rPr>
            </w:pPr>
            <w:r>
              <w:rPr>
                <w:rFonts w:hint="eastAsia" w:cs="宋体" w:asciiTheme="minorEastAsia" w:hAnsiTheme="minorEastAsia"/>
                <w:bCs/>
                <w:color w:val="auto"/>
                <w:szCs w:val="21"/>
                <w:highlight w:val="none"/>
                <w:shd w:val="clear" w:color="auto" w:fill="FFFFFF"/>
                <w:lang w:val="zh-CN"/>
              </w:rPr>
              <w:t>成本控制措施</w:t>
            </w:r>
            <w:r>
              <w:rPr>
                <w:rFonts w:hint="eastAsia" w:cs="宋体" w:asciiTheme="minorEastAsia" w:hAnsiTheme="minorEastAsia"/>
                <w:bCs/>
                <w:color w:val="auto"/>
                <w:szCs w:val="21"/>
                <w:highlight w:val="none"/>
                <w:shd w:val="clear" w:color="auto" w:fill="FFFFFF"/>
              </w:rPr>
              <w:t>(3)</w:t>
            </w:r>
          </w:p>
        </w:tc>
        <w:tc>
          <w:tcPr>
            <w:tcW w:w="1247" w:type="dxa"/>
            <w:vAlign w:val="center"/>
          </w:tcPr>
          <w:p w14:paraId="04B86C7E">
            <w:pPr>
              <w:jc w:val="center"/>
              <w:rPr>
                <w:rFonts w:ascii="宋体" w:hAnsi="宋体" w:eastAsia="宋体" w:cs="宋体"/>
                <w:color w:val="auto"/>
                <w:szCs w:val="21"/>
                <w:highlight w:val="none"/>
              </w:rPr>
            </w:pPr>
            <w:r>
              <w:rPr>
                <w:rFonts w:hint="eastAsia" w:cs="宋体" w:asciiTheme="minorEastAsia" w:hAnsiTheme="minorEastAsia"/>
                <w:bCs/>
                <w:color w:val="auto"/>
                <w:szCs w:val="21"/>
                <w:highlight w:val="none"/>
              </w:rPr>
              <w:t>资金管理措施(4)</w:t>
            </w:r>
          </w:p>
        </w:tc>
        <w:tc>
          <w:tcPr>
            <w:tcW w:w="1248" w:type="dxa"/>
            <w:vAlign w:val="center"/>
          </w:tcPr>
          <w:p w14:paraId="35FFE5FF">
            <w:pPr>
              <w:jc w:val="center"/>
              <w:rPr>
                <w:rFonts w:ascii="宋体" w:hAnsi="宋体" w:eastAsia="宋体" w:cs="宋体"/>
                <w:color w:val="auto"/>
                <w:szCs w:val="21"/>
                <w:highlight w:val="none"/>
              </w:rPr>
            </w:pPr>
            <w:r>
              <w:rPr>
                <w:rFonts w:hint="eastAsia" w:cs="宋体" w:asciiTheme="minorEastAsia" w:hAnsiTheme="minorEastAsia"/>
                <w:bCs/>
                <w:color w:val="auto"/>
                <w:szCs w:val="21"/>
                <w:highlight w:val="none"/>
              </w:rPr>
              <w:t>定标方案因素得分(5）=1+2+3+4</w:t>
            </w:r>
          </w:p>
        </w:tc>
      </w:tr>
      <w:tr w14:paraId="5F4A3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74" w:type="dxa"/>
            <w:vAlign w:val="center"/>
          </w:tcPr>
          <w:p w14:paraId="2A29ED19">
            <w:pPr>
              <w:spacing w:line="36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2127" w:type="dxa"/>
          </w:tcPr>
          <w:p w14:paraId="5E2BF06C">
            <w:pPr>
              <w:spacing w:line="360" w:lineRule="atLeast"/>
              <w:rPr>
                <w:rFonts w:ascii="宋体" w:hAnsi="宋体" w:eastAsia="宋体" w:cs="宋体"/>
                <w:color w:val="auto"/>
                <w:szCs w:val="21"/>
                <w:highlight w:val="none"/>
              </w:rPr>
            </w:pPr>
          </w:p>
        </w:tc>
        <w:tc>
          <w:tcPr>
            <w:tcW w:w="1247" w:type="dxa"/>
          </w:tcPr>
          <w:p w14:paraId="45A9C557">
            <w:pPr>
              <w:spacing w:line="360" w:lineRule="atLeast"/>
              <w:rPr>
                <w:rFonts w:ascii="宋体" w:hAnsi="宋体" w:eastAsia="宋体" w:cs="宋体"/>
                <w:color w:val="auto"/>
                <w:szCs w:val="21"/>
                <w:highlight w:val="none"/>
              </w:rPr>
            </w:pPr>
          </w:p>
        </w:tc>
        <w:tc>
          <w:tcPr>
            <w:tcW w:w="1247" w:type="dxa"/>
          </w:tcPr>
          <w:p w14:paraId="353D4043">
            <w:pPr>
              <w:spacing w:line="360" w:lineRule="atLeast"/>
              <w:rPr>
                <w:rFonts w:ascii="宋体" w:hAnsi="宋体" w:eastAsia="宋体" w:cs="宋体"/>
                <w:color w:val="auto"/>
                <w:szCs w:val="21"/>
                <w:highlight w:val="none"/>
              </w:rPr>
            </w:pPr>
          </w:p>
        </w:tc>
        <w:tc>
          <w:tcPr>
            <w:tcW w:w="1248" w:type="dxa"/>
          </w:tcPr>
          <w:p w14:paraId="74BABF4E">
            <w:pPr>
              <w:spacing w:line="360" w:lineRule="atLeast"/>
              <w:rPr>
                <w:rFonts w:ascii="宋体" w:hAnsi="宋体" w:eastAsia="宋体" w:cs="宋体"/>
                <w:color w:val="auto"/>
                <w:szCs w:val="21"/>
                <w:highlight w:val="none"/>
              </w:rPr>
            </w:pPr>
          </w:p>
        </w:tc>
        <w:tc>
          <w:tcPr>
            <w:tcW w:w="1247" w:type="dxa"/>
          </w:tcPr>
          <w:p w14:paraId="1EBE4F1F">
            <w:pPr>
              <w:spacing w:line="360" w:lineRule="atLeast"/>
              <w:rPr>
                <w:rFonts w:ascii="宋体" w:hAnsi="宋体" w:eastAsia="宋体" w:cs="宋体"/>
                <w:color w:val="auto"/>
                <w:szCs w:val="21"/>
                <w:highlight w:val="none"/>
              </w:rPr>
            </w:pPr>
          </w:p>
        </w:tc>
        <w:tc>
          <w:tcPr>
            <w:tcW w:w="1248" w:type="dxa"/>
          </w:tcPr>
          <w:p w14:paraId="5011581D">
            <w:pPr>
              <w:spacing w:line="360" w:lineRule="atLeast"/>
              <w:rPr>
                <w:rFonts w:ascii="宋体" w:hAnsi="宋体" w:eastAsia="宋体" w:cs="宋体"/>
                <w:color w:val="auto"/>
                <w:szCs w:val="21"/>
                <w:highlight w:val="none"/>
              </w:rPr>
            </w:pPr>
          </w:p>
        </w:tc>
      </w:tr>
      <w:tr w14:paraId="2EF65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74" w:type="dxa"/>
            <w:vAlign w:val="center"/>
          </w:tcPr>
          <w:p w14:paraId="6A65FDDB">
            <w:pPr>
              <w:spacing w:line="36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2127" w:type="dxa"/>
          </w:tcPr>
          <w:p w14:paraId="7FB9FB5F">
            <w:pPr>
              <w:spacing w:line="360" w:lineRule="atLeast"/>
              <w:rPr>
                <w:rFonts w:ascii="宋体" w:hAnsi="宋体" w:eastAsia="宋体" w:cs="宋体"/>
                <w:color w:val="auto"/>
                <w:szCs w:val="21"/>
                <w:highlight w:val="none"/>
              </w:rPr>
            </w:pPr>
          </w:p>
        </w:tc>
        <w:tc>
          <w:tcPr>
            <w:tcW w:w="1247" w:type="dxa"/>
          </w:tcPr>
          <w:p w14:paraId="5F87D273">
            <w:pPr>
              <w:spacing w:line="360" w:lineRule="atLeast"/>
              <w:rPr>
                <w:rFonts w:ascii="宋体" w:hAnsi="宋体" w:eastAsia="宋体" w:cs="宋体"/>
                <w:color w:val="auto"/>
                <w:szCs w:val="21"/>
                <w:highlight w:val="none"/>
              </w:rPr>
            </w:pPr>
          </w:p>
        </w:tc>
        <w:tc>
          <w:tcPr>
            <w:tcW w:w="1247" w:type="dxa"/>
          </w:tcPr>
          <w:p w14:paraId="07513523">
            <w:pPr>
              <w:spacing w:line="360" w:lineRule="atLeast"/>
              <w:rPr>
                <w:rFonts w:ascii="宋体" w:hAnsi="宋体" w:eastAsia="宋体" w:cs="宋体"/>
                <w:color w:val="auto"/>
                <w:szCs w:val="21"/>
                <w:highlight w:val="none"/>
              </w:rPr>
            </w:pPr>
          </w:p>
        </w:tc>
        <w:tc>
          <w:tcPr>
            <w:tcW w:w="1248" w:type="dxa"/>
          </w:tcPr>
          <w:p w14:paraId="66FA39B2">
            <w:pPr>
              <w:spacing w:line="360" w:lineRule="atLeast"/>
              <w:rPr>
                <w:rFonts w:ascii="宋体" w:hAnsi="宋体" w:eastAsia="宋体" w:cs="宋体"/>
                <w:color w:val="auto"/>
                <w:szCs w:val="21"/>
                <w:highlight w:val="none"/>
              </w:rPr>
            </w:pPr>
          </w:p>
        </w:tc>
        <w:tc>
          <w:tcPr>
            <w:tcW w:w="1247" w:type="dxa"/>
          </w:tcPr>
          <w:p w14:paraId="25DE20CD">
            <w:pPr>
              <w:spacing w:line="360" w:lineRule="atLeast"/>
              <w:rPr>
                <w:rFonts w:ascii="宋体" w:hAnsi="宋体" w:eastAsia="宋体" w:cs="宋体"/>
                <w:color w:val="auto"/>
                <w:szCs w:val="21"/>
                <w:highlight w:val="none"/>
              </w:rPr>
            </w:pPr>
          </w:p>
        </w:tc>
        <w:tc>
          <w:tcPr>
            <w:tcW w:w="1248" w:type="dxa"/>
          </w:tcPr>
          <w:p w14:paraId="549A1DD6">
            <w:pPr>
              <w:spacing w:line="360" w:lineRule="atLeast"/>
              <w:rPr>
                <w:rFonts w:ascii="宋体" w:hAnsi="宋体" w:eastAsia="宋体" w:cs="宋体"/>
                <w:color w:val="auto"/>
                <w:szCs w:val="21"/>
                <w:highlight w:val="none"/>
              </w:rPr>
            </w:pPr>
          </w:p>
        </w:tc>
      </w:tr>
      <w:tr w14:paraId="4F07D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74" w:type="dxa"/>
            <w:vAlign w:val="center"/>
          </w:tcPr>
          <w:p w14:paraId="4D592C94">
            <w:pPr>
              <w:spacing w:line="36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2127" w:type="dxa"/>
          </w:tcPr>
          <w:p w14:paraId="1BD7AB9A">
            <w:pPr>
              <w:spacing w:line="360" w:lineRule="atLeast"/>
              <w:rPr>
                <w:rFonts w:ascii="宋体" w:hAnsi="宋体" w:eastAsia="宋体" w:cs="宋体"/>
                <w:color w:val="auto"/>
                <w:szCs w:val="21"/>
                <w:highlight w:val="none"/>
              </w:rPr>
            </w:pPr>
          </w:p>
        </w:tc>
        <w:tc>
          <w:tcPr>
            <w:tcW w:w="1247" w:type="dxa"/>
          </w:tcPr>
          <w:p w14:paraId="7E1390A7">
            <w:pPr>
              <w:spacing w:line="360" w:lineRule="atLeast"/>
              <w:rPr>
                <w:rFonts w:ascii="宋体" w:hAnsi="宋体" w:eastAsia="宋体" w:cs="宋体"/>
                <w:color w:val="auto"/>
                <w:szCs w:val="21"/>
                <w:highlight w:val="none"/>
              </w:rPr>
            </w:pPr>
          </w:p>
        </w:tc>
        <w:tc>
          <w:tcPr>
            <w:tcW w:w="1247" w:type="dxa"/>
          </w:tcPr>
          <w:p w14:paraId="1D63E39E">
            <w:pPr>
              <w:spacing w:line="360" w:lineRule="atLeast"/>
              <w:rPr>
                <w:rFonts w:ascii="宋体" w:hAnsi="宋体" w:eastAsia="宋体" w:cs="宋体"/>
                <w:color w:val="auto"/>
                <w:szCs w:val="21"/>
                <w:highlight w:val="none"/>
              </w:rPr>
            </w:pPr>
          </w:p>
        </w:tc>
        <w:tc>
          <w:tcPr>
            <w:tcW w:w="1248" w:type="dxa"/>
          </w:tcPr>
          <w:p w14:paraId="050607D4">
            <w:pPr>
              <w:spacing w:line="360" w:lineRule="atLeast"/>
              <w:rPr>
                <w:rFonts w:ascii="宋体" w:hAnsi="宋体" w:eastAsia="宋体" w:cs="宋体"/>
                <w:color w:val="auto"/>
                <w:szCs w:val="21"/>
                <w:highlight w:val="none"/>
              </w:rPr>
            </w:pPr>
          </w:p>
        </w:tc>
        <w:tc>
          <w:tcPr>
            <w:tcW w:w="1247" w:type="dxa"/>
          </w:tcPr>
          <w:p w14:paraId="2F03528D">
            <w:pPr>
              <w:spacing w:line="360" w:lineRule="atLeast"/>
              <w:rPr>
                <w:rFonts w:ascii="宋体" w:hAnsi="宋体" w:eastAsia="宋体" w:cs="宋体"/>
                <w:color w:val="auto"/>
                <w:szCs w:val="21"/>
                <w:highlight w:val="none"/>
              </w:rPr>
            </w:pPr>
          </w:p>
        </w:tc>
        <w:tc>
          <w:tcPr>
            <w:tcW w:w="1248" w:type="dxa"/>
          </w:tcPr>
          <w:p w14:paraId="274C54F4">
            <w:pPr>
              <w:spacing w:line="360" w:lineRule="atLeast"/>
              <w:rPr>
                <w:rFonts w:ascii="宋体" w:hAnsi="宋体" w:eastAsia="宋体" w:cs="宋体"/>
                <w:color w:val="auto"/>
                <w:szCs w:val="21"/>
                <w:highlight w:val="none"/>
              </w:rPr>
            </w:pPr>
          </w:p>
        </w:tc>
      </w:tr>
      <w:tr w14:paraId="0ECF2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74" w:type="dxa"/>
            <w:vAlign w:val="center"/>
          </w:tcPr>
          <w:p w14:paraId="105CA271">
            <w:pPr>
              <w:spacing w:line="36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2127" w:type="dxa"/>
          </w:tcPr>
          <w:p w14:paraId="234B2FD8">
            <w:pPr>
              <w:spacing w:line="360" w:lineRule="atLeast"/>
              <w:rPr>
                <w:rFonts w:ascii="宋体" w:hAnsi="宋体" w:eastAsia="宋体" w:cs="宋体"/>
                <w:color w:val="auto"/>
                <w:szCs w:val="21"/>
                <w:highlight w:val="none"/>
              </w:rPr>
            </w:pPr>
          </w:p>
        </w:tc>
        <w:tc>
          <w:tcPr>
            <w:tcW w:w="1247" w:type="dxa"/>
          </w:tcPr>
          <w:p w14:paraId="7DEE4A16">
            <w:pPr>
              <w:spacing w:line="360" w:lineRule="atLeast"/>
              <w:rPr>
                <w:rFonts w:ascii="宋体" w:hAnsi="宋体" w:eastAsia="宋体" w:cs="宋体"/>
                <w:color w:val="auto"/>
                <w:szCs w:val="21"/>
                <w:highlight w:val="none"/>
              </w:rPr>
            </w:pPr>
          </w:p>
        </w:tc>
        <w:tc>
          <w:tcPr>
            <w:tcW w:w="1247" w:type="dxa"/>
          </w:tcPr>
          <w:p w14:paraId="683A005A">
            <w:pPr>
              <w:spacing w:line="360" w:lineRule="atLeast"/>
              <w:rPr>
                <w:rFonts w:ascii="宋体" w:hAnsi="宋体" w:eastAsia="宋体" w:cs="宋体"/>
                <w:color w:val="auto"/>
                <w:szCs w:val="21"/>
                <w:highlight w:val="none"/>
              </w:rPr>
            </w:pPr>
          </w:p>
        </w:tc>
        <w:tc>
          <w:tcPr>
            <w:tcW w:w="1248" w:type="dxa"/>
          </w:tcPr>
          <w:p w14:paraId="5F96B93E">
            <w:pPr>
              <w:spacing w:line="360" w:lineRule="atLeast"/>
              <w:rPr>
                <w:rFonts w:ascii="宋体" w:hAnsi="宋体" w:eastAsia="宋体" w:cs="宋体"/>
                <w:color w:val="auto"/>
                <w:szCs w:val="21"/>
                <w:highlight w:val="none"/>
              </w:rPr>
            </w:pPr>
          </w:p>
        </w:tc>
        <w:tc>
          <w:tcPr>
            <w:tcW w:w="1247" w:type="dxa"/>
          </w:tcPr>
          <w:p w14:paraId="62382035">
            <w:pPr>
              <w:spacing w:line="360" w:lineRule="atLeast"/>
              <w:rPr>
                <w:rFonts w:ascii="宋体" w:hAnsi="宋体" w:eastAsia="宋体" w:cs="宋体"/>
                <w:color w:val="auto"/>
                <w:szCs w:val="21"/>
                <w:highlight w:val="none"/>
              </w:rPr>
            </w:pPr>
          </w:p>
        </w:tc>
        <w:tc>
          <w:tcPr>
            <w:tcW w:w="1248" w:type="dxa"/>
          </w:tcPr>
          <w:p w14:paraId="2E4DA7B1">
            <w:pPr>
              <w:spacing w:line="360" w:lineRule="atLeast"/>
              <w:rPr>
                <w:rFonts w:ascii="宋体" w:hAnsi="宋体" w:eastAsia="宋体" w:cs="宋体"/>
                <w:color w:val="auto"/>
                <w:szCs w:val="21"/>
                <w:highlight w:val="none"/>
              </w:rPr>
            </w:pPr>
          </w:p>
        </w:tc>
      </w:tr>
      <w:tr w14:paraId="0AAC7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74" w:type="dxa"/>
            <w:vAlign w:val="center"/>
          </w:tcPr>
          <w:p w14:paraId="7CF26762">
            <w:pPr>
              <w:spacing w:line="36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2127" w:type="dxa"/>
          </w:tcPr>
          <w:p w14:paraId="66DC0C0C">
            <w:pPr>
              <w:spacing w:line="360" w:lineRule="atLeast"/>
              <w:rPr>
                <w:rFonts w:ascii="宋体" w:hAnsi="宋体" w:eastAsia="宋体" w:cs="宋体"/>
                <w:color w:val="auto"/>
                <w:szCs w:val="21"/>
                <w:highlight w:val="none"/>
              </w:rPr>
            </w:pPr>
          </w:p>
        </w:tc>
        <w:tc>
          <w:tcPr>
            <w:tcW w:w="1247" w:type="dxa"/>
          </w:tcPr>
          <w:p w14:paraId="33DDBC98">
            <w:pPr>
              <w:spacing w:line="360" w:lineRule="atLeast"/>
              <w:rPr>
                <w:rFonts w:ascii="宋体" w:hAnsi="宋体" w:eastAsia="宋体" w:cs="宋体"/>
                <w:color w:val="auto"/>
                <w:szCs w:val="21"/>
                <w:highlight w:val="none"/>
              </w:rPr>
            </w:pPr>
          </w:p>
        </w:tc>
        <w:tc>
          <w:tcPr>
            <w:tcW w:w="1247" w:type="dxa"/>
          </w:tcPr>
          <w:p w14:paraId="38493186">
            <w:pPr>
              <w:spacing w:line="360" w:lineRule="atLeast"/>
              <w:rPr>
                <w:rFonts w:ascii="宋体" w:hAnsi="宋体" w:eastAsia="宋体" w:cs="宋体"/>
                <w:color w:val="auto"/>
                <w:szCs w:val="21"/>
                <w:highlight w:val="none"/>
              </w:rPr>
            </w:pPr>
          </w:p>
        </w:tc>
        <w:tc>
          <w:tcPr>
            <w:tcW w:w="1248" w:type="dxa"/>
          </w:tcPr>
          <w:p w14:paraId="22B1AFF8">
            <w:pPr>
              <w:spacing w:line="360" w:lineRule="atLeast"/>
              <w:rPr>
                <w:rFonts w:ascii="宋体" w:hAnsi="宋体" w:eastAsia="宋体" w:cs="宋体"/>
                <w:color w:val="auto"/>
                <w:szCs w:val="21"/>
                <w:highlight w:val="none"/>
              </w:rPr>
            </w:pPr>
          </w:p>
        </w:tc>
        <w:tc>
          <w:tcPr>
            <w:tcW w:w="1247" w:type="dxa"/>
          </w:tcPr>
          <w:p w14:paraId="300A09AC">
            <w:pPr>
              <w:spacing w:line="360" w:lineRule="atLeast"/>
              <w:rPr>
                <w:rFonts w:ascii="宋体" w:hAnsi="宋体" w:eastAsia="宋体" w:cs="宋体"/>
                <w:color w:val="auto"/>
                <w:szCs w:val="21"/>
                <w:highlight w:val="none"/>
              </w:rPr>
            </w:pPr>
          </w:p>
        </w:tc>
        <w:tc>
          <w:tcPr>
            <w:tcW w:w="1248" w:type="dxa"/>
          </w:tcPr>
          <w:p w14:paraId="1A29389C">
            <w:pPr>
              <w:spacing w:line="360" w:lineRule="atLeast"/>
              <w:rPr>
                <w:rFonts w:ascii="宋体" w:hAnsi="宋体" w:eastAsia="宋体" w:cs="宋体"/>
                <w:color w:val="auto"/>
                <w:szCs w:val="21"/>
                <w:highlight w:val="none"/>
              </w:rPr>
            </w:pPr>
          </w:p>
        </w:tc>
      </w:tr>
      <w:tr w14:paraId="3B9D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674" w:type="dxa"/>
            <w:vAlign w:val="center"/>
          </w:tcPr>
          <w:p w14:paraId="5B38FBBA">
            <w:pPr>
              <w:spacing w:line="36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2127" w:type="dxa"/>
          </w:tcPr>
          <w:p w14:paraId="5C4C7EFB">
            <w:pPr>
              <w:spacing w:line="360" w:lineRule="atLeast"/>
              <w:rPr>
                <w:rFonts w:ascii="宋体" w:hAnsi="宋体" w:eastAsia="宋体" w:cs="宋体"/>
                <w:color w:val="auto"/>
                <w:szCs w:val="21"/>
                <w:highlight w:val="none"/>
              </w:rPr>
            </w:pPr>
          </w:p>
        </w:tc>
        <w:tc>
          <w:tcPr>
            <w:tcW w:w="1247" w:type="dxa"/>
          </w:tcPr>
          <w:p w14:paraId="1A8AD099">
            <w:pPr>
              <w:spacing w:line="360" w:lineRule="atLeast"/>
              <w:rPr>
                <w:rFonts w:ascii="宋体" w:hAnsi="宋体" w:eastAsia="宋体" w:cs="宋体"/>
                <w:color w:val="auto"/>
                <w:szCs w:val="21"/>
                <w:highlight w:val="none"/>
              </w:rPr>
            </w:pPr>
          </w:p>
        </w:tc>
        <w:tc>
          <w:tcPr>
            <w:tcW w:w="1247" w:type="dxa"/>
          </w:tcPr>
          <w:p w14:paraId="306AB382">
            <w:pPr>
              <w:spacing w:line="360" w:lineRule="atLeast"/>
              <w:rPr>
                <w:rFonts w:ascii="宋体" w:hAnsi="宋体" w:eastAsia="宋体" w:cs="宋体"/>
                <w:color w:val="auto"/>
                <w:szCs w:val="21"/>
                <w:highlight w:val="none"/>
              </w:rPr>
            </w:pPr>
          </w:p>
        </w:tc>
        <w:tc>
          <w:tcPr>
            <w:tcW w:w="1248" w:type="dxa"/>
          </w:tcPr>
          <w:p w14:paraId="47F238D5">
            <w:pPr>
              <w:spacing w:line="360" w:lineRule="atLeast"/>
              <w:rPr>
                <w:rFonts w:ascii="宋体" w:hAnsi="宋体" w:eastAsia="宋体" w:cs="宋体"/>
                <w:color w:val="auto"/>
                <w:szCs w:val="21"/>
                <w:highlight w:val="none"/>
              </w:rPr>
            </w:pPr>
          </w:p>
        </w:tc>
        <w:tc>
          <w:tcPr>
            <w:tcW w:w="1247" w:type="dxa"/>
          </w:tcPr>
          <w:p w14:paraId="665C8A57">
            <w:pPr>
              <w:spacing w:line="360" w:lineRule="atLeast"/>
              <w:rPr>
                <w:rFonts w:ascii="宋体" w:hAnsi="宋体" w:eastAsia="宋体" w:cs="宋体"/>
                <w:color w:val="auto"/>
                <w:szCs w:val="21"/>
                <w:highlight w:val="none"/>
              </w:rPr>
            </w:pPr>
          </w:p>
        </w:tc>
        <w:tc>
          <w:tcPr>
            <w:tcW w:w="1248" w:type="dxa"/>
          </w:tcPr>
          <w:p w14:paraId="5C27EE58">
            <w:pPr>
              <w:spacing w:line="360" w:lineRule="atLeast"/>
              <w:rPr>
                <w:rFonts w:ascii="宋体" w:hAnsi="宋体" w:eastAsia="宋体" w:cs="宋体"/>
                <w:color w:val="auto"/>
                <w:szCs w:val="21"/>
                <w:highlight w:val="none"/>
              </w:rPr>
            </w:pPr>
          </w:p>
        </w:tc>
      </w:tr>
      <w:tr w14:paraId="25CF3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674" w:type="dxa"/>
            <w:vAlign w:val="center"/>
          </w:tcPr>
          <w:p w14:paraId="7051741E">
            <w:pPr>
              <w:spacing w:line="360" w:lineRule="atLeast"/>
              <w:jc w:val="center"/>
              <w:rPr>
                <w:rFonts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2127" w:type="dxa"/>
          </w:tcPr>
          <w:p w14:paraId="504D6D03">
            <w:pPr>
              <w:spacing w:line="360" w:lineRule="atLeast"/>
              <w:rPr>
                <w:rFonts w:ascii="宋体" w:hAnsi="宋体" w:eastAsia="宋体" w:cs="宋体"/>
                <w:color w:val="auto"/>
                <w:szCs w:val="21"/>
                <w:highlight w:val="none"/>
              </w:rPr>
            </w:pPr>
          </w:p>
        </w:tc>
        <w:tc>
          <w:tcPr>
            <w:tcW w:w="1247" w:type="dxa"/>
          </w:tcPr>
          <w:p w14:paraId="5E2C50F8">
            <w:pPr>
              <w:spacing w:line="360" w:lineRule="atLeast"/>
              <w:rPr>
                <w:rFonts w:ascii="宋体" w:hAnsi="宋体" w:eastAsia="宋体" w:cs="宋体"/>
                <w:color w:val="auto"/>
                <w:szCs w:val="21"/>
                <w:highlight w:val="none"/>
              </w:rPr>
            </w:pPr>
          </w:p>
        </w:tc>
        <w:tc>
          <w:tcPr>
            <w:tcW w:w="1247" w:type="dxa"/>
          </w:tcPr>
          <w:p w14:paraId="25E1321F">
            <w:pPr>
              <w:spacing w:line="360" w:lineRule="atLeast"/>
              <w:rPr>
                <w:rFonts w:ascii="宋体" w:hAnsi="宋体" w:eastAsia="宋体" w:cs="宋体"/>
                <w:color w:val="auto"/>
                <w:szCs w:val="21"/>
                <w:highlight w:val="none"/>
              </w:rPr>
            </w:pPr>
          </w:p>
        </w:tc>
        <w:tc>
          <w:tcPr>
            <w:tcW w:w="1248" w:type="dxa"/>
          </w:tcPr>
          <w:p w14:paraId="568A0D7D">
            <w:pPr>
              <w:spacing w:line="360" w:lineRule="atLeast"/>
              <w:rPr>
                <w:rFonts w:ascii="宋体" w:hAnsi="宋体" w:eastAsia="宋体" w:cs="宋体"/>
                <w:color w:val="auto"/>
                <w:szCs w:val="21"/>
                <w:highlight w:val="none"/>
              </w:rPr>
            </w:pPr>
          </w:p>
        </w:tc>
        <w:tc>
          <w:tcPr>
            <w:tcW w:w="1247" w:type="dxa"/>
          </w:tcPr>
          <w:p w14:paraId="0AB4D912">
            <w:pPr>
              <w:spacing w:line="360" w:lineRule="atLeast"/>
              <w:rPr>
                <w:rFonts w:ascii="宋体" w:hAnsi="宋体" w:eastAsia="宋体" w:cs="宋体"/>
                <w:color w:val="auto"/>
                <w:szCs w:val="21"/>
                <w:highlight w:val="none"/>
              </w:rPr>
            </w:pPr>
          </w:p>
        </w:tc>
        <w:tc>
          <w:tcPr>
            <w:tcW w:w="1248" w:type="dxa"/>
          </w:tcPr>
          <w:p w14:paraId="281AD5F7">
            <w:pPr>
              <w:spacing w:line="360" w:lineRule="atLeast"/>
              <w:rPr>
                <w:rFonts w:ascii="宋体" w:hAnsi="宋体" w:eastAsia="宋体" w:cs="宋体"/>
                <w:color w:val="auto"/>
                <w:szCs w:val="21"/>
                <w:highlight w:val="none"/>
              </w:rPr>
            </w:pPr>
          </w:p>
        </w:tc>
      </w:tr>
    </w:tbl>
    <w:p w14:paraId="3E207571">
      <w:pPr>
        <w:spacing w:line="360" w:lineRule="atLeast"/>
        <w:ind w:right="42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54D26815">
      <w:pPr>
        <w:spacing w:line="360" w:lineRule="atLeast"/>
        <w:ind w:right="420"/>
        <w:rPr>
          <w:rFonts w:ascii="宋体" w:hAnsi="宋体" w:eastAsia="宋体" w:cs="宋体"/>
          <w:color w:val="auto"/>
          <w:szCs w:val="21"/>
          <w:highlight w:val="none"/>
        </w:rPr>
      </w:pPr>
      <w:r>
        <w:rPr>
          <w:rFonts w:hint="eastAsia" w:ascii="宋体" w:hAnsi="宋体" w:eastAsia="宋体" w:cs="宋体"/>
          <w:color w:val="auto"/>
          <w:szCs w:val="21"/>
          <w:highlight w:val="none"/>
        </w:rPr>
        <w:t>1、本表格用于定标阶段方案因素评审计分，每行限填一个合格中标候选人，定标委员会成员应当独立打分；</w:t>
      </w:r>
    </w:p>
    <w:p w14:paraId="5A293824">
      <w:pPr>
        <w:spacing w:line="36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2、定标委员会各成员对所有进入定标程序的合格中标候选人按《定标因素表（定标阶段用表）》方案因素评分标准进行打分。</w:t>
      </w:r>
    </w:p>
    <w:p w14:paraId="3C35D355">
      <w:pPr>
        <w:spacing w:line="360" w:lineRule="atLeast"/>
        <w:ind w:left="210"/>
        <w:jc w:val="left"/>
        <w:rPr>
          <w:rFonts w:ascii="宋体" w:hAnsi="宋体" w:eastAsia="宋体" w:cs="宋体"/>
          <w:smallCaps/>
          <w:color w:val="auto"/>
          <w:sz w:val="20"/>
          <w:szCs w:val="20"/>
          <w:highlight w:val="none"/>
        </w:rPr>
      </w:pPr>
    </w:p>
    <w:p w14:paraId="32776586">
      <w:pPr>
        <w:autoSpaceDE w:val="0"/>
        <w:autoSpaceDN w:val="0"/>
        <w:adjustRightInd w:val="0"/>
        <w:spacing w:line="240" w:lineRule="exact"/>
        <w:rPr>
          <w:rFonts w:ascii="宋体" w:hAnsi="宋体" w:eastAsia="宋体" w:cs="宋体"/>
          <w:color w:val="auto"/>
          <w:sz w:val="24"/>
          <w:highlight w:val="none"/>
        </w:rPr>
      </w:pPr>
    </w:p>
    <w:p w14:paraId="2403A8B0">
      <w:pPr>
        <w:snapToGrid w:val="0"/>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定标委员会成员签名：</w:t>
      </w:r>
    </w:p>
    <w:p w14:paraId="7F664797">
      <w:pPr>
        <w:autoSpaceDE w:val="0"/>
        <w:autoSpaceDN w:val="0"/>
        <w:adjustRightInd w:val="0"/>
        <w:spacing w:line="240" w:lineRule="exact"/>
        <w:rPr>
          <w:rFonts w:ascii="宋体" w:hAnsi="宋体" w:eastAsia="宋体" w:cs="宋体"/>
          <w:color w:val="auto"/>
          <w:sz w:val="24"/>
          <w:highlight w:val="none"/>
        </w:rPr>
      </w:pPr>
    </w:p>
    <w:p w14:paraId="4BE27428">
      <w:pPr>
        <w:snapToGrid w:val="0"/>
        <w:spacing w:line="360" w:lineRule="auto"/>
        <w:ind w:firstLine="5460" w:firstLineChars="2600"/>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日期：</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日</w:t>
      </w:r>
    </w:p>
    <w:p w14:paraId="01D3FFFA">
      <w:pPr>
        <w:ind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附表八</w:t>
      </w:r>
    </w:p>
    <w:p w14:paraId="1184A451">
      <w:pPr>
        <w:rPr>
          <w:rFonts w:ascii="宋体" w:hAnsi="宋体" w:eastAsia="宋体" w:cs="宋体"/>
          <w:b/>
          <w:color w:val="auto"/>
          <w:kern w:val="0"/>
          <w:sz w:val="24"/>
          <w:highlight w:val="none"/>
        </w:rPr>
      </w:pPr>
    </w:p>
    <w:p w14:paraId="2D04D49C">
      <w:pPr>
        <w:snapToGrid w:val="0"/>
        <w:spacing w:line="360" w:lineRule="auto"/>
        <w:jc w:val="center"/>
        <w:rPr>
          <w:rFonts w:ascii="宋体" w:hAnsi="宋体" w:eastAsia="宋体" w:cs="宋体"/>
          <w:b/>
          <w:smallCaps/>
          <w:color w:val="auto"/>
          <w:sz w:val="30"/>
          <w:szCs w:val="30"/>
          <w:highlight w:val="none"/>
        </w:rPr>
      </w:pPr>
      <w:r>
        <w:rPr>
          <w:rFonts w:hint="eastAsia" w:ascii="宋体" w:hAnsi="宋体" w:eastAsia="宋体" w:cs="宋体"/>
          <w:b/>
          <w:smallCaps/>
          <w:color w:val="auto"/>
          <w:sz w:val="30"/>
          <w:szCs w:val="30"/>
          <w:highlight w:val="none"/>
        </w:rPr>
        <w:t>定标阶段（方案因素）得分汇总表</w:t>
      </w:r>
    </w:p>
    <w:p w14:paraId="6BD53490">
      <w:pPr>
        <w:snapToGrid w:val="0"/>
        <w:spacing w:line="360" w:lineRule="auto"/>
        <w:jc w:val="center"/>
        <w:rPr>
          <w:rFonts w:ascii="宋体" w:hAnsi="宋体" w:eastAsia="宋体" w:cs="宋体"/>
          <w:color w:val="auto"/>
          <w:highlight w:val="none"/>
        </w:rPr>
      </w:pPr>
      <w:r>
        <w:rPr>
          <w:rFonts w:hint="eastAsia" w:ascii="宋体" w:hAnsi="宋体" w:eastAsia="宋体" w:cs="宋体"/>
          <w:b/>
          <w:smallCaps/>
          <w:color w:val="auto"/>
          <w:sz w:val="30"/>
          <w:szCs w:val="30"/>
          <w:highlight w:val="none"/>
        </w:rPr>
        <w:t>（定标委员会汇总用表）</w:t>
      </w:r>
    </w:p>
    <w:p w14:paraId="2DDF9CC2">
      <w:pPr>
        <w:rPr>
          <w:rFonts w:ascii="宋体" w:hAnsi="宋体" w:eastAsia="宋体" w:cs="宋体"/>
          <w:color w:val="auto"/>
          <w:sz w:val="24"/>
          <w:highlight w:val="none"/>
        </w:rPr>
      </w:pPr>
      <w:r>
        <w:rPr>
          <w:rFonts w:hint="eastAsia" w:ascii="宋体" w:hAnsi="宋体" w:eastAsia="宋体" w:cs="宋体"/>
          <w:color w:val="auto"/>
          <w:sz w:val="24"/>
          <w:szCs w:val="22"/>
          <w:highlight w:val="none"/>
        </w:rPr>
        <w:t>工程名称</w:t>
      </w:r>
      <w:r>
        <w:rPr>
          <w:rFonts w:hint="eastAsia" w:ascii="宋体" w:hAnsi="宋体" w:eastAsia="宋体" w:cs="宋体"/>
          <w:color w:val="auto"/>
          <w:sz w:val="24"/>
          <w:highlight w:val="none"/>
        </w:rPr>
        <w:t>：</w:t>
      </w:r>
    </w:p>
    <w:tbl>
      <w:tblPr>
        <w:tblStyle w:val="88"/>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422"/>
        <w:gridCol w:w="992"/>
        <w:gridCol w:w="992"/>
        <w:gridCol w:w="993"/>
        <w:gridCol w:w="992"/>
        <w:gridCol w:w="992"/>
        <w:gridCol w:w="993"/>
      </w:tblGrid>
      <w:tr w14:paraId="0CB31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34065C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2422" w:type="dxa"/>
            <w:tcBorders>
              <w:top w:val="single" w:color="auto" w:sz="4" w:space="0"/>
              <w:left w:val="single" w:color="auto" w:sz="4" w:space="0"/>
              <w:bottom w:val="single" w:color="auto" w:sz="4" w:space="0"/>
              <w:right w:val="single" w:color="auto" w:sz="4" w:space="0"/>
            </w:tcBorders>
            <w:vAlign w:val="center"/>
          </w:tcPr>
          <w:p w14:paraId="51E50EB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合格中标候选人名称</w:t>
            </w:r>
          </w:p>
        </w:tc>
        <w:tc>
          <w:tcPr>
            <w:tcW w:w="992" w:type="dxa"/>
            <w:tcBorders>
              <w:top w:val="single" w:color="auto" w:sz="4" w:space="0"/>
              <w:left w:val="single" w:color="auto" w:sz="4" w:space="0"/>
              <w:bottom w:val="single" w:color="auto" w:sz="4" w:space="0"/>
              <w:right w:val="single" w:color="auto" w:sz="4" w:space="0"/>
            </w:tcBorders>
            <w:vAlign w:val="center"/>
          </w:tcPr>
          <w:p w14:paraId="607C425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评分人</w:t>
            </w:r>
            <w:r>
              <w:rPr>
                <w:rFonts w:ascii="宋体" w:hAnsi="宋体" w:eastAsia="宋体" w:cs="宋体"/>
                <w:color w:val="auto"/>
                <w:szCs w:val="21"/>
                <w:highlight w:val="none"/>
              </w:rPr>
              <w:t xml:space="preserve">1 </w:t>
            </w:r>
          </w:p>
        </w:tc>
        <w:tc>
          <w:tcPr>
            <w:tcW w:w="992" w:type="dxa"/>
            <w:tcBorders>
              <w:top w:val="single" w:color="auto" w:sz="4" w:space="0"/>
              <w:left w:val="single" w:color="auto" w:sz="4" w:space="0"/>
              <w:bottom w:val="single" w:color="auto" w:sz="4" w:space="0"/>
              <w:right w:val="single" w:color="auto" w:sz="4" w:space="0"/>
            </w:tcBorders>
            <w:vAlign w:val="center"/>
          </w:tcPr>
          <w:p w14:paraId="4D59C770">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评分人</w:t>
            </w:r>
            <w:r>
              <w:rPr>
                <w:rFonts w:ascii="宋体" w:hAnsi="宋体" w:eastAsia="宋体" w:cs="宋体"/>
                <w:color w:val="auto"/>
                <w:szCs w:val="21"/>
                <w:highlight w:val="none"/>
              </w:rPr>
              <w:t xml:space="preserve">2 </w:t>
            </w:r>
          </w:p>
        </w:tc>
        <w:tc>
          <w:tcPr>
            <w:tcW w:w="993" w:type="dxa"/>
            <w:tcBorders>
              <w:top w:val="single" w:color="auto" w:sz="4" w:space="0"/>
              <w:left w:val="single" w:color="auto" w:sz="4" w:space="0"/>
              <w:bottom w:val="single" w:color="auto" w:sz="4" w:space="0"/>
              <w:right w:val="single" w:color="auto" w:sz="4" w:space="0"/>
            </w:tcBorders>
            <w:vAlign w:val="center"/>
          </w:tcPr>
          <w:p w14:paraId="06B00F5A">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评分人</w:t>
            </w:r>
            <w:r>
              <w:rPr>
                <w:rFonts w:ascii="宋体" w:hAnsi="宋体" w:eastAsia="宋体" w:cs="宋体"/>
                <w:color w:val="auto"/>
                <w:szCs w:val="21"/>
                <w:highlight w:val="none"/>
              </w:rPr>
              <w:t xml:space="preserve">3 </w:t>
            </w:r>
          </w:p>
        </w:tc>
        <w:tc>
          <w:tcPr>
            <w:tcW w:w="992" w:type="dxa"/>
            <w:tcBorders>
              <w:top w:val="single" w:color="auto" w:sz="4" w:space="0"/>
              <w:left w:val="single" w:color="auto" w:sz="4" w:space="0"/>
              <w:bottom w:val="single" w:color="auto" w:sz="4" w:space="0"/>
              <w:right w:val="single" w:color="auto" w:sz="4" w:space="0"/>
            </w:tcBorders>
            <w:vAlign w:val="center"/>
          </w:tcPr>
          <w:p w14:paraId="649C11D8">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评分人</w:t>
            </w:r>
            <w:r>
              <w:rPr>
                <w:rFonts w:ascii="宋体" w:hAnsi="宋体" w:eastAsia="宋体" w:cs="宋体"/>
                <w:color w:val="auto"/>
                <w:szCs w:val="21"/>
                <w:highlight w:val="none"/>
              </w:rPr>
              <w:t xml:space="preserve">4 </w:t>
            </w:r>
          </w:p>
        </w:tc>
        <w:tc>
          <w:tcPr>
            <w:tcW w:w="992" w:type="dxa"/>
            <w:tcBorders>
              <w:top w:val="single" w:color="auto" w:sz="4" w:space="0"/>
              <w:left w:val="single" w:color="auto" w:sz="4" w:space="0"/>
              <w:bottom w:val="single" w:color="auto" w:sz="4" w:space="0"/>
              <w:right w:val="single" w:color="auto" w:sz="4" w:space="0"/>
            </w:tcBorders>
            <w:vAlign w:val="center"/>
          </w:tcPr>
          <w:p w14:paraId="4DF7D2F7">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评分人</w:t>
            </w:r>
            <w:r>
              <w:rPr>
                <w:rFonts w:ascii="宋体" w:hAnsi="宋体" w:eastAsia="宋体" w:cs="宋体"/>
                <w:color w:val="auto"/>
                <w:szCs w:val="21"/>
                <w:highlight w:val="none"/>
              </w:rPr>
              <w:t xml:space="preserve">5 </w:t>
            </w:r>
          </w:p>
        </w:tc>
        <w:tc>
          <w:tcPr>
            <w:tcW w:w="993" w:type="dxa"/>
            <w:tcBorders>
              <w:top w:val="single" w:color="auto" w:sz="4" w:space="0"/>
              <w:left w:val="single" w:color="auto" w:sz="4" w:space="0"/>
              <w:bottom w:val="single" w:color="auto" w:sz="4" w:space="0"/>
              <w:right w:val="single" w:color="auto" w:sz="4" w:space="0"/>
            </w:tcBorders>
            <w:vAlign w:val="center"/>
          </w:tcPr>
          <w:p w14:paraId="0F061D1E">
            <w:pPr>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方案因素得分</w:t>
            </w:r>
          </w:p>
        </w:tc>
      </w:tr>
      <w:tr w14:paraId="29D79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F9144B5">
            <w:pPr>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2422" w:type="dxa"/>
            <w:tcBorders>
              <w:top w:val="single" w:color="auto" w:sz="4" w:space="0"/>
              <w:left w:val="single" w:color="auto" w:sz="4" w:space="0"/>
              <w:bottom w:val="single" w:color="auto" w:sz="4" w:space="0"/>
              <w:right w:val="single" w:color="auto" w:sz="4" w:space="0"/>
            </w:tcBorders>
            <w:vAlign w:val="center"/>
          </w:tcPr>
          <w:p w14:paraId="78AA884B">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6E4ABBB6">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6EA0981">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3D9E3BBA">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1A773356">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1E100F14">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11B70384">
            <w:pPr>
              <w:jc w:val="center"/>
              <w:rPr>
                <w:rFonts w:ascii="宋体" w:hAnsi="宋体" w:eastAsia="宋体" w:cs="宋体"/>
                <w:color w:val="auto"/>
                <w:szCs w:val="21"/>
                <w:highlight w:val="none"/>
              </w:rPr>
            </w:pPr>
          </w:p>
        </w:tc>
      </w:tr>
      <w:tr w14:paraId="1A3FC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810441E">
            <w:pPr>
              <w:spacing w:after="120" w:line="480" w:lineRule="auto"/>
              <w:jc w:val="center"/>
              <w:rPr>
                <w:rFonts w:ascii="宋体" w:hAnsi="宋体" w:eastAsia="宋体" w:cs="宋体"/>
                <w:color w:val="auto"/>
                <w:szCs w:val="21"/>
                <w:highlight w:val="none"/>
              </w:rPr>
            </w:pPr>
            <w:r>
              <w:rPr>
                <w:rFonts w:ascii="宋体" w:hAnsi="宋体" w:eastAsia="宋体" w:cs="宋体"/>
                <w:color w:val="auto"/>
                <w:szCs w:val="21"/>
                <w:highlight w:val="none"/>
              </w:rPr>
              <w:t>2</w:t>
            </w:r>
          </w:p>
        </w:tc>
        <w:tc>
          <w:tcPr>
            <w:tcW w:w="2422" w:type="dxa"/>
            <w:tcBorders>
              <w:top w:val="single" w:color="auto" w:sz="4" w:space="0"/>
              <w:left w:val="single" w:color="auto" w:sz="4" w:space="0"/>
              <w:bottom w:val="single" w:color="auto" w:sz="4" w:space="0"/>
              <w:right w:val="single" w:color="auto" w:sz="4" w:space="0"/>
            </w:tcBorders>
            <w:vAlign w:val="center"/>
          </w:tcPr>
          <w:p w14:paraId="6F432FCF">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5F8B5065">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1A6F0C1">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19D474A7">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552AE2B3">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55BF8EE8">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7E549411">
            <w:pPr>
              <w:jc w:val="center"/>
              <w:rPr>
                <w:rFonts w:ascii="宋体" w:hAnsi="宋体" w:eastAsia="宋体" w:cs="宋体"/>
                <w:color w:val="auto"/>
                <w:szCs w:val="21"/>
                <w:highlight w:val="none"/>
              </w:rPr>
            </w:pPr>
          </w:p>
        </w:tc>
      </w:tr>
      <w:tr w14:paraId="7D3D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C8F1F1C">
            <w:pPr>
              <w:spacing w:after="120" w:line="480" w:lineRule="auto"/>
              <w:jc w:val="center"/>
              <w:rPr>
                <w:rFonts w:ascii="宋体" w:hAnsi="宋体" w:eastAsia="宋体" w:cs="宋体"/>
                <w:color w:val="auto"/>
                <w:szCs w:val="21"/>
                <w:highlight w:val="none"/>
              </w:rPr>
            </w:pPr>
            <w:r>
              <w:rPr>
                <w:rFonts w:ascii="宋体" w:hAnsi="宋体" w:eastAsia="宋体" w:cs="宋体"/>
                <w:color w:val="auto"/>
                <w:szCs w:val="21"/>
                <w:highlight w:val="none"/>
              </w:rPr>
              <w:t>3</w:t>
            </w:r>
          </w:p>
        </w:tc>
        <w:tc>
          <w:tcPr>
            <w:tcW w:w="2422" w:type="dxa"/>
            <w:tcBorders>
              <w:top w:val="single" w:color="auto" w:sz="4" w:space="0"/>
              <w:left w:val="single" w:color="auto" w:sz="4" w:space="0"/>
              <w:bottom w:val="single" w:color="auto" w:sz="4" w:space="0"/>
              <w:right w:val="single" w:color="auto" w:sz="4" w:space="0"/>
            </w:tcBorders>
            <w:vAlign w:val="center"/>
          </w:tcPr>
          <w:p w14:paraId="0C0CFFF9">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38FBE0C3">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3971C7C">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2443A1DE">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029A5BDF">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4F785AB5">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2EC2569D">
            <w:pPr>
              <w:jc w:val="center"/>
              <w:rPr>
                <w:rFonts w:ascii="宋体" w:hAnsi="宋体" w:eastAsia="宋体" w:cs="宋体"/>
                <w:color w:val="auto"/>
                <w:szCs w:val="21"/>
                <w:highlight w:val="none"/>
              </w:rPr>
            </w:pPr>
          </w:p>
        </w:tc>
      </w:tr>
      <w:tr w14:paraId="0554C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E497222">
            <w:pPr>
              <w:spacing w:after="120" w:line="480" w:lineRule="auto"/>
              <w:jc w:val="center"/>
              <w:rPr>
                <w:rFonts w:ascii="宋体" w:hAnsi="宋体" w:eastAsia="宋体" w:cs="宋体"/>
                <w:color w:val="auto"/>
                <w:szCs w:val="21"/>
                <w:highlight w:val="none"/>
              </w:rPr>
            </w:pPr>
            <w:r>
              <w:rPr>
                <w:rFonts w:ascii="宋体" w:hAnsi="宋体" w:eastAsia="宋体" w:cs="宋体"/>
                <w:color w:val="auto"/>
                <w:szCs w:val="21"/>
                <w:highlight w:val="none"/>
              </w:rPr>
              <w:t>4</w:t>
            </w:r>
          </w:p>
        </w:tc>
        <w:tc>
          <w:tcPr>
            <w:tcW w:w="2422" w:type="dxa"/>
            <w:tcBorders>
              <w:top w:val="single" w:color="auto" w:sz="4" w:space="0"/>
              <w:left w:val="single" w:color="auto" w:sz="4" w:space="0"/>
              <w:bottom w:val="single" w:color="auto" w:sz="4" w:space="0"/>
              <w:right w:val="single" w:color="auto" w:sz="4" w:space="0"/>
            </w:tcBorders>
            <w:vAlign w:val="center"/>
          </w:tcPr>
          <w:p w14:paraId="412FEC0F">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4793003B">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09FA9D96">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560C2B4F">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5D597053">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386FD500">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520768BD">
            <w:pPr>
              <w:jc w:val="center"/>
              <w:rPr>
                <w:rFonts w:ascii="宋体" w:hAnsi="宋体" w:eastAsia="宋体" w:cs="宋体"/>
                <w:color w:val="auto"/>
                <w:szCs w:val="21"/>
                <w:highlight w:val="none"/>
              </w:rPr>
            </w:pPr>
          </w:p>
        </w:tc>
      </w:tr>
      <w:tr w14:paraId="3A8F0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0EECA213">
            <w:pPr>
              <w:spacing w:after="120" w:line="480" w:lineRule="auto"/>
              <w:jc w:val="center"/>
              <w:rPr>
                <w:rFonts w:ascii="宋体" w:hAnsi="宋体" w:eastAsia="宋体" w:cs="宋体"/>
                <w:color w:val="auto"/>
                <w:szCs w:val="21"/>
                <w:highlight w:val="none"/>
              </w:rPr>
            </w:pPr>
            <w:r>
              <w:rPr>
                <w:rFonts w:ascii="宋体" w:hAnsi="宋体" w:eastAsia="宋体" w:cs="宋体"/>
                <w:color w:val="auto"/>
                <w:szCs w:val="21"/>
                <w:highlight w:val="none"/>
              </w:rPr>
              <w:t>5</w:t>
            </w:r>
          </w:p>
        </w:tc>
        <w:tc>
          <w:tcPr>
            <w:tcW w:w="2422" w:type="dxa"/>
            <w:tcBorders>
              <w:top w:val="single" w:color="auto" w:sz="4" w:space="0"/>
              <w:left w:val="single" w:color="auto" w:sz="4" w:space="0"/>
              <w:bottom w:val="single" w:color="auto" w:sz="4" w:space="0"/>
              <w:right w:val="single" w:color="auto" w:sz="4" w:space="0"/>
            </w:tcBorders>
            <w:vAlign w:val="center"/>
          </w:tcPr>
          <w:p w14:paraId="26AE9EA3">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715459B2">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vAlign w:val="center"/>
          </w:tcPr>
          <w:p w14:paraId="2CEDB4CE">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641583A5">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6FD2D374">
            <w:pPr>
              <w:jc w:val="center"/>
              <w:rPr>
                <w:rFonts w:ascii="宋体" w:hAnsi="宋体" w:eastAsia="宋体" w:cs="宋体"/>
                <w:color w:val="auto"/>
                <w:szCs w:val="21"/>
                <w:highlight w:val="none"/>
              </w:rPr>
            </w:pPr>
          </w:p>
        </w:tc>
        <w:tc>
          <w:tcPr>
            <w:tcW w:w="992" w:type="dxa"/>
            <w:tcBorders>
              <w:top w:val="single" w:color="auto" w:sz="4" w:space="0"/>
              <w:left w:val="single" w:color="auto" w:sz="4" w:space="0"/>
              <w:bottom w:val="single" w:color="auto" w:sz="4" w:space="0"/>
              <w:right w:val="single" w:color="auto" w:sz="4" w:space="0"/>
            </w:tcBorders>
          </w:tcPr>
          <w:p w14:paraId="38A7D17E">
            <w:pPr>
              <w:jc w:val="center"/>
              <w:rPr>
                <w:rFonts w:ascii="宋体" w:hAnsi="宋体" w:eastAsia="宋体" w:cs="宋体"/>
                <w:color w:val="auto"/>
                <w:szCs w:val="21"/>
                <w:highlight w:val="none"/>
              </w:rPr>
            </w:pPr>
          </w:p>
        </w:tc>
        <w:tc>
          <w:tcPr>
            <w:tcW w:w="993" w:type="dxa"/>
            <w:tcBorders>
              <w:top w:val="single" w:color="auto" w:sz="4" w:space="0"/>
              <w:left w:val="single" w:color="auto" w:sz="4" w:space="0"/>
              <w:bottom w:val="single" w:color="auto" w:sz="4" w:space="0"/>
              <w:right w:val="single" w:color="auto" w:sz="4" w:space="0"/>
            </w:tcBorders>
          </w:tcPr>
          <w:p w14:paraId="7448DE82">
            <w:pPr>
              <w:jc w:val="center"/>
              <w:rPr>
                <w:rFonts w:ascii="宋体" w:hAnsi="宋体" w:eastAsia="宋体" w:cs="宋体"/>
                <w:color w:val="auto"/>
                <w:szCs w:val="21"/>
                <w:highlight w:val="none"/>
              </w:rPr>
            </w:pPr>
          </w:p>
        </w:tc>
      </w:tr>
    </w:tbl>
    <w:p w14:paraId="0FF793E0">
      <w:pPr>
        <w:rPr>
          <w:rFonts w:ascii="宋体" w:hAnsi="宋体" w:eastAsia="宋体" w:cs="宋体"/>
          <w:color w:val="auto"/>
          <w:sz w:val="24"/>
          <w:highlight w:val="none"/>
        </w:rPr>
      </w:pPr>
    </w:p>
    <w:p w14:paraId="01BF8AD0">
      <w:pPr>
        <w:tabs>
          <w:tab w:val="left" w:pos="9026"/>
        </w:tabs>
        <w:spacing w:line="276" w:lineRule="auto"/>
        <w:ind w:right="-46"/>
        <w:rPr>
          <w:rFonts w:ascii="宋体" w:hAnsi="宋体" w:eastAsia="宋体" w:cs="宋体"/>
          <w:color w:val="auto"/>
          <w:szCs w:val="21"/>
          <w:highlight w:val="none"/>
        </w:rPr>
      </w:pPr>
      <w:r>
        <w:rPr>
          <w:rFonts w:hint="eastAsia" w:ascii="宋体" w:hAnsi="宋体" w:eastAsia="宋体" w:cs="宋体"/>
          <w:color w:val="auto"/>
          <w:szCs w:val="21"/>
          <w:highlight w:val="none"/>
        </w:rPr>
        <w:t>备注：合格中标候选人方案因素得分为所有定标委员会成员对同一合格中标候选人方案因素的各项评分相加去掉一个最高分和一个最低分后计取的算术平均分。（若分数出现小数点时，保留小数点后二位，第三位小数四舍五入）。</w:t>
      </w:r>
    </w:p>
    <w:p w14:paraId="2FBCBE04">
      <w:pPr>
        <w:pStyle w:val="2"/>
        <w:tabs>
          <w:tab w:val="right" w:leader="dot" w:pos="9060"/>
        </w:tabs>
        <w:rPr>
          <w:rFonts w:ascii="宋体" w:hAnsi="宋体" w:eastAsia="宋体" w:cs="宋体"/>
          <w:color w:val="auto"/>
          <w:highlight w:val="none"/>
        </w:rPr>
      </w:pPr>
    </w:p>
    <w:p w14:paraId="0E765CDB">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3171B36E">
      <w:pPr>
        <w:snapToGrid w:val="0"/>
        <w:spacing w:line="360" w:lineRule="auto"/>
        <w:ind w:firstLine="5250" w:firstLineChars="2500"/>
        <w:jc w:val="left"/>
        <w:rPr>
          <w:rFonts w:ascii="宋体" w:hAnsi="宋体" w:eastAsia="宋体" w:cs="宋体"/>
          <w:color w:val="auto"/>
          <w:szCs w:val="21"/>
          <w:highlight w:val="none"/>
        </w:rPr>
      </w:pPr>
    </w:p>
    <w:p w14:paraId="34202A6B">
      <w:pPr>
        <w:snapToGrid w:val="0"/>
        <w:spacing w:line="360" w:lineRule="auto"/>
        <w:ind w:firstLine="5250" w:firstLineChars="2500"/>
        <w:jc w:val="right"/>
        <w:rPr>
          <w:rFonts w:ascii="宋体" w:hAnsi="宋体" w:eastAsia="宋体" w:cs="宋体"/>
          <w:color w:val="auto"/>
          <w:szCs w:val="21"/>
          <w:highlight w:val="none"/>
        </w:rPr>
      </w:pPr>
      <w:r>
        <w:rPr>
          <w:rFonts w:hint="eastAsia" w:ascii="宋体" w:hAnsi="宋体" w:eastAsia="宋体" w:cs="宋体"/>
          <w:color w:val="auto"/>
          <w:szCs w:val="21"/>
          <w:highlight w:val="none"/>
        </w:rPr>
        <w:t>日期：</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日</w:t>
      </w:r>
    </w:p>
    <w:p w14:paraId="306D2636">
      <w:pPr>
        <w:snapToGrid w:val="0"/>
        <w:spacing w:line="360" w:lineRule="atLeast"/>
        <w:jc w:val="left"/>
        <w:outlineLvl w:val="2"/>
        <w:rPr>
          <w:rFonts w:ascii="宋体" w:hAnsi="宋体" w:eastAsia="宋体" w:cs="宋体"/>
          <w:color w:val="auto"/>
          <w:szCs w:val="21"/>
          <w:highlight w:val="none"/>
        </w:rPr>
      </w:pPr>
    </w:p>
    <w:p w14:paraId="670D3411">
      <w:pPr>
        <w:rPr>
          <w:rFonts w:ascii="宋体" w:hAnsi="宋体" w:eastAsia="宋体" w:cs="宋体"/>
          <w:color w:val="auto"/>
          <w:szCs w:val="21"/>
          <w:highlight w:val="none"/>
        </w:rPr>
      </w:pPr>
      <w:r>
        <w:rPr>
          <w:rFonts w:ascii="宋体" w:hAnsi="宋体" w:eastAsia="宋体" w:cs="宋体"/>
          <w:color w:val="auto"/>
          <w:szCs w:val="21"/>
          <w:highlight w:val="none"/>
        </w:rPr>
        <w:br w:type="page"/>
      </w:r>
    </w:p>
    <w:p w14:paraId="74886482">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附表九</w:t>
      </w:r>
    </w:p>
    <w:p w14:paraId="5C70C58A">
      <w:pPr>
        <w:spacing w:line="360" w:lineRule="exact"/>
        <w:ind w:right="-325" w:rightChars="-155"/>
        <w:jc w:val="left"/>
        <w:rPr>
          <w:rFonts w:ascii="宋体" w:hAnsi="宋体" w:eastAsia="宋体" w:cs="宋体"/>
          <w:color w:val="auto"/>
          <w:szCs w:val="21"/>
          <w:highlight w:val="none"/>
        </w:rPr>
      </w:pPr>
    </w:p>
    <w:p w14:paraId="23811DCE">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定标阶段（价格因素）评审得分表</w:t>
      </w:r>
    </w:p>
    <w:p w14:paraId="2A16C70A">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（定标委员会汇总用表）</w:t>
      </w:r>
    </w:p>
    <w:p w14:paraId="00A5DCB2">
      <w:pPr>
        <w:rPr>
          <w:rFonts w:ascii="宋体" w:hAnsi="宋体" w:eastAsia="宋体" w:cs="宋体"/>
          <w:color w:val="auto"/>
          <w:sz w:val="24"/>
          <w:highlight w:val="none"/>
        </w:rPr>
      </w:pPr>
      <w:r>
        <w:rPr>
          <w:rFonts w:hint="eastAsia" w:ascii="宋体" w:hAnsi="宋体" w:eastAsia="宋体" w:cs="宋体"/>
          <w:color w:val="auto"/>
          <w:sz w:val="24"/>
          <w:highlight w:val="none"/>
        </w:rPr>
        <w:t>工程名称：</w:t>
      </w:r>
    </w:p>
    <w:tbl>
      <w:tblPr>
        <w:tblStyle w:val="8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5"/>
        <w:gridCol w:w="2187"/>
        <w:gridCol w:w="1558"/>
        <w:gridCol w:w="1558"/>
        <w:gridCol w:w="1418"/>
        <w:gridCol w:w="821"/>
        <w:gridCol w:w="1085"/>
      </w:tblGrid>
      <w:tr w14:paraId="1290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FE5C6B3">
            <w:pPr>
              <w:widowControl/>
              <w:ind w:left="-42" w:leftChars="-20" w:right="-42" w:rightChars="-20"/>
              <w:jc w:val="center"/>
              <w:textAlignment w:val="center"/>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序号</w:t>
            </w:r>
          </w:p>
        </w:tc>
        <w:tc>
          <w:tcPr>
            <w:tcW w:w="1183" w:type="pct"/>
            <w:tcBorders>
              <w:top w:val="single" w:color="auto" w:sz="4" w:space="0"/>
              <w:left w:val="single" w:color="auto" w:sz="4" w:space="0"/>
              <w:bottom w:val="single" w:color="auto" w:sz="4" w:space="0"/>
              <w:right w:val="single" w:color="auto" w:sz="4" w:space="0"/>
            </w:tcBorders>
            <w:vAlign w:val="center"/>
          </w:tcPr>
          <w:p w14:paraId="4C297C1B">
            <w:pPr>
              <w:widowControl/>
              <w:ind w:left="-42" w:leftChars="-20" w:right="-42" w:rightChars="-20"/>
              <w:jc w:val="center"/>
              <w:textAlignment w:val="center"/>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合格中标候选人名称</w:t>
            </w:r>
          </w:p>
        </w:tc>
        <w:tc>
          <w:tcPr>
            <w:tcW w:w="843" w:type="pct"/>
            <w:tcBorders>
              <w:top w:val="single" w:color="auto" w:sz="4" w:space="0"/>
              <w:left w:val="single" w:color="auto" w:sz="4" w:space="0"/>
              <w:bottom w:val="single" w:color="auto" w:sz="4" w:space="0"/>
              <w:right w:val="single" w:color="auto" w:sz="4" w:space="0"/>
            </w:tcBorders>
            <w:vAlign w:val="center"/>
          </w:tcPr>
          <w:p w14:paraId="7F07A6D0">
            <w:pPr>
              <w:widowControl/>
              <w:ind w:left="-42" w:leftChars="-20" w:right="-42" w:rightChars="-20"/>
              <w:jc w:val="center"/>
              <w:textAlignment w:val="center"/>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投标报价</w:t>
            </w:r>
            <w:r>
              <w:rPr>
                <w:rFonts w:ascii="宋体" w:hAnsi="宋体" w:eastAsia="宋体" w:cs="宋体"/>
                <w:bCs/>
                <w:color w:val="auto"/>
                <w:kern w:val="0"/>
                <w:szCs w:val="21"/>
                <w:highlight w:val="none"/>
                <w:lang w:bidi="ar"/>
              </w:rPr>
              <w:t>PT（元）</w:t>
            </w:r>
          </w:p>
        </w:tc>
        <w:tc>
          <w:tcPr>
            <w:tcW w:w="843" w:type="pct"/>
            <w:tcBorders>
              <w:top w:val="single" w:color="auto" w:sz="4" w:space="0"/>
              <w:left w:val="single" w:color="auto" w:sz="4" w:space="0"/>
              <w:bottom w:val="single" w:color="auto" w:sz="4" w:space="0"/>
              <w:right w:val="single" w:color="auto" w:sz="4" w:space="0"/>
            </w:tcBorders>
            <w:vAlign w:val="center"/>
          </w:tcPr>
          <w:p w14:paraId="5A2BA1EE">
            <w:pPr>
              <w:widowControl/>
              <w:ind w:left="-42" w:leftChars="-20" w:right="-42" w:rightChars="-20"/>
              <w:jc w:val="center"/>
              <w:textAlignment w:val="center"/>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定标基准价</w:t>
            </w:r>
            <w:r>
              <w:rPr>
                <w:rFonts w:ascii="宋体" w:hAnsi="宋体" w:eastAsia="宋体" w:cs="宋体"/>
                <w:bCs/>
                <w:color w:val="auto"/>
                <w:kern w:val="0"/>
                <w:szCs w:val="21"/>
                <w:highlight w:val="none"/>
                <w:lang w:bidi="ar"/>
              </w:rPr>
              <w:t>PC（元）</w:t>
            </w:r>
          </w:p>
        </w:tc>
        <w:tc>
          <w:tcPr>
            <w:tcW w:w="767" w:type="pct"/>
            <w:tcBorders>
              <w:top w:val="single" w:color="auto" w:sz="4" w:space="0"/>
              <w:left w:val="single" w:color="auto" w:sz="4" w:space="0"/>
              <w:bottom w:val="single" w:color="auto" w:sz="4" w:space="0"/>
              <w:right w:val="single" w:color="auto" w:sz="4" w:space="0"/>
            </w:tcBorders>
            <w:vAlign w:val="center"/>
          </w:tcPr>
          <w:p w14:paraId="5EBCAA75">
            <w:pPr>
              <w:widowControl/>
              <w:ind w:left="-42" w:leftChars="-20" w:right="-42" w:rightChars="-20"/>
              <w:jc w:val="center"/>
              <w:textAlignment w:val="center"/>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偏差</w:t>
            </w:r>
            <w:r>
              <w:rPr>
                <w:rFonts w:ascii="宋体" w:hAnsi="宋体" w:eastAsia="宋体" w:cs="宋体"/>
                <w:bCs/>
                <w:color w:val="auto"/>
                <w:kern w:val="0"/>
                <w:szCs w:val="21"/>
                <w:highlight w:val="none"/>
                <w:lang w:bidi="ar"/>
              </w:rPr>
              <w:t>(（PT-PC）/PC）（%）</w:t>
            </w:r>
          </w:p>
        </w:tc>
        <w:tc>
          <w:tcPr>
            <w:tcW w:w="444" w:type="pct"/>
            <w:tcBorders>
              <w:top w:val="single" w:color="auto" w:sz="4" w:space="0"/>
              <w:left w:val="single" w:color="auto" w:sz="4" w:space="0"/>
              <w:bottom w:val="single" w:color="auto" w:sz="4" w:space="0"/>
              <w:right w:val="single" w:color="auto" w:sz="4" w:space="0"/>
            </w:tcBorders>
            <w:vAlign w:val="center"/>
          </w:tcPr>
          <w:p w14:paraId="5C4D5CDA">
            <w:pPr>
              <w:widowControl/>
              <w:ind w:left="-42" w:leftChars="-20" w:right="-42" w:rightChars="-20"/>
              <w:jc w:val="center"/>
              <w:textAlignment w:val="center"/>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减分（</w:t>
            </w:r>
            <w:r>
              <w:rPr>
                <w:rFonts w:ascii="宋体" w:hAnsi="宋体" w:eastAsia="宋体" w:cs="宋体"/>
                <w:bCs/>
                <w:color w:val="auto"/>
                <w:kern w:val="0"/>
                <w:szCs w:val="21"/>
                <w:highlight w:val="none"/>
                <w:lang w:bidi="ar"/>
              </w:rPr>
              <w:t>A）</w:t>
            </w:r>
          </w:p>
        </w:tc>
        <w:tc>
          <w:tcPr>
            <w:tcW w:w="587" w:type="pct"/>
            <w:tcBorders>
              <w:top w:val="single" w:color="auto" w:sz="4" w:space="0"/>
              <w:left w:val="single" w:color="auto" w:sz="4" w:space="0"/>
              <w:bottom w:val="single" w:color="auto" w:sz="4" w:space="0"/>
              <w:right w:val="single" w:color="auto" w:sz="4" w:space="0"/>
            </w:tcBorders>
            <w:vAlign w:val="center"/>
          </w:tcPr>
          <w:p w14:paraId="4348D0F5">
            <w:pPr>
              <w:widowControl/>
              <w:ind w:left="-42" w:leftChars="-20" w:right="-42" w:rightChars="-20"/>
              <w:jc w:val="center"/>
              <w:textAlignment w:val="center"/>
              <w:rPr>
                <w:rFonts w:ascii="宋体" w:hAnsi="宋体" w:eastAsia="宋体" w:cs="宋体"/>
                <w:bCs/>
                <w:color w:val="auto"/>
                <w:kern w:val="0"/>
                <w:szCs w:val="21"/>
                <w:highlight w:val="none"/>
                <w:lang w:bidi="ar"/>
              </w:rPr>
            </w:pPr>
            <w:r>
              <w:rPr>
                <w:rFonts w:hint="eastAsia" w:ascii="宋体" w:hAnsi="宋体" w:eastAsia="宋体" w:cs="宋体"/>
                <w:bCs/>
                <w:color w:val="auto"/>
                <w:kern w:val="0"/>
                <w:szCs w:val="21"/>
                <w:highlight w:val="none"/>
                <w:lang w:bidi="ar"/>
              </w:rPr>
              <w:t>价格因素得分</w:t>
            </w:r>
            <w:r>
              <w:rPr>
                <w:rFonts w:ascii="宋体" w:hAnsi="宋体" w:eastAsia="宋体" w:cs="宋体"/>
                <w:bCs/>
                <w:color w:val="auto"/>
                <w:kern w:val="0"/>
                <w:szCs w:val="21"/>
                <w:highlight w:val="none"/>
                <w:lang w:bidi="ar"/>
              </w:rPr>
              <w:t>(I=100-A)</w:t>
            </w:r>
          </w:p>
        </w:tc>
      </w:tr>
      <w:tr w14:paraId="5BD37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3EDECA2D">
            <w:pPr>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1183" w:type="pct"/>
            <w:tcBorders>
              <w:top w:val="single" w:color="auto" w:sz="4" w:space="0"/>
              <w:left w:val="single" w:color="auto" w:sz="4" w:space="0"/>
              <w:bottom w:val="single" w:color="auto" w:sz="4" w:space="0"/>
              <w:right w:val="single" w:color="auto" w:sz="4" w:space="0"/>
            </w:tcBorders>
            <w:vAlign w:val="center"/>
          </w:tcPr>
          <w:p w14:paraId="7D6F65CB">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5389E8B4">
            <w:pPr>
              <w:jc w:val="center"/>
              <w:rPr>
                <w:rFonts w:ascii="宋体" w:hAnsi="宋体" w:eastAsia="宋体" w:cs="宋体"/>
                <w:color w:val="auto"/>
                <w:szCs w:val="21"/>
                <w:highlight w:val="none"/>
              </w:rPr>
            </w:pPr>
          </w:p>
        </w:tc>
        <w:tc>
          <w:tcPr>
            <w:tcW w:w="843" w:type="pct"/>
            <w:vMerge w:val="restart"/>
            <w:tcBorders>
              <w:top w:val="single" w:color="auto" w:sz="4" w:space="0"/>
              <w:left w:val="single" w:color="auto" w:sz="4" w:space="0"/>
              <w:right w:val="single" w:color="auto" w:sz="4" w:space="0"/>
            </w:tcBorders>
            <w:vAlign w:val="center"/>
          </w:tcPr>
          <w:p w14:paraId="11EB5439">
            <w:pPr>
              <w:jc w:val="center"/>
              <w:rPr>
                <w:rFonts w:ascii="宋体" w:hAnsi="宋体" w:eastAsia="宋体" w:cs="宋体"/>
                <w:color w:val="auto"/>
                <w:szCs w:val="21"/>
                <w:highlight w:val="none"/>
              </w:rPr>
            </w:pPr>
          </w:p>
        </w:tc>
        <w:tc>
          <w:tcPr>
            <w:tcW w:w="767" w:type="pct"/>
            <w:tcBorders>
              <w:top w:val="single" w:color="auto" w:sz="4" w:space="0"/>
              <w:left w:val="single" w:color="auto" w:sz="4" w:space="0"/>
              <w:right w:val="single" w:color="auto" w:sz="4" w:space="0"/>
            </w:tcBorders>
            <w:vAlign w:val="center"/>
          </w:tcPr>
          <w:p w14:paraId="5E174C7B">
            <w:pPr>
              <w:jc w:val="center"/>
              <w:rPr>
                <w:rFonts w:ascii="宋体" w:hAnsi="宋体" w:eastAsia="宋体" w:cs="宋体"/>
                <w:color w:val="auto"/>
                <w:szCs w:val="21"/>
                <w:highlight w:val="none"/>
              </w:rPr>
            </w:pPr>
          </w:p>
        </w:tc>
        <w:tc>
          <w:tcPr>
            <w:tcW w:w="444" w:type="pct"/>
            <w:tcBorders>
              <w:top w:val="single" w:color="auto" w:sz="4" w:space="0"/>
              <w:left w:val="single" w:color="auto" w:sz="4" w:space="0"/>
              <w:right w:val="single" w:color="auto" w:sz="4" w:space="0"/>
            </w:tcBorders>
            <w:vAlign w:val="center"/>
          </w:tcPr>
          <w:p w14:paraId="6C9FF0A9">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4C0042B7">
            <w:pPr>
              <w:jc w:val="center"/>
              <w:rPr>
                <w:rFonts w:ascii="宋体" w:hAnsi="宋体" w:eastAsia="宋体" w:cs="宋体"/>
                <w:color w:val="auto"/>
                <w:szCs w:val="21"/>
                <w:highlight w:val="none"/>
              </w:rPr>
            </w:pPr>
          </w:p>
        </w:tc>
      </w:tr>
      <w:tr w14:paraId="095D4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0A340A95">
            <w:pPr>
              <w:spacing w:after="120" w:line="480" w:lineRule="auto"/>
              <w:jc w:val="center"/>
              <w:rPr>
                <w:rFonts w:ascii="宋体" w:hAnsi="宋体" w:eastAsia="宋体" w:cs="宋体"/>
                <w:color w:val="auto"/>
                <w:szCs w:val="21"/>
                <w:highlight w:val="none"/>
              </w:rPr>
            </w:pPr>
            <w:r>
              <w:rPr>
                <w:rFonts w:ascii="宋体" w:hAnsi="宋体" w:eastAsia="宋体" w:cs="宋体"/>
                <w:color w:val="auto"/>
                <w:szCs w:val="21"/>
                <w:highlight w:val="none"/>
              </w:rPr>
              <w:t>2</w:t>
            </w:r>
          </w:p>
        </w:tc>
        <w:tc>
          <w:tcPr>
            <w:tcW w:w="1183" w:type="pct"/>
            <w:tcBorders>
              <w:top w:val="single" w:color="auto" w:sz="4" w:space="0"/>
              <w:left w:val="single" w:color="auto" w:sz="4" w:space="0"/>
              <w:bottom w:val="single" w:color="auto" w:sz="4" w:space="0"/>
              <w:right w:val="single" w:color="auto" w:sz="4" w:space="0"/>
            </w:tcBorders>
            <w:vAlign w:val="center"/>
          </w:tcPr>
          <w:p w14:paraId="0A5A419F">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5B63F025">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vAlign w:val="center"/>
          </w:tcPr>
          <w:p w14:paraId="55D3E35E">
            <w:pPr>
              <w:jc w:val="center"/>
              <w:rPr>
                <w:rFonts w:ascii="宋体" w:hAnsi="宋体" w:eastAsia="宋体" w:cs="宋体"/>
                <w:color w:val="auto"/>
                <w:szCs w:val="21"/>
                <w:highlight w:val="none"/>
              </w:rPr>
            </w:pPr>
          </w:p>
        </w:tc>
        <w:tc>
          <w:tcPr>
            <w:tcW w:w="767" w:type="pct"/>
            <w:tcBorders>
              <w:left w:val="single" w:color="auto" w:sz="4" w:space="0"/>
              <w:right w:val="single" w:color="auto" w:sz="4" w:space="0"/>
            </w:tcBorders>
            <w:vAlign w:val="center"/>
          </w:tcPr>
          <w:p w14:paraId="5D97EAF4">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vAlign w:val="center"/>
          </w:tcPr>
          <w:p w14:paraId="734761BA">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361373F4">
            <w:pPr>
              <w:jc w:val="center"/>
              <w:rPr>
                <w:rFonts w:ascii="宋体" w:hAnsi="宋体" w:eastAsia="宋体" w:cs="宋体"/>
                <w:color w:val="auto"/>
                <w:szCs w:val="21"/>
                <w:highlight w:val="none"/>
              </w:rPr>
            </w:pPr>
          </w:p>
        </w:tc>
      </w:tr>
      <w:tr w14:paraId="20125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22FDD894">
            <w:pPr>
              <w:spacing w:after="120" w:line="480" w:lineRule="auto"/>
              <w:jc w:val="center"/>
              <w:rPr>
                <w:rFonts w:ascii="宋体" w:hAnsi="宋体" w:eastAsia="宋体" w:cs="宋体"/>
                <w:color w:val="auto"/>
                <w:szCs w:val="21"/>
                <w:highlight w:val="none"/>
              </w:rPr>
            </w:pPr>
            <w:r>
              <w:rPr>
                <w:rFonts w:ascii="宋体" w:hAnsi="宋体" w:eastAsia="宋体" w:cs="宋体"/>
                <w:color w:val="auto"/>
                <w:szCs w:val="21"/>
                <w:highlight w:val="none"/>
              </w:rPr>
              <w:t>3</w:t>
            </w:r>
          </w:p>
        </w:tc>
        <w:tc>
          <w:tcPr>
            <w:tcW w:w="1183" w:type="pct"/>
            <w:tcBorders>
              <w:top w:val="single" w:color="auto" w:sz="4" w:space="0"/>
              <w:left w:val="single" w:color="auto" w:sz="4" w:space="0"/>
              <w:bottom w:val="single" w:color="auto" w:sz="4" w:space="0"/>
              <w:right w:val="single" w:color="auto" w:sz="4" w:space="0"/>
            </w:tcBorders>
            <w:vAlign w:val="center"/>
          </w:tcPr>
          <w:p w14:paraId="5EFA21CE">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51D8BD24">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vAlign w:val="center"/>
          </w:tcPr>
          <w:p w14:paraId="2F18CAA4">
            <w:pPr>
              <w:jc w:val="center"/>
              <w:rPr>
                <w:rFonts w:ascii="宋体" w:hAnsi="宋体" w:eastAsia="宋体" w:cs="宋体"/>
                <w:color w:val="auto"/>
                <w:szCs w:val="21"/>
                <w:highlight w:val="none"/>
              </w:rPr>
            </w:pPr>
          </w:p>
        </w:tc>
        <w:tc>
          <w:tcPr>
            <w:tcW w:w="767" w:type="pct"/>
            <w:tcBorders>
              <w:left w:val="single" w:color="auto" w:sz="4" w:space="0"/>
              <w:right w:val="single" w:color="auto" w:sz="4" w:space="0"/>
            </w:tcBorders>
            <w:vAlign w:val="center"/>
          </w:tcPr>
          <w:p w14:paraId="29C4CF46">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vAlign w:val="center"/>
          </w:tcPr>
          <w:p w14:paraId="43799E31">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2108E163">
            <w:pPr>
              <w:jc w:val="center"/>
              <w:rPr>
                <w:rFonts w:ascii="宋体" w:hAnsi="宋体" w:eastAsia="宋体" w:cs="宋体"/>
                <w:color w:val="auto"/>
                <w:szCs w:val="21"/>
                <w:highlight w:val="none"/>
              </w:rPr>
            </w:pPr>
          </w:p>
        </w:tc>
      </w:tr>
      <w:tr w14:paraId="3C14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29FF3653">
            <w:pPr>
              <w:spacing w:after="120" w:line="480" w:lineRule="auto"/>
              <w:jc w:val="center"/>
              <w:rPr>
                <w:rFonts w:ascii="宋体" w:hAnsi="宋体" w:eastAsia="宋体" w:cs="宋体"/>
                <w:color w:val="auto"/>
                <w:szCs w:val="21"/>
                <w:highlight w:val="none"/>
              </w:rPr>
            </w:pPr>
            <w:r>
              <w:rPr>
                <w:rFonts w:ascii="宋体" w:hAnsi="宋体" w:eastAsia="宋体" w:cs="宋体"/>
                <w:color w:val="auto"/>
                <w:szCs w:val="21"/>
                <w:highlight w:val="none"/>
              </w:rPr>
              <w:t>4</w:t>
            </w:r>
          </w:p>
        </w:tc>
        <w:tc>
          <w:tcPr>
            <w:tcW w:w="1183" w:type="pct"/>
            <w:tcBorders>
              <w:top w:val="single" w:color="auto" w:sz="4" w:space="0"/>
              <w:left w:val="single" w:color="auto" w:sz="4" w:space="0"/>
              <w:bottom w:val="single" w:color="auto" w:sz="4" w:space="0"/>
              <w:right w:val="single" w:color="auto" w:sz="4" w:space="0"/>
            </w:tcBorders>
            <w:vAlign w:val="center"/>
          </w:tcPr>
          <w:p w14:paraId="5CD73FD0">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10F2C7AC">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vAlign w:val="center"/>
          </w:tcPr>
          <w:p w14:paraId="52D144BF">
            <w:pPr>
              <w:jc w:val="center"/>
              <w:rPr>
                <w:rFonts w:ascii="宋体" w:hAnsi="宋体" w:eastAsia="宋体" w:cs="宋体"/>
                <w:color w:val="auto"/>
                <w:szCs w:val="21"/>
                <w:highlight w:val="none"/>
              </w:rPr>
            </w:pPr>
          </w:p>
        </w:tc>
        <w:tc>
          <w:tcPr>
            <w:tcW w:w="767" w:type="pct"/>
            <w:tcBorders>
              <w:left w:val="single" w:color="auto" w:sz="4" w:space="0"/>
              <w:right w:val="single" w:color="auto" w:sz="4" w:space="0"/>
            </w:tcBorders>
            <w:vAlign w:val="center"/>
          </w:tcPr>
          <w:p w14:paraId="5D8592FC">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vAlign w:val="center"/>
          </w:tcPr>
          <w:p w14:paraId="6690ACA7">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7FD0D72D">
            <w:pPr>
              <w:jc w:val="center"/>
              <w:rPr>
                <w:rFonts w:ascii="宋体" w:hAnsi="宋体" w:eastAsia="宋体" w:cs="宋体"/>
                <w:color w:val="auto"/>
                <w:szCs w:val="21"/>
                <w:highlight w:val="none"/>
              </w:rPr>
            </w:pPr>
          </w:p>
        </w:tc>
      </w:tr>
      <w:tr w14:paraId="7B7FE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333" w:type="pct"/>
            <w:tcBorders>
              <w:top w:val="single" w:color="auto" w:sz="4" w:space="0"/>
              <w:left w:val="single" w:color="auto" w:sz="4" w:space="0"/>
              <w:bottom w:val="single" w:color="auto" w:sz="4" w:space="0"/>
              <w:right w:val="single" w:color="auto" w:sz="4" w:space="0"/>
            </w:tcBorders>
            <w:vAlign w:val="center"/>
          </w:tcPr>
          <w:p w14:paraId="2DBAE1A1">
            <w:pPr>
              <w:spacing w:after="120" w:line="480" w:lineRule="auto"/>
              <w:jc w:val="center"/>
              <w:rPr>
                <w:rFonts w:ascii="宋体" w:hAnsi="宋体" w:eastAsia="宋体" w:cs="宋体"/>
                <w:color w:val="auto"/>
                <w:szCs w:val="21"/>
                <w:highlight w:val="none"/>
              </w:rPr>
            </w:pPr>
            <w:r>
              <w:rPr>
                <w:rFonts w:ascii="宋体" w:hAnsi="宋体" w:eastAsia="宋体" w:cs="宋体"/>
                <w:color w:val="auto"/>
                <w:szCs w:val="21"/>
                <w:highlight w:val="none"/>
              </w:rPr>
              <w:t>5</w:t>
            </w:r>
          </w:p>
        </w:tc>
        <w:tc>
          <w:tcPr>
            <w:tcW w:w="1183" w:type="pct"/>
            <w:tcBorders>
              <w:top w:val="single" w:color="auto" w:sz="4" w:space="0"/>
              <w:left w:val="single" w:color="auto" w:sz="4" w:space="0"/>
              <w:bottom w:val="single" w:color="auto" w:sz="4" w:space="0"/>
              <w:right w:val="single" w:color="auto" w:sz="4" w:space="0"/>
            </w:tcBorders>
            <w:vAlign w:val="center"/>
          </w:tcPr>
          <w:p w14:paraId="6B98AC91">
            <w:pPr>
              <w:jc w:val="center"/>
              <w:rPr>
                <w:rFonts w:ascii="宋体" w:hAnsi="宋体" w:eastAsia="宋体" w:cs="宋体"/>
                <w:color w:val="auto"/>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52842774">
            <w:pPr>
              <w:jc w:val="center"/>
              <w:rPr>
                <w:rFonts w:ascii="宋体" w:hAnsi="宋体" w:eastAsia="宋体" w:cs="宋体"/>
                <w:color w:val="auto"/>
                <w:szCs w:val="21"/>
                <w:highlight w:val="none"/>
              </w:rPr>
            </w:pPr>
          </w:p>
        </w:tc>
        <w:tc>
          <w:tcPr>
            <w:tcW w:w="843" w:type="pct"/>
            <w:vMerge w:val="continue"/>
            <w:tcBorders>
              <w:left w:val="single" w:color="auto" w:sz="4" w:space="0"/>
              <w:right w:val="single" w:color="auto" w:sz="4" w:space="0"/>
            </w:tcBorders>
            <w:vAlign w:val="center"/>
          </w:tcPr>
          <w:p w14:paraId="28811655">
            <w:pPr>
              <w:jc w:val="center"/>
              <w:rPr>
                <w:rFonts w:ascii="宋体" w:hAnsi="宋体" w:eastAsia="宋体" w:cs="宋体"/>
                <w:color w:val="auto"/>
                <w:szCs w:val="21"/>
                <w:highlight w:val="none"/>
              </w:rPr>
            </w:pPr>
          </w:p>
        </w:tc>
        <w:tc>
          <w:tcPr>
            <w:tcW w:w="767" w:type="pct"/>
            <w:tcBorders>
              <w:left w:val="single" w:color="auto" w:sz="4" w:space="0"/>
              <w:right w:val="single" w:color="auto" w:sz="4" w:space="0"/>
            </w:tcBorders>
            <w:vAlign w:val="center"/>
          </w:tcPr>
          <w:p w14:paraId="2FAE3ACF">
            <w:pPr>
              <w:jc w:val="center"/>
              <w:rPr>
                <w:rFonts w:ascii="宋体" w:hAnsi="宋体" w:eastAsia="宋体" w:cs="宋体"/>
                <w:color w:val="auto"/>
                <w:szCs w:val="21"/>
                <w:highlight w:val="none"/>
              </w:rPr>
            </w:pPr>
          </w:p>
        </w:tc>
        <w:tc>
          <w:tcPr>
            <w:tcW w:w="444" w:type="pct"/>
            <w:tcBorders>
              <w:left w:val="single" w:color="auto" w:sz="4" w:space="0"/>
              <w:right w:val="single" w:color="auto" w:sz="4" w:space="0"/>
            </w:tcBorders>
            <w:vAlign w:val="center"/>
          </w:tcPr>
          <w:p w14:paraId="0754BDC8">
            <w:pPr>
              <w:jc w:val="center"/>
              <w:rPr>
                <w:rFonts w:ascii="宋体" w:hAnsi="宋体" w:eastAsia="宋体" w:cs="宋体"/>
                <w:color w:val="auto"/>
                <w:szCs w:val="21"/>
                <w:highlight w:val="none"/>
              </w:rPr>
            </w:pPr>
          </w:p>
        </w:tc>
        <w:tc>
          <w:tcPr>
            <w:tcW w:w="587" w:type="pct"/>
            <w:tcBorders>
              <w:top w:val="single" w:color="auto" w:sz="4" w:space="0"/>
              <w:left w:val="single" w:color="auto" w:sz="4" w:space="0"/>
              <w:bottom w:val="single" w:color="auto" w:sz="4" w:space="0"/>
              <w:right w:val="single" w:color="auto" w:sz="4" w:space="0"/>
            </w:tcBorders>
            <w:vAlign w:val="center"/>
          </w:tcPr>
          <w:p w14:paraId="59804EBD">
            <w:pPr>
              <w:jc w:val="center"/>
              <w:rPr>
                <w:rFonts w:ascii="宋体" w:hAnsi="宋体" w:eastAsia="宋体" w:cs="宋体"/>
                <w:color w:val="auto"/>
                <w:szCs w:val="21"/>
                <w:highlight w:val="none"/>
              </w:rPr>
            </w:pPr>
          </w:p>
        </w:tc>
      </w:tr>
    </w:tbl>
    <w:p w14:paraId="409A38CA">
      <w:pPr>
        <w:rPr>
          <w:rFonts w:ascii="宋体" w:hAnsi="宋体" w:eastAsia="宋体" w:cs="宋体"/>
          <w:color w:val="auto"/>
          <w:szCs w:val="21"/>
          <w:highlight w:val="none"/>
        </w:rPr>
      </w:pPr>
      <w:r>
        <w:rPr>
          <w:rFonts w:hint="eastAsia" w:ascii="宋体" w:hAnsi="宋体" w:eastAsia="宋体" w:cs="宋体"/>
          <w:color w:val="auto"/>
          <w:szCs w:val="21"/>
          <w:highlight w:val="none"/>
        </w:rPr>
        <w:t>备注：定标委员会对合格中标候选人投标报价进行打分，以合格中标候选人中最低的投标报价且高于成本警示价的为定标基准价（如合格中标候选人的投标报价均低于或等于成本警示价的，则以成本警示价为定标基准价），投标报价等于定标基准价时得100分。投标报价比定标基准价每高1%扣1.5分；每低1%扣1.0分，扣至0分为止。得出价格因素得分，分数出现小数点时，保留小数点后二位，第三位小数四舍五入。</w:t>
      </w:r>
    </w:p>
    <w:p w14:paraId="4A094EB8">
      <w:pPr>
        <w:jc w:val="left"/>
        <w:rPr>
          <w:rFonts w:ascii="宋体" w:hAnsi="宋体" w:eastAsia="宋体" w:cs="宋体"/>
          <w:color w:val="auto"/>
          <w:szCs w:val="21"/>
          <w:highlight w:val="none"/>
        </w:rPr>
      </w:pPr>
    </w:p>
    <w:p w14:paraId="217EB9D2">
      <w:pPr>
        <w:spacing w:line="360" w:lineRule="auto"/>
        <w:jc w:val="left"/>
        <w:rPr>
          <w:rFonts w:ascii="宋体" w:hAnsi="宋体" w:eastAsia="宋体" w:cs="宋体"/>
          <w:color w:val="auto"/>
          <w:szCs w:val="21"/>
          <w:highlight w:val="none"/>
        </w:rPr>
      </w:pPr>
    </w:p>
    <w:p w14:paraId="320C938D">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r>
        <w:rPr>
          <w:rFonts w:ascii="宋体" w:hAnsi="宋体" w:eastAsia="宋体" w:cs="宋体"/>
          <w:color w:val="auto"/>
          <w:szCs w:val="21"/>
          <w:highlight w:val="none"/>
        </w:rPr>
        <w:t xml:space="preserve">                                    </w:t>
      </w:r>
    </w:p>
    <w:p w14:paraId="036A0EF8">
      <w:pPr>
        <w:spacing w:line="360" w:lineRule="auto"/>
        <w:ind w:right="-46"/>
        <w:jc w:val="right"/>
        <w:rPr>
          <w:rFonts w:ascii="宋体" w:hAnsi="宋体" w:eastAsia="宋体" w:cs="宋体"/>
          <w:color w:val="auto"/>
          <w:sz w:val="24"/>
          <w:highlight w:val="none"/>
        </w:rPr>
      </w:pPr>
      <w:r>
        <w:rPr>
          <w:rFonts w:hint="eastAsia" w:ascii="宋体" w:hAnsi="宋体" w:eastAsia="宋体" w:cs="宋体"/>
          <w:color w:val="auto"/>
          <w:szCs w:val="21"/>
          <w:highlight w:val="none"/>
        </w:rPr>
        <w:t>日期：</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日</w:t>
      </w:r>
    </w:p>
    <w:p w14:paraId="3BEF0F8F">
      <w:pPr>
        <w:pStyle w:val="243"/>
        <w:rPr>
          <w:rFonts w:ascii="宋体" w:hAnsi="宋体" w:eastAsia="宋体" w:cs="宋体"/>
          <w:color w:val="auto"/>
          <w:sz w:val="21"/>
          <w:szCs w:val="21"/>
          <w:highlight w:val="none"/>
        </w:rPr>
      </w:pPr>
    </w:p>
    <w:p w14:paraId="7373452A">
      <w:pPr>
        <w:pStyle w:val="243"/>
        <w:rPr>
          <w:rFonts w:ascii="宋体" w:hAnsi="宋体" w:eastAsia="宋体" w:cs="宋体"/>
          <w:color w:val="auto"/>
          <w:sz w:val="21"/>
          <w:szCs w:val="21"/>
          <w:highlight w:val="none"/>
        </w:rPr>
        <w:sectPr>
          <w:pgSz w:w="11906" w:h="16838"/>
          <w:pgMar w:top="1440" w:right="1440" w:bottom="1440" w:left="1440" w:header="851" w:footer="992" w:gutter="0"/>
          <w:cols w:space="0" w:num="1"/>
          <w:docGrid w:type="lines" w:linePitch="322" w:charSpace="0"/>
        </w:sectPr>
      </w:pPr>
    </w:p>
    <w:p w14:paraId="5B21B4B4">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附表十</w:t>
      </w:r>
    </w:p>
    <w:p w14:paraId="1774C856">
      <w:pPr>
        <w:jc w:val="center"/>
        <w:outlineLvl w:val="2"/>
        <w:rPr>
          <w:rFonts w:ascii="宋体" w:hAnsi="宋体" w:eastAsia="宋体" w:cs="宋体"/>
          <w:b/>
          <w:color w:val="auto"/>
          <w:sz w:val="30"/>
          <w:szCs w:val="30"/>
          <w:highlight w:val="none"/>
        </w:rPr>
      </w:pPr>
      <w:bookmarkStart w:id="33" w:name="_Toc3110"/>
      <w:r>
        <w:rPr>
          <w:rFonts w:hint="eastAsia" w:ascii="宋体" w:hAnsi="宋体" w:eastAsia="宋体" w:cs="宋体"/>
          <w:b/>
          <w:color w:val="auto"/>
          <w:sz w:val="30"/>
          <w:szCs w:val="30"/>
          <w:highlight w:val="none"/>
        </w:rPr>
        <w:t>定标因素得分汇总及排序表</w:t>
      </w:r>
      <w:bookmarkEnd w:id="33"/>
    </w:p>
    <w:p w14:paraId="1FC5A01A">
      <w:pPr>
        <w:jc w:val="center"/>
        <w:rPr>
          <w:rFonts w:ascii="宋体" w:hAnsi="宋体" w:eastAsia="宋体" w:cs="宋体"/>
          <w:smallCaps/>
          <w:color w:val="auto"/>
          <w:sz w:val="30"/>
          <w:szCs w:val="30"/>
          <w:highlight w:val="none"/>
        </w:rPr>
      </w:pPr>
      <w:r>
        <w:rPr>
          <w:rFonts w:hint="eastAsia" w:ascii="宋体" w:hAnsi="宋体" w:eastAsia="宋体" w:cs="宋体"/>
          <w:b/>
          <w:smallCaps/>
          <w:color w:val="auto"/>
          <w:sz w:val="30"/>
          <w:szCs w:val="30"/>
          <w:highlight w:val="none"/>
        </w:rPr>
        <w:t>（定标委员会汇总用表）</w:t>
      </w:r>
    </w:p>
    <w:p w14:paraId="2A8AC183">
      <w:pP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工程名称：</w:t>
      </w:r>
    </w:p>
    <w:tbl>
      <w:tblPr>
        <w:tblStyle w:val="88"/>
        <w:tblW w:w="488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4"/>
        <w:gridCol w:w="2556"/>
        <w:gridCol w:w="784"/>
        <w:gridCol w:w="752"/>
        <w:gridCol w:w="690"/>
        <w:gridCol w:w="692"/>
        <w:gridCol w:w="752"/>
        <w:gridCol w:w="690"/>
        <w:gridCol w:w="929"/>
        <w:gridCol w:w="708"/>
      </w:tblGrid>
      <w:tr w14:paraId="13ED2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22" w:type="dxa"/>
          <w:trHeight w:val="425"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6EA88377">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序号</w:t>
            </w:r>
          </w:p>
        </w:tc>
        <w:tc>
          <w:tcPr>
            <w:tcW w:w="1414" w:type="pct"/>
            <w:tcBorders>
              <w:top w:val="single" w:color="auto" w:sz="4" w:space="0"/>
              <w:left w:val="single" w:color="auto" w:sz="4" w:space="0"/>
              <w:bottom w:val="single" w:color="auto" w:sz="4" w:space="0"/>
              <w:right w:val="single" w:color="auto" w:sz="4" w:space="0"/>
            </w:tcBorders>
            <w:vAlign w:val="center"/>
          </w:tcPr>
          <w:p w14:paraId="130170CB">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合格中标候选人名称</w:t>
            </w:r>
          </w:p>
        </w:tc>
        <w:tc>
          <w:tcPr>
            <w:tcW w:w="434" w:type="pct"/>
            <w:tcBorders>
              <w:top w:val="single" w:color="auto" w:sz="4" w:space="0"/>
              <w:left w:val="single" w:color="auto" w:sz="4" w:space="0"/>
              <w:bottom w:val="single" w:color="auto" w:sz="4" w:space="0"/>
              <w:right w:val="single" w:color="auto" w:sz="4" w:space="0"/>
            </w:tcBorders>
            <w:vAlign w:val="center"/>
          </w:tcPr>
          <w:p w14:paraId="5BF20A23">
            <w:pPr>
              <w:jc w:val="center"/>
              <w:rPr>
                <w:rFonts w:ascii="宋体" w:hAnsi="宋体" w:cs="宋体"/>
                <w:color w:val="auto"/>
                <w:szCs w:val="21"/>
                <w:highlight w:val="none"/>
                <w:shd w:val="clear" w:color="auto" w:fill="FFFFFF"/>
                <w:lang w:val="zh-CN"/>
              </w:rPr>
            </w:pPr>
            <w:bookmarkStart w:id="34" w:name="OLE_LINK201"/>
            <w:r>
              <w:rPr>
                <w:rFonts w:hint="eastAsia" w:ascii="宋体" w:hAnsi="宋体" w:cs="宋体"/>
                <w:color w:val="auto"/>
                <w:szCs w:val="21"/>
                <w:highlight w:val="none"/>
                <w:shd w:val="clear" w:color="auto" w:fill="FFFFFF"/>
                <w:lang w:val="zh-CN"/>
              </w:rPr>
              <w:t>方案因素</w:t>
            </w:r>
            <w:bookmarkEnd w:id="34"/>
            <w:r>
              <w:rPr>
                <w:rFonts w:hint="eastAsia" w:ascii="宋体" w:hAnsi="宋体" w:cs="宋体"/>
                <w:color w:val="auto"/>
                <w:szCs w:val="21"/>
                <w:highlight w:val="none"/>
                <w:shd w:val="clear" w:color="auto" w:fill="FFFFFF"/>
                <w:lang w:val="zh-CN"/>
              </w:rPr>
              <w:t>得分</w:t>
            </w:r>
          </w:p>
        </w:tc>
        <w:tc>
          <w:tcPr>
            <w:tcW w:w="416" w:type="pct"/>
            <w:tcBorders>
              <w:top w:val="single" w:color="auto" w:sz="4" w:space="0"/>
              <w:left w:val="single" w:color="auto" w:sz="4" w:space="0"/>
              <w:bottom w:val="single" w:color="auto" w:sz="4" w:space="0"/>
              <w:right w:val="single" w:color="auto" w:sz="4" w:space="0"/>
            </w:tcBorders>
            <w:vAlign w:val="center"/>
          </w:tcPr>
          <w:p w14:paraId="6C5590B8">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权重（%）</w:t>
            </w:r>
          </w:p>
        </w:tc>
        <w:tc>
          <w:tcPr>
            <w:tcW w:w="382" w:type="pct"/>
            <w:tcBorders>
              <w:top w:val="single" w:color="auto" w:sz="4" w:space="0"/>
              <w:left w:val="single" w:color="auto" w:sz="4" w:space="0"/>
              <w:bottom w:val="single" w:color="auto" w:sz="4" w:space="0"/>
              <w:right w:val="single" w:color="auto" w:sz="4" w:space="0"/>
            </w:tcBorders>
            <w:vAlign w:val="center"/>
          </w:tcPr>
          <w:p w14:paraId="2C5B64A6">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方案因素权重得分</w:t>
            </w:r>
          </w:p>
        </w:tc>
        <w:tc>
          <w:tcPr>
            <w:tcW w:w="383" w:type="pct"/>
            <w:tcBorders>
              <w:top w:val="single" w:color="auto" w:sz="4" w:space="0"/>
              <w:left w:val="single" w:color="auto" w:sz="4" w:space="0"/>
              <w:bottom w:val="single" w:color="auto" w:sz="4" w:space="0"/>
              <w:right w:val="single" w:color="auto" w:sz="4" w:space="0"/>
            </w:tcBorders>
            <w:vAlign w:val="center"/>
          </w:tcPr>
          <w:p w14:paraId="307A98D2">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价格因素得分</w:t>
            </w:r>
          </w:p>
        </w:tc>
        <w:tc>
          <w:tcPr>
            <w:tcW w:w="416" w:type="pct"/>
            <w:tcBorders>
              <w:top w:val="single" w:color="auto" w:sz="4" w:space="0"/>
              <w:left w:val="single" w:color="auto" w:sz="4" w:space="0"/>
              <w:bottom w:val="single" w:color="auto" w:sz="4" w:space="0"/>
              <w:right w:val="single" w:color="auto" w:sz="4" w:space="0"/>
            </w:tcBorders>
            <w:vAlign w:val="center"/>
          </w:tcPr>
          <w:p w14:paraId="51219F62">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权重（%）</w:t>
            </w:r>
          </w:p>
        </w:tc>
        <w:tc>
          <w:tcPr>
            <w:tcW w:w="382" w:type="pct"/>
            <w:tcBorders>
              <w:top w:val="single" w:color="auto" w:sz="4" w:space="0"/>
              <w:left w:val="single" w:color="auto" w:sz="4" w:space="0"/>
              <w:bottom w:val="single" w:color="auto" w:sz="4" w:space="0"/>
              <w:right w:val="single" w:color="auto" w:sz="4" w:space="0"/>
            </w:tcBorders>
            <w:vAlign w:val="center"/>
          </w:tcPr>
          <w:p w14:paraId="31EC6508">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价格因素权重得分</w:t>
            </w:r>
          </w:p>
        </w:tc>
        <w:tc>
          <w:tcPr>
            <w:tcW w:w="514" w:type="pct"/>
            <w:tcBorders>
              <w:top w:val="single" w:color="auto" w:sz="4" w:space="0"/>
              <w:left w:val="single" w:color="auto" w:sz="4" w:space="0"/>
              <w:bottom w:val="single" w:color="auto" w:sz="4" w:space="0"/>
              <w:right w:val="single" w:color="auto" w:sz="4" w:space="0"/>
            </w:tcBorders>
            <w:vAlign w:val="center"/>
          </w:tcPr>
          <w:p w14:paraId="794957BC">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总得分</w:t>
            </w:r>
          </w:p>
        </w:tc>
        <w:tc>
          <w:tcPr>
            <w:tcW w:w="392" w:type="pct"/>
            <w:tcBorders>
              <w:top w:val="single" w:color="auto" w:sz="4" w:space="0"/>
              <w:left w:val="single" w:color="auto" w:sz="4" w:space="0"/>
              <w:bottom w:val="single" w:color="auto" w:sz="4" w:space="0"/>
              <w:right w:val="single" w:color="auto" w:sz="4" w:space="0"/>
            </w:tcBorders>
            <w:vAlign w:val="center"/>
          </w:tcPr>
          <w:p w14:paraId="5388AE4A">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排序</w:t>
            </w:r>
          </w:p>
        </w:tc>
      </w:tr>
      <w:tr w14:paraId="06171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22" w:type="dxa"/>
          <w:trHeight w:val="63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6B56F01C">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1</w:t>
            </w:r>
          </w:p>
        </w:tc>
        <w:tc>
          <w:tcPr>
            <w:tcW w:w="1414" w:type="pct"/>
            <w:tcBorders>
              <w:top w:val="single" w:color="auto" w:sz="4" w:space="0"/>
              <w:left w:val="single" w:color="auto" w:sz="4" w:space="0"/>
              <w:bottom w:val="single" w:color="auto" w:sz="4" w:space="0"/>
              <w:right w:val="single" w:color="auto" w:sz="4" w:space="0"/>
            </w:tcBorders>
            <w:vAlign w:val="center"/>
          </w:tcPr>
          <w:p w14:paraId="44B84A08">
            <w:pPr>
              <w:jc w:val="center"/>
              <w:rPr>
                <w:rFonts w:ascii="宋体" w:hAnsi="宋体" w:cs="宋体"/>
                <w:color w:val="auto"/>
                <w:szCs w:val="21"/>
                <w:highlight w:val="none"/>
                <w:shd w:val="clear" w:color="auto" w:fill="FFFFFF"/>
                <w:lang w:val="zh-CN"/>
              </w:rPr>
            </w:pPr>
          </w:p>
        </w:tc>
        <w:tc>
          <w:tcPr>
            <w:tcW w:w="434" w:type="pct"/>
            <w:tcBorders>
              <w:top w:val="single" w:color="auto" w:sz="4" w:space="0"/>
              <w:left w:val="single" w:color="auto" w:sz="4" w:space="0"/>
              <w:bottom w:val="single" w:color="auto" w:sz="4" w:space="0"/>
              <w:right w:val="single" w:color="auto" w:sz="4" w:space="0"/>
            </w:tcBorders>
            <w:vAlign w:val="center"/>
          </w:tcPr>
          <w:p w14:paraId="443E6601">
            <w:pPr>
              <w:jc w:val="center"/>
              <w:rPr>
                <w:rFonts w:ascii="宋体" w:hAnsi="宋体" w:cs="宋体"/>
                <w:color w:val="auto"/>
                <w:szCs w:val="21"/>
                <w:highlight w:val="none"/>
                <w:shd w:val="clear" w:color="auto" w:fill="FFFFFF"/>
                <w:lang w:val="zh-CN"/>
              </w:rPr>
            </w:pPr>
          </w:p>
        </w:tc>
        <w:tc>
          <w:tcPr>
            <w:tcW w:w="416" w:type="pct"/>
            <w:vMerge w:val="restart"/>
            <w:tcBorders>
              <w:top w:val="single" w:color="auto" w:sz="4" w:space="0"/>
              <w:left w:val="single" w:color="auto" w:sz="4" w:space="0"/>
              <w:right w:val="single" w:color="auto" w:sz="4" w:space="0"/>
            </w:tcBorders>
            <w:vAlign w:val="center"/>
          </w:tcPr>
          <w:p w14:paraId="33A99BE7">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70</w:t>
            </w:r>
          </w:p>
        </w:tc>
        <w:tc>
          <w:tcPr>
            <w:tcW w:w="382" w:type="pct"/>
            <w:tcBorders>
              <w:top w:val="single" w:color="auto" w:sz="4" w:space="0"/>
              <w:left w:val="single" w:color="auto" w:sz="4" w:space="0"/>
              <w:bottom w:val="single" w:color="auto" w:sz="4" w:space="0"/>
              <w:right w:val="single" w:color="auto" w:sz="4" w:space="0"/>
            </w:tcBorders>
            <w:vAlign w:val="center"/>
          </w:tcPr>
          <w:p w14:paraId="78518267">
            <w:pPr>
              <w:jc w:val="center"/>
              <w:rPr>
                <w:rFonts w:ascii="宋体" w:hAnsi="宋体" w:cs="宋体"/>
                <w:color w:val="auto"/>
                <w:szCs w:val="21"/>
                <w:highlight w:val="none"/>
                <w:shd w:val="clear" w:color="auto" w:fill="FFFFFF"/>
                <w:lang w:val="zh-CN"/>
              </w:rPr>
            </w:pPr>
          </w:p>
        </w:tc>
        <w:tc>
          <w:tcPr>
            <w:tcW w:w="383" w:type="pct"/>
            <w:tcBorders>
              <w:top w:val="single" w:color="auto" w:sz="4" w:space="0"/>
              <w:left w:val="single" w:color="auto" w:sz="4" w:space="0"/>
              <w:bottom w:val="single" w:color="auto" w:sz="4" w:space="0"/>
              <w:right w:val="single" w:color="auto" w:sz="4" w:space="0"/>
            </w:tcBorders>
            <w:vAlign w:val="center"/>
          </w:tcPr>
          <w:p w14:paraId="00AFC3CC">
            <w:pPr>
              <w:jc w:val="center"/>
              <w:rPr>
                <w:rFonts w:ascii="宋体" w:hAnsi="宋体" w:cs="宋体"/>
                <w:color w:val="auto"/>
                <w:szCs w:val="21"/>
                <w:highlight w:val="none"/>
                <w:shd w:val="clear" w:color="auto" w:fill="FFFFFF"/>
                <w:lang w:val="zh-CN"/>
              </w:rPr>
            </w:pPr>
          </w:p>
        </w:tc>
        <w:tc>
          <w:tcPr>
            <w:tcW w:w="416" w:type="pct"/>
            <w:vMerge w:val="restart"/>
            <w:tcBorders>
              <w:top w:val="single" w:color="auto" w:sz="4" w:space="0"/>
              <w:left w:val="single" w:color="auto" w:sz="4" w:space="0"/>
              <w:right w:val="single" w:color="auto" w:sz="4" w:space="0"/>
            </w:tcBorders>
            <w:vAlign w:val="center"/>
          </w:tcPr>
          <w:p w14:paraId="70B1AF4B">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30</w:t>
            </w:r>
          </w:p>
        </w:tc>
        <w:tc>
          <w:tcPr>
            <w:tcW w:w="382" w:type="pct"/>
            <w:tcBorders>
              <w:top w:val="single" w:color="auto" w:sz="4" w:space="0"/>
              <w:left w:val="single" w:color="auto" w:sz="4" w:space="0"/>
              <w:bottom w:val="single" w:color="auto" w:sz="4" w:space="0"/>
              <w:right w:val="single" w:color="auto" w:sz="4" w:space="0"/>
            </w:tcBorders>
            <w:vAlign w:val="center"/>
          </w:tcPr>
          <w:p w14:paraId="00A3CC4F">
            <w:pPr>
              <w:jc w:val="center"/>
              <w:rPr>
                <w:rFonts w:ascii="宋体" w:hAnsi="宋体" w:cs="宋体"/>
                <w:color w:val="auto"/>
                <w:szCs w:val="21"/>
                <w:highlight w:val="none"/>
                <w:shd w:val="clear" w:color="auto" w:fill="FFFFFF"/>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14:paraId="0D2CCECC">
            <w:pPr>
              <w:jc w:val="center"/>
              <w:rPr>
                <w:rFonts w:ascii="宋体" w:hAnsi="宋体" w:cs="宋体"/>
                <w:color w:val="auto"/>
                <w:szCs w:val="21"/>
                <w:highlight w:val="none"/>
                <w:shd w:val="clear" w:color="auto" w:fill="FFFFFF"/>
                <w:lang w:val="zh-CN"/>
              </w:rPr>
            </w:pPr>
          </w:p>
        </w:tc>
        <w:tc>
          <w:tcPr>
            <w:tcW w:w="392" w:type="pct"/>
            <w:tcBorders>
              <w:top w:val="single" w:color="auto" w:sz="4" w:space="0"/>
              <w:left w:val="single" w:color="auto" w:sz="4" w:space="0"/>
              <w:bottom w:val="single" w:color="auto" w:sz="4" w:space="0"/>
              <w:right w:val="single" w:color="auto" w:sz="4" w:space="0"/>
            </w:tcBorders>
            <w:vAlign w:val="center"/>
          </w:tcPr>
          <w:p w14:paraId="2D2F5BA7">
            <w:pPr>
              <w:jc w:val="center"/>
              <w:rPr>
                <w:rFonts w:ascii="宋体" w:hAnsi="宋体" w:cs="宋体"/>
                <w:color w:val="auto"/>
                <w:szCs w:val="21"/>
                <w:highlight w:val="none"/>
                <w:shd w:val="clear" w:color="auto" w:fill="FFFFFF"/>
                <w:lang w:val="zh-CN"/>
              </w:rPr>
            </w:pPr>
          </w:p>
        </w:tc>
      </w:tr>
      <w:tr w14:paraId="575FD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22" w:type="dxa"/>
          <w:trHeight w:val="63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7A8F5081">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2</w:t>
            </w:r>
          </w:p>
        </w:tc>
        <w:tc>
          <w:tcPr>
            <w:tcW w:w="1414" w:type="pct"/>
            <w:tcBorders>
              <w:top w:val="single" w:color="auto" w:sz="4" w:space="0"/>
              <w:left w:val="single" w:color="auto" w:sz="4" w:space="0"/>
              <w:bottom w:val="single" w:color="auto" w:sz="4" w:space="0"/>
              <w:right w:val="single" w:color="auto" w:sz="4" w:space="0"/>
            </w:tcBorders>
            <w:vAlign w:val="center"/>
          </w:tcPr>
          <w:p w14:paraId="6DFBAF18">
            <w:pPr>
              <w:jc w:val="center"/>
              <w:rPr>
                <w:rFonts w:ascii="宋体" w:hAnsi="宋体" w:cs="宋体"/>
                <w:color w:val="auto"/>
                <w:szCs w:val="21"/>
                <w:highlight w:val="none"/>
                <w:shd w:val="clear" w:color="auto" w:fill="FFFFFF"/>
                <w:lang w:val="zh-CN"/>
              </w:rPr>
            </w:pPr>
          </w:p>
        </w:tc>
        <w:tc>
          <w:tcPr>
            <w:tcW w:w="434" w:type="pct"/>
            <w:tcBorders>
              <w:top w:val="single" w:color="auto" w:sz="4" w:space="0"/>
              <w:left w:val="single" w:color="auto" w:sz="4" w:space="0"/>
              <w:bottom w:val="single" w:color="auto" w:sz="4" w:space="0"/>
              <w:right w:val="single" w:color="auto" w:sz="4" w:space="0"/>
            </w:tcBorders>
            <w:vAlign w:val="center"/>
          </w:tcPr>
          <w:p w14:paraId="5A68C72B">
            <w:pPr>
              <w:jc w:val="center"/>
              <w:rPr>
                <w:rFonts w:ascii="宋体" w:hAnsi="宋体" w:cs="宋体"/>
                <w:color w:val="auto"/>
                <w:szCs w:val="21"/>
                <w:highlight w:val="none"/>
                <w:shd w:val="clear" w:color="auto" w:fill="FFFFFF"/>
                <w:lang w:val="zh-CN"/>
              </w:rPr>
            </w:pPr>
          </w:p>
        </w:tc>
        <w:tc>
          <w:tcPr>
            <w:tcW w:w="416" w:type="pct"/>
            <w:vMerge w:val="continue"/>
            <w:tcBorders>
              <w:left w:val="single" w:color="auto" w:sz="4" w:space="0"/>
              <w:right w:val="single" w:color="auto" w:sz="4" w:space="0"/>
            </w:tcBorders>
            <w:vAlign w:val="center"/>
          </w:tcPr>
          <w:p w14:paraId="5EA6FFD8">
            <w:pPr>
              <w:jc w:val="center"/>
              <w:rPr>
                <w:rFonts w:ascii="宋体" w:hAnsi="宋体" w:cs="宋体"/>
                <w:color w:val="auto"/>
                <w:szCs w:val="21"/>
                <w:highlight w:val="none"/>
                <w:shd w:val="clear" w:color="auto" w:fill="FFFFFF"/>
                <w:lang w:val="zh-CN"/>
              </w:rPr>
            </w:pPr>
          </w:p>
        </w:tc>
        <w:tc>
          <w:tcPr>
            <w:tcW w:w="382" w:type="pct"/>
            <w:tcBorders>
              <w:top w:val="single" w:color="auto" w:sz="4" w:space="0"/>
              <w:left w:val="single" w:color="auto" w:sz="4" w:space="0"/>
              <w:bottom w:val="single" w:color="auto" w:sz="4" w:space="0"/>
              <w:right w:val="single" w:color="auto" w:sz="4" w:space="0"/>
            </w:tcBorders>
            <w:vAlign w:val="center"/>
          </w:tcPr>
          <w:p w14:paraId="0A082CDD">
            <w:pPr>
              <w:jc w:val="center"/>
              <w:rPr>
                <w:rFonts w:ascii="宋体" w:hAnsi="宋体" w:cs="宋体"/>
                <w:color w:val="auto"/>
                <w:szCs w:val="21"/>
                <w:highlight w:val="none"/>
                <w:shd w:val="clear" w:color="auto" w:fill="FFFFFF"/>
                <w:lang w:val="zh-CN"/>
              </w:rPr>
            </w:pPr>
          </w:p>
        </w:tc>
        <w:tc>
          <w:tcPr>
            <w:tcW w:w="383" w:type="pct"/>
            <w:tcBorders>
              <w:top w:val="single" w:color="auto" w:sz="4" w:space="0"/>
              <w:left w:val="single" w:color="auto" w:sz="4" w:space="0"/>
              <w:bottom w:val="single" w:color="auto" w:sz="4" w:space="0"/>
              <w:right w:val="single" w:color="auto" w:sz="4" w:space="0"/>
            </w:tcBorders>
            <w:vAlign w:val="center"/>
          </w:tcPr>
          <w:p w14:paraId="7BA93C5A">
            <w:pPr>
              <w:jc w:val="center"/>
              <w:rPr>
                <w:rFonts w:ascii="宋体" w:hAnsi="宋体" w:cs="宋体"/>
                <w:color w:val="auto"/>
                <w:szCs w:val="21"/>
                <w:highlight w:val="none"/>
                <w:shd w:val="clear" w:color="auto" w:fill="FFFFFF"/>
                <w:lang w:val="zh-CN"/>
              </w:rPr>
            </w:pPr>
          </w:p>
        </w:tc>
        <w:tc>
          <w:tcPr>
            <w:tcW w:w="416" w:type="pct"/>
            <w:vMerge w:val="continue"/>
            <w:tcBorders>
              <w:left w:val="single" w:color="auto" w:sz="4" w:space="0"/>
              <w:right w:val="single" w:color="auto" w:sz="4" w:space="0"/>
            </w:tcBorders>
            <w:vAlign w:val="center"/>
          </w:tcPr>
          <w:p w14:paraId="1CA5F616">
            <w:pPr>
              <w:jc w:val="center"/>
              <w:rPr>
                <w:rFonts w:ascii="宋体" w:hAnsi="宋体" w:cs="宋体"/>
                <w:color w:val="auto"/>
                <w:szCs w:val="21"/>
                <w:highlight w:val="none"/>
                <w:shd w:val="clear" w:color="auto" w:fill="FFFFFF"/>
                <w:lang w:val="zh-CN"/>
              </w:rPr>
            </w:pPr>
          </w:p>
        </w:tc>
        <w:tc>
          <w:tcPr>
            <w:tcW w:w="382" w:type="pct"/>
            <w:tcBorders>
              <w:top w:val="single" w:color="auto" w:sz="4" w:space="0"/>
              <w:left w:val="single" w:color="auto" w:sz="4" w:space="0"/>
              <w:bottom w:val="single" w:color="auto" w:sz="4" w:space="0"/>
              <w:right w:val="single" w:color="auto" w:sz="4" w:space="0"/>
            </w:tcBorders>
            <w:vAlign w:val="center"/>
          </w:tcPr>
          <w:p w14:paraId="07939EC5">
            <w:pPr>
              <w:jc w:val="center"/>
              <w:rPr>
                <w:rFonts w:ascii="宋体" w:hAnsi="宋体" w:cs="宋体"/>
                <w:color w:val="auto"/>
                <w:szCs w:val="21"/>
                <w:highlight w:val="none"/>
                <w:shd w:val="clear" w:color="auto" w:fill="FFFFFF"/>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14:paraId="0F91ECD5">
            <w:pPr>
              <w:jc w:val="center"/>
              <w:rPr>
                <w:rFonts w:ascii="宋体" w:hAnsi="宋体" w:cs="宋体"/>
                <w:color w:val="auto"/>
                <w:szCs w:val="21"/>
                <w:highlight w:val="none"/>
                <w:shd w:val="clear" w:color="auto" w:fill="FFFFFF"/>
                <w:lang w:val="zh-CN"/>
              </w:rPr>
            </w:pPr>
          </w:p>
        </w:tc>
        <w:tc>
          <w:tcPr>
            <w:tcW w:w="392" w:type="pct"/>
            <w:tcBorders>
              <w:top w:val="single" w:color="auto" w:sz="4" w:space="0"/>
              <w:left w:val="single" w:color="auto" w:sz="4" w:space="0"/>
              <w:bottom w:val="single" w:color="auto" w:sz="4" w:space="0"/>
              <w:right w:val="single" w:color="auto" w:sz="4" w:space="0"/>
            </w:tcBorders>
            <w:vAlign w:val="center"/>
          </w:tcPr>
          <w:p w14:paraId="65FE5ADE">
            <w:pPr>
              <w:jc w:val="center"/>
              <w:rPr>
                <w:rFonts w:ascii="宋体" w:hAnsi="宋体" w:cs="宋体"/>
                <w:color w:val="auto"/>
                <w:szCs w:val="21"/>
                <w:highlight w:val="none"/>
                <w:shd w:val="clear" w:color="auto" w:fill="FFFFFF"/>
                <w:lang w:val="zh-CN"/>
              </w:rPr>
            </w:pPr>
          </w:p>
        </w:tc>
      </w:tr>
      <w:tr w14:paraId="1CE76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22" w:type="dxa"/>
          <w:trHeight w:val="63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7382F2A2">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3</w:t>
            </w:r>
          </w:p>
        </w:tc>
        <w:tc>
          <w:tcPr>
            <w:tcW w:w="1414" w:type="pct"/>
            <w:tcBorders>
              <w:top w:val="single" w:color="auto" w:sz="4" w:space="0"/>
              <w:left w:val="single" w:color="auto" w:sz="4" w:space="0"/>
              <w:bottom w:val="single" w:color="auto" w:sz="4" w:space="0"/>
              <w:right w:val="single" w:color="auto" w:sz="4" w:space="0"/>
            </w:tcBorders>
            <w:vAlign w:val="center"/>
          </w:tcPr>
          <w:p w14:paraId="4B91A6AF">
            <w:pPr>
              <w:jc w:val="center"/>
              <w:rPr>
                <w:rFonts w:ascii="宋体" w:hAnsi="宋体" w:cs="宋体"/>
                <w:color w:val="auto"/>
                <w:szCs w:val="21"/>
                <w:highlight w:val="none"/>
                <w:shd w:val="clear" w:color="auto" w:fill="FFFFFF"/>
                <w:lang w:val="zh-CN"/>
              </w:rPr>
            </w:pPr>
          </w:p>
        </w:tc>
        <w:tc>
          <w:tcPr>
            <w:tcW w:w="434" w:type="pct"/>
            <w:tcBorders>
              <w:top w:val="single" w:color="auto" w:sz="4" w:space="0"/>
              <w:left w:val="single" w:color="auto" w:sz="4" w:space="0"/>
              <w:bottom w:val="single" w:color="auto" w:sz="4" w:space="0"/>
              <w:right w:val="single" w:color="auto" w:sz="4" w:space="0"/>
            </w:tcBorders>
            <w:vAlign w:val="center"/>
          </w:tcPr>
          <w:p w14:paraId="084E846E">
            <w:pPr>
              <w:jc w:val="center"/>
              <w:rPr>
                <w:rFonts w:ascii="宋体" w:hAnsi="宋体" w:cs="宋体"/>
                <w:color w:val="auto"/>
                <w:szCs w:val="21"/>
                <w:highlight w:val="none"/>
                <w:shd w:val="clear" w:color="auto" w:fill="FFFFFF"/>
                <w:lang w:val="zh-CN"/>
              </w:rPr>
            </w:pPr>
          </w:p>
        </w:tc>
        <w:tc>
          <w:tcPr>
            <w:tcW w:w="416" w:type="pct"/>
            <w:vMerge w:val="continue"/>
            <w:tcBorders>
              <w:left w:val="single" w:color="auto" w:sz="4" w:space="0"/>
              <w:right w:val="single" w:color="auto" w:sz="4" w:space="0"/>
            </w:tcBorders>
            <w:vAlign w:val="center"/>
          </w:tcPr>
          <w:p w14:paraId="7C2E580D">
            <w:pPr>
              <w:jc w:val="center"/>
              <w:rPr>
                <w:rFonts w:ascii="宋体" w:hAnsi="宋体" w:cs="宋体"/>
                <w:color w:val="auto"/>
                <w:szCs w:val="21"/>
                <w:highlight w:val="none"/>
                <w:shd w:val="clear" w:color="auto" w:fill="FFFFFF"/>
                <w:lang w:val="zh-CN"/>
              </w:rPr>
            </w:pPr>
          </w:p>
        </w:tc>
        <w:tc>
          <w:tcPr>
            <w:tcW w:w="382" w:type="pct"/>
            <w:tcBorders>
              <w:top w:val="single" w:color="auto" w:sz="4" w:space="0"/>
              <w:left w:val="single" w:color="auto" w:sz="4" w:space="0"/>
              <w:bottom w:val="single" w:color="auto" w:sz="4" w:space="0"/>
              <w:right w:val="single" w:color="auto" w:sz="4" w:space="0"/>
            </w:tcBorders>
            <w:vAlign w:val="center"/>
          </w:tcPr>
          <w:p w14:paraId="0DC593AB">
            <w:pPr>
              <w:jc w:val="center"/>
              <w:rPr>
                <w:rFonts w:ascii="宋体" w:hAnsi="宋体" w:cs="宋体"/>
                <w:color w:val="auto"/>
                <w:szCs w:val="21"/>
                <w:highlight w:val="none"/>
                <w:shd w:val="clear" w:color="auto" w:fill="FFFFFF"/>
                <w:lang w:val="zh-CN"/>
              </w:rPr>
            </w:pPr>
          </w:p>
        </w:tc>
        <w:tc>
          <w:tcPr>
            <w:tcW w:w="383" w:type="pct"/>
            <w:tcBorders>
              <w:top w:val="single" w:color="auto" w:sz="4" w:space="0"/>
              <w:left w:val="single" w:color="auto" w:sz="4" w:space="0"/>
              <w:bottom w:val="single" w:color="auto" w:sz="4" w:space="0"/>
              <w:right w:val="single" w:color="auto" w:sz="4" w:space="0"/>
            </w:tcBorders>
            <w:vAlign w:val="center"/>
          </w:tcPr>
          <w:p w14:paraId="7CF402C4">
            <w:pPr>
              <w:jc w:val="center"/>
              <w:rPr>
                <w:rFonts w:ascii="宋体" w:hAnsi="宋体" w:cs="宋体"/>
                <w:color w:val="auto"/>
                <w:szCs w:val="21"/>
                <w:highlight w:val="none"/>
                <w:shd w:val="clear" w:color="auto" w:fill="FFFFFF"/>
                <w:lang w:val="zh-CN"/>
              </w:rPr>
            </w:pPr>
          </w:p>
        </w:tc>
        <w:tc>
          <w:tcPr>
            <w:tcW w:w="416" w:type="pct"/>
            <w:vMerge w:val="continue"/>
            <w:tcBorders>
              <w:left w:val="single" w:color="auto" w:sz="4" w:space="0"/>
              <w:right w:val="single" w:color="auto" w:sz="4" w:space="0"/>
            </w:tcBorders>
            <w:vAlign w:val="center"/>
          </w:tcPr>
          <w:p w14:paraId="2F7E1F4D">
            <w:pPr>
              <w:jc w:val="center"/>
              <w:rPr>
                <w:rFonts w:ascii="宋体" w:hAnsi="宋体" w:cs="宋体"/>
                <w:color w:val="auto"/>
                <w:szCs w:val="21"/>
                <w:highlight w:val="none"/>
                <w:shd w:val="clear" w:color="auto" w:fill="FFFFFF"/>
                <w:lang w:val="zh-CN"/>
              </w:rPr>
            </w:pPr>
          </w:p>
        </w:tc>
        <w:tc>
          <w:tcPr>
            <w:tcW w:w="382" w:type="pct"/>
            <w:tcBorders>
              <w:top w:val="single" w:color="auto" w:sz="4" w:space="0"/>
              <w:left w:val="single" w:color="auto" w:sz="4" w:space="0"/>
              <w:bottom w:val="single" w:color="auto" w:sz="4" w:space="0"/>
              <w:right w:val="single" w:color="auto" w:sz="4" w:space="0"/>
            </w:tcBorders>
            <w:vAlign w:val="center"/>
          </w:tcPr>
          <w:p w14:paraId="03349A05">
            <w:pPr>
              <w:jc w:val="center"/>
              <w:rPr>
                <w:rFonts w:ascii="宋体" w:hAnsi="宋体" w:cs="宋体"/>
                <w:color w:val="auto"/>
                <w:szCs w:val="21"/>
                <w:highlight w:val="none"/>
                <w:shd w:val="clear" w:color="auto" w:fill="FFFFFF"/>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14:paraId="48DA3A4F">
            <w:pPr>
              <w:jc w:val="center"/>
              <w:rPr>
                <w:rFonts w:ascii="宋体" w:hAnsi="宋体" w:cs="宋体"/>
                <w:color w:val="auto"/>
                <w:szCs w:val="21"/>
                <w:highlight w:val="none"/>
                <w:shd w:val="clear" w:color="auto" w:fill="FFFFFF"/>
                <w:lang w:val="zh-CN"/>
              </w:rPr>
            </w:pPr>
          </w:p>
        </w:tc>
        <w:tc>
          <w:tcPr>
            <w:tcW w:w="392" w:type="pct"/>
            <w:tcBorders>
              <w:top w:val="single" w:color="auto" w:sz="4" w:space="0"/>
              <w:left w:val="single" w:color="auto" w:sz="4" w:space="0"/>
              <w:bottom w:val="single" w:color="auto" w:sz="4" w:space="0"/>
              <w:right w:val="single" w:color="auto" w:sz="4" w:space="0"/>
            </w:tcBorders>
            <w:vAlign w:val="center"/>
          </w:tcPr>
          <w:p w14:paraId="391AA800">
            <w:pPr>
              <w:jc w:val="center"/>
              <w:rPr>
                <w:rFonts w:ascii="宋体" w:hAnsi="宋体" w:cs="宋体"/>
                <w:color w:val="auto"/>
                <w:szCs w:val="21"/>
                <w:highlight w:val="none"/>
                <w:shd w:val="clear" w:color="auto" w:fill="FFFFFF"/>
                <w:lang w:val="zh-CN"/>
              </w:rPr>
            </w:pPr>
          </w:p>
        </w:tc>
      </w:tr>
      <w:tr w14:paraId="7A0B7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22" w:type="dxa"/>
          <w:trHeight w:val="63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20E74ED1">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4</w:t>
            </w:r>
          </w:p>
        </w:tc>
        <w:tc>
          <w:tcPr>
            <w:tcW w:w="1414" w:type="pct"/>
            <w:tcBorders>
              <w:top w:val="single" w:color="auto" w:sz="4" w:space="0"/>
              <w:left w:val="single" w:color="auto" w:sz="4" w:space="0"/>
              <w:bottom w:val="single" w:color="auto" w:sz="4" w:space="0"/>
              <w:right w:val="single" w:color="auto" w:sz="4" w:space="0"/>
            </w:tcBorders>
            <w:vAlign w:val="center"/>
          </w:tcPr>
          <w:p w14:paraId="63241292">
            <w:pPr>
              <w:jc w:val="center"/>
              <w:rPr>
                <w:rFonts w:ascii="宋体" w:hAnsi="宋体" w:cs="宋体"/>
                <w:color w:val="auto"/>
                <w:szCs w:val="21"/>
                <w:highlight w:val="none"/>
                <w:shd w:val="clear" w:color="auto" w:fill="FFFFFF"/>
                <w:lang w:val="zh-CN"/>
              </w:rPr>
            </w:pPr>
          </w:p>
        </w:tc>
        <w:tc>
          <w:tcPr>
            <w:tcW w:w="434" w:type="pct"/>
            <w:tcBorders>
              <w:top w:val="single" w:color="auto" w:sz="4" w:space="0"/>
              <w:left w:val="single" w:color="auto" w:sz="4" w:space="0"/>
              <w:bottom w:val="single" w:color="auto" w:sz="4" w:space="0"/>
              <w:right w:val="single" w:color="auto" w:sz="4" w:space="0"/>
            </w:tcBorders>
            <w:vAlign w:val="center"/>
          </w:tcPr>
          <w:p w14:paraId="6F89FC67">
            <w:pPr>
              <w:jc w:val="center"/>
              <w:rPr>
                <w:rFonts w:ascii="宋体" w:hAnsi="宋体" w:cs="宋体"/>
                <w:color w:val="auto"/>
                <w:szCs w:val="21"/>
                <w:highlight w:val="none"/>
                <w:shd w:val="clear" w:color="auto" w:fill="FFFFFF"/>
                <w:lang w:val="zh-CN"/>
              </w:rPr>
            </w:pPr>
          </w:p>
        </w:tc>
        <w:tc>
          <w:tcPr>
            <w:tcW w:w="416" w:type="pct"/>
            <w:vMerge w:val="continue"/>
            <w:tcBorders>
              <w:left w:val="single" w:color="auto" w:sz="4" w:space="0"/>
              <w:right w:val="single" w:color="auto" w:sz="4" w:space="0"/>
            </w:tcBorders>
            <w:vAlign w:val="center"/>
          </w:tcPr>
          <w:p w14:paraId="763A7DAD">
            <w:pPr>
              <w:jc w:val="center"/>
              <w:rPr>
                <w:rFonts w:ascii="宋体" w:hAnsi="宋体" w:cs="宋体"/>
                <w:color w:val="auto"/>
                <w:szCs w:val="21"/>
                <w:highlight w:val="none"/>
                <w:shd w:val="clear" w:color="auto" w:fill="FFFFFF"/>
                <w:lang w:val="zh-CN"/>
              </w:rPr>
            </w:pPr>
          </w:p>
        </w:tc>
        <w:tc>
          <w:tcPr>
            <w:tcW w:w="382" w:type="pct"/>
            <w:tcBorders>
              <w:top w:val="single" w:color="auto" w:sz="4" w:space="0"/>
              <w:left w:val="single" w:color="auto" w:sz="4" w:space="0"/>
              <w:bottom w:val="single" w:color="auto" w:sz="4" w:space="0"/>
              <w:right w:val="single" w:color="auto" w:sz="4" w:space="0"/>
            </w:tcBorders>
            <w:vAlign w:val="center"/>
          </w:tcPr>
          <w:p w14:paraId="083B64E3">
            <w:pPr>
              <w:jc w:val="center"/>
              <w:rPr>
                <w:rFonts w:ascii="宋体" w:hAnsi="宋体" w:cs="宋体"/>
                <w:color w:val="auto"/>
                <w:szCs w:val="21"/>
                <w:highlight w:val="none"/>
                <w:shd w:val="clear" w:color="auto" w:fill="FFFFFF"/>
                <w:lang w:val="zh-CN"/>
              </w:rPr>
            </w:pPr>
          </w:p>
        </w:tc>
        <w:tc>
          <w:tcPr>
            <w:tcW w:w="383" w:type="pct"/>
            <w:tcBorders>
              <w:top w:val="single" w:color="auto" w:sz="4" w:space="0"/>
              <w:left w:val="single" w:color="auto" w:sz="4" w:space="0"/>
              <w:bottom w:val="single" w:color="auto" w:sz="4" w:space="0"/>
              <w:right w:val="single" w:color="auto" w:sz="4" w:space="0"/>
            </w:tcBorders>
            <w:vAlign w:val="center"/>
          </w:tcPr>
          <w:p w14:paraId="65C6C5F8">
            <w:pPr>
              <w:jc w:val="center"/>
              <w:rPr>
                <w:rFonts w:ascii="宋体" w:hAnsi="宋体" w:cs="宋体"/>
                <w:color w:val="auto"/>
                <w:szCs w:val="21"/>
                <w:highlight w:val="none"/>
                <w:shd w:val="clear" w:color="auto" w:fill="FFFFFF"/>
                <w:lang w:val="zh-CN"/>
              </w:rPr>
            </w:pPr>
          </w:p>
        </w:tc>
        <w:tc>
          <w:tcPr>
            <w:tcW w:w="416" w:type="pct"/>
            <w:vMerge w:val="continue"/>
            <w:tcBorders>
              <w:left w:val="single" w:color="auto" w:sz="4" w:space="0"/>
              <w:right w:val="single" w:color="auto" w:sz="4" w:space="0"/>
            </w:tcBorders>
            <w:vAlign w:val="center"/>
          </w:tcPr>
          <w:p w14:paraId="03517FCC">
            <w:pPr>
              <w:jc w:val="center"/>
              <w:rPr>
                <w:rFonts w:ascii="宋体" w:hAnsi="宋体" w:cs="宋体"/>
                <w:color w:val="auto"/>
                <w:szCs w:val="21"/>
                <w:highlight w:val="none"/>
                <w:shd w:val="clear" w:color="auto" w:fill="FFFFFF"/>
                <w:lang w:val="zh-CN"/>
              </w:rPr>
            </w:pPr>
          </w:p>
        </w:tc>
        <w:tc>
          <w:tcPr>
            <w:tcW w:w="382" w:type="pct"/>
            <w:tcBorders>
              <w:top w:val="single" w:color="auto" w:sz="4" w:space="0"/>
              <w:left w:val="single" w:color="auto" w:sz="4" w:space="0"/>
              <w:bottom w:val="single" w:color="auto" w:sz="4" w:space="0"/>
              <w:right w:val="single" w:color="auto" w:sz="4" w:space="0"/>
            </w:tcBorders>
            <w:vAlign w:val="center"/>
          </w:tcPr>
          <w:p w14:paraId="72E910B2">
            <w:pPr>
              <w:jc w:val="center"/>
              <w:rPr>
                <w:rFonts w:ascii="宋体" w:hAnsi="宋体" w:cs="宋体"/>
                <w:color w:val="auto"/>
                <w:szCs w:val="21"/>
                <w:highlight w:val="none"/>
                <w:shd w:val="clear" w:color="auto" w:fill="FFFFFF"/>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14:paraId="7EE098A9">
            <w:pPr>
              <w:jc w:val="center"/>
              <w:rPr>
                <w:rFonts w:ascii="宋体" w:hAnsi="宋体" w:cs="宋体"/>
                <w:color w:val="auto"/>
                <w:szCs w:val="21"/>
                <w:highlight w:val="none"/>
                <w:shd w:val="clear" w:color="auto" w:fill="FFFFFF"/>
                <w:lang w:val="zh-CN"/>
              </w:rPr>
            </w:pPr>
          </w:p>
        </w:tc>
        <w:tc>
          <w:tcPr>
            <w:tcW w:w="392" w:type="pct"/>
            <w:tcBorders>
              <w:top w:val="single" w:color="auto" w:sz="4" w:space="0"/>
              <w:left w:val="single" w:color="auto" w:sz="4" w:space="0"/>
              <w:bottom w:val="single" w:color="auto" w:sz="4" w:space="0"/>
              <w:right w:val="single" w:color="auto" w:sz="4" w:space="0"/>
            </w:tcBorders>
            <w:vAlign w:val="center"/>
          </w:tcPr>
          <w:p w14:paraId="4A6126FB">
            <w:pPr>
              <w:jc w:val="center"/>
              <w:rPr>
                <w:rFonts w:ascii="宋体" w:hAnsi="宋体" w:cs="宋体"/>
                <w:color w:val="auto"/>
                <w:szCs w:val="21"/>
                <w:highlight w:val="none"/>
                <w:shd w:val="clear" w:color="auto" w:fill="FFFFFF"/>
                <w:lang w:val="zh-CN"/>
              </w:rPr>
            </w:pPr>
          </w:p>
        </w:tc>
      </w:tr>
      <w:tr w14:paraId="65502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22" w:type="dxa"/>
          <w:trHeight w:val="63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3956202A">
            <w:pPr>
              <w:jc w:val="center"/>
              <w:rPr>
                <w:rFonts w:ascii="宋体" w:hAnsi="宋体" w:cs="宋体"/>
                <w:color w:val="auto"/>
                <w:szCs w:val="21"/>
                <w:highlight w:val="none"/>
                <w:shd w:val="clear" w:color="auto" w:fill="FFFFFF"/>
                <w:lang w:val="zh-CN"/>
              </w:rPr>
            </w:pPr>
            <w:r>
              <w:rPr>
                <w:rFonts w:hint="eastAsia" w:ascii="宋体" w:hAnsi="宋体" w:cs="宋体"/>
                <w:color w:val="auto"/>
                <w:szCs w:val="21"/>
                <w:highlight w:val="none"/>
                <w:shd w:val="clear" w:color="auto" w:fill="FFFFFF"/>
                <w:lang w:val="zh-CN"/>
              </w:rPr>
              <w:t>5</w:t>
            </w:r>
          </w:p>
        </w:tc>
        <w:tc>
          <w:tcPr>
            <w:tcW w:w="1414" w:type="pct"/>
            <w:tcBorders>
              <w:top w:val="single" w:color="auto" w:sz="4" w:space="0"/>
              <w:left w:val="single" w:color="auto" w:sz="4" w:space="0"/>
              <w:bottom w:val="single" w:color="auto" w:sz="4" w:space="0"/>
              <w:right w:val="single" w:color="auto" w:sz="4" w:space="0"/>
            </w:tcBorders>
            <w:vAlign w:val="center"/>
          </w:tcPr>
          <w:p w14:paraId="134498EC">
            <w:pPr>
              <w:jc w:val="center"/>
              <w:rPr>
                <w:rFonts w:ascii="宋体" w:hAnsi="宋体" w:cs="宋体"/>
                <w:color w:val="auto"/>
                <w:szCs w:val="21"/>
                <w:highlight w:val="none"/>
                <w:shd w:val="clear" w:color="auto" w:fill="FFFFFF"/>
                <w:lang w:val="zh-CN"/>
              </w:rPr>
            </w:pPr>
          </w:p>
        </w:tc>
        <w:tc>
          <w:tcPr>
            <w:tcW w:w="434" w:type="pct"/>
            <w:tcBorders>
              <w:top w:val="single" w:color="auto" w:sz="4" w:space="0"/>
              <w:left w:val="single" w:color="auto" w:sz="4" w:space="0"/>
              <w:bottom w:val="single" w:color="auto" w:sz="4" w:space="0"/>
              <w:right w:val="single" w:color="auto" w:sz="4" w:space="0"/>
            </w:tcBorders>
            <w:vAlign w:val="center"/>
          </w:tcPr>
          <w:p w14:paraId="180DA11F">
            <w:pPr>
              <w:jc w:val="center"/>
              <w:rPr>
                <w:rFonts w:ascii="宋体" w:hAnsi="宋体" w:cs="宋体"/>
                <w:color w:val="auto"/>
                <w:szCs w:val="21"/>
                <w:highlight w:val="none"/>
                <w:shd w:val="clear" w:color="auto" w:fill="FFFFFF"/>
                <w:lang w:val="zh-CN"/>
              </w:rPr>
            </w:pPr>
          </w:p>
        </w:tc>
        <w:tc>
          <w:tcPr>
            <w:tcW w:w="416" w:type="pct"/>
            <w:vMerge w:val="continue"/>
            <w:tcBorders>
              <w:left w:val="single" w:color="auto" w:sz="4" w:space="0"/>
              <w:right w:val="single" w:color="auto" w:sz="4" w:space="0"/>
            </w:tcBorders>
            <w:vAlign w:val="center"/>
          </w:tcPr>
          <w:p w14:paraId="0A2BCACE">
            <w:pPr>
              <w:jc w:val="center"/>
              <w:rPr>
                <w:rFonts w:ascii="宋体" w:hAnsi="宋体" w:cs="宋体"/>
                <w:color w:val="auto"/>
                <w:szCs w:val="21"/>
                <w:highlight w:val="none"/>
                <w:shd w:val="clear" w:color="auto" w:fill="FFFFFF"/>
                <w:lang w:val="zh-CN"/>
              </w:rPr>
            </w:pPr>
          </w:p>
        </w:tc>
        <w:tc>
          <w:tcPr>
            <w:tcW w:w="382" w:type="pct"/>
            <w:tcBorders>
              <w:top w:val="single" w:color="auto" w:sz="4" w:space="0"/>
              <w:left w:val="single" w:color="auto" w:sz="4" w:space="0"/>
              <w:bottom w:val="single" w:color="auto" w:sz="4" w:space="0"/>
              <w:right w:val="single" w:color="auto" w:sz="4" w:space="0"/>
            </w:tcBorders>
            <w:vAlign w:val="center"/>
          </w:tcPr>
          <w:p w14:paraId="37DCDBE3">
            <w:pPr>
              <w:jc w:val="center"/>
              <w:rPr>
                <w:rFonts w:ascii="宋体" w:hAnsi="宋体" w:cs="宋体"/>
                <w:color w:val="auto"/>
                <w:szCs w:val="21"/>
                <w:highlight w:val="none"/>
                <w:shd w:val="clear" w:color="auto" w:fill="FFFFFF"/>
                <w:lang w:val="zh-CN"/>
              </w:rPr>
            </w:pPr>
          </w:p>
        </w:tc>
        <w:tc>
          <w:tcPr>
            <w:tcW w:w="383" w:type="pct"/>
            <w:tcBorders>
              <w:top w:val="single" w:color="auto" w:sz="4" w:space="0"/>
              <w:left w:val="single" w:color="auto" w:sz="4" w:space="0"/>
              <w:bottom w:val="single" w:color="auto" w:sz="4" w:space="0"/>
              <w:right w:val="single" w:color="auto" w:sz="4" w:space="0"/>
            </w:tcBorders>
            <w:vAlign w:val="center"/>
          </w:tcPr>
          <w:p w14:paraId="001A971A">
            <w:pPr>
              <w:jc w:val="center"/>
              <w:rPr>
                <w:rFonts w:ascii="宋体" w:hAnsi="宋体" w:cs="宋体"/>
                <w:color w:val="auto"/>
                <w:szCs w:val="21"/>
                <w:highlight w:val="none"/>
                <w:shd w:val="clear" w:color="auto" w:fill="FFFFFF"/>
                <w:lang w:val="zh-CN"/>
              </w:rPr>
            </w:pPr>
          </w:p>
        </w:tc>
        <w:tc>
          <w:tcPr>
            <w:tcW w:w="416" w:type="pct"/>
            <w:vMerge w:val="continue"/>
            <w:tcBorders>
              <w:left w:val="single" w:color="auto" w:sz="4" w:space="0"/>
              <w:right w:val="single" w:color="auto" w:sz="4" w:space="0"/>
            </w:tcBorders>
            <w:vAlign w:val="center"/>
          </w:tcPr>
          <w:p w14:paraId="17798CF9">
            <w:pPr>
              <w:jc w:val="center"/>
              <w:rPr>
                <w:rFonts w:ascii="宋体" w:hAnsi="宋体" w:cs="宋体"/>
                <w:color w:val="auto"/>
                <w:szCs w:val="21"/>
                <w:highlight w:val="none"/>
                <w:shd w:val="clear" w:color="auto" w:fill="FFFFFF"/>
                <w:lang w:val="zh-CN"/>
              </w:rPr>
            </w:pPr>
          </w:p>
        </w:tc>
        <w:tc>
          <w:tcPr>
            <w:tcW w:w="382" w:type="pct"/>
            <w:tcBorders>
              <w:top w:val="single" w:color="auto" w:sz="4" w:space="0"/>
              <w:left w:val="single" w:color="auto" w:sz="4" w:space="0"/>
              <w:bottom w:val="single" w:color="auto" w:sz="4" w:space="0"/>
              <w:right w:val="single" w:color="auto" w:sz="4" w:space="0"/>
            </w:tcBorders>
            <w:vAlign w:val="center"/>
          </w:tcPr>
          <w:p w14:paraId="6E74E8FF">
            <w:pPr>
              <w:jc w:val="center"/>
              <w:rPr>
                <w:rFonts w:ascii="宋体" w:hAnsi="宋体" w:cs="宋体"/>
                <w:color w:val="auto"/>
                <w:szCs w:val="21"/>
                <w:highlight w:val="none"/>
                <w:shd w:val="clear" w:color="auto" w:fill="FFFFFF"/>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14:paraId="751E61A5">
            <w:pPr>
              <w:jc w:val="center"/>
              <w:rPr>
                <w:rFonts w:ascii="宋体" w:hAnsi="宋体" w:cs="宋体"/>
                <w:color w:val="auto"/>
                <w:szCs w:val="21"/>
                <w:highlight w:val="none"/>
                <w:shd w:val="clear" w:color="auto" w:fill="FFFFFF"/>
                <w:lang w:val="zh-CN"/>
              </w:rPr>
            </w:pPr>
          </w:p>
        </w:tc>
        <w:tc>
          <w:tcPr>
            <w:tcW w:w="392" w:type="pct"/>
            <w:tcBorders>
              <w:top w:val="single" w:color="auto" w:sz="4" w:space="0"/>
              <w:left w:val="single" w:color="auto" w:sz="4" w:space="0"/>
              <w:bottom w:val="single" w:color="auto" w:sz="4" w:space="0"/>
              <w:right w:val="single" w:color="auto" w:sz="4" w:space="0"/>
            </w:tcBorders>
            <w:vAlign w:val="center"/>
          </w:tcPr>
          <w:p w14:paraId="04B44B51">
            <w:pPr>
              <w:jc w:val="center"/>
              <w:rPr>
                <w:rFonts w:ascii="宋体" w:hAnsi="宋体" w:cs="宋体"/>
                <w:color w:val="auto"/>
                <w:szCs w:val="21"/>
                <w:highlight w:val="none"/>
                <w:shd w:val="clear" w:color="auto" w:fill="FFFFFF"/>
                <w:lang w:val="zh-CN"/>
              </w:rPr>
            </w:pPr>
          </w:p>
        </w:tc>
      </w:tr>
      <w:tr w14:paraId="192D5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22" w:type="dxa"/>
          <w:trHeight w:val="63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715CF785">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6</w:t>
            </w:r>
          </w:p>
        </w:tc>
        <w:tc>
          <w:tcPr>
            <w:tcW w:w="1414" w:type="pct"/>
            <w:tcBorders>
              <w:top w:val="single" w:color="auto" w:sz="4" w:space="0"/>
              <w:left w:val="single" w:color="auto" w:sz="4" w:space="0"/>
              <w:bottom w:val="single" w:color="auto" w:sz="4" w:space="0"/>
              <w:right w:val="single" w:color="auto" w:sz="4" w:space="0"/>
            </w:tcBorders>
            <w:vAlign w:val="center"/>
          </w:tcPr>
          <w:p w14:paraId="6F7B307D">
            <w:pPr>
              <w:jc w:val="center"/>
              <w:rPr>
                <w:rFonts w:ascii="宋体" w:hAnsi="宋体" w:cs="宋体"/>
                <w:color w:val="auto"/>
                <w:szCs w:val="21"/>
                <w:highlight w:val="none"/>
                <w:shd w:val="clear" w:color="auto" w:fill="FFFFFF"/>
                <w:lang w:val="zh-CN"/>
              </w:rPr>
            </w:pPr>
          </w:p>
        </w:tc>
        <w:tc>
          <w:tcPr>
            <w:tcW w:w="434" w:type="pct"/>
            <w:tcBorders>
              <w:top w:val="single" w:color="auto" w:sz="4" w:space="0"/>
              <w:left w:val="single" w:color="auto" w:sz="4" w:space="0"/>
              <w:bottom w:val="single" w:color="auto" w:sz="4" w:space="0"/>
              <w:right w:val="single" w:color="auto" w:sz="4" w:space="0"/>
            </w:tcBorders>
            <w:vAlign w:val="center"/>
          </w:tcPr>
          <w:p w14:paraId="6EEACA7F">
            <w:pPr>
              <w:jc w:val="center"/>
              <w:rPr>
                <w:rFonts w:ascii="宋体" w:hAnsi="宋体" w:cs="宋体"/>
                <w:color w:val="auto"/>
                <w:szCs w:val="21"/>
                <w:highlight w:val="none"/>
                <w:shd w:val="clear" w:color="auto" w:fill="FFFFFF"/>
                <w:lang w:val="zh-CN"/>
              </w:rPr>
            </w:pPr>
          </w:p>
        </w:tc>
        <w:tc>
          <w:tcPr>
            <w:tcW w:w="416" w:type="pct"/>
            <w:vMerge w:val="continue"/>
            <w:tcBorders>
              <w:left w:val="single" w:color="auto" w:sz="4" w:space="0"/>
              <w:right w:val="single" w:color="auto" w:sz="4" w:space="0"/>
            </w:tcBorders>
            <w:vAlign w:val="center"/>
          </w:tcPr>
          <w:p w14:paraId="3CC0EB12">
            <w:pPr>
              <w:jc w:val="center"/>
              <w:rPr>
                <w:rFonts w:ascii="宋体" w:hAnsi="宋体" w:cs="宋体"/>
                <w:color w:val="auto"/>
                <w:szCs w:val="21"/>
                <w:highlight w:val="none"/>
                <w:shd w:val="clear" w:color="auto" w:fill="FFFFFF"/>
                <w:lang w:val="zh-CN"/>
              </w:rPr>
            </w:pPr>
          </w:p>
        </w:tc>
        <w:tc>
          <w:tcPr>
            <w:tcW w:w="382" w:type="pct"/>
            <w:tcBorders>
              <w:top w:val="single" w:color="auto" w:sz="4" w:space="0"/>
              <w:left w:val="single" w:color="auto" w:sz="4" w:space="0"/>
              <w:bottom w:val="single" w:color="auto" w:sz="4" w:space="0"/>
              <w:right w:val="single" w:color="auto" w:sz="4" w:space="0"/>
            </w:tcBorders>
            <w:vAlign w:val="center"/>
          </w:tcPr>
          <w:p w14:paraId="70A0DA0B">
            <w:pPr>
              <w:jc w:val="center"/>
              <w:rPr>
                <w:rFonts w:ascii="宋体" w:hAnsi="宋体" w:cs="宋体"/>
                <w:color w:val="auto"/>
                <w:szCs w:val="21"/>
                <w:highlight w:val="none"/>
                <w:shd w:val="clear" w:color="auto" w:fill="FFFFFF"/>
                <w:lang w:val="zh-CN"/>
              </w:rPr>
            </w:pPr>
          </w:p>
        </w:tc>
        <w:tc>
          <w:tcPr>
            <w:tcW w:w="383" w:type="pct"/>
            <w:tcBorders>
              <w:top w:val="single" w:color="auto" w:sz="4" w:space="0"/>
              <w:left w:val="single" w:color="auto" w:sz="4" w:space="0"/>
              <w:bottom w:val="single" w:color="auto" w:sz="4" w:space="0"/>
              <w:right w:val="single" w:color="auto" w:sz="4" w:space="0"/>
            </w:tcBorders>
            <w:vAlign w:val="center"/>
          </w:tcPr>
          <w:p w14:paraId="496406DD">
            <w:pPr>
              <w:jc w:val="center"/>
              <w:rPr>
                <w:rFonts w:ascii="宋体" w:hAnsi="宋体" w:cs="宋体"/>
                <w:color w:val="auto"/>
                <w:szCs w:val="21"/>
                <w:highlight w:val="none"/>
                <w:shd w:val="clear" w:color="auto" w:fill="FFFFFF"/>
                <w:lang w:val="zh-CN"/>
              </w:rPr>
            </w:pPr>
          </w:p>
        </w:tc>
        <w:tc>
          <w:tcPr>
            <w:tcW w:w="416" w:type="pct"/>
            <w:vMerge w:val="continue"/>
            <w:tcBorders>
              <w:left w:val="single" w:color="auto" w:sz="4" w:space="0"/>
              <w:right w:val="single" w:color="auto" w:sz="4" w:space="0"/>
            </w:tcBorders>
            <w:vAlign w:val="center"/>
          </w:tcPr>
          <w:p w14:paraId="0D7AC1F1">
            <w:pPr>
              <w:jc w:val="center"/>
              <w:rPr>
                <w:rFonts w:ascii="宋体" w:hAnsi="宋体" w:cs="宋体"/>
                <w:color w:val="auto"/>
                <w:szCs w:val="21"/>
                <w:highlight w:val="none"/>
                <w:shd w:val="clear" w:color="auto" w:fill="FFFFFF"/>
                <w:lang w:val="zh-CN"/>
              </w:rPr>
            </w:pPr>
          </w:p>
        </w:tc>
        <w:tc>
          <w:tcPr>
            <w:tcW w:w="382" w:type="pct"/>
            <w:tcBorders>
              <w:top w:val="single" w:color="auto" w:sz="4" w:space="0"/>
              <w:left w:val="single" w:color="auto" w:sz="4" w:space="0"/>
              <w:bottom w:val="single" w:color="auto" w:sz="4" w:space="0"/>
              <w:right w:val="single" w:color="auto" w:sz="4" w:space="0"/>
            </w:tcBorders>
            <w:vAlign w:val="center"/>
          </w:tcPr>
          <w:p w14:paraId="456902E9">
            <w:pPr>
              <w:jc w:val="center"/>
              <w:rPr>
                <w:rFonts w:ascii="宋体" w:hAnsi="宋体" w:cs="宋体"/>
                <w:color w:val="auto"/>
                <w:szCs w:val="21"/>
                <w:highlight w:val="none"/>
                <w:shd w:val="clear" w:color="auto" w:fill="FFFFFF"/>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14:paraId="152FBABB">
            <w:pPr>
              <w:jc w:val="center"/>
              <w:rPr>
                <w:rFonts w:ascii="宋体" w:hAnsi="宋体" w:cs="宋体"/>
                <w:color w:val="auto"/>
                <w:szCs w:val="21"/>
                <w:highlight w:val="none"/>
                <w:shd w:val="clear" w:color="auto" w:fill="FFFFFF"/>
                <w:lang w:val="zh-CN"/>
              </w:rPr>
            </w:pPr>
          </w:p>
        </w:tc>
        <w:tc>
          <w:tcPr>
            <w:tcW w:w="392" w:type="pct"/>
            <w:tcBorders>
              <w:top w:val="single" w:color="auto" w:sz="4" w:space="0"/>
              <w:left w:val="single" w:color="auto" w:sz="4" w:space="0"/>
              <w:bottom w:val="single" w:color="auto" w:sz="4" w:space="0"/>
              <w:right w:val="single" w:color="auto" w:sz="4" w:space="0"/>
            </w:tcBorders>
            <w:vAlign w:val="center"/>
          </w:tcPr>
          <w:p w14:paraId="372F5606">
            <w:pPr>
              <w:jc w:val="center"/>
              <w:rPr>
                <w:rFonts w:ascii="宋体" w:hAnsi="宋体" w:cs="宋体"/>
                <w:color w:val="auto"/>
                <w:szCs w:val="21"/>
                <w:highlight w:val="none"/>
                <w:shd w:val="clear" w:color="auto" w:fill="FFFFFF"/>
                <w:lang w:val="zh-CN"/>
              </w:rPr>
            </w:pPr>
          </w:p>
        </w:tc>
      </w:tr>
      <w:tr w14:paraId="3FB7D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After w:w="122" w:type="dxa"/>
          <w:trHeight w:val="630" w:hRule="atLeast"/>
          <w:jc w:val="center"/>
        </w:trPr>
        <w:tc>
          <w:tcPr>
            <w:tcW w:w="268" w:type="pct"/>
            <w:tcBorders>
              <w:top w:val="single" w:color="auto" w:sz="4" w:space="0"/>
              <w:left w:val="single" w:color="auto" w:sz="4" w:space="0"/>
              <w:bottom w:val="single" w:color="auto" w:sz="4" w:space="0"/>
              <w:right w:val="single" w:color="auto" w:sz="4" w:space="0"/>
            </w:tcBorders>
            <w:vAlign w:val="center"/>
          </w:tcPr>
          <w:p w14:paraId="0311FB9C">
            <w:pPr>
              <w:jc w:val="center"/>
              <w:rPr>
                <w:rFonts w:ascii="宋体" w:hAnsi="宋体" w:cs="宋体"/>
                <w:color w:val="auto"/>
                <w:szCs w:val="21"/>
                <w:highlight w:val="none"/>
                <w:shd w:val="clear" w:color="auto" w:fill="FFFFFF"/>
              </w:rPr>
            </w:pPr>
            <w:r>
              <w:rPr>
                <w:rFonts w:hint="eastAsia" w:ascii="宋体" w:hAnsi="宋体" w:cs="宋体"/>
                <w:color w:val="auto"/>
                <w:szCs w:val="21"/>
                <w:highlight w:val="none"/>
                <w:shd w:val="clear" w:color="auto" w:fill="FFFFFF"/>
              </w:rPr>
              <w:t>7</w:t>
            </w:r>
          </w:p>
        </w:tc>
        <w:tc>
          <w:tcPr>
            <w:tcW w:w="1414" w:type="pct"/>
            <w:tcBorders>
              <w:top w:val="single" w:color="auto" w:sz="4" w:space="0"/>
              <w:left w:val="single" w:color="auto" w:sz="4" w:space="0"/>
              <w:bottom w:val="single" w:color="auto" w:sz="4" w:space="0"/>
              <w:right w:val="single" w:color="auto" w:sz="4" w:space="0"/>
            </w:tcBorders>
            <w:vAlign w:val="center"/>
          </w:tcPr>
          <w:p w14:paraId="63ACB779">
            <w:pPr>
              <w:jc w:val="center"/>
              <w:rPr>
                <w:rFonts w:ascii="宋体" w:hAnsi="宋体" w:cs="宋体"/>
                <w:color w:val="auto"/>
                <w:szCs w:val="21"/>
                <w:highlight w:val="none"/>
                <w:shd w:val="clear" w:color="auto" w:fill="FFFFFF"/>
                <w:lang w:val="zh-CN"/>
              </w:rPr>
            </w:pPr>
          </w:p>
        </w:tc>
        <w:tc>
          <w:tcPr>
            <w:tcW w:w="434" w:type="pct"/>
            <w:tcBorders>
              <w:top w:val="single" w:color="auto" w:sz="4" w:space="0"/>
              <w:left w:val="single" w:color="auto" w:sz="4" w:space="0"/>
              <w:bottom w:val="single" w:color="auto" w:sz="4" w:space="0"/>
              <w:right w:val="single" w:color="auto" w:sz="4" w:space="0"/>
            </w:tcBorders>
            <w:vAlign w:val="center"/>
          </w:tcPr>
          <w:p w14:paraId="498068E7">
            <w:pPr>
              <w:jc w:val="center"/>
              <w:rPr>
                <w:rFonts w:ascii="宋体" w:hAnsi="宋体" w:cs="宋体"/>
                <w:color w:val="auto"/>
                <w:szCs w:val="21"/>
                <w:highlight w:val="none"/>
                <w:shd w:val="clear" w:color="auto" w:fill="FFFFFF"/>
                <w:lang w:val="zh-CN"/>
              </w:rPr>
            </w:pPr>
          </w:p>
        </w:tc>
        <w:tc>
          <w:tcPr>
            <w:tcW w:w="416" w:type="pct"/>
            <w:vMerge w:val="continue"/>
            <w:tcBorders>
              <w:left w:val="single" w:color="auto" w:sz="4" w:space="0"/>
              <w:bottom w:val="single" w:color="auto" w:sz="4" w:space="0"/>
              <w:right w:val="single" w:color="auto" w:sz="4" w:space="0"/>
            </w:tcBorders>
            <w:vAlign w:val="center"/>
          </w:tcPr>
          <w:p w14:paraId="133C26E7">
            <w:pPr>
              <w:jc w:val="center"/>
              <w:rPr>
                <w:rFonts w:ascii="宋体" w:hAnsi="宋体" w:cs="宋体"/>
                <w:color w:val="auto"/>
                <w:szCs w:val="21"/>
                <w:highlight w:val="none"/>
                <w:shd w:val="clear" w:color="auto" w:fill="FFFFFF"/>
                <w:lang w:val="zh-CN"/>
              </w:rPr>
            </w:pPr>
          </w:p>
        </w:tc>
        <w:tc>
          <w:tcPr>
            <w:tcW w:w="382" w:type="pct"/>
            <w:tcBorders>
              <w:top w:val="single" w:color="auto" w:sz="4" w:space="0"/>
              <w:left w:val="single" w:color="auto" w:sz="4" w:space="0"/>
              <w:bottom w:val="single" w:color="auto" w:sz="4" w:space="0"/>
              <w:right w:val="single" w:color="auto" w:sz="4" w:space="0"/>
            </w:tcBorders>
            <w:vAlign w:val="center"/>
          </w:tcPr>
          <w:p w14:paraId="4AA971D5">
            <w:pPr>
              <w:jc w:val="center"/>
              <w:rPr>
                <w:rFonts w:ascii="宋体" w:hAnsi="宋体" w:cs="宋体"/>
                <w:color w:val="auto"/>
                <w:szCs w:val="21"/>
                <w:highlight w:val="none"/>
                <w:shd w:val="clear" w:color="auto" w:fill="FFFFFF"/>
                <w:lang w:val="zh-CN"/>
              </w:rPr>
            </w:pPr>
          </w:p>
        </w:tc>
        <w:tc>
          <w:tcPr>
            <w:tcW w:w="383" w:type="pct"/>
            <w:tcBorders>
              <w:top w:val="single" w:color="auto" w:sz="4" w:space="0"/>
              <w:left w:val="single" w:color="auto" w:sz="4" w:space="0"/>
              <w:bottom w:val="single" w:color="auto" w:sz="4" w:space="0"/>
              <w:right w:val="single" w:color="auto" w:sz="4" w:space="0"/>
            </w:tcBorders>
            <w:vAlign w:val="center"/>
          </w:tcPr>
          <w:p w14:paraId="05CCB331">
            <w:pPr>
              <w:jc w:val="center"/>
              <w:rPr>
                <w:rFonts w:ascii="宋体" w:hAnsi="宋体" w:cs="宋体"/>
                <w:color w:val="auto"/>
                <w:szCs w:val="21"/>
                <w:highlight w:val="none"/>
                <w:shd w:val="clear" w:color="auto" w:fill="FFFFFF"/>
                <w:lang w:val="zh-CN"/>
              </w:rPr>
            </w:pPr>
          </w:p>
        </w:tc>
        <w:tc>
          <w:tcPr>
            <w:tcW w:w="416" w:type="pct"/>
            <w:vMerge w:val="continue"/>
            <w:tcBorders>
              <w:left w:val="single" w:color="auto" w:sz="4" w:space="0"/>
              <w:bottom w:val="single" w:color="auto" w:sz="4" w:space="0"/>
              <w:right w:val="single" w:color="auto" w:sz="4" w:space="0"/>
            </w:tcBorders>
            <w:vAlign w:val="center"/>
          </w:tcPr>
          <w:p w14:paraId="71982855">
            <w:pPr>
              <w:jc w:val="center"/>
              <w:rPr>
                <w:rFonts w:ascii="宋体" w:hAnsi="宋体" w:cs="宋体"/>
                <w:color w:val="auto"/>
                <w:szCs w:val="21"/>
                <w:highlight w:val="none"/>
                <w:shd w:val="clear" w:color="auto" w:fill="FFFFFF"/>
                <w:lang w:val="zh-CN"/>
              </w:rPr>
            </w:pPr>
          </w:p>
        </w:tc>
        <w:tc>
          <w:tcPr>
            <w:tcW w:w="382" w:type="pct"/>
            <w:tcBorders>
              <w:top w:val="single" w:color="auto" w:sz="4" w:space="0"/>
              <w:left w:val="single" w:color="auto" w:sz="4" w:space="0"/>
              <w:bottom w:val="single" w:color="auto" w:sz="4" w:space="0"/>
              <w:right w:val="single" w:color="auto" w:sz="4" w:space="0"/>
            </w:tcBorders>
            <w:vAlign w:val="center"/>
          </w:tcPr>
          <w:p w14:paraId="4977E2EA">
            <w:pPr>
              <w:jc w:val="center"/>
              <w:rPr>
                <w:rFonts w:ascii="宋体" w:hAnsi="宋体" w:cs="宋体"/>
                <w:color w:val="auto"/>
                <w:szCs w:val="21"/>
                <w:highlight w:val="none"/>
                <w:shd w:val="clear" w:color="auto" w:fill="FFFFFF"/>
                <w:lang w:val="zh-CN"/>
              </w:rPr>
            </w:pPr>
          </w:p>
        </w:tc>
        <w:tc>
          <w:tcPr>
            <w:tcW w:w="514" w:type="pct"/>
            <w:tcBorders>
              <w:top w:val="single" w:color="auto" w:sz="4" w:space="0"/>
              <w:left w:val="single" w:color="auto" w:sz="4" w:space="0"/>
              <w:bottom w:val="single" w:color="auto" w:sz="4" w:space="0"/>
              <w:right w:val="single" w:color="auto" w:sz="4" w:space="0"/>
            </w:tcBorders>
            <w:vAlign w:val="center"/>
          </w:tcPr>
          <w:p w14:paraId="0E283953">
            <w:pPr>
              <w:jc w:val="center"/>
              <w:rPr>
                <w:rFonts w:ascii="宋体" w:hAnsi="宋体" w:cs="宋体"/>
                <w:color w:val="auto"/>
                <w:szCs w:val="21"/>
                <w:highlight w:val="none"/>
                <w:shd w:val="clear" w:color="auto" w:fill="FFFFFF"/>
                <w:lang w:val="zh-CN"/>
              </w:rPr>
            </w:pPr>
          </w:p>
        </w:tc>
        <w:tc>
          <w:tcPr>
            <w:tcW w:w="392" w:type="pct"/>
            <w:tcBorders>
              <w:top w:val="single" w:color="auto" w:sz="4" w:space="0"/>
              <w:left w:val="single" w:color="auto" w:sz="4" w:space="0"/>
              <w:bottom w:val="single" w:color="auto" w:sz="4" w:space="0"/>
              <w:right w:val="single" w:color="auto" w:sz="4" w:space="0"/>
            </w:tcBorders>
            <w:vAlign w:val="center"/>
          </w:tcPr>
          <w:p w14:paraId="7488D484">
            <w:pPr>
              <w:jc w:val="center"/>
              <w:rPr>
                <w:rFonts w:ascii="宋体" w:hAnsi="宋体" w:cs="宋体"/>
                <w:color w:val="auto"/>
                <w:szCs w:val="21"/>
                <w:highlight w:val="none"/>
                <w:shd w:val="clear" w:color="auto" w:fill="FFFFFF"/>
                <w:lang w:val="zh-CN"/>
              </w:rPr>
            </w:pPr>
          </w:p>
        </w:tc>
      </w:tr>
    </w:tbl>
    <w:p w14:paraId="73B5C5D1">
      <w:pPr>
        <w:ind w:left="105" w:leftChars="50" w:firstLine="210" w:firstLineChars="100"/>
        <w:rPr>
          <w:rFonts w:hAnsi="宋体" w:cs="宋体"/>
          <w:color w:val="auto"/>
          <w:highlight w:val="none"/>
        </w:rPr>
      </w:pPr>
      <w:r>
        <w:rPr>
          <w:rFonts w:hint="eastAsia" w:ascii="宋体" w:hAnsi="宋体" w:eastAsia="宋体" w:cs="宋体"/>
          <w:color w:val="auto"/>
          <w:highlight w:val="none"/>
        </w:rPr>
        <w:t>备注：</w:t>
      </w:r>
      <w:r>
        <w:rPr>
          <w:rFonts w:hint="eastAsia" w:hAnsi="宋体" w:cs="宋体"/>
          <w:color w:val="auto"/>
          <w:highlight w:val="none"/>
        </w:rPr>
        <w:t>1、若合格中标候选人总得分相同且影响定标排序的，以方案因素得分高的排前；若方案因素得分仍相同的，以报价低的排前，若报价仍相同的，由定标委员会投票确定排序。</w:t>
      </w:r>
    </w:p>
    <w:p w14:paraId="5AC2AE85">
      <w:pPr>
        <w:ind w:firstLine="420" w:firstLineChars="200"/>
        <w:rPr>
          <w:rFonts w:ascii="宋体" w:hAnsi="宋体" w:cs="宋体"/>
          <w:bCs/>
          <w:color w:val="auto"/>
          <w:szCs w:val="21"/>
          <w:highlight w:val="none"/>
        </w:rPr>
      </w:pPr>
      <w:r>
        <w:rPr>
          <w:rFonts w:hint="eastAsia" w:ascii="宋体" w:hAnsi="宋体" w:cs="宋体"/>
          <w:color w:val="auto"/>
          <w:szCs w:val="21"/>
          <w:highlight w:val="none"/>
        </w:rPr>
        <w:t>2、</w:t>
      </w:r>
      <w:r>
        <w:rPr>
          <w:rFonts w:hint="eastAsia" w:ascii="宋体" w:hAnsi="宋体" w:cs="宋体"/>
          <w:color w:val="auto"/>
          <w:highlight w:val="none"/>
        </w:rPr>
        <w:t>总分（100分）=方案因素</w:t>
      </w:r>
      <w:r>
        <w:rPr>
          <w:rFonts w:hint="eastAsia" w:ascii="宋体" w:hAnsi="宋体" w:cs="宋体"/>
          <w:color w:val="auto"/>
          <w:szCs w:val="20"/>
          <w:highlight w:val="none"/>
        </w:rPr>
        <w:t>得分（100分）×</w:t>
      </w:r>
      <w:r>
        <w:rPr>
          <w:rFonts w:hint="eastAsia" w:ascii="宋体" w:hAnsi="宋体" w:cs="宋体"/>
          <w:color w:val="auto"/>
          <w:highlight w:val="none"/>
        </w:rPr>
        <w:t>方案因素得分</w:t>
      </w:r>
      <w:r>
        <w:rPr>
          <w:rFonts w:hint="eastAsia" w:ascii="宋体" w:hAnsi="宋体" w:cs="宋体"/>
          <w:color w:val="auto"/>
          <w:szCs w:val="20"/>
          <w:highlight w:val="none"/>
        </w:rPr>
        <w:t>权重（70%）+价格因素得分（100分）×价格因素得分权重（30%）</w:t>
      </w:r>
      <w:r>
        <w:rPr>
          <w:rFonts w:hint="eastAsia" w:ascii="宋体" w:hAnsi="宋体" w:cs="宋体"/>
          <w:color w:val="auto"/>
          <w:highlight w:val="none"/>
        </w:rPr>
        <w:t>（若分数出现小数点时，保留小数点后二位，第三位小数四舍五入）。</w:t>
      </w:r>
    </w:p>
    <w:p w14:paraId="23647B94">
      <w:pPr>
        <w:ind w:firstLine="420" w:firstLineChars="200"/>
        <w:rPr>
          <w:rFonts w:ascii="宋体" w:hAnsi="宋体" w:eastAsia="宋体" w:cs="宋体"/>
          <w:bCs/>
          <w:color w:val="auto"/>
          <w:szCs w:val="21"/>
          <w:highlight w:val="none"/>
        </w:rPr>
      </w:pPr>
    </w:p>
    <w:p w14:paraId="2C626668">
      <w:pPr>
        <w:snapToGrid w:val="0"/>
        <w:jc w:val="left"/>
        <w:rPr>
          <w:rFonts w:ascii="宋体" w:hAnsi="宋体" w:eastAsia="宋体" w:cs="宋体"/>
          <w:color w:val="auto"/>
          <w:szCs w:val="21"/>
          <w:highlight w:val="none"/>
        </w:rPr>
      </w:pPr>
    </w:p>
    <w:p w14:paraId="1305C0D8">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020E68DF">
      <w:pPr>
        <w:ind w:right="430"/>
        <w:jc w:val="right"/>
        <w:rPr>
          <w:rFonts w:ascii="宋体" w:hAnsi="宋体" w:eastAsia="宋体" w:cs="宋体"/>
          <w:color w:val="auto"/>
          <w:sz w:val="24"/>
          <w:highlight w:val="none"/>
        </w:rPr>
      </w:pPr>
      <w:r>
        <w:rPr>
          <w:rFonts w:hint="eastAsia" w:ascii="宋体" w:hAnsi="宋体" w:eastAsia="宋体" w:cs="宋体"/>
          <w:color w:val="auto"/>
          <w:szCs w:val="21"/>
          <w:highlight w:val="none"/>
        </w:rPr>
        <w:t>日期：</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日</w:t>
      </w:r>
    </w:p>
    <w:p w14:paraId="23455040">
      <w:pPr>
        <w:pStyle w:val="243"/>
        <w:rPr>
          <w:rFonts w:ascii="宋体" w:hAnsi="宋体" w:eastAsia="宋体" w:cs="宋体"/>
          <w:color w:val="auto"/>
          <w:sz w:val="21"/>
          <w:szCs w:val="21"/>
          <w:highlight w:val="none"/>
        </w:rPr>
        <w:sectPr>
          <w:pgSz w:w="11906" w:h="16838"/>
          <w:pgMar w:top="1440" w:right="1440" w:bottom="1440" w:left="1440" w:header="851" w:footer="992" w:gutter="0"/>
          <w:cols w:space="0" w:num="1"/>
          <w:docGrid w:type="lines" w:linePitch="322" w:charSpace="0"/>
        </w:sectPr>
      </w:pPr>
    </w:p>
    <w:p w14:paraId="65ACB3FB">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附表十一</w:t>
      </w:r>
    </w:p>
    <w:p w14:paraId="460F8E7B">
      <w:pPr>
        <w:pStyle w:val="22"/>
        <w:rPr>
          <w:rFonts w:ascii="宋体" w:hAnsi="宋体" w:eastAsia="宋体" w:cs="宋体"/>
          <w:color w:val="auto"/>
          <w:highlight w:val="none"/>
        </w:rPr>
      </w:pPr>
    </w:p>
    <w:p w14:paraId="283E70BE">
      <w:pPr>
        <w:snapToGrid w:val="0"/>
        <w:spacing w:line="360" w:lineRule="auto"/>
        <w:ind w:firstLine="904" w:firstLineChars="300"/>
        <w:jc w:val="center"/>
        <w:outlineLvl w:val="2"/>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w:t>
      </w:r>
      <w:r>
        <w:rPr>
          <w:rFonts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组第</w:t>
      </w:r>
      <w:r>
        <w:rPr>
          <w:rFonts w:ascii="宋体" w:hAnsi="宋体" w:eastAsia="宋体" w:cs="宋体"/>
          <w:b/>
          <w:color w:val="auto"/>
          <w:sz w:val="30"/>
          <w:szCs w:val="30"/>
          <w:highlight w:val="none"/>
          <w:u w:val="single"/>
        </w:rPr>
        <w:t xml:space="preserve">   </w:t>
      </w:r>
      <w:r>
        <w:rPr>
          <w:rFonts w:hint="eastAsia" w:ascii="宋体" w:hAnsi="宋体" w:eastAsia="宋体" w:cs="宋体"/>
          <w:b/>
          <w:color w:val="auto"/>
          <w:sz w:val="30"/>
          <w:szCs w:val="30"/>
          <w:highlight w:val="none"/>
        </w:rPr>
        <w:t>轮）附加投票表（如有）</w:t>
      </w:r>
    </w:p>
    <w:p w14:paraId="78267FC7">
      <w:pPr>
        <w:snapToGrid w:val="0"/>
        <w:spacing w:line="360" w:lineRule="auto"/>
        <w:ind w:firstLine="904" w:firstLineChars="300"/>
        <w:jc w:val="center"/>
        <w:outlineLvl w:val="2"/>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（定标委员会个人用表）</w:t>
      </w:r>
    </w:p>
    <w:p w14:paraId="2CD588F7">
      <w:pPr>
        <w:jc w:val="center"/>
        <w:rPr>
          <w:rFonts w:ascii="宋体" w:hAnsi="宋体" w:eastAsia="宋体" w:cs="宋体"/>
          <w:b/>
          <w:color w:val="auto"/>
          <w:sz w:val="30"/>
          <w:szCs w:val="30"/>
          <w:highlight w:val="none"/>
        </w:rPr>
      </w:pPr>
    </w:p>
    <w:p w14:paraId="1E41CE6A">
      <w:pP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工程名称：</w:t>
      </w:r>
    </w:p>
    <w:tbl>
      <w:tblPr>
        <w:tblStyle w:val="8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2126"/>
        <w:gridCol w:w="2126"/>
        <w:gridCol w:w="2127"/>
      </w:tblGrid>
      <w:tr w14:paraId="46FAD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vAlign w:val="center"/>
          </w:tcPr>
          <w:p w14:paraId="18306BFF">
            <w:pPr>
              <w:spacing w:line="600" w:lineRule="exact"/>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合格中标候选人名称</w:t>
            </w:r>
          </w:p>
        </w:tc>
        <w:tc>
          <w:tcPr>
            <w:tcW w:w="2126" w:type="dxa"/>
            <w:tcBorders>
              <w:top w:val="single" w:color="auto" w:sz="4" w:space="0"/>
              <w:left w:val="single" w:color="auto" w:sz="4" w:space="0"/>
              <w:bottom w:val="single" w:color="auto" w:sz="4" w:space="0"/>
              <w:right w:val="single" w:color="auto" w:sz="4" w:space="0"/>
            </w:tcBorders>
            <w:vAlign w:val="center"/>
          </w:tcPr>
          <w:p w14:paraId="1669A9F0">
            <w:pPr>
              <w:spacing w:line="600" w:lineRule="exact"/>
              <w:jc w:val="center"/>
              <w:rPr>
                <w:rFonts w:ascii="宋体" w:hAnsi="宋体" w:eastAsia="宋体" w:cs="宋体"/>
                <w:color w:val="auto"/>
                <w:sz w:val="24"/>
                <w:szCs w:val="22"/>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1258AE39">
            <w:pPr>
              <w:spacing w:line="600" w:lineRule="exact"/>
              <w:jc w:val="center"/>
              <w:rPr>
                <w:rFonts w:ascii="宋体" w:hAnsi="宋体" w:eastAsia="宋体" w:cs="宋体"/>
                <w:color w:val="auto"/>
                <w:sz w:val="24"/>
                <w:szCs w:val="22"/>
                <w:highlight w:val="none"/>
              </w:rPr>
            </w:pPr>
          </w:p>
        </w:tc>
        <w:tc>
          <w:tcPr>
            <w:tcW w:w="2127" w:type="dxa"/>
            <w:tcBorders>
              <w:top w:val="single" w:color="auto" w:sz="4" w:space="0"/>
              <w:left w:val="single" w:color="auto" w:sz="4" w:space="0"/>
              <w:bottom w:val="single" w:color="auto" w:sz="4" w:space="0"/>
              <w:right w:val="single" w:color="auto" w:sz="4" w:space="0"/>
            </w:tcBorders>
          </w:tcPr>
          <w:p w14:paraId="3120534A">
            <w:pPr>
              <w:spacing w:line="600" w:lineRule="exact"/>
              <w:jc w:val="center"/>
              <w:rPr>
                <w:rFonts w:ascii="宋体" w:hAnsi="宋体" w:eastAsia="宋体" w:cs="宋体"/>
                <w:color w:val="auto"/>
                <w:sz w:val="24"/>
                <w:szCs w:val="22"/>
                <w:highlight w:val="none"/>
              </w:rPr>
            </w:pPr>
          </w:p>
        </w:tc>
      </w:tr>
      <w:tr w14:paraId="59FA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2410" w:type="dxa"/>
            <w:tcBorders>
              <w:top w:val="single" w:color="auto" w:sz="4" w:space="0"/>
              <w:left w:val="single" w:color="auto" w:sz="4" w:space="0"/>
              <w:bottom w:val="single" w:color="auto" w:sz="4" w:space="0"/>
              <w:right w:val="single" w:color="auto" w:sz="4" w:space="0"/>
            </w:tcBorders>
            <w:vAlign w:val="center"/>
          </w:tcPr>
          <w:p w14:paraId="0A99688A">
            <w:pPr>
              <w:spacing w:line="600" w:lineRule="exact"/>
              <w:jc w:val="cente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定标人票决意见</w:t>
            </w:r>
          </w:p>
        </w:tc>
        <w:tc>
          <w:tcPr>
            <w:tcW w:w="2126" w:type="dxa"/>
            <w:tcBorders>
              <w:top w:val="single" w:color="auto" w:sz="4" w:space="0"/>
              <w:left w:val="single" w:color="auto" w:sz="4" w:space="0"/>
              <w:bottom w:val="single" w:color="auto" w:sz="4" w:space="0"/>
              <w:right w:val="single" w:color="auto" w:sz="4" w:space="0"/>
            </w:tcBorders>
            <w:vAlign w:val="center"/>
          </w:tcPr>
          <w:p w14:paraId="3086BD35">
            <w:pPr>
              <w:spacing w:line="600" w:lineRule="exact"/>
              <w:jc w:val="center"/>
              <w:rPr>
                <w:rFonts w:ascii="宋体" w:hAnsi="宋体" w:eastAsia="宋体" w:cs="宋体"/>
                <w:color w:val="auto"/>
                <w:sz w:val="24"/>
                <w:szCs w:val="22"/>
                <w:highlight w:val="none"/>
              </w:rPr>
            </w:pPr>
          </w:p>
        </w:tc>
        <w:tc>
          <w:tcPr>
            <w:tcW w:w="2126" w:type="dxa"/>
            <w:tcBorders>
              <w:top w:val="single" w:color="auto" w:sz="4" w:space="0"/>
              <w:left w:val="single" w:color="auto" w:sz="4" w:space="0"/>
              <w:bottom w:val="single" w:color="auto" w:sz="4" w:space="0"/>
              <w:right w:val="single" w:color="auto" w:sz="4" w:space="0"/>
            </w:tcBorders>
            <w:vAlign w:val="center"/>
          </w:tcPr>
          <w:p w14:paraId="609F2733">
            <w:pPr>
              <w:spacing w:line="600" w:lineRule="exact"/>
              <w:jc w:val="center"/>
              <w:rPr>
                <w:rFonts w:ascii="宋体" w:hAnsi="宋体" w:eastAsia="宋体" w:cs="宋体"/>
                <w:color w:val="auto"/>
                <w:sz w:val="24"/>
                <w:szCs w:val="22"/>
                <w:highlight w:val="none"/>
              </w:rPr>
            </w:pPr>
          </w:p>
        </w:tc>
        <w:tc>
          <w:tcPr>
            <w:tcW w:w="2127" w:type="dxa"/>
            <w:tcBorders>
              <w:top w:val="single" w:color="auto" w:sz="4" w:space="0"/>
              <w:left w:val="single" w:color="auto" w:sz="4" w:space="0"/>
              <w:bottom w:val="single" w:color="auto" w:sz="4" w:space="0"/>
              <w:right w:val="single" w:color="auto" w:sz="4" w:space="0"/>
            </w:tcBorders>
          </w:tcPr>
          <w:p w14:paraId="14FFDADD">
            <w:pPr>
              <w:spacing w:line="600" w:lineRule="exact"/>
              <w:jc w:val="center"/>
              <w:rPr>
                <w:rFonts w:ascii="宋体" w:hAnsi="宋体" w:eastAsia="宋体" w:cs="宋体"/>
                <w:color w:val="auto"/>
                <w:sz w:val="24"/>
                <w:szCs w:val="22"/>
                <w:highlight w:val="none"/>
              </w:rPr>
            </w:pPr>
          </w:p>
        </w:tc>
      </w:tr>
    </w:tbl>
    <w:p w14:paraId="4EC6AC95">
      <w:pPr>
        <w:spacing w:line="360" w:lineRule="auto"/>
        <w:ind w:right="420"/>
        <w:rPr>
          <w:rFonts w:ascii="宋体" w:hAnsi="宋体" w:eastAsia="宋体" w:cs="宋体"/>
          <w:color w:val="auto"/>
          <w:sz w:val="24"/>
          <w:szCs w:val="22"/>
          <w:highlight w:val="none"/>
        </w:rPr>
      </w:pPr>
    </w:p>
    <w:p w14:paraId="0D1EB518">
      <w:pPr>
        <w:spacing w:line="276" w:lineRule="auto"/>
        <w:ind w:right="420"/>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36D59A0C">
      <w:pPr>
        <w:spacing w:line="276" w:lineRule="auto"/>
        <w:ind w:firstLine="367" w:firstLineChars="175"/>
        <w:rPr>
          <w:rFonts w:ascii="宋体" w:hAnsi="宋体" w:eastAsia="宋体" w:cs="宋体"/>
          <w:color w:val="auto"/>
          <w:szCs w:val="21"/>
          <w:highlight w:val="none"/>
        </w:rPr>
      </w:pPr>
      <w:r>
        <w:rPr>
          <w:rFonts w:ascii="宋体" w:hAnsi="宋体" w:eastAsia="宋体" w:cs="宋体"/>
          <w:color w:val="auto"/>
          <w:szCs w:val="21"/>
          <w:highlight w:val="none"/>
        </w:rPr>
        <w:t>1、若出现总得分、方案因素得分、</w:t>
      </w:r>
      <w:r>
        <w:rPr>
          <w:rFonts w:hint="eastAsia" w:ascii="宋体" w:hAnsi="宋体" w:eastAsia="宋体" w:cs="宋体"/>
          <w:color w:val="auto"/>
          <w:szCs w:val="21"/>
          <w:highlight w:val="none"/>
        </w:rPr>
        <w:t>投标报价</w:t>
      </w:r>
      <w:r>
        <w:rPr>
          <w:rFonts w:ascii="宋体" w:hAnsi="宋体" w:eastAsia="宋体" w:cs="宋体"/>
          <w:color w:val="auto"/>
          <w:szCs w:val="21"/>
          <w:highlight w:val="none"/>
        </w:rPr>
        <w:t>均相同的情况，按总得分、方案因素得分、</w:t>
      </w:r>
      <w:r>
        <w:rPr>
          <w:rFonts w:hint="eastAsia" w:ascii="宋体" w:hAnsi="宋体" w:eastAsia="宋体" w:cs="宋体"/>
          <w:color w:val="auto"/>
          <w:szCs w:val="21"/>
          <w:highlight w:val="none"/>
        </w:rPr>
        <w:t>投标报价</w:t>
      </w:r>
      <w:r>
        <w:rPr>
          <w:rFonts w:ascii="宋体" w:hAnsi="宋体" w:eastAsia="宋体" w:cs="宋体"/>
          <w:color w:val="auto"/>
          <w:szCs w:val="21"/>
          <w:highlight w:val="none"/>
        </w:rPr>
        <w:t>相同的合格中标候选人为一组，按总得分由高至低依次分组，总得分最高的组别为第一组，以此类推，出现总得分、方案因素得分、</w:t>
      </w:r>
      <w:r>
        <w:rPr>
          <w:rFonts w:hint="eastAsia" w:ascii="宋体" w:hAnsi="宋体" w:eastAsia="宋体" w:cs="宋体"/>
          <w:color w:val="auto"/>
          <w:szCs w:val="21"/>
          <w:highlight w:val="none"/>
        </w:rPr>
        <w:t>投标报价</w:t>
      </w:r>
      <w:r>
        <w:rPr>
          <w:rFonts w:ascii="宋体" w:hAnsi="宋体" w:eastAsia="宋体" w:cs="宋体"/>
          <w:color w:val="auto"/>
          <w:szCs w:val="21"/>
          <w:highlight w:val="none"/>
        </w:rPr>
        <w:t>相同情况的有</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组，本组为第</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组，共</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名合格中标候选人，总得分为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分，分别为</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74DAE0D2">
      <w:pPr>
        <w:spacing w:line="276" w:lineRule="auto"/>
        <w:ind w:firstLine="367" w:firstLineChars="175"/>
        <w:rPr>
          <w:rFonts w:ascii="宋体" w:hAnsi="宋体" w:eastAsia="宋体" w:cs="宋体"/>
          <w:color w:val="auto"/>
          <w:szCs w:val="21"/>
          <w:highlight w:val="none"/>
        </w:rPr>
      </w:pPr>
      <w:r>
        <w:rPr>
          <w:rFonts w:ascii="宋体" w:hAnsi="宋体" w:eastAsia="宋体" w:cs="宋体"/>
          <w:color w:val="auto"/>
          <w:szCs w:val="21"/>
          <w:highlight w:val="none"/>
        </w:rPr>
        <w:t>2、由定标委员会成员进行附加投票，票决意见分别为“投票”或“不投票”，各定标委员会成员只有1票表决权（即只能对其中一名合格中标候选人“投票”），票决意见为“投票”的，用</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表示；票决意见为“不投票”，用</w:t>
      </w:r>
      <w:r>
        <w:rPr>
          <w:rFonts w:hint="eastAsia" w:ascii="宋体" w:hAnsi="宋体" w:eastAsia="宋体" w:cs="宋体"/>
          <w:b/>
          <w:color w:val="auto"/>
          <w:szCs w:val="21"/>
          <w:highlight w:val="none"/>
        </w:rPr>
        <w:t>“×”</w:t>
      </w:r>
      <w:r>
        <w:rPr>
          <w:rFonts w:hint="eastAsia" w:ascii="宋体" w:hAnsi="宋体" w:eastAsia="宋体" w:cs="宋体"/>
          <w:color w:val="auto"/>
          <w:szCs w:val="21"/>
          <w:highlight w:val="none"/>
        </w:rPr>
        <w:t>表示。</w:t>
      </w:r>
    </w:p>
    <w:p w14:paraId="6DC5C9AF">
      <w:pPr>
        <w:spacing w:line="276" w:lineRule="auto"/>
        <w:ind w:firstLine="420" w:firstLineChars="200"/>
        <w:rPr>
          <w:rFonts w:ascii="宋体" w:hAnsi="宋体" w:eastAsia="宋体" w:cs="宋体"/>
          <w:color w:val="auto"/>
          <w:szCs w:val="21"/>
          <w:highlight w:val="none"/>
        </w:rPr>
      </w:pPr>
      <w:r>
        <w:rPr>
          <w:rFonts w:ascii="宋体" w:hAnsi="宋体" w:eastAsia="宋体" w:cs="宋体"/>
          <w:color w:val="auto"/>
          <w:szCs w:val="21"/>
          <w:highlight w:val="none"/>
        </w:rPr>
        <w:t>3、若汇总出现得票数相同的情况按此表进行第</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组第</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轮票决确定排序。</w:t>
      </w:r>
    </w:p>
    <w:p w14:paraId="3F4F4084">
      <w:pPr>
        <w:rPr>
          <w:rFonts w:ascii="宋体" w:hAnsi="宋体" w:eastAsia="宋体" w:cs="宋体"/>
          <w:color w:val="auto"/>
          <w:sz w:val="24"/>
          <w:szCs w:val="22"/>
          <w:highlight w:val="none"/>
        </w:rPr>
      </w:pPr>
    </w:p>
    <w:p w14:paraId="3817AFA1">
      <w:pPr>
        <w:spacing w:line="360" w:lineRule="auto"/>
        <w:ind w:right="420"/>
        <w:rPr>
          <w:rFonts w:ascii="宋体" w:hAnsi="宋体" w:eastAsia="宋体" w:cs="宋体"/>
          <w:color w:val="auto"/>
          <w:szCs w:val="22"/>
          <w:highlight w:val="none"/>
        </w:rPr>
      </w:pPr>
    </w:p>
    <w:p w14:paraId="4B3865DA">
      <w:pPr>
        <w:spacing w:line="360" w:lineRule="auto"/>
        <w:jc w:val="left"/>
        <w:rPr>
          <w:rFonts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66CE62FB">
      <w:pPr>
        <w:spacing w:line="360" w:lineRule="auto"/>
        <w:jc w:val="left"/>
        <w:rPr>
          <w:rFonts w:ascii="宋体" w:hAnsi="宋体" w:eastAsia="宋体" w:cs="宋体"/>
          <w:color w:val="auto"/>
          <w:szCs w:val="21"/>
          <w:highlight w:val="none"/>
        </w:rPr>
      </w:pPr>
    </w:p>
    <w:p w14:paraId="55F10A87">
      <w:pPr>
        <w:spacing w:line="360" w:lineRule="auto"/>
        <w:jc w:val="left"/>
        <w:rPr>
          <w:rFonts w:ascii="宋体" w:hAnsi="宋体" w:eastAsia="宋体" w:cs="宋体"/>
          <w:color w:val="auto"/>
          <w:szCs w:val="21"/>
          <w:highlight w:val="none"/>
        </w:rPr>
      </w:pPr>
    </w:p>
    <w:p w14:paraId="778BE9BB">
      <w:pPr>
        <w:spacing w:line="360" w:lineRule="auto"/>
        <w:ind w:firstLine="5250" w:firstLineChars="2500"/>
        <w:jc w:val="right"/>
        <w:rPr>
          <w:rFonts w:ascii="宋体" w:hAnsi="宋体" w:eastAsia="宋体" w:cs="宋体"/>
          <w:color w:val="auto"/>
          <w:sz w:val="24"/>
          <w:highlight w:val="none"/>
        </w:rPr>
      </w:pPr>
      <w:r>
        <w:rPr>
          <w:rFonts w:hint="eastAsia" w:ascii="宋体" w:hAnsi="宋体" w:eastAsia="宋体" w:cs="宋体"/>
          <w:color w:val="auto"/>
          <w:szCs w:val="21"/>
          <w:highlight w:val="none"/>
        </w:rPr>
        <w:t>日期：</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日</w:t>
      </w:r>
    </w:p>
    <w:p w14:paraId="1FEA370B">
      <w:pPr>
        <w:pStyle w:val="243"/>
        <w:rPr>
          <w:rFonts w:ascii="宋体" w:hAnsi="宋体" w:eastAsia="宋体" w:cs="宋体"/>
          <w:color w:val="auto"/>
          <w:sz w:val="21"/>
          <w:szCs w:val="21"/>
          <w:highlight w:val="none"/>
        </w:rPr>
      </w:pPr>
    </w:p>
    <w:p w14:paraId="75CFE55B">
      <w:pPr>
        <w:rPr>
          <w:rFonts w:ascii="宋体" w:hAnsi="宋体" w:eastAsia="宋体" w:cs="宋体"/>
          <w:color w:val="auto"/>
          <w:szCs w:val="21"/>
          <w:highlight w:val="none"/>
        </w:rPr>
      </w:pPr>
      <w:r>
        <w:rPr>
          <w:rFonts w:ascii="宋体" w:hAnsi="宋体" w:eastAsia="宋体" w:cs="宋体"/>
          <w:color w:val="auto"/>
          <w:szCs w:val="21"/>
          <w:highlight w:val="none"/>
        </w:rPr>
        <w:br w:type="page"/>
      </w:r>
    </w:p>
    <w:p w14:paraId="2D805AD3">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附表十二</w:t>
      </w:r>
    </w:p>
    <w:p w14:paraId="7C929797">
      <w:pPr>
        <w:pStyle w:val="22"/>
        <w:ind w:firstLine="0" w:firstLineChars="0"/>
        <w:rPr>
          <w:rFonts w:ascii="宋体" w:hAnsi="宋体" w:eastAsia="宋体" w:cs="宋体"/>
          <w:color w:val="auto"/>
          <w:highlight w:val="none"/>
        </w:rPr>
      </w:pPr>
    </w:p>
    <w:p w14:paraId="32BD31EB">
      <w:pPr>
        <w:jc w:val="center"/>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w:t>
      </w:r>
      <w:r>
        <w:rPr>
          <w:rFonts w:ascii="宋体" w:hAnsi="宋体" w:eastAsia="宋体" w:cs="宋体"/>
          <w:color w:val="auto"/>
          <w:sz w:val="30"/>
          <w:szCs w:val="30"/>
          <w:highlight w:val="none"/>
          <w:u w:val="single"/>
        </w:rPr>
        <w:t xml:space="preserve">   </w:t>
      </w:r>
      <w:r>
        <w:rPr>
          <w:rFonts w:hint="eastAsia" w:ascii="宋体" w:hAnsi="宋体" w:eastAsia="宋体" w:cs="宋体"/>
          <w:b/>
          <w:color w:val="auto"/>
          <w:sz w:val="30"/>
          <w:szCs w:val="30"/>
          <w:highlight w:val="none"/>
        </w:rPr>
        <w:t>组第</w:t>
      </w:r>
      <w:r>
        <w:rPr>
          <w:rFonts w:ascii="宋体" w:hAnsi="宋体" w:eastAsia="宋体" w:cs="宋体"/>
          <w:color w:val="auto"/>
          <w:sz w:val="30"/>
          <w:szCs w:val="30"/>
          <w:highlight w:val="none"/>
          <w:u w:val="single"/>
        </w:rPr>
        <w:t xml:space="preserve">   </w:t>
      </w:r>
      <w:r>
        <w:rPr>
          <w:rFonts w:hint="eastAsia" w:ascii="宋体" w:hAnsi="宋体" w:eastAsia="宋体" w:cs="宋体"/>
          <w:b/>
          <w:color w:val="auto"/>
          <w:sz w:val="30"/>
          <w:szCs w:val="30"/>
          <w:highlight w:val="none"/>
        </w:rPr>
        <w:t>轮）附加投票统计表（如有）</w:t>
      </w:r>
    </w:p>
    <w:p w14:paraId="630AC9AD">
      <w:pPr>
        <w:ind w:left="210"/>
        <w:jc w:val="center"/>
        <w:rPr>
          <w:rFonts w:ascii="宋体" w:hAnsi="宋体" w:eastAsia="宋体" w:cs="宋体"/>
          <w:b/>
          <w:smallCaps/>
          <w:color w:val="auto"/>
          <w:sz w:val="30"/>
          <w:szCs w:val="30"/>
          <w:highlight w:val="none"/>
        </w:rPr>
      </w:pPr>
      <w:r>
        <w:rPr>
          <w:rFonts w:hint="eastAsia" w:ascii="宋体" w:hAnsi="宋体" w:eastAsia="宋体" w:cs="宋体"/>
          <w:b/>
          <w:smallCaps/>
          <w:color w:val="auto"/>
          <w:sz w:val="30"/>
          <w:szCs w:val="30"/>
          <w:highlight w:val="none"/>
        </w:rPr>
        <w:t>（定标委员会汇总用表）</w:t>
      </w:r>
    </w:p>
    <w:p w14:paraId="46F8934A">
      <w:pPr>
        <w:pStyle w:val="22"/>
        <w:ind w:firstLine="0" w:firstLineChars="0"/>
        <w:rPr>
          <w:rFonts w:ascii="宋体" w:hAnsi="宋体" w:eastAsia="宋体" w:cs="宋体"/>
          <w:color w:val="auto"/>
          <w:highlight w:val="none"/>
        </w:rPr>
      </w:pPr>
    </w:p>
    <w:p w14:paraId="00FD85A1">
      <w:pP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工程名称：</w:t>
      </w:r>
    </w:p>
    <w:tbl>
      <w:tblPr>
        <w:tblStyle w:val="8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3311"/>
        <w:gridCol w:w="1189"/>
        <w:gridCol w:w="933"/>
        <w:gridCol w:w="949"/>
        <w:gridCol w:w="984"/>
        <w:gridCol w:w="925"/>
      </w:tblGrid>
      <w:tr w14:paraId="5B423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6" w:type="dxa"/>
            <w:tcBorders>
              <w:top w:val="single" w:color="auto" w:sz="4" w:space="0"/>
              <w:left w:val="single" w:color="auto" w:sz="4" w:space="0"/>
              <w:bottom w:val="single" w:color="auto" w:sz="4" w:space="0"/>
              <w:right w:val="single" w:color="auto" w:sz="4" w:space="0"/>
            </w:tcBorders>
            <w:vAlign w:val="center"/>
          </w:tcPr>
          <w:p w14:paraId="116E5C04">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3311" w:type="dxa"/>
            <w:tcBorders>
              <w:top w:val="single" w:color="auto" w:sz="4" w:space="0"/>
              <w:left w:val="single" w:color="auto" w:sz="4" w:space="0"/>
              <w:bottom w:val="single" w:color="auto" w:sz="4" w:space="0"/>
              <w:right w:val="single" w:color="auto" w:sz="4" w:space="0"/>
            </w:tcBorders>
            <w:vAlign w:val="center"/>
          </w:tcPr>
          <w:p w14:paraId="4DA9C505">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合格中标候选人名称</w:t>
            </w:r>
          </w:p>
        </w:tc>
        <w:tc>
          <w:tcPr>
            <w:tcW w:w="1189" w:type="dxa"/>
            <w:tcBorders>
              <w:top w:val="single" w:color="auto" w:sz="4" w:space="0"/>
              <w:left w:val="single" w:color="auto" w:sz="4" w:space="0"/>
              <w:bottom w:val="single" w:color="auto" w:sz="4" w:space="0"/>
              <w:right w:val="single" w:color="auto" w:sz="4" w:space="0"/>
            </w:tcBorders>
            <w:vAlign w:val="center"/>
          </w:tcPr>
          <w:p w14:paraId="4B0C47DB">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总得分排序</w:t>
            </w:r>
          </w:p>
        </w:tc>
        <w:tc>
          <w:tcPr>
            <w:tcW w:w="933" w:type="dxa"/>
            <w:tcBorders>
              <w:top w:val="single" w:color="auto" w:sz="4" w:space="0"/>
              <w:left w:val="single" w:color="auto" w:sz="4" w:space="0"/>
              <w:bottom w:val="single" w:color="auto" w:sz="4" w:space="0"/>
              <w:right w:val="single" w:color="auto" w:sz="4" w:space="0"/>
            </w:tcBorders>
          </w:tcPr>
          <w:p w14:paraId="7D39F619">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ascii="宋体" w:hAnsi="宋体" w:eastAsia="宋体" w:cs="宋体"/>
                <w:b/>
                <w:color w:val="auto"/>
                <w:szCs w:val="21"/>
                <w:highlight w:val="none"/>
                <w:u w:val="single"/>
              </w:rPr>
              <w:t>1</w:t>
            </w:r>
            <w:r>
              <w:rPr>
                <w:rFonts w:hint="eastAsia" w:ascii="宋体" w:hAnsi="宋体" w:eastAsia="宋体" w:cs="宋体"/>
                <w:b/>
                <w:color w:val="auto"/>
                <w:szCs w:val="21"/>
                <w:highlight w:val="none"/>
              </w:rPr>
              <w:t>轮得票数</w:t>
            </w:r>
          </w:p>
        </w:tc>
        <w:tc>
          <w:tcPr>
            <w:tcW w:w="949" w:type="dxa"/>
            <w:tcBorders>
              <w:top w:val="single" w:color="auto" w:sz="4" w:space="0"/>
              <w:left w:val="single" w:color="auto" w:sz="4" w:space="0"/>
              <w:bottom w:val="single" w:color="auto" w:sz="4" w:space="0"/>
              <w:right w:val="single" w:color="auto" w:sz="4" w:space="0"/>
            </w:tcBorders>
          </w:tcPr>
          <w:p w14:paraId="14D36C92">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ascii="宋体" w:hAnsi="宋体" w:eastAsia="宋体" w:cs="宋体"/>
                <w:b/>
                <w:color w:val="auto"/>
                <w:szCs w:val="21"/>
                <w:highlight w:val="none"/>
                <w:u w:val="single"/>
              </w:rPr>
              <w:t>1</w:t>
            </w:r>
            <w:r>
              <w:rPr>
                <w:rFonts w:hint="eastAsia" w:ascii="宋体" w:hAnsi="宋体" w:eastAsia="宋体" w:cs="宋体"/>
                <w:b/>
                <w:color w:val="auto"/>
                <w:szCs w:val="21"/>
                <w:highlight w:val="none"/>
              </w:rPr>
              <w:t>轮排序</w:t>
            </w:r>
          </w:p>
        </w:tc>
        <w:tc>
          <w:tcPr>
            <w:tcW w:w="984" w:type="dxa"/>
            <w:tcBorders>
              <w:top w:val="single" w:color="auto" w:sz="4" w:space="0"/>
              <w:left w:val="single" w:color="auto" w:sz="4" w:space="0"/>
              <w:bottom w:val="single" w:color="auto" w:sz="4" w:space="0"/>
              <w:right w:val="single" w:color="auto" w:sz="4" w:space="0"/>
            </w:tcBorders>
          </w:tcPr>
          <w:p w14:paraId="35059259">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rPr>
              <w:t>轮得票数</w:t>
            </w:r>
          </w:p>
        </w:tc>
        <w:tc>
          <w:tcPr>
            <w:tcW w:w="925" w:type="dxa"/>
            <w:tcBorders>
              <w:top w:val="single" w:color="auto" w:sz="4" w:space="0"/>
              <w:left w:val="single" w:color="auto" w:sz="4" w:space="0"/>
              <w:bottom w:val="single" w:color="auto" w:sz="4" w:space="0"/>
              <w:right w:val="single" w:color="auto" w:sz="4" w:space="0"/>
            </w:tcBorders>
          </w:tcPr>
          <w:p w14:paraId="7214C5CF">
            <w:pPr>
              <w:jc w:val="center"/>
              <w:rPr>
                <w:rFonts w:ascii="宋体" w:hAnsi="宋体" w:eastAsia="宋体" w:cs="宋体"/>
                <w:b/>
                <w:color w:val="auto"/>
                <w:szCs w:val="21"/>
                <w:highlight w:val="none"/>
              </w:rPr>
            </w:pPr>
            <w:r>
              <w:rPr>
                <w:rFonts w:hint="eastAsia" w:ascii="宋体" w:hAnsi="宋体" w:eastAsia="宋体" w:cs="宋体"/>
                <w:b/>
                <w:color w:val="auto"/>
                <w:szCs w:val="21"/>
                <w:highlight w:val="none"/>
              </w:rPr>
              <w:t>第</w:t>
            </w:r>
            <w:r>
              <w:rPr>
                <w:rFonts w:hint="eastAsia" w:ascii="宋体" w:hAnsi="宋体" w:eastAsia="宋体" w:cs="宋体"/>
                <w:b/>
                <w:color w:val="auto"/>
                <w:szCs w:val="21"/>
                <w:highlight w:val="none"/>
                <w:u w:val="single"/>
              </w:rPr>
              <w:t>…</w:t>
            </w:r>
            <w:r>
              <w:rPr>
                <w:rFonts w:hint="eastAsia" w:ascii="宋体" w:hAnsi="宋体" w:eastAsia="宋体" w:cs="宋体"/>
                <w:b/>
                <w:color w:val="auto"/>
                <w:szCs w:val="21"/>
                <w:highlight w:val="none"/>
              </w:rPr>
              <w:t>轮排序</w:t>
            </w:r>
          </w:p>
        </w:tc>
      </w:tr>
      <w:tr w14:paraId="26D94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vAlign w:val="center"/>
          </w:tcPr>
          <w:p w14:paraId="39B07B84">
            <w:pPr>
              <w:jc w:val="center"/>
              <w:rPr>
                <w:rFonts w:ascii="宋体" w:hAnsi="宋体" w:eastAsia="宋体" w:cs="宋体"/>
                <w:color w:val="auto"/>
                <w:szCs w:val="21"/>
                <w:highlight w:val="none"/>
              </w:rPr>
            </w:pPr>
            <w:r>
              <w:rPr>
                <w:rFonts w:ascii="宋体" w:hAnsi="宋体" w:eastAsia="宋体" w:cs="宋体"/>
                <w:color w:val="auto"/>
                <w:szCs w:val="21"/>
                <w:highlight w:val="none"/>
              </w:rPr>
              <w:t>1</w:t>
            </w:r>
          </w:p>
        </w:tc>
        <w:tc>
          <w:tcPr>
            <w:tcW w:w="3311" w:type="dxa"/>
            <w:tcBorders>
              <w:top w:val="single" w:color="auto" w:sz="4" w:space="0"/>
              <w:left w:val="single" w:color="auto" w:sz="4" w:space="0"/>
              <w:bottom w:val="single" w:color="auto" w:sz="4" w:space="0"/>
              <w:right w:val="single" w:color="auto" w:sz="4" w:space="0"/>
            </w:tcBorders>
            <w:vAlign w:val="center"/>
          </w:tcPr>
          <w:p w14:paraId="02F26618">
            <w:pPr>
              <w:jc w:val="center"/>
              <w:rPr>
                <w:rFonts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184A131F">
            <w:pPr>
              <w:jc w:val="center"/>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4D3D6DC7">
            <w:pPr>
              <w:jc w:val="center"/>
              <w:rPr>
                <w:rFonts w:ascii="宋体" w:hAnsi="宋体" w:eastAsia="宋体" w:cs="宋体"/>
                <w:color w:val="auto"/>
                <w:szCs w:val="21"/>
                <w:highlight w:val="none"/>
              </w:rPr>
            </w:pPr>
          </w:p>
        </w:tc>
        <w:tc>
          <w:tcPr>
            <w:tcW w:w="949" w:type="dxa"/>
            <w:tcBorders>
              <w:top w:val="single" w:color="auto" w:sz="4" w:space="0"/>
              <w:left w:val="single" w:color="auto" w:sz="4" w:space="0"/>
              <w:bottom w:val="single" w:color="auto" w:sz="4" w:space="0"/>
              <w:right w:val="single" w:color="auto" w:sz="4" w:space="0"/>
            </w:tcBorders>
          </w:tcPr>
          <w:p w14:paraId="5ACC10A1">
            <w:pPr>
              <w:jc w:val="center"/>
              <w:rPr>
                <w:rFonts w:ascii="宋体" w:hAnsi="宋体" w:eastAsia="宋体" w:cs="宋体"/>
                <w:color w:val="auto"/>
                <w:szCs w:val="21"/>
                <w:highlight w:val="none"/>
              </w:rPr>
            </w:pPr>
          </w:p>
        </w:tc>
        <w:tc>
          <w:tcPr>
            <w:tcW w:w="984" w:type="dxa"/>
            <w:tcBorders>
              <w:top w:val="single" w:color="auto" w:sz="4" w:space="0"/>
              <w:left w:val="single" w:color="auto" w:sz="4" w:space="0"/>
              <w:bottom w:val="single" w:color="auto" w:sz="4" w:space="0"/>
              <w:right w:val="single" w:color="auto" w:sz="4" w:space="0"/>
            </w:tcBorders>
          </w:tcPr>
          <w:p w14:paraId="11D224A7">
            <w:pPr>
              <w:jc w:val="center"/>
              <w:rPr>
                <w:rFonts w:ascii="宋体" w:hAnsi="宋体" w:eastAsia="宋体" w:cs="宋体"/>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tcPr>
          <w:p w14:paraId="330F4E28">
            <w:pPr>
              <w:jc w:val="center"/>
              <w:rPr>
                <w:rFonts w:ascii="宋体" w:hAnsi="宋体" w:eastAsia="宋体" w:cs="宋体"/>
                <w:color w:val="auto"/>
                <w:szCs w:val="21"/>
                <w:highlight w:val="none"/>
              </w:rPr>
            </w:pPr>
          </w:p>
        </w:tc>
      </w:tr>
      <w:tr w14:paraId="3F34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vAlign w:val="center"/>
          </w:tcPr>
          <w:p w14:paraId="7A61C9A3">
            <w:pPr>
              <w:spacing w:after="120" w:line="480" w:lineRule="auto"/>
              <w:jc w:val="center"/>
              <w:rPr>
                <w:rFonts w:ascii="宋体" w:hAnsi="宋体" w:eastAsia="宋体" w:cs="宋体"/>
                <w:color w:val="auto"/>
                <w:szCs w:val="21"/>
                <w:highlight w:val="none"/>
              </w:rPr>
            </w:pPr>
            <w:r>
              <w:rPr>
                <w:rFonts w:ascii="宋体" w:hAnsi="宋体" w:eastAsia="宋体" w:cs="宋体"/>
                <w:color w:val="auto"/>
                <w:szCs w:val="21"/>
                <w:highlight w:val="none"/>
              </w:rPr>
              <w:t>2</w:t>
            </w:r>
          </w:p>
        </w:tc>
        <w:tc>
          <w:tcPr>
            <w:tcW w:w="3311" w:type="dxa"/>
            <w:tcBorders>
              <w:top w:val="single" w:color="auto" w:sz="4" w:space="0"/>
              <w:left w:val="single" w:color="auto" w:sz="4" w:space="0"/>
              <w:bottom w:val="single" w:color="auto" w:sz="4" w:space="0"/>
              <w:right w:val="single" w:color="auto" w:sz="4" w:space="0"/>
            </w:tcBorders>
            <w:vAlign w:val="center"/>
          </w:tcPr>
          <w:p w14:paraId="53953866">
            <w:pPr>
              <w:jc w:val="center"/>
              <w:rPr>
                <w:rFonts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1A82A436">
            <w:pPr>
              <w:jc w:val="center"/>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4E50451B">
            <w:pPr>
              <w:jc w:val="center"/>
              <w:rPr>
                <w:rFonts w:ascii="宋体" w:hAnsi="宋体" w:eastAsia="宋体" w:cs="宋体"/>
                <w:color w:val="auto"/>
                <w:szCs w:val="21"/>
                <w:highlight w:val="none"/>
              </w:rPr>
            </w:pPr>
          </w:p>
        </w:tc>
        <w:tc>
          <w:tcPr>
            <w:tcW w:w="949" w:type="dxa"/>
            <w:tcBorders>
              <w:top w:val="single" w:color="auto" w:sz="4" w:space="0"/>
              <w:left w:val="single" w:color="auto" w:sz="4" w:space="0"/>
              <w:bottom w:val="single" w:color="auto" w:sz="4" w:space="0"/>
              <w:right w:val="single" w:color="auto" w:sz="4" w:space="0"/>
            </w:tcBorders>
          </w:tcPr>
          <w:p w14:paraId="15FF1FA3">
            <w:pPr>
              <w:jc w:val="center"/>
              <w:rPr>
                <w:rFonts w:ascii="宋体" w:hAnsi="宋体" w:eastAsia="宋体" w:cs="宋体"/>
                <w:color w:val="auto"/>
                <w:szCs w:val="21"/>
                <w:highlight w:val="none"/>
              </w:rPr>
            </w:pPr>
          </w:p>
        </w:tc>
        <w:tc>
          <w:tcPr>
            <w:tcW w:w="984" w:type="dxa"/>
            <w:tcBorders>
              <w:top w:val="single" w:color="auto" w:sz="4" w:space="0"/>
              <w:left w:val="single" w:color="auto" w:sz="4" w:space="0"/>
              <w:bottom w:val="single" w:color="auto" w:sz="4" w:space="0"/>
              <w:right w:val="single" w:color="auto" w:sz="4" w:space="0"/>
            </w:tcBorders>
          </w:tcPr>
          <w:p w14:paraId="4B3A94DA">
            <w:pPr>
              <w:jc w:val="center"/>
              <w:rPr>
                <w:rFonts w:ascii="宋体" w:hAnsi="宋体" w:eastAsia="宋体" w:cs="宋体"/>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tcPr>
          <w:p w14:paraId="0CBBD402">
            <w:pPr>
              <w:jc w:val="center"/>
              <w:rPr>
                <w:rFonts w:ascii="宋体" w:hAnsi="宋体" w:eastAsia="宋体" w:cs="宋体"/>
                <w:color w:val="auto"/>
                <w:szCs w:val="21"/>
                <w:highlight w:val="none"/>
              </w:rPr>
            </w:pPr>
          </w:p>
        </w:tc>
      </w:tr>
      <w:tr w14:paraId="3EB7F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716" w:type="dxa"/>
            <w:tcBorders>
              <w:top w:val="single" w:color="auto" w:sz="4" w:space="0"/>
              <w:left w:val="single" w:color="auto" w:sz="4" w:space="0"/>
              <w:bottom w:val="single" w:color="auto" w:sz="4" w:space="0"/>
              <w:right w:val="single" w:color="auto" w:sz="4" w:space="0"/>
            </w:tcBorders>
            <w:vAlign w:val="center"/>
          </w:tcPr>
          <w:p w14:paraId="010C322F">
            <w:pPr>
              <w:spacing w:after="120" w:line="480" w:lineRule="auto"/>
              <w:jc w:val="center"/>
              <w:rPr>
                <w:rFonts w:ascii="宋体" w:hAnsi="宋体" w:eastAsia="宋体" w:cs="宋体"/>
                <w:color w:val="auto"/>
                <w:szCs w:val="21"/>
                <w:highlight w:val="none"/>
              </w:rPr>
            </w:pPr>
            <w:r>
              <w:rPr>
                <w:rFonts w:ascii="宋体" w:hAnsi="宋体" w:eastAsia="宋体" w:cs="宋体"/>
                <w:color w:val="auto"/>
                <w:szCs w:val="21"/>
                <w:highlight w:val="none"/>
              </w:rPr>
              <w:t>3</w:t>
            </w:r>
          </w:p>
        </w:tc>
        <w:tc>
          <w:tcPr>
            <w:tcW w:w="3311" w:type="dxa"/>
            <w:tcBorders>
              <w:top w:val="single" w:color="auto" w:sz="4" w:space="0"/>
              <w:left w:val="single" w:color="auto" w:sz="4" w:space="0"/>
              <w:bottom w:val="single" w:color="auto" w:sz="4" w:space="0"/>
              <w:right w:val="single" w:color="auto" w:sz="4" w:space="0"/>
            </w:tcBorders>
            <w:vAlign w:val="center"/>
          </w:tcPr>
          <w:p w14:paraId="13A4805C">
            <w:pPr>
              <w:jc w:val="center"/>
              <w:rPr>
                <w:rFonts w:ascii="宋体" w:hAnsi="宋体" w:eastAsia="宋体" w:cs="宋体"/>
                <w:color w:val="auto"/>
                <w:szCs w:val="21"/>
                <w:highlight w:val="none"/>
              </w:rPr>
            </w:pPr>
          </w:p>
        </w:tc>
        <w:tc>
          <w:tcPr>
            <w:tcW w:w="1189" w:type="dxa"/>
            <w:tcBorders>
              <w:top w:val="single" w:color="auto" w:sz="4" w:space="0"/>
              <w:left w:val="single" w:color="auto" w:sz="4" w:space="0"/>
              <w:bottom w:val="single" w:color="auto" w:sz="4" w:space="0"/>
              <w:right w:val="single" w:color="auto" w:sz="4" w:space="0"/>
            </w:tcBorders>
            <w:vAlign w:val="center"/>
          </w:tcPr>
          <w:p w14:paraId="5DD08683">
            <w:pPr>
              <w:jc w:val="center"/>
              <w:rPr>
                <w:rFonts w:ascii="宋体" w:hAnsi="宋体" w:eastAsia="宋体" w:cs="宋体"/>
                <w:color w:val="auto"/>
                <w:szCs w:val="21"/>
                <w:highlight w:val="none"/>
              </w:rPr>
            </w:pPr>
          </w:p>
        </w:tc>
        <w:tc>
          <w:tcPr>
            <w:tcW w:w="933" w:type="dxa"/>
            <w:tcBorders>
              <w:top w:val="single" w:color="auto" w:sz="4" w:space="0"/>
              <w:left w:val="single" w:color="auto" w:sz="4" w:space="0"/>
              <w:bottom w:val="single" w:color="auto" w:sz="4" w:space="0"/>
              <w:right w:val="single" w:color="auto" w:sz="4" w:space="0"/>
            </w:tcBorders>
          </w:tcPr>
          <w:p w14:paraId="1ECA62AF">
            <w:pPr>
              <w:jc w:val="center"/>
              <w:rPr>
                <w:rFonts w:ascii="宋体" w:hAnsi="宋体" w:eastAsia="宋体" w:cs="宋体"/>
                <w:color w:val="auto"/>
                <w:szCs w:val="21"/>
                <w:highlight w:val="none"/>
              </w:rPr>
            </w:pPr>
          </w:p>
        </w:tc>
        <w:tc>
          <w:tcPr>
            <w:tcW w:w="949" w:type="dxa"/>
            <w:tcBorders>
              <w:top w:val="single" w:color="auto" w:sz="4" w:space="0"/>
              <w:left w:val="single" w:color="auto" w:sz="4" w:space="0"/>
              <w:bottom w:val="single" w:color="auto" w:sz="4" w:space="0"/>
              <w:right w:val="single" w:color="auto" w:sz="4" w:space="0"/>
            </w:tcBorders>
          </w:tcPr>
          <w:p w14:paraId="6E8D11AA">
            <w:pPr>
              <w:jc w:val="center"/>
              <w:rPr>
                <w:rFonts w:ascii="宋体" w:hAnsi="宋体" w:eastAsia="宋体" w:cs="宋体"/>
                <w:color w:val="auto"/>
                <w:szCs w:val="21"/>
                <w:highlight w:val="none"/>
              </w:rPr>
            </w:pPr>
          </w:p>
        </w:tc>
        <w:tc>
          <w:tcPr>
            <w:tcW w:w="984" w:type="dxa"/>
            <w:tcBorders>
              <w:top w:val="single" w:color="auto" w:sz="4" w:space="0"/>
              <w:left w:val="single" w:color="auto" w:sz="4" w:space="0"/>
              <w:bottom w:val="single" w:color="auto" w:sz="4" w:space="0"/>
              <w:right w:val="single" w:color="auto" w:sz="4" w:space="0"/>
            </w:tcBorders>
          </w:tcPr>
          <w:p w14:paraId="5695200B">
            <w:pPr>
              <w:jc w:val="center"/>
              <w:rPr>
                <w:rFonts w:ascii="宋体" w:hAnsi="宋体" w:eastAsia="宋体" w:cs="宋体"/>
                <w:color w:val="auto"/>
                <w:szCs w:val="21"/>
                <w:highlight w:val="none"/>
              </w:rPr>
            </w:pPr>
          </w:p>
        </w:tc>
        <w:tc>
          <w:tcPr>
            <w:tcW w:w="925" w:type="dxa"/>
            <w:tcBorders>
              <w:top w:val="single" w:color="auto" w:sz="4" w:space="0"/>
              <w:left w:val="single" w:color="auto" w:sz="4" w:space="0"/>
              <w:bottom w:val="single" w:color="auto" w:sz="4" w:space="0"/>
              <w:right w:val="single" w:color="auto" w:sz="4" w:space="0"/>
            </w:tcBorders>
          </w:tcPr>
          <w:p w14:paraId="1F26453E">
            <w:pPr>
              <w:jc w:val="center"/>
              <w:rPr>
                <w:rFonts w:ascii="宋体" w:hAnsi="宋体" w:eastAsia="宋体" w:cs="宋体"/>
                <w:color w:val="auto"/>
                <w:szCs w:val="21"/>
                <w:highlight w:val="none"/>
              </w:rPr>
            </w:pPr>
          </w:p>
        </w:tc>
      </w:tr>
    </w:tbl>
    <w:p w14:paraId="6DC61BD3">
      <w:pPr>
        <w:spacing w:line="240" w:lineRule="exact"/>
        <w:ind w:right="-11"/>
        <w:jc w:val="center"/>
        <w:rPr>
          <w:rFonts w:ascii="宋体" w:hAnsi="宋体" w:eastAsia="宋体" w:cs="宋体"/>
          <w:color w:val="auto"/>
          <w:szCs w:val="21"/>
          <w:highlight w:val="none"/>
        </w:rPr>
      </w:pPr>
    </w:p>
    <w:p w14:paraId="6F9906FC">
      <w:pPr>
        <w:spacing w:line="360" w:lineRule="atLeast"/>
        <w:rPr>
          <w:rFonts w:ascii="宋体" w:hAnsi="宋体" w:eastAsia="宋体" w:cs="宋体"/>
          <w:color w:val="auto"/>
          <w:szCs w:val="21"/>
          <w:highlight w:val="none"/>
        </w:rPr>
      </w:pPr>
      <w:r>
        <w:rPr>
          <w:rFonts w:hint="eastAsia" w:ascii="宋体" w:hAnsi="宋体" w:eastAsia="宋体" w:cs="宋体"/>
          <w:color w:val="auto"/>
          <w:szCs w:val="21"/>
          <w:highlight w:val="none"/>
        </w:rPr>
        <w:t>备注：按得票数由高至低，在延续总得分排序的基础上进行排序，票数高的排序靠前，得票数相同的合格中标候选人进行再次票决确定排序。</w:t>
      </w:r>
    </w:p>
    <w:p w14:paraId="1970E4CF">
      <w:pPr>
        <w:spacing w:line="400" w:lineRule="exact"/>
        <w:rPr>
          <w:rFonts w:ascii="宋体" w:hAnsi="宋体" w:eastAsia="宋体" w:cs="宋体"/>
          <w:color w:val="auto"/>
          <w:szCs w:val="21"/>
          <w:highlight w:val="none"/>
        </w:rPr>
      </w:pPr>
    </w:p>
    <w:p w14:paraId="0BBB2033">
      <w:pPr>
        <w:spacing w:line="360" w:lineRule="exact"/>
        <w:ind w:right="-325" w:rightChars="-155"/>
        <w:jc w:val="left"/>
        <w:rPr>
          <w:rFonts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3B1803B4">
      <w:pPr>
        <w:pStyle w:val="2"/>
        <w:tabs>
          <w:tab w:val="right" w:leader="dot" w:pos="9060"/>
        </w:tabs>
        <w:ind w:left="0" w:leftChars="0"/>
        <w:rPr>
          <w:rFonts w:ascii="宋体" w:hAnsi="宋体" w:eastAsia="宋体" w:cs="宋体"/>
          <w:color w:val="auto"/>
          <w:highlight w:val="none"/>
        </w:rPr>
      </w:pPr>
    </w:p>
    <w:p w14:paraId="1855C970">
      <w:pPr>
        <w:rPr>
          <w:rFonts w:ascii="宋体" w:hAnsi="宋体" w:eastAsia="宋体" w:cs="宋体"/>
          <w:color w:val="auto"/>
          <w:highlight w:val="none"/>
        </w:rPr>
      </w:pPr>
    </w:p>
    <w:p w14:paraId="7BD9997D">
      <w:pPr>
        <w:rPr>
          <w:rFonts w:ascii="宋体" w:hAnsi="宋体" w:eastAsia="宋体" w:cs="宋体"/>
          <w:color w:val="auto"/>
          <w:highlight w:val="none"/>
        </w:rPr>
      </w:pPr>
    </w:p>
    <w:p w14:paraId="3A4A37DE">
      <w:pPr>
        <w:ind w:firstLine="5670" w:firstLineChars="2700"/>
        <w:jc w:val="right"/>
        <w:rPr>
          <w:rFonts w:ascii="宋体" w:hAnsi="宋体" w:eastAsia="宋体" w:cs="宋体"/>
          <w:color w:val="auto"/>
          <w:highlight w:val="none"/>
        </w:rPr>
      </w:pPr>
      <w:r>
        <w:rPr>
          <w:rFonts w:hint="eastAsia" w:ascii="宋体" w:hAnsi="宋体" w:eastAsia="宋体" w:cs="宋体"/>
          <w:color w:val="auto"/>
          <w:szCs w:val="21"/>
          <w:highlight w:val="none"/>
        </w:rPr>
        <w:t>日期：</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日</w:t>
      </w:r>
    </w:p>
    <w:p w14:paraId="1070E2C2">
      <w:pPr>
        <w:pStyle w:val="243"/>
        <w:rPr>
          <w:rFonts w:ascii="宋体" w:hAnsi="宋体" w:eastAsia="宋体" w:cs="宋体"/>
          <w:color w:val="auto"/>
          <w:sz w:val="21"/>
          <w:szCs w:val="21"/>
          <w:highlight w:val="none"/>
        </w:rPr>
      </w:pPr>
    </w:p>
    <w:p w14:paraId="57A679E1">
      <w:pPr>
        <w:rPr>
          <w:rFonts w:ascii="宋体" w:hAnsi="宋体" w:eastAsia="宋体" w:cs="宋体"/>
          <w:color w:val="auto"/>
          <w:szCs w:val="21"/>
          <w:highlight w:val="none"/>
        </w:rPr>
      </w:pPr>
      <w:r>
        <w:rPr>
          <w:rFonts w:ascii="宋体" w:hAnsi="宋体" w:eastAsia="宋体" w:cs="宋体"/>
          <w:color w:val="auto"/>
          <w:szCs w:val="21"/>
          <w:highlight w:val="none"/>
        </w:rPr>
        <w:br w:type="page"/>
      </w:r>
    </w:p>
    <w:p w14:paraId="4511F2DA">
      <w:pPr>
        <w:pStyle w:val="22"/>
        <w:spacing w:line="360" w:lineRule="auto"/>
        <w:ind w:firstLine="0" w:firstLineChars="0"/>
        <w:rPr>
          <w:rFonts w:ascii="宋体" w:hAnsi="宋体" w:eastAsia="宋体" w:cs="宋体"/>
          <w:b/>
          <w:bCs/>
          <w:color w:val="auto"/>
          <w:sz w:val="24"/>
          <w:highlight w:val="none"/>
        </w:rPr>
      </w:pPr>
      <w:r>
        <w:rPr>
          <w:rFonts w:hint="eastAsia" w:ascii="宋体" w:hAnsi="宋体" w:eastAsia="宋体" w:cs="宋体"/>
          <w:b/>
          <w:bCs/>
          <w:color w:val="auto"/>
          <w:sz w:val="24"/>
          <w:highlight w:val="none"/>
        </w:rPr>
        <w:t>附表十三</w:t>
      </w:r>
    </w:p>
    <w:p w14:paraId="2D2D319E">
      <w:pPr>
        <w:pStyle w:val="243"/>
        <w:rPr>
          <w:rFonts w:ascii="宋体" w:hAnsi="宋体" w:eastAsia="宋体" w:cs="宋体"/>
          <w:color w:val="auto"/>
          <w:sz w:val="21"/>
          <w:szCs w:val="21"/>
          <w:highlight w:val="none"/>
        </w:rPr>
      </w:pPr>
    </w:p>
    <w:p w14:paraId="71094A91">
      <w:pPr>
        <w:jc w:val="center"/>
        <w:rPr>
          <w:rFonts w:ascii="宋体" w:hAnsi="宋体" w:eastAsia="宋体" w:cs="宋体"/>
          <w:smallCaps/>
          <w:color w:val="auto"/>
          <w:sz w:val="20"/>
          <w:szCs w:val="20"/>
          <w:highlight w:val="none"/>
        </w:rPr>
      </w:pPr>
      <w:r>
        <w:rPr>
          <w:rFonts w:hint="eastAsia" w:ascii="宋体" w:hAnsi="宋体" w:eastAsia="宋体" w:cs="宋体"/>
          <w:b/>
          <w:color w:val="auto"/>
          <w:sz w:val="30"/>
          <w:szCs w:val="30"/>
          <w:highlight w:val="none"/>
        </w:rPr>
        <w:t>定标情况汇总表（定标阶段）</w:t>
      </w:r>
    </w:p>
    <w:p w14:paraId="4500BDF3">
      <w:pPr>
        <w:rPr>
          <w:rFonts w:ascii="宋体" w:hAnsi="宋体" w:eastAsia="宋体" w:cs="宋体"/>
          <w:color w:val="auto"/>
          <w:sz w:val="24"/>
          <w:szCs w:val="22"/>
          <w:highlight w:val="none"/>
        </w:rPr>
      </w:pPr>
      <w:r>
        <w:rPr>
          <w:rFonts w:hint="eastAsia" w:ascii="宋体" w:hAnsi="宋体" w:eastAsia="宋体" w:cs="宋体"/>
          <w:color w:val="auto"/>
          <w:sz w:val="24"/>
          <w:szCs w:val="22"/>
          <w:highlight w:val="none"/>
        </w:rPr>
        <w:t>工程名称：</w:t>
      </w:r>
    </w:p>
    <w:tbl>
      <w:tblPr>
        <w:tblStyle w:val="88"/>
        <w:tblW w:w="494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3759"/>
        <w:gridCol w:w="1098"/>
        <w:gridCol w:w="1332"/>
        <w:gridCol w:w="2257"/>
      </w:tblGrid>
      <w:tr w14:paraId="71334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375" w:type="pct"/>
            <w:tcBorders>
              <w:top w:val="single" w:color="auto" w:sz="4" w:space="0"/>
              <w:left w:val="single" w:color="auto" w:sz="4" w:space="0"/>
              <w:bottom w:val="single" w:color="auto" w:sz="4" w:space="0"/>
              <w:right w:val="single" w:color="auto" w:sz="4" w:space="0"/>
            </w:tcBorders>
            <w:vAlign w:val="center"/>
          </w:tcPr>
          <w:p w14:paraId="79169879">
            <w:pPr>
              <w:jc w:val="center"/>
              <w:rPr>
                <w:rFonts w:ascii="宋体" w:hAnsi="宋体" w:eastAsia="宋体" w:cs="宋体"/>
                <w:b/>
                <w:color w:val="auto"/>
                <w:highlight w:val="none"/>
              </w:rPr>
            </w:pPr>
            <w:r>
              <w:rPr>
                <w:rFonts w:hint="eastAsia" w:ascii="宋体" w:hAnsi="宋体" w:eastAsia="宋体" w:cs="宋体"/>
                <w:b/>
                <w:color w:val="auto"/>
                <w:highlight w:val="none"/>
              </w:rPr>
              <w:t>序号</w:t>
            </w:r>
          </w:p>
        </w:tc>
        <w:tc>
          <w:tcPr>
            <w:tcW w:w="2057" w:type="pct"/>
            <w:tcBorders>
              <w:top w:val="single" w:color="auto" w:sz="4" w:space="0"/>
              <w:left w:val="nil"/>
              <w:bottom w:val="single" w:color="auto" w:sz="4" w:space="0"/>
              <w:right w:val="single" w:color="auto" w:sz="4" w:space="0"/>
            </w:tcBorders>
            <w:vAlign w:val="center"/>
          </w:tcPr>
          <w:p w14:paraId="4E60E558">
            <w:pPr>
              <w:jc w:val="center"/>
              <w:rPr>
                <w:rFonts w:ascii="宋体" w:hAnsi="宋体" w:eastAsia="宋体" w:cs="宋体"/>
                <w:b/>
                <w:color w:val="auto"/>
                <w:highlight w:val="none"/>
              </w:rPr>
            </w:pPr>
            <w:r>
              <w:rPr>
                <w:rFonts w:hint="eastAsia" w:ascii="宋体" w:hAnsi="宋体" w:eastAsia="宋体" w:cs="宋体"/>
                <w:b/>
                <w:color w:val="auto"/>
                <w:highlight w:val="none"/>
              </w:rPr>
              <w:t>合格中标候选人名称</w:t>
            </w:r>
          </w:p>
        </w:tc>
        <w:tc>
          <w:tcPr>
            <w:tcW w:w="601" w:type="pct"/>
            <w:tcBorders>
              <w:top w:val="single" w:color="auto" w:sz="4" w:space="0"/>
              <w:left w:val="nil"/>
              <w:bottom w:val="single" w:color="auto" w:sz="4" w:space="0"/>
              <w:right w:val="single" w:color="auto" w:sz="4" w:space="0"/>
            </w:tcBorders>
            <w:vAlign w:val="center"/>
          </w:tcPr>
          <w:p w14:paraId="1C1470BC">
            <w:pPr>
              <w:jc w:val="center"/>
              <w:rPr>
                <w:rFonts w:ascii="宋体" w:hAnsi="宋体" w:eastAsia="宋体" w:cs="宋体"/>
                <w:b/>
                <w:color w:val="auto"/>
                <w:highlight w:val="none"/>
              </w:rPr>
            </w:pPr>
            <w:r>
              <w:rPr>
                <w:rFonts w:hint="eastAsia" w:ascii="宋体" w:hAnsi="宋体" w:eastAsia="宋体" w:cs="宋体"/>
                <w:b/>
                <w:color w:val="auto"/>
                <w:highlight w:val="none"/>
              </w:rPr>
              <w:t>总得分</w:t>
            </w:r>
          </w:p>
        </w:tc>
        <w:tc>
          <w:tcPr>
            <w:tcW w:w="729" w:type="pct"/>
            <w:tcBorders>
              <w:top w:val="single" w:color="auto" w:sz="4" w:space="0"/>
              <w:left w:val="nil"/>
              <w:bottom w:val="single" w:color="auto" w:sz="4" w:space="0"/>
              <w:right w:val="single" w:color="auto" w:sz="4" w:space="0"/>
            </w:tcBorders>
          </w:tcPr>
          <w:p w14:paraId="47E85F8D">
            <w:pPr>
              <w:jc w:val="center"/>
              <w:rPr>
                <w:rFonts w:ascii="宋体" w:hAnsi="宋体" w:eastAsia="宋体" w:cs="宋体"/>
                <w:b/>
                <w:color w:val="auto"/>
                <w:highlight w:val="none"/>
              </w:rPr>
            </w:pPr>
            <w:r>
              <w:rPr>
                <w:rFonts w:hint="eastAsia" w:ascii="宋体" w:hAnsi="宋体" w:eastAsia="宋体" w:cs="宋体"/>
                <w:b/>
                <w:color w:val="auto"/>
                <w:highlight w:val="none"/>
              </w:rPr>
              <w:t>附加得票数</w:t>
            </w:r>
          </w:p>
          <w:p w14:paraId="1A401FB6">
            <w:pPr>
              <w:jc w:val="center"/>
              <w:rPr>
                <w:rFonts w:ascii="宋体" w:hAnsi="宋体" w:eastAsia="宋体" w:cs="宋体"/>
                <w:b/>
                <w:color w:val="auto"/>
                <w:highlight w:val="none"/>
              </w:rPr>
            </w:pPr>
            <w:r>
              <w:rPr>
                <w:rFonts w:hint="eastAsia" w:ascii="宋体" w:hAnsi="宋体" w:eastAsia="宋体" w:cs="宋体"/>
                <w:b/>
                <w:color w:val="auto"/>
                <w:highlight w:val="none"/>
              </w:rPr>
              <w:t>（如有）</w:t>
            </w:r>
          </w:p>
        </w:tc>
        <w:tc>
          <w:tcPr>
            <w:tcW w:w="1235" w:type="pct"/>
            <w:tcBorders>
              <w:top w:val="single" w:color="auto" w:sz="4" w:space="0"/>
              <w:left w:val="nil"/>
              <w:bottom w:val="single" w:color="auto" w:sz="4" w:space="0"/>
              <w:right w:val="single" w:color="auto" w:sz="4" w:space="0"/>
            </w:tcBorders>
            <w:vAlign w:val="center"/>
          </w:tcPr>
          <w:p w14:paraId="46D8F1F1">
            <w:pPr>
              <w:jc w:val="center"/>
              <w:rPr>
                <w:rFonts w:ascii="宋体" w:hAnsi="宋体" w:eastAsia="宋体" w:cs="宋体"/>
                <w:b/>
                <w:color w:val="auto"/>
                <w:highlight w:val="none"/>
              </w:rPr>
            </w:pPr>
            <w:r>
              <w:rPr>
                <w:rFonts w:hint="eastAsia" w:ascii="宋体" w:hAnsi="宋体" w:eastAsia="宋体" w:cs="宋体"/>
                <w:b/>
                <w:color w:val="auto"/>
                <w:highlight w:val="none"/>
              </w:rPr>
              <w:t>是否被确定为中标人</w:t>
            </w:r>
          </w:p>
        </w:tc>
      </w:tr>
      <w:tr w14:paraId="39FFF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vAlign w:val="center"/>
          </w:tcPr>
          <w:p w14:paraId="32FA67AF">
            <w:pPr>
              <w:jc w:val="center"/>
              <w:rPr>
                <w:rFonts w:ascii="宋体" w:hAnsi="宋体" w:eastAsia="宋体" w:cs="宋体"/>
                <w:color w:val="auto"/>
                <w:sz w:val="24"/>
                <w:highlight w:val="none"/>
              </w:rPr>
            </w:pPr>
            <w:r>
              <w:rPr>
                <w:rFonts w:ascii="宋体" w:hAnsi="宋体" w:eastAsia="宋体" w:cs="宋体"/>
                <w:color w:val="auto"/>
                <w:sz w:val="24"/>
                <w:highlight w:val="none"/>
              </w:rPr>
              <w:t>1</w:t>
            </w:r>
          </w:p>
        </w:tc>
        <w:tc>
          <w:tcPr>
            <w:tcW w:w="2057" w:type="pct"/>
            <w:tcBorders>
              <w:top w:val="single" w:color="auto" w:sz="4" w:space="0"/>
              <w:left w:val="nil"/>
              <w:bottom w:val="single" w:color="auto" w:sz="4" w:space="0"/>
              <w:right w:val="single" w:color="auto" w:sz="4" w:space="0"/>
            </w:tcBorders>
            <w:vAlign w:val="center"/>
          </w:tcPr>
          <w:p w14:paraId="5A949A7B">
            <w:pPr>
              <w:jc w:val="center"/>
              <w:rPr>
                <w:rFonts w:ascii="宋体" w:hAnsi="宋体" w:eastAsia="宋体" w:cs="宋体"/>
                <w:color w:val="auto"/>
                <w:sz w:val="24"/>
                <w:highlight w:val="none"/>
              </w:rPr>
            </w:pPr>
          </w:p>
        </w:tc>
        <w:tc>
          <w:tcPr>
            <w:tcW w:w="601" w:type="pct"/>
            <w:tcBorders>
              <w:top w:val="single" w:color="auto" w:sz="4" w:space="0"/>
              <w:left w:val="nil"/>
              <w:bottom w:val="single" w:color="auto" w:sz="4" w:space="0"/>
              <w:right w:val="single" w:color="auto" w:sz="4" w:space="0"/>
            </w:tcBorders>
            <w:vAlign w:val="center"/>
          </w:tcPr>
          <w:p w14:paraId="03F07537">
            <w:pPr>
              <w:jc w:val="center"/>
              <w:rPr>
                <w:rFonts w:ascii="宋体" w:hAnsi="宋体" w:eastAsia="宋体" w:cs="宋体"/>
                <w:color w:val="auto"/>
                <w:sz w:val="24"/>
                <w:highlight w:val="none"/>
              </w:rPr>
            </w:pPr>
          </w:p>
        </w:tc>
        <w:tc>
          <w:tcPr>
            <w:tcW w:w="729" w:type="pct"/>
            <w:tcBorders>
              <w:top w:val="single" w:color="auto" w:sz="4" w:space="0"/>
              <w:left w:val="nil"/>
              <w:bottom w:val="single" w:color="auto" w:sz="4" w:space="0"/>
              <w:right w:val="single" w:color="auto" w:sz="4" w:space="0"/>
            </w:tcBorders>
          </w:tcPr>
          <w:p w14:paraId="365F9280">
            <w:pPr>
              <w:jc w:val="center"/>
              <w:rPr>
                <w:rFonts w:ascii="宋体" w:hAnsi="宋体" w:eastAsia="宋体" w:cs="宋体"/>
                <w:color w:val="auto"/>
                <w:sz w:val="24"/>
                <w:highlight w:val="none"/>
              </w:rPr>
            </w:pPr>
          </w:p>
        </w:tc>
        <w:tc>
          <w:tcPr>
            <w:tcW w:w="1235" w:type="pct"/>
            <w:tcBorders>
              <w:top w:val="single" w:color="auto" w:sz="4" w:space="0"/>
              <w:left w:val="nil"/>
              <w:bottom w:val="single" w:color="auto" w:sz="4" w:space="0"/>
              <w:right w:val="single" w:color="auto" w:sz="4" w:space="0"/>
            </w:tcBorders>
          </w:tcPr>
          <w:p w14:paraId="2853EE07">
            <w:pPr>
              <w:jc w:val="center"/>
              <w:rPr>
                <w:rFonts w:ascii="宋体" w:hAnsi="宋体" w:eastAsia="宋体" w:cs="宋体"/>
                <w:color w:val="auto"/>
                <w:sz w:val="24"/>
                <w:highlight w:val="none"/>
              </w:rPr>
            </w:pPr>
          </w:p>
        </w:tc>
      </w:tr>
      <w:tr w14:paraId="26B6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vAlign w:val="center"/>
          </w:tcPr>
          <w:p w14:paraId="0E030387">
            <w:pPr>
              <w:spacing w:after="120" w:line="480" w:lineRule="auto"/>
              <w:jc w:val="center"/>
              <w:rPr>
                <w:rFonts w:ascii="宋体" w:hAnsi="宋体" w:eastAsia="宋体" w:cs="宋体"/>
                <w:color w:val="auto"/>
                <w:sz w:val="24"/>
                <w:highlight w:val="none"/>
              </w:rPr>
            </w:pPr>
            <w:r>
              <w:rPr>
                <w:rFonts w:ascii="宋体" w:hAnsi="宋体" w:eastAsia="宋体" w:cs="宋体"/>
                <w:color w:val="auto"/>
                <w:sz w:val="24"/>
                <w:highlight w:val="none"/>
              </w:rPr>
              <w:t>2</w:t>
            </w:r>
          </w:p>
        </w:tc>
        <w:tc>
          <w:tcPr>
            <w:tcW w:w="2057" w:type="pct"/>
            <w:tcBorders>
              <w:top w:val="single" w:color="auto" w:sz="4" w:space="0"/>
              <w:left w:val="nil"/>
              <w:bottom w:val="single" w:color="auto" w:sz="4" w:space="0"/>
              <w:right w:val="single" w:color="auto" w:sz="4" w:space="0"/>
            </w:tcBorders>
            <w:vAlign w:val="center"/>
          </w:tcPr>
          <w:p w14:paraId="3CE3ECCB">
            <w:pPr>
              <w:jc w:val="center"/>
              <w:rPr>
                <w:rFonts w:ascii="宋体" w:hAnsi="宋体" w:eastAsia="宋体" w:cs="宋体"/>
                <w:color w:val="auto"/>
                <w:sz w:val="24"/>
                <w:highlight w:val="none"/>
              </w:rPr>
            </w:pPr>
          </w:p>
        </w:tc>
        <w:tc>
          <w:tcPr>
            <w:tcW w:w="601" w:type="pct"/>
            <w:tcBorders>
              <w:top w:val="single" w:color="auto" w:sz="4" w:space="0"/>
              <w:left w:val="nil"/>
              <w:bottom w:val="single" w:color="auto" w:sz="4" w:space="0"/>
              <w:right w:val="single" w:color="auto" w:sz="4" w:space="0"/>
            </w:tcBorders>
            <w:vAlign w:val="center"/>
          </w:tcPr>
          <w:p w14:paraId="4292C28D">
            <w:pPr>
              <w:jc w:val="center"/>
              <w:rPr>
                <w:rFonts w:ascii="宋体" w:hAnsi="宋体" w:eastAsia="宋体" w:cs="宋体"/>
                <w:color w:val="auto"/>
                <w:sz w:val="24"/>
                <w:highlight w:val="none"/>
              </w:rPr>
            </w:pPr>
          </w:p>
        </w:tc>
        <w:tc>
          <w:tcPr>
            <w:tcW w:w="729" w:type="pct"/>
            <w:tcBorders>
              <w:top w:val="single" w:color="auto" w:sz="4" w:space="0"/>
              <w:left w:val="nil"/>
              <w:bottom w:val="single" w:color="auto" w:sz="4" w:space="0"/>
              <w:right w:val="single" w:color="auto" w:sz="4" w:space="0"/>
            </w:tcBorders>
          </w:tcPr>
          <w:p w14:paraId="6ECA4749">
            <w:pPr>
              <w:jc w:val="center"/>
              <w:rPr>
                <w:rFonts w:ascii="宋体" w:hAnsi="宋体" w:eastAsia="宋体" w:cs="宋体"/>
                <w:color w:val="auto"/>
                <w:sz w:val="24"/>
                <w:highlight w:val="none"/>
              </w:rPr>
            </w:pPr>
          </w:p>
        </w:tc>
        <w:tc>
          <w:tcPr>
            <w:tcW w:w="1235" w:type="pct"/>
            <w:tcBorders>
              <w:top w:val="single" w:color="auto" w:sz="4" w:space="0"/>
              <w:left w:val="nil"/>
              <w:bottom w:val="single" w:color="auto" w:sz="4" w:space="0"/>
              <w:right w:val="single" w:color="auto" w:sz="4" w:space="0"/>
            </w:tcBorders>
          </w:tcPr>
          <w:p w14:paraId="4F9E1E32">
            <w:pPr>
              <w:jc w:val="center"/>
              <w:rPr>
                <w:rFonts w:ascii="宋体" w:hAnsi="宋体" w:eastAsia="宋体" w:cs="宋体"/>
                <w:color w:val="auto"/>
                <w:sz w:val="24"/>
                <w:highlight w:val="none"/>
              </w:rPr>
            </w:pPr>
          </w:p>
        </w:tc>
      </w:tr>
      <w:tr w14:paraId="4058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vAlign w:val="center"/>
          </w:tcPr>
          <w:p w14:paraId="71898ADB">
            <w:pPr>
              <w:spacing w:after="120" w:line="480" w:lineRule="auto"/>
              <w:jc w:val="center"/>
              <w:rPr>
                <w:rFonts w:ascii="宋体" w:hAnsi="宋体" w:eastAsia="宋体" w:cs="宋体"/>
                <w:color w:val="auto"/>
                <w:sz w:val="24"/>
                <w:highlight w:val="none"/>
              </w:rPr>
            </w:pPr>
            <w:r>
              <w:rPr>
                <w:rFonts w:ascii="宋体" w:hAnsi="宋体" w:eastAsia="宋体" w:cs="宋体"/>
                <w:color w:val="auto"/>
                <w:sz w:val="24"/>
                <w:highlight w:val="none"/>
              </w:rPr>
              <w:t>3</w:t>
            </w:r>
          </w:p>
        </w:tc>
        <w:tc>
          <w:tcPr>
            <w:tcW w:w="2057" w:type="pct"/>
            <w:tcBorders>
              <w:top w:val="single" w:color="auto" w:sz="4" w:space="0"/>
              <w:left w:val="nil"/>
              <w:bottom w:val="single" w:color="auto" w:sz="4" w:space="0"/>
              <w:right w:val="single" w:color="auto" w:sz="4" w:space="0"/>
            </w:tcBorders>
            <w:vAlign w:val="center"/>
          </w:tcPr>
          <w:p w14:paraId="43F41313">
            <w:pPr>
              <w:jc w:val="center"/>
              <w:rPr>
                <w:rFonts w:ascii="宋体" w:hAnsi="宋体" w:eastAsia="宋体" w:cs="宋体"/>
                <w:color w:val="auto"/>
                <w:sz w:val="24"/>
                <w:highlight w:val="none"/>
              </w:rPr>
            </w:pPr>
          </w:p>
        </w:tc>
        <w:tc>
          <w:tcPr>
            <w:tcW w:w="601" w:type="pct"/>
            <w:tcBorders>
              <w:top w:val="single" w:color="auto" w:sz="4" w:space="0"/>
              <w:left w:val="nil"/>
              <w:bottom w:val="single" w:color="auto" w:sz="4" w:space="0"/>
              <w:right w:val="single" w:color="auto" w:sz="4" w:space="0"/>
            </w:tcBorders>
            <w:vAlign w:val="center"/>
          </w:tcPr>
          <w:p w14:paraId="18924E56">
            <w:pPr>
              <w:jc w:val="center"/>
              <w:rPr>
                <w:rFonts w:ascii="宋体" w:hAnsi="宋体" w:eastAsia="宋体" w:cs="宋体"/>
                <w:color w:val="auto"/>
                <w:sz w:val="24"/>
                <w:highlight w:val="none"/>
              </w:rPr>
            </w:pPr>
          </w:p>
        </w:tc>
        <w:tc>
          <w:tcPr>
            <w:tcW w:w="729" w:type="pct"/>
            <w:tcBorders>
              <w:top w:val="single" w:color="auto" w:sz="4" w:space="0"/>
              <w:left w:val="nil"/>
              <w:bottom w:val="single" w:color="auto" w:sz="4" w:space="0"/>
              <w:right w:val="single" w:color="auto" w:sz="4" w:space="0"/>
            </w:tcBorders>
          </w:tcPr>
          <w:p w14:paraId="1502755D">
            <w:pPr>
              <w:jc w:val="center"/>
              <w:rPr>
                <w:rFonts w:ascii="宋体" w:hAnsi="宋体" w:eastAsia="宋体" w:cs="宋体"/>
                <w:color w:val="auto"/>
                <w:sz w:val="24"/>
                <w:highlight w:val="none"/>
              </w:rPr>
            </w:pPr>
          </w:p>
        </w:tc>
        <w:tc>
          <w:tcPr>
            <w:tcW w:w="1235" w:type="pct"/>
            <w:tcBorders>
              <w:top w:val="single" w:color="auto" w:sz="4" w:space="0"/>
              <w:left w:val="nil"/>
              <w:bottom w:val="single" w:color="auto" w:sz="4" w:space="0"/>
              <w:right w:val="single" w:color="auto" w:sz="4" w:space="0"/>
            </w:tcBorders>
          </w:tcPr>
          <w:p w14:paraId="029865C9">
            <w:pPr>
              <w:jc w:val="center"/>
              <w:rPr>
                <w:rFonts w:ascii="宋体" w:hAnsi="宋体" w:eastAsia="宋体" w:cs="宋体"/>
                <w:color w:val="auto"/>
                <w:sz w:val="24"/>
                <w:highlight w:val="none"/>
              </w:rPr>
            </w:pPr>
          </w:p>
        </w:tc>
      </w:tr>
      <w:tr w14:paraId="52FC2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vAlign w:val="center"/>
          </w:tcPr>
          <w:p w14:paraId="01F05864">
            <w:pPr>
              <w:spacing w:after="120" w:line="480" w:lineRule="auto"/>
              <w:jc w:val="center"/>
              <w:rPr>
                <w:rFonts w:ascii="宋体" w:hAnsi="宋体" w:eastAsia="宋体" w:cs="宋体"/>
                <w:color w:val="auto"/>
                <w:sz w:val="24"/>
                <w:highlight w:val="none"/>
              </w:rPr>
            </w:pPr>
            <w:r>
              <w:rPr>
                <w:rFonts w:ascii="宋体" w:hAnsi="宋体" w:eastAsia="宋体" w:cs="宋体"/>
                <w:color w:val="auto"/>
                <w:sz w:val="24"/>
                <w:highlight w:val="none"/>
              </w:rPr>
              <w:t>4</w:t>
            </w:r>
          </w:p>
        </w:tc>
        <w:tc>
          <w:tcPr>
            <w:tcW w:w="2057" w:type="pct"/>
            <w:tcBorders>
              <w:top w:val="single" w:color="auto" w:sz="4" w:space="0"/>
              <w:left w:val="nil"/>
              <w:bottom w:val="single" w:color="auto" w:sz="4" w:space="0"/>
              <w:right w:val="single" w:color="auto" w:sz="4" w:space="0"/>
            </w:tcBorders>
            <w:vAlign w:val="center"/>
          </w:tcPr>
          <w:p w14:paraId="0B64171C">
            <w:pPr>
              <w:jc w:val="center"/>
              <w:rPr>
                <w:rFonts w:ascii="宋体" w:hAnsi="宋体" w:eastAsia="宋体" w:cs="宋体"/>
                <w:color w:val="auto"/>
                <w:sz w:val="24"/>
                <w:highlight w:val="none"/>
              </w:rPr>
            </w:pPr>
          </w:p>
        </w:tc>
        <w:tc>
          <w:tcPr>
            <w:tcW w:w="601" w:type="pct"/>
            <w:tcBorders>
              <w:top w:val="single" w:color="auto" w:sz="4" w:space="0"/>
              <w:left w:val="nil"/>
              <w:bottom w:val="single" w:color="auto" w:sz="4" w:space="0"/>
              <w:right w:val="single" w:color="auto" w:sz="4" w:space="0"/>
            </w:tcBorders>
            <w:vAlign w:val="center"/>
          </w:tcPr>
          <w:p w14:paraId="0F086BDF">
            <w:pPr>
              <w:jc w:val="center"/>
              <w:rPr>
                <w:rFonts w:ascii="宋体" w:hAnsi="宋体" w:eastAsia="宋体" w:cs="宋体"/>
                <w:color w:val="auto"/>
                <w:sz w:val="24"/>
                <w:highlight w:val="none"/>
              </w:rPr>
            </w:pPr>
          </w:p>
        </w:tc>
        <w:tc>
          <w:tcPr>
            <w:tcW w:w="729" w:type="pct"/>
            <w:tcBorders>
              <w:top w:val="single" w:color="auto" w:sz="4" w:space="0"/>
              <w:left w:val="nil"/>
              <w:bottom w:val="single" w:color="auto" w:sz="4" w:space="0"/>
              <w:right w:val="single" w:color="auto" w:sz="4" w:space="0"/>
            </w:tcBorders>
          </w:tcPr>
          <w:p w14:paraId="24E51EEF">
            <w:pPr>
              <w:jc w:val="center"/>
              <w:rPr>
                <w:rFonts w:ascii="宋体" w:hAnsi="宋体" w:eastAsia="宋体" w:cs="宋体"/>
                <w:color w:val="auto"/>
                <w:sz w:val="24"/>
                <w:highlight w:val="none"/>
              </w:rPr>
            </w:pPr>
          </w:p>
        </w:tc>
        <w:tc>
          <w:tcPr>
            <w:tcW w:w="1235" w:type="pct"/>
            <w:tcBorders>
              <w:top w:val="single" w:color="auto" w:sz="4" w:space="0"/>
              <w:left w:val="nil"/>
              <w:bottom w:val="single" w:color="auto" w:sz="4" w:space="0"/>
              <w:right w:val="single" w:color="auto" w:sz="4" w:space="0"/>
            </w:tcBorders>
          </w:tcPr>
          <w:p w14:paraId="04956D7F">
            <w:pPr>
              <w:jc w:val="center"/>
              <w:rPr>
                <w:rFonts w:ascii="宋体" w:hAnsi="宋体" w:eastAsia="宋体" w:cs="宋体"/>
                <w:color w:val="auto"/>
                <w:sz w:val="24"/>
                <w:highlight w:val="none"/>
              </w:rPr>
            </w:pPr>
          </w:p>
        </w:tc>
      </w:tr>
      <w:tr w14:paraId="2505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375" w:type="pct"/>
            <w:tcBorders>
              <w:top w:val="single" w:color="auto" w:sz="4" w:space="0"/>
              <w:left w:val="single" w:color="auto" w:sz="4" w:space="0"/>
              <w:bottom w:val="single" w:color="auto" w:sz="4" w:space="0"/>
              <w:right w:val="single" w:color="auto" w:sz="4" w:space="0"/>
            </w:tcBorders>
            <w:vAlign w:val="center"/>
          </w:tcPr>
          <w:p w14:paraId="745AF1A9">
            <w:pPr>
              <w:spacing w:after="120" w:line="480" w:lineRule="auto"/>
              <w:jc w:val="center"/>
              <w:rPr>
                <w:rFonts w:ascii="宋体" w:hAnsi="宋体" w:eastAsia="宋体" w:cs="宋体"/>
                <w:color w:val="auto"/>
                <w:sz w:val="24"/>
                <w:highlight w:val="none"/>
              </w:rPr>
            </w:pPr>
            <w:r>
              <w:rPr>
                <w:rFonts w:ascii="宋体" w:hAnsi="宋体" w:eastAsia="宋体" w:cs="宋体"/>
                <w:color w:val="auto"/>
                <w:sz w:val="24"/>
                <w:highlight w:val="none"/>
              </w:rPr>
              <w:t>5</w:t>
            </w:r>
          </w:p>
        </w:tc>
        <w:tc>
          <w:tcPr>
            <w:tcW w:w="2057" w:type="pct"/>
            <w:tcBorders>
              <w:top w:val="single" w:color="auto" w:sz="4" w:space="0"/>
              <w:left w:val="nil"/>
              <w:bottom w:val="single" w:color="auto" w:sz="4" w:space="0"/>
              <w:right w:val="single" w:color="auto" w:sz="4" w:space="0"/>
            </w:tcBorders>
            <w:vAlign w:val="center"/>
          </w:tcPr>
          <w:p w14:paraId="082518BA">
            <w:pPr>
              <w:jc w:val="center"/>
              <w:rPr>
                <w:rFonts w:ascii="宋体" w:hAnsi="宋体" w:eastAsia="宋体" w:cs="宋体"/>
                <w:color w:val="auto"/>
                <w:sz w:val="24"/>
                <w:highlight w:val="none"/>
              </w:rPr>
            </w:pPr>
          </w:p>
        </w:tc>
        <w:tc>
          <w:tcPr>
            <w:tcW w:w="601" w:type="pct"/>
            <w:tcBorders>
              <w:top w:val="single" w:color="auto" w:sz="4" w:space="0"/>
              <w:left w:val="nil"/>
              <w:bottom w:val="single" w:color="auto" w:sz="4" w:space="0"/>
              <w:right w:val="single" w:color="auto" w:sz="4" w:space="0"/>
            </w:tcBorders>
            <w:vAlign w:val="center"/>
          </w:tcPr>
          <w:p w14:paraId="5DFF02C4">
            <w:pPr>
              <w:jc w:val="center"/>
              <w:rPr>
                <w:rFonts w:ascii="宋体" w:hAnsi="宋体" w:eastAsia="宋体" w:cs="宋体"/>
                <w:color w:val="auto"/>
                <w:sz w:val="24"/>
                <w:highlight w:val="none"/>
              </w:rPr>
            </w:pPr>
          </w:p>
        </w:tc>
        <w:tc>
          <w:tcPr>
            <w:tcW w:w="729" w:type="pct"/>
            <w:tcBorders>
              <w:top w:val="single" w:color="auto" w:sz="4" w:space="0"/>
              <w:left w:val="nil"/>
              <w:bottom w:val="single" w:color="auto" w:sz="4" w:space="0"/>
              <w:right w:val="single" w:color="auto" w:sz="4" w:space="0"/>
            </w:tcBorders>
          </w:tcPr>
          <w:p w14:paraId="1E82BD86">
            <w:pPr>
              <w:jc w:val="center"/>
              <w:rPr>
                <w:rFonts w:ascii="宋体" w:hAnsi="宋体" w:eastAsia="宋体" w:cs="宋体"/>
                <w:color w:val="auto"/>
                <w:sz w:val="24"/>
                <w:highlight w:val="none"/>
              </w:rPr>
            </w:pPr>
          </w:p>
        </w:tc>
        <w:tc>
          <w:tcPr>
            <w:tcW w:w="1235" w:type="pct"/>
            <w:tcBorders>
              <w:top w:val="single" w:color="auto" w:sz="4" w:space="0"/>
              <w:left w:val="nil"/>
              <w:bottom w:val="single" w:color="auto" w:sz="4" w:space="0"/>
              <w:right w:val="single" w:color="auto" w:sz="4" w:space="0"/>
            </w:tcBorders>
          </w:tcPr>
          <w:p w14:paraId="0146DE84">
            <w:pPr>
              <w:jc w:val="center"/>
              <w:rPr>
                <w:rFonts w:ascii="宋体" w:hAnsi="宋体" w:eastAsia="宋体" w:cs="宋体"/>
                <w:color w:val="auto"/>
                <w:sz w:val="24"/>
                <w:highlight w:val="none"/>
              </w:rPr>
            </w:pPr>
          </w:p>
        </w:tc>
      </w:tr>
    </w:tbl>
    <w:p w14:paraId="41A96752">
      <w:pPr>
        <w:rPr>
          <w:rFonts w:ascii="宋体" w:hAnsi="宋体" w:eastAsia="宋体" w:cs="宋体"/>
          <w:color w:val="auto"/>
          <w:szCs w:val="21"/>
          <w:highlight w:val="none"/>
        </w:rPr>
      </w:pPr>
      <w:r>
        <w:rPr>
          <w:rFonts w:hint="eastAsia" w:ascii="宋体" w:hAnsi="宋体" w:eastAsia="宋体" w:cs="宋体"/>
          <w:color w:val="auto"/>
          <w:szCs w:val="21"/>
          <w:highlight w:val="none"/>
        </w:rPr>
        <w:t>注：总得分最高的合格中标候选人直接确定为中标人。</w:t>
      </w:r>
    </w:p>
    <w:p w14:paraId="1D8F9D35">
      <w:pPr>
        <w:spacing w:line="400" w:lineRule="exact"/>
        <w:rPr>
          <w:rFonts w:ascii="宋体" w:hAnsi="宋体" w:eastAsia="宋体" w:cs="宋体"/>
          <w:color w:val="auto"/>
          <w:szCs w:val="21"/>
          <w:highlight w:val="none"/>
        </w:rPr>
      </w:pPr>
    </w:p>
    <w:p w14:paraId="1C066065">
      <w:pPr>
        <w:spacing w:line="400" w:lineRule="exact"/>
        <w:rPr>
          <w:rFonts w:ascii="宋体" w:hAnsi="宋体" w:eastAsia="宋体" w:cs="宋体"/>
          <w:color w:val="auto"/>
          <w:szCs w:val="21"/>
          <w:highlight w:val="none"/>
        </w:rPr>
      </w:pPr>
    </w:p>
    <w:p w14:paraId="396F04E4">
      <w:pPr>
        <w:spacing w:line="360" w:lineRule="exact"/>
        <w:ind w:right="-325" w:rightChars="-155"/>
        <w:jc w:val="left"/>
        <w:rPr>
          <w:rFonts w:ascii="宋体" w:hAnsi="宋体" w:eastAsia="宋体" w:cs="宋体"/>
          <w:color w:val="auto"/>
          <w:szCs w:val="21"/>
          <w:highlight w:val="none"/>
        </w:rPr>
      </w:pPr>
      <w:r>
        <w:rPr>
          <w:rFonts w:hint="eastAsia" w:ascii="宋体" w:hAnsi="宋体" w:eastAsia="宋体" w:cs="宋体"/>
          <w:color w:val="auto"/>
          <w:szCs w:val="21"/>
          <w:highlight w:val="none"/>
        </w:rPr>
        <w:t>定标委员会全体成员签名：</w:t>
      </w:r>
    </w:p>
    <w:p w14:paraId="0376E802">
      <w:pPr>
        <w:pStyle w:val="2"/>
        <w:tabs>
          <w:tab w:val="right" w:leader="dot" w:pos="9060"/>
        </w:tabs>
        <w:ind w:left="0" w:leftChars="0"/>
        <w:rPr>
          <w:rFonts w:ascii="宋体" w:hAnsi="宋体" w:eastAsia="宋体" w:cs="宋体"/>
          <w:color w:val="auto"/>
          <w:highlight w:val="none"/>
        </w:rPr>
      </w:pPr>
    </w:p>
    <w:p w14:paraId="00F7DAC2">
      <w:pPr>
        <w:rPr>
          <w:rFonts w:ascii="宋体" w:hAnsi="宋体" w:eastAsia="宋体" w:cs="宋体"/>
          <w:color w:val="auto"/>
          <w:highlight w:val="none"/>
        </w:rPr>
      </w:pPr>
    </w:p>
    <w:p w14:paraId="1B30CEFE">
      <w:pPr>
        <w:rPr>
          <w:rFonts w:ascii="宋体" w:hAnsi="宋体" w:eastAsia="宋体" w:cs="宋体"/>
          <w:color w:val="auto"/>
          <w:highlight w:val="none"/>
        </w:rPr>
      </w:pPr>
    </w:p>
    <w:p w14:paraId="690C6E81">
      <w:pPr>
        <w:ind w:firstLine="5670" w:firstLineChars="2700"/>
        <w:rPr>
          <w:rFonts w:ascii="宋体" w:hAnsi="宋体" w:eastAsia="宋体" w:cs="宋体"/>
          <w:color w:val="auto"/>
          <w:highlight w:val="none"/>
        </w:rPr>
      </w:pPr>
      <w:r>
        <w:rPr>
          <w:rFonts w:hint="eastAsia" w:ascii="宋体" w:hAnsi="宋体" w:eastAsia="宋体" w:cs="宋体"/>
          <w:color w:val="auto"/>
          <w:szCs w:val="21"/>
          <w:highlight w:val="none"/>
        </w:rPr>
        <w:t>日期：</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年</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月</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rPr>
        <w:t>日</w:t>
      </w:r>
    </w:p>
    <w:p w14:paraId="694AF30D">
      <w:pPr>
        <w:pStyle w:val="243"/>
        <w:rPr>
          <w:rFonts w:ascii="宋体" w:hAnsi="宋体" w:eastAsia="宋体" w:cs="宋体"/>
          <w:color w:val="auto"/>
          <w:sz w:val="21"/>
          <w:szCs w:val="21"/>
          <w:highlight w:val="none"/>
        </w:rPr>
      </w:pPr>
    </w:p>
    <w:p w14:paraId="30F0F7D7">
      <w:pPr>
        <w:pStyle w:val="243"/>
        <w:rPr>
          <w:rFonts w:ascii="宋体" w:hAnsi="宋体" w:eastAsia="宋体" w:cs="宋体"/>
          <w:color w:val="auto"/>
          <w:sz w:val="21"/>
          <w:szCs w:val="21"/>
          <w:highlight w:val="none"/>
        </w:rPr>
      </w:pPr>
    </w:p>
    <w:p w14:paraId="616F922B">
      <w:pPr>
        <w:pStyle w:val="243"/>
        <w:ind w:firstLine="420" w:firstLineChars="200"/>
        <w:rPr>
          <w:rFonts w:ascii="宋体" w:hAnsi="宋体" w:eastAsia="宋体" w:cs="宋体"/>
          <w:color w:val="auto"/>
          <w:sz w:val="21"/>
          <w:szCs w:val="21"/>
          <w:highlight w:val="none"/>
        </w:rPr>
      </w:pPr>
    </w:p>
    <w:p w14:paraId="29E9C95B">
      <w:pPr>
        <w:snapToGrid w:val="0"/>
        <w:spacing w:line="360" w:lineRule="auto"/>
        <w:jc w:val="left"/>
        <w:rPr>
          <w:rFonts w:ascii="宋体" w:hAnsi="宋体" w:eastAsia="宋体" w:cs="宋体"/>
          <w:b/>
          <w:bCs/>
          <w:color w:val="auto"/>
          <w:sz w:val="24"/>
          <w:highlight w:val="none"/>
        </w:rPr>
        <w:sectPr>
          <w:pgSz w:w="11906" w:h="16838"/>
          <w:pgMar w:top="1440" w:right="1440" w:bottom="1440" w:left="1440" w:header="851" w:footer="992" w:gutter="0"/>
          <w:cols w:space="0" w:num="1"/>
          <w:docGrid w:type="lines" w:linePitch="322" w:charSpace="0"/>
        </w:sectPr>
      </w:pPr>
    </w:p>
    <w:p w14:paraId="2295C5A4">
      <w:pPr>
        <w:pStyle w:val="4"/>
        <w:tabs>
          <w:tab w:val="left" w:pos="0"/>
        </w:tabs>
        <w:snapToGrid w:val="0"/>
        <w:jc w:val="center"/>
        <w:rPr>
          <w:rFonts w:ascii="宋体" w:hAnsi="宋体" w:eastAsia="宋体" w:cs="宋体"/>
          <w:color w:val="auto"/>
          <w:highlight w:val="none"/>
        </w:rPr>
      </w:pPr>
      <w:bookmarkStart w:id="35" w:name="_Toc500249621"/>
      <w:bookmarkStart w:id="36" w:name="_Toc5789"/>
      <w:bookmarkStart w:id="37" w:name="_Toc504053942"/>
      <w:bookmarkStart w:id="38" w:name="_Toc504659100"/>
      <w:r>
        <w:rPr>
          <w:rFonts w:hint="eastAsia" w:ascii="宋体" w:hAnsi="宋体" w:eastAsia="宋体" w:cs="宋体"/>
          <w:bCs/>
          <w:color w:val="auto"/>
          <w:sz w:val="32"/>
          <w:szCs w:val="32"/>
          <w:highlight w:val="none"/>
        </w:rPr>
        <w:t>第三章</w:t>
      </w:r>
      <w:r>
        <w:rPr>
          <w:rFonts w:ascii="宋体" w:hAnsi="宋体" w:eastAsia="宋体" w:cs="宋体"/>
          <w:bCs/>
          <w:color w:val="auto"/>
          <w:sz w:val="32"/>
          <w:szCs w:val="32"/>
          <w:highlight w:val="none"/>
        </w:rPr>
        <w:t xml:space="preserve">  </w:t>
      </w:r>
      <w:r>
        <w:rPr>
          <w:rFonts w:hint="eastAsia" w:ascii="宋体" w:hAnsi="宋体" w:eastAsia="宋体" w:cs="宋体"/>
          <w:bCs/>
          <w:color w:val="auto"/>
          <w:sz w:val="32"/>
          <w:szCs w:val="32"/>
          <w:highlight w:val="none"/>
        </w:rPr>
        <w:t>合同条款</w:t>
      </w:r>
      <w:bookmarkEnd w:id="35"/>
      <w:bookmarkEnd w:id="36"/>
      <w:bookmarkEnd w:id="37"/>
      <w:bookmarkEnd w:id="38"/>
    </w:p>
    <w:p w14:paraId="50426447">
      <w:pPr>
        <w:ind w:firstLine="420" w:firstLineChars="200"/>
        <w:rPr>
          <w:color w:val="auto"/>
          <w:highlight w:val="none"/>
        </w:rPr>
      </w:pPr>
    </w:p>
    <w:p w14:paraId="1A22D86D">
      <w:pPr>
        <w:rPr>
          <w:color w:val="auto"/>
          <w:highlight w:val="none"/>
        </w:rPr>
      </w:pPr>
      <w:r>
        <w:rPr>
          <w:color w:val="auto"/>
          <w:highlight w:val="none"/>
        </w:rPr>
        <w:drawing>
          <wp:anchor distT="0" distB="0" distL="114300" distR="114300" simplePos="0" relativeHeight="251663360" behindDoc="0" locked="0" layoutInCell="1" allowOverlap="1">
            <wp:simplePos x="0" y="0"/>
            <wp:positionH relativeFrom="column">
              <wp:posOffset>4746625</wp:posOffset>
            </wp:positionH>
            <wp:positionV relativeFrom="paragraph">
              <wp:posOffset>201930</wp:posOffset>
            </wp:positionV>
            <wp:extent cx="1835150" cy="1475105"/>
            <wp:effectExtent l="0" t="0" r="12700" b="10795"/>
            <wp:wrapSquare wrapText="bothSides"/>
            <wp:docPr id="15" name="图片 10" descr="C:\Users\lanxing\Desktop\93b1542184114cf8b316f10d4b2d5c42.png93b1542184114cf8b316f10d4b2d5c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descr="C:\Users\lanxing\Desktop\93b1542184114cf8b316f10d4b2d5c42.png93b1542184114cf8b316f10d4b2d5c42"/>
                    <pic:cNvPicPr>
                      <a:picLocks noChangeAspect="1"/>
                    </pic:cNvPicPr>
                  </pic:nvPicPr>
                  <pic:blipFill>
                    <a:blip r:embed="rId20"/>
                    <a:stretch>
                      <a:fillRect/>
                    </a:stretch>
                  </pic:blipFill>
                  <pic:spPr>
                    <a:xfrm>
                      <a:off x="0" y="0"/>
                      <a:ext cx="1835150" cy="1475105"/>
                    </a:xfrm>
                    <a:prstGeom prst="rect">
                      <a:avLst/>
                    </a:prstGeom>
                    <a:noFill/>
                    <a:ln>
                      <a:noFill/>
                    </a:ln>
                  </pic:spPr>
                </pic:pic>
              </a:graphicData>
            </a:graphic>
          </wp:anchor>
        </w:drawing>
      </w:r>
    </w:p>
    <w:p w14:paraId="245D4C24">
      <w:pPr>
        <w:ind w:firstLine="525" w:firstLineChars="250"/>
        <w:rPr>
          <w:color w:val="auto"/>
          <w:highlight w:val="none"/>
        </w:rPr>
      </w:pPr>
      <w:r>
        <w:rPr>
          <w:rFonts w:hint="eastAsia"/>
          <w:color w:val="auto"/>
          <w:highlight w:val="none"/>
        </w:rPr>
        <w:t xml:space="preserve"> </w:t>
      </w:r>
      <w:r>
        <w:rPr>
          <w:color w:val="auto"/>
          <w:highlight w:val="none"/>
        </w:rPr>
        <w:drawing>
          <wp:inline distT="0" distB="0" distL="114300" distR="114300">
            <wp:extent cx="3372485" cy="352425"/>
            <wp:effectExtent l="0" t="0" r="18415" b="9525"/>
            <wp:docPr id="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
                    <pic:cNvPicPr>
                      <a:picLocks noChangeAspect="1"/>
                    </pic:cNvPicPr>
                  </pic:nvPicPr>
                  <pic:blipFill>
                    <a:blip r:embed="rId21"/>
                    <a:stretch>
                      <a:fillRect/>
                    </a:stretch>
                  </pic:blipFill>
                  <pic:spPr>
                    <a:xfrm>
                      <a:off x="0" y="0"/>
                      <a:ext cx="3373914" cy="352538"/>
                    </a:xfrm>
                    <a:prstGeom prst="rect">
                      <a:avLst/>
                    </a:prstGeom>
                    <a:noFill/>
                    <a:ln>
                      <a:noFill/>
                    </a:ln>
                  </pic:spPr>
                </pic:pic>
              </a:graphicData>
            </a:graphic>
          </wp:inline>
        </w:drawing>
      </w:r>
    </w:p>
    <w:p w14:paraId="6D3C75DA">
      <w:pPr>
        <w:ind w:firstLine="8400" w:firstLineChars="3500"/>
        <w:rPr>
          <w:color w:val="auto"/>
          <w:sz w:val="24"/>
          <w:highlight w:val="none"/>
        </w:rPr>
      </w:pPr>
      <w:r>
        <w:rPr>
          <w:rFonts w:hint="eastAsia"/>
          <w:color w:val="auto"/>
          <w:sz w:val="24"/>
          <w:highlight w:val="none"/>
        </w:rPr>
        <w:t xml:space="preserve">                            </w:t>
      </w:r>
    </w:p>
    <w:p w14:paraId="6F64CA53">
      <w:pPr>
        <w:tabs>
          <w:tab w:val="left" w:pos="870"/>
        </w:tabs>
        <w:ind w:firstLine="959" w:firstLineChars="398"/>
        <w:rPr>
          <w:rFonts w:ascii="仿宋" w:hAnsi="仿宋" w:eastAsia="仿宋"/>
          <w:b/>
          <w:color w:val="auto"/>
          <w:sz w:val="24"/>
          <w:highlight w:val="none"/>
        </w:rPr>
      </w:pPr>
      <w:r>
        <w:rPr>
          <w:rFonts w:hint="eastAsia" w:ascii="仿宋" w:hAnsi="仿宋" w:eastAsia="仿宋"/>
          <w:b/>
          <w:color w:val="auto"/>
          <w:sz w:val="24"/>
          <w:highlight w:val="none"/>
        </w:rPr>
        <w:t>合同编号：穗开建管施[20  ]  号</w:t>
      </w:r>
    </w:p>
    <w:p w14:paraId="17ACCA13">
      <w:pPr>
        <w:rPr>
          <w:rFonts w:ascii="方正大标宋简体" w:eastAsia="方正大标宋简体"/>
          <w:color w:val="auto"/>
          <w:sz w:val="28"/>
          <w:szCs w:val="28"/>
          <w:highlight w:val="none"/>
        </w:rPr>
      </w:pPr>
      <w:r>
        <w:rPr>
          <w:rFonts w:hint="eastAsia" w:ascii="方正大标宋简体" w:eastAsia="方正大标宋简体"/>
          <w:color w:val="auto"/>
          <w:sz w:val="28"/>
          <w:szCs w:val="28"/>
          <w:highlight w:val="none"/>
        </w:rPr>
        <w:t xml:space="preserve"> </w:t>
      </w:r>
    </w:p>
    <w:p w14:paraId="2856373E">
      <w:pPr>
        <w:ind w:firstLine="840" w:firstLineChars="400"/>
        <w:rPr>
          <w:color w:val="auto"/>
          <w:highlight w:val="none"/>
        </w:rPr>
      </w:pPr>
    </w:p>
    <w:p w14:paraId="2D481285">
      <w:pPr>
        <w:ind w:firstLine="840" w:firstLineChars="400"/>
        <w:rPr>
          <w:color w:val="auto"/>
          <w:highlight w:val="none"/>
        </w:rPr>
      </w:pPr>
      <w:r>
        <w:rPr>
          <w:rFonts w:hint="eastAsia"/>
          <w:color w:val="auto"/>
          <w:highlight w:val="none"/>
        </w:rPr>
        <w:t xml:space="preserve">                                                              </w:t>
      </w:r>
    </w:p>
    <w:p w14:paraId="1D0CBF48">
      <w:pPr>
        <w:ind w:firstLine="840" w:firstLineChars="400"/>
        <w:jc w:val="left"/>
        <w:rPr>
          <w:rFonts w:ascii="宋体" w:hAnsi="宋体"/>
          <w:color w:val="auto"/>
          <w:highlight w:val="none"/>
        </w:rPr>
      </w:pPr>
      <w:r>
        <w:rPr>
          <w:rFonts w:hint="eastAsia"/>
          <w:color w:val="auto"/>
          <w:highlight w:val="none"/>
        </w:rPr>
        <w:t xml:space="preserve">                     </w:t>
      </w:r>
    </w:p>
    <w:p w14:paraId="22C89481">
      <w:pPr>
        <w:snapToGrid w:val="0"/>
        <w:spacing w:line="440" w:lineRule="exact"/>
        <w:ind w:left="-197" w:leftChars="-94"/>
        <w:jc w:val="center"/>
        <w:rPr>
          <w:rFonts w:ascii="宋体" w:hAnsi="宋体"/>
          <w:color w:val="auto"/>
          <w:highlight w:val="none"/>
        </w:rPr>
      </w:pPr>
      <w:r>
        <w:rPr>
          <w:color w:val="auto"/>
          <w:highlight w:val="none"/>
        </w:rPr>
        <w:drawing>
          <wp:anchor distT="0" distB="0" distL="114300" distR="114300" simplePos="0" relativeHeight="251664384" behindDoc="0" locked="0" layoutInCell="1" allowOverlap="1">
            <wp:simplePos x="0" y="0"/>
            <wp:positionH relativeFrom="column">
              <wp:posOffset>1173480</wp:posOffset>
            </wp:positionH>
            <wp:positionV relativeFrom="paragraph">
              <wp:posOffset>193675</wp:posOffset>
            </wp:positionV>
            <wp:extent cx="4984115" cy="555625"/>
            <wp:effectExtent l="0" t="0" r="6985" b="15875"/>
            <wp:wrapSquare wrapText="bothSides"/>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22"/>
                    <a:stretch>
                      <a:fillRect/>
                    </a:stretch>
                  </pic:blipFill>
                  <pic:spPr>
                    <a:xfrm>
                      <a:off x="0" y="0"/>
                      <a:ext cx="4984115" cy="555625"/>
                    </a:xfrm>
                    <a:prstGeom prst="rect">
                      <a:avLst/>
                    </a:prstGeom>
                    <a:noFill/>
                    <a:ln>
                      <a:noFill/>
                    </a:ln>
                  </pic:spPr>
                </pic:pic>
              </a:graphicData>
            </a:graphic>
          </wp:anchor>
        </w:drawing>
      </w:r>
    </w:p>
    <w:p w14:paraId="1410C08B">
      <w:pPr>
        <w:snapToGrid w:val="0"/>
        <w:spacing w:line="440" w:lineRule="exact"/>
        <w:ind w:left="-197" w:leftChars="-94"/>
        <w:jc w:val="center"/>
        <w:rPr>
          <w:rFonts w:ascii="宋体" w:hAnsi="宋体"/>
          <w:color w:val="auto"/>
          <w:highlight w:val="none"/>
        </w:rPr>
      </w:pPr>
    </w:p>
    <w:p w14:paraId="3986C089">
      <w:pPr>
        <w:spacing w:line="480" w:lineRule="exact"/>
        <w:jc w:val="center"/>
        <w:rPr>
          <w:rFonts w:ascii="宋体" w:hAnsi="宋体"/>
          <w:color w:val="auto"/>
          <w:highlight w:val="none"/>
        </w:rPr>
      </w:pPr>
    </w:p>
    <w:p w14:paraId="3D7C1F61">
      <w:pPr>
        <w:spacing w:line="480" w:lineRule="exact"/>
        <w:jc w:val="center"/>
        <w:rPr>
          <w:rFonts w:ascii="宋体" w:hAnsi="宋体"/>
          <w:color w:val="auto"/>
          <w:highlight w:val="none"/>
        </w:rPr>
      </w:pPr>
    </w:p>
    <w:p w14:paraId="3AE967A2">
      <w:pPr>
        <w:spacing w:line="480" w:lineRule="exact"/>
        <w:jc w:val="center"/>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 xml:space="preserve">        </w:t>
      </w:r>
    </w:p>
    <w:p w14:paraId="2FF91371">
      <w:pPr>
        <w:spacing w:line="480" w:lineRule="exact"/>
        <w:jc w:val="center"/>
        <w:rPr>
          <w:rFonts w:ascii="仿宋_GB2312" w:hAnsi="仿宋" w:eastAsia="仿宋_GB2312"/>
          <w:color w:val="auto"/>
          <w:sz w:val="28"/>
          <w:szCs w:val="28"/>
          <w:highlight w:val="none"/>
        </w:rPr>
      </w:pPr>
    </w:p>
    <w:p w14:paraId="34EDB5CC">
      <w:pPr>
        <w:spacing w:line="480" w:lineRule="exact"/>
        <w:jc w:val="center"/>
        <w:rPr>
          <w:rFonts w:ascii="仿宋_GB2312" w:hAnsi="仿宋" w:eastAsia="仿宋_GB2312"/>
          <w:color w:val="auto"/>
          <w:sz w:val="28"/>
          <w:szCs w:val="28"/>
          <w:highlight w:val="none"/>
        </w:rPr>
      </w:pPr>
    </w:p>
    <w:p w14:paraId="13D20906">
      <w:pPr>
        <w:spacing w:line="480" w:lineRule="exact"/>
        <w:ind w:firstLine="2380" w:firstLineChars="850"/>
        <w:rPr>
          <w:rFonts w:ascii="仿宋_GB2312" w:hAnsi="仿宋" w:eastAsia="仿宋_GB2312"/>
          <w:color w:val="auto"/>
          <w:sz w:val="28"/>
          <w:szCs w:val="28"/>
          <w:highlight w:val="none"/>
        </w:rPr>
      </w:pPr>
      <w:r>
        <w:rPr>
          <w:rFonts w:hint="eastAsia" w:ascii="宋体" w:hAnsi="宋体"/>
          <w:color w:val="auto"/>
          <w:sz w:val="28"/>
          <w:szCs w:val="28"/>
          <w:highlight w:val="none"/>
        </w:rPr>
        <w:t>项 目  名   称：</w:t>
      </w:r>
      <w:r>
        <w:rPr>
          <w:rFonts w:hint="eastAsia" w:ascii="宋体" w:hAnsi="宋体"/>
          <w:color w:val="auto"/>
          <w:sz w:val="28"/>
          <w:szCs w:val="28"/>
          <w:highlight w:val="none"/>
          <w:u w:val="single"/>
        </w:rPr>
        <w:t xml:space="preserve">                                   </w:t>
      </w:r>
    </w:p>
    <w:p w14:paraId="62F13FEC">
      <w:pPr>
        <w:spacing w:line="480" w:lineRule="exact"/>
        <w:ind w:firstLine="2380" w:firstLineChars="850"/>
        <w:rPr>
          <w:rFonts w:ascii="仿宋_GB2312" w:hAnsi="仿宋" w:eastAsia="仿宋_GB2312"/>
          <w:color w:val="auto"/>
          <w:sz w:val="28"/>
          <w:szCs w:val="28"/>
          <w:highlight w:val="none"/>
        </w:rPr>
      </w:pPr>
      <w:r>
        <w:rPr>
          <w:rFonts w:hint="eastAsia" w:ascii="仿宋_GB2312" w:hAnsi="仿宋" w:eastAsia="仿宋_GB2312"/>
          <w:color w:val="auto"/>
          <w:sz w:val="28"/>
          <w:szCs w:val="28"/>
          <w:highlight w:val="none"/>
        </w:rPr>
        <w:t>发包人（甲方）：</w:t>
      </w:r>
      <w:r>
        <w:rPr>
          <w:rFonts w:hint="eastAsia" w:ascii="方正大标宋简体" w:hAnsi="仿宋" w:eastAsia="方正大标宋简体"/>
          <w:color w:val="auto"/>
          <w:sz w:val="28"/>
          <w:szCs w:val="28"/>
          <w:highlight w:val="none"/>
          <w:u w:val="single"/>
        </w:rPr>
        <w:t>广州开发区财政投资建设项目管理中心</w:t>
      </w:r>
    </w:p>
    <w:p w14:paraId="09417BCB">
      <w:pPr>
        <w:spacing w:line="480" w:lineRule="exact"/>
        <w:ind w:firstLine="2380" w:firstLineChars="850"/>
        <w:rPr>
          <w:rFonts w:ascii="方正大标宋简体" w:hAnsi="宋体" w:eastAsia="方正大标宋简体"/>
          <w:color w:val="auto"/>
          <w:sz w:val="28"/>
          <w:szCs w:val="28"/>
          <w:highlight w:val="none"/>
          <w:u w:val="single"/>
        </w:rPr>
      </w:pPr>
      <w:r>
        <w:rPr>
          <w:rFonts w:hint="eastAsia" w:ascii="仿宋_GB2312" w:hAnsi="仿宋" w:eastAsia="仿宋_GB2312"/>
          <w:color w:val="auto"/>
          <w:sz w:val="28"/>
          <w:szCs w:val="28"/>
          <w:highlight w:val="none"/>
        </w:rPr>
        <w:t>承包人（乙方）：</w:t>
      </w:r>
      <w:r>
        <w:rPr>
          <w:rFonts w:hint="eastAsia" w:ascii="方正大标宋简体" w:hAnsi="宋体" w:eastAsia="方正大标宋简体"/>
          <w:color w:val="auto"/>
          <w:sz w:val="28"/>
          <w:szCs w:val="28"/>
          <w:highlight w:val="none"/>
          <w:u w:val="single"/>
        </w:rPr>
        <w:t xml:space="preserve">                            </w:t>
      </w:r>
    </w:p>
    <w:p w14:paraId="01566F42">
      <w:pPr>
        <w:spacing w:line="480" w:lineRule="exact"/>
        <w:ind w:firstLine="2380" w:firstLineChars="850"/>
        <w:rPr>
          <w:rFonts w:ascii="宋体" w:hAnsi="宋体"/>
          <w:color w:val="auto"/>
          <w:sz w:val="28"/>
          <w:szCs w:val="28"/>
          <w:highlight w:val="none"/>
          <w:u w:val="single"/>
        </w:rPr>
      </w:pPr>
      <w:r>
        <w:rPr>
          <w:rFonts w:hint="eastAsia" w:ascii="宋体" w:hAnsi="宋体"/>
          <w:color w:val="auto"/>
          <w:sz w:val="28"/>
          <w:szCs w:val="28"/>
          <w:highlight w:val="none"/>
        </w:rPr>
        <w:t>签  订  日  期：</w:t>
      </w:r>
      <w:r>
        <w:rPr>
          <w:rFonts w:hint="eastAsia" w:ascii="宋体" w:hAnsi="宋体"/>
          <w:color w:val="auto"/>
          <w:sz w:val="28"/>
          <w:szCs w:val="28"/>
          <w:highlight w:val="none"/>
          <w:u w:val="single"/>
        </w:rPr>
        <w:t xml:space="preserve">       年    月    日</w:t>
      </w:r>
    </w:p>
    <w:p w14:paraId="203BD0CC">
      <w:pPr>
        <w:spacing w:line="480" w:lineRule="exact"/>
        <w:ind w:firstLine="2380" w:firstLineChars="850"/>
        <w:rPr>
          <w:rFonts w:ascii="宋体" w:hAnsi="宋体"/>
          <w:color w:val="auto"/>
          <w:sz w:val="28"/>
          <w:szCs w:val="28"/>
          <w:highlight w:val="none"/>
          <w:u w:val="single"/>
        </w:rPr>
      </w:pPr>
      <w:r>
        <w:rPr>
          <w:rFonts w:hint="eastAsia" w:ascii="宋体" w:hAnsi="宋体"/>
          <w:color w:val="auto"/>
          <w:sz w:val="28"/>
          <w:szCs w:val="28"/>
          <w:highlight w:val="none"/>
        </w:rPr>
        <w:t>签  订  地  点：</w:t>
      </w:r>
      <w:r>
        <w:rPr>
          <w:rFonts w:hint="eastAsia" w:ascii="宋体" w:hAnsi="宋体"/>
          <w:color w:val="auto"/>
          <w:sz w:val="28"/>
          <w:szCs w:val="28"/>
          <w:highlight w:val="none"/>
          <w:u w:val="single"/>
        </w:rPr>
        <w:t xml:space="preserve">   广州市黄埔区    </w:t>
      </w:r>
    </w:p>
    <w:p w14:paraId="4F48A0DC">
      <w:pPr>
        <w:spacing w:line="480" w:lineRule="exact"/>
        <w:jc w:val="center"/>
        <w:rPr>
          <w:rFonts w:ascii="宋体" w:hAnsi="宋体"/>
          <w:color w:val="auto"/>
          <w:highlight w:val="none"/>
        </w:rPr>
      </w:pPr>
      <w:r>
        <w:rPr>
          <w:color w:val="auto"/>
          <w:highlight w:val="none"/>
        </w:rPr>
        <w:drawing>
          <wp:anchor distT="0" distB="0" distL="114300" distR="114300" simplePos="0" relativeHeight="251665408" behindDoc="0" locked="0" layoutInCell="1" allowOverlap="0">
            <wp:simplePos x="0" y="0"/>
            <wp:positionH relativeFrom="column">
              <wp:align>center</wp:align>
            </wp:positionH>
            <wp:positionV relativeFrom="paragraph">
              <wp:posOffset>742950</wp:posOffset>
            </wp:positionV>
            <wp:extent cx="7562850" cy="2633980"/>
            <wp:effectExtent l="0" t="0" r="0" b="13970"/>
            <wp:wrapSquare wrapText="bothSides"/>
            <wp:docPr id="18"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5"/>
                    <pic:cNvPicPr>
                      <a:picLocks noChangeAspect="1"/>
                    </pic:cNvPicPr>
                  </pic:nvPicPr>
                  <pic:blipFill>
                    <a:blip r:embed="rId23"/>
                    <a:stretch>
                      <a:fillRect/>
                    </a:stretch>
                  </pic:blipFill>
                  <pic:spPr>
                    <a:xfrm>
                      <a:off x="0" y="0"/>
                      <a:ext cx="7562850" cy="2633980"/>
                    </a:xfrm>
                    <a:prstGeom prst="rect">
                      <a:avLst/>
                    </a:prstGeom>
                    <a:noFill/>
                    <a:ln>
                      <a:noFill/>
                    </a:ln>
                  </pic:spPr>
                </pic:pic>
              </a:graphicData>
            </a:graphic>
          </wp:anchor>
        </w:drawing>
      </w:r>
    </w:p>
    <w:p w14:paraId="5F6F7C08">
      <w:pPr>
        <w:snapToGrid w:val="0"/>
        <w:spacing w:line="440" w:lineRule="exact"/>
        <w:ind w:left="-197" w:leftChars="-94"/>
        <w:jc w:val="center"/>
        <w:rPr>
          <w:rFonts w:ascii="宋体" w:hAnsi="宋体"/>
          <w:color w:val="auto"/>
          <w:highlight w:val="none"/>
        </w:rPr>
        <w:sectPr>
          <w:headerReference r:id="rId13" w:type="first"/>
          <w:footerReference r:id="rId16" w:type="first"/>
          <w:headerReference r:id="rId11" w:type="default"/>
          <w:footerReference r:id="rId14" w:type="default"/>
          <w:headerReference r:id="rId12" w:type="even"/>
          <w:footerReference r:id="rId15" w:type="even"/>
          <w:pgSz w:w="11906" w:h="16838"/>
          <w:pgMar w:top="0" w:right="0" w:bottom="0" w:left="0" w:header="4" w:footer="851" w:gutter="284"/>
          <w:cols w:space="720" w:num="1"/>
          <w:docGrid w:type="lines" w:linePitch="408" w:charSpace="0"/>
        </w:sectPr>
      </w:pPr>
    </w:p>
    <w:p w14:paraId="60247EBA">
      <w:pPr>
        <w:snapToGrid w:val="0"/>
        <w:spacing w:line="520" w:lineRule="exact"/>
        <w:jc w:val="center"/>
        <w:rPr>
          <w:rFonts w:ascii="宋体" w:hAnsi="宋体"/>
          <w:b/>
          <w:color w:val="auto"/>
          <w:sz w:val="28"/>
          <w:szCs w:val="28"/>
          <w:highlight w:val="none"/>
        </w:rPr>
      </w:pPr>
      <w:r>
        <w:rPr>
          <w:rFonts w:hint="eastAsia" w:ascii="宋体" w:hAnsi="宋体"/>
          <w:b/>
          <w:color w:val="auto"/>
          <w:sz w:val="28"/>
          <w:szCs w:val="28"/>
          <w:highlight w:val="none"/>
        </w:rPr>
        <w:t>第一部分   协议书</w:t>
      </w:r>
    </w:p>
    <w:p w14:paraId="568C74D5">
      <w:pPr>
        <w:snapToGrid w:val="0"/>
        <w:spacing w:line="520" w:lineRule="exact"/>
        <w:rPr>
          <w:rFonts w:ascii="宋体" w:hAnsi="宋体"/>
          <w:b/>
          <w:bCs/>
          <w:color w:val="auto"/>
          <w:sz w:val="28"/>
          <w:szCs w:val="28"/>
          <w:highlight w:val="none"/>
        </w:rPr>
      </w:pPr>
    </w:p>
    <w:p w14:paraId="7AC4CFED">
      <w:pPr>
        <w:snapToGrid w:val="0"/>
        <w:spacing w:line="440" w:lineRule="exact"/>
        <w:ind w:firstLine="480"/>
        <w:rPr>
          <w:rFonts w:ascii="宋体" w:hAnsi="宋体" w:cs="宋体"/>
          <w:color w:val="auto"/>
          <w:sz w:val="24"/>
          <w:highlight w:val="none"/>
          <w:u w:val="single"/>
        </w:rPr>
      </w:pPr>
      <w:r>
        <w:rPr>
          <w:rFonts w:hint="eastAsia" w:ascii="宋体" w:hAnsi="宋体" w:cs="宋体"/>
          <w:color w:val="auto"/>
          <w:sz w:val="24"/>
          <w:highlight w:val="none"/>
        </w:rPr>
        <w:t>发包人（甲方）：</w:t>
      </w:r>
      <w:r>
        <w:rPr>
          <w:rFonts w:hint="eastAsia" w:ascii="宋体" w:hAnsi="宋体" w:eastAsia="宋体" w:cs="宋体"/>
          <w:color w:val="auto"/>
          <w:sz w:val="24"/>
          <w:highlight w:val="none"/>
          <w:u w:val="single"/>
        </w:rPr>
        <w:t>广州开发区财政投资建设项目管理中心</w:t>
      </w:r>
    </w:p>
    <w:p w14:paraId="53990C53">
      <w:pPr>
        <w:snapToGrid w:val="0"/>
        <w:spacing w:line="440" w:lineRule="exact"/>
        <w:ind w:firstLine="480"/>
        <w:rPr>
          <w:rFonts w:ascii="宋体" w:hAnsi="宋体" w:cs="宋体"/>
          <w:color w:val="auto"/>
          <w:sz w:val="24"/>
          <w:highlight w:val="none"/>
          <w:u w:val="single"/>
        </w:rPr>
      </w:pPr>
      <w:r>
        <w:rPr>
          <w:rFonts w:hint="eastAsia" w:ascii="宋体" w:hAnsi="宋体" w:cs="宋体"/>
          <w:color w:val="auto"/>
          <w:sz w:val="24"/>
          <w:highlight w:val="none"/>
        </w:rPr>
        <w:t>承包人（乙方）：</w:t>
      </w:r>
      <w:r>
        <w:rPr>
          <w:rFonts w:ascii="宋体" w:hAnsi="宋体" w:cs="宋体"/>
          <w:color w:val="auto"/>
          <w:sz w:val="24"/>
          <w:highlight w:val="none"/>
        </w:rPr>
        <w:t xml:space="preserve"> </w:t>
      </w:r>
      <w:r>
        <w:rPr>
          <w:rFonts w:ascii="宋体" w:hAnsi="宋体" w:cs="宋体"/>
          <w:color w:val="auto"/>
          <w:sz w:val="24"/>
          <w:highlight w:val="none"/>
          <w:u w:val="single"/>
        </w:rPr>
        <w:t xml:space="preserve">                             </w:t>
      </w:r>
    </w:p>
    <w:p w14:paraId="63B2ECA2">
      <w:pPr>
        <w:pStyle w:val="36"/>
        <w:snapToGrid w:val="0"/>
        <w:spacing w:line="440" w:lineRule="exact"/>
        <w:ind w:left="0" w:leftChars="0"/>
        <w:rPr>
          <w:rFonts w:ascii="宋体" w:hAnsi="宋体" w:cs="宋体"/>
          <w:color w:val="auto"/>
          <w:sz w:val="24"/>
          <w:highlight w:val="none"/>
        </w:rPr>
      </w:pPr>
      <w:r>
        <w:rPr>
          <w:rFonts w:ascii="宋体" w:hAnsi="宋体" w:cs="宋体"/>
          <w:color w:val="auto"/>
          <w:sz w:val="24"/>
          <w:highlight w:val="none"/>
        </w:rPr>
        <w:t xml:space="preserve">   </w:t>
      </w:r>
    </w:p>
    <w:p w14:paraId="4A162C2A">
      <w:pPr>
        <w:pStyle w:val="36"/>
        <w:snapToGrid w:val="0"/>
        <w:spacing w:line="440" w:lineRule="exact"/>
        <w:ind w:left="0" w:leftChars="0"/>
        <w:rPr>
          <w:rFonts w:ascii="宋体" w:hAnsi="宋体" w:cs="宋体"/>
          <w:color w:val="auto"/>
          <w:sz w:val="24"/>
          <w:highlight w:val="none"/>
        </w:rPr>
      </w:pPr>
      <w:r>
        <w:rPr>
          <w:rFonts w:hint="eastAsia" w:ascii="宋体" w:hAnsi="宋体" w:cs="宋体"/>
          <w:color w:val="auto"/>
          <w:sz w:val="24"/>
          <w:highlight w:val="none"/>
        </w:rPr>
        <w:t>依照《中华人民共和国民法典》、《中华人民共和国建筑法》及其他有关法律、行政法规，遵循平等、自愿、公平和诚实信用的原则，双方就本建设工程施工事项协商一致，订立本合同。</w:t>
      </w:r>
    </w:p>
    <w:p w14:paraId="16AA748B">
      <w:pPr>
        <w:snapToGrid w:val="0"/>
        <w:spacing w:line="440" w:lineRule="exact"/>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一、工程概况</w:t>
      </w:r>
    </w:p>
    <w:p w14:paraId="5ABFEAF1">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工程名称：</w:t>
      </w:r>
      <w:r>
        <w:rPr>
          <w:rFonts w:ascii="宋体" w:hAnsi="宋体" w:cs="宋体"/>
          <w:bCs/>
          <w:color w:val="auto"/>
          <w:sz w:val="24"/>
          <w:highlight w:val="none"/>
          <w:u w:val="single"/>
        </w:rPr>
        <w:t xml:space="preserve">                            </w:t>
      </w:r>
    </w:p>
    <w:p w14:paraId="05FF09AF">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工程地点：</w:t>
      </w:r>
      <w:r>
        <w:rPr>
          <w:rFonts w:ascii="宋体" w:hAnsi="宋体" w:cs="宋体"/>
          <w:bCs/>
          <w:color w:val="auto"/>
          <w:sz w:val="24"/>
          <w:highlight w:val="none"/>
          <w:u w:val="single"/>
        </w:rPr>
        <w:t xml:space="preserve">                            </w:t>
      </w:r>
    </w:p>
    <w:p w14:paraId="7CDCFDF0">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工程内容：</w:t>
      </w:r>
      <w:r>
        <w:rPr>
          <w:rFonts w:ascii="宋体" w:hAnsi="宋体" w:cs="宋体"/>
          <w:color w:val="auto"/>
          <w:sz w:val="24"/>
          <w:highlight w:val="none"/>
          <w:u w:val="single"/>
        </w:rPr>
        <w:t xml:space="preserve">                          </w:t>
      </w:r>
      <w:r>
        <w:rPr>
          <w:rFonts w:hint="eastAsia" w:ascii="宋体" w:hAnsi="宋体" w:cs="宋体"/>
          <w:color w:val="auto"/>
          <w:sz w:val="24"/>
          <w:highlight w:val="none"/>
        </w:rPr>
        <w:t>。具体内容以施工图纸及工程量清单为准。</w:t>
      </w:r>
    </w:p>
    <w:p w14:paraId="6389D963">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建设业主有权根据工程实施情况，对承包人的承包范围和承包工程量进行适当调整。</w:t>
      </w:r>
    </w:p>
    <w:p w14:paraId="2111689C">
      <w:pPr>
        <w:snapToGrid w:val="0"/>
        <w:spacing w:line="440" w:lineRule="exact"/>
        <w:ind w:firstLine="480"/>
        <w:rPr>
          <w:rFonts w:ascii="宋体" w:hAnsi="宋体" w:cs="宋体"/>
          <w:color w:val="auto"/>
          <w:sz w:val="24"/>
          <w:highlight w:val="none"/>
          <w:u w:val="single"/>
        </w:rPr>
      </w:pPr>
      <w:r>
        <w:rPr>
          <w:rFonts w:hint="eastAsia" w:ascii="宋体" w:hAnsi="宋体" w:cs="宋体"/>
          <w:color w:val="auto"/>
          <w:sz w:val="24"/>
          <w:highlight w:val="none"/>
        </w:rPr>
        <w:t>工程立项批准文号：</w:t>
      </w:r>
      <w:r>
        <w:rPr>
          <w:rFonts w:ascii="宋体" w:hAnsi="宋体" w:cs="宋体"/>
          <w:color w:val="auto"/>
          <w:sz w:val="24"/>
          <w:highlight w:val="none"/>
          <w:u w:val="single"/>
        </w:rPr>
        <w:t xml:space="preserve">             </w:t>
      </w:r>
    </w:p>
    <w:p w14:paraId="70B6484C">
      <w:pPr>
        <w:snapToGrid w:val="0"/>
        <w:spacing w:line="440" w:lineRule="exact"/>
        <w:ind w:firstLine="480"/>
        <w:rPr>
          <w:rFonts w:ascii="宋体" w:hAnsi="宋体" w:cs="宋体"/>
          <w:color w:val="auto"/>
          <w:sz w:val="24"/>
          <w:highlight w:val="none"/>
          <w:u w:val="single"/>
        </w:rPr>
      </w:pPr>
      <w:r>
        <w:rPr>
          <w:rFonts w:hint="eastAsia" w:ascii="宋体" w:hAnsi="宋体" w:cs="宋体"/>
          <w:color w:val="auto"/>
          <w:sz w:val="24"/>
          <w:highlight w:val="none"/>
        </w:rPr>
        <w:t>资金来源：</w:t>
      </w:r>
      <w:r>
        <w:rPr>
          <w:rFonts w:ascii="宋体" w:hAnsi="宋体" w:cs="宋体"/>
          <w:color w:val="auto"/>
          <w:sz w:val="24"/>
          <w:highlight w:val="none"/>
          <w:u w:val="single"/>
        </w:rPr>
        <w:tab/>
      </w:r>
      <w:r>
        <w:rPr>
          <w:rFonts w:hint="eastAsia" w:ascii="宋体" w:hAnsi="宋体" w:cs="宋体"/>
          <w:color w:val="auto"/>
          <w:sz w:val="24"/>
          <w:highlight w:val="none"/>
          <w:u w:val="single"/>
        </w:rPr>
        <w:t>财政投资</w:t>
      </w:r>
      <w:r>
        <w:rPr>
          <w:rFonts w:ascii="宋体" w:hAnsi="宋体" w:cs="宋体"/>
          <w:color w:val="auto"/>
          <w:sz w:val="24"/>
          <w:highlight w:val="none"/>
          <w:u w:val="single"/>
        </w:rPr>
        <w:t xml:space="preserve"> </w:t>
      </w:r>
    </w:p>
    <w:p w14:paraId="50AFAC97">
      <w:pPr>
        <w:snapToGrid w:val="0"/>
        <w:spacing w:line="440" w:lineRule="exact"/>
        <w:ind w:left="480"/>
        <w:rPr>
          <w:rFonts w:ascii="宋体" w:hAnsi="宋体" w:cs="宋体"/>
          <w:b/>
          <w:bCs/>
          <w:color w:val="auto"/>
          <w:sz w:val="24"/>
          <w:highlight w:val="none"/>
        </w:rPr>
      </w:pPr>
      <w:r>
        <w:rPr>
          <w:rFonts w:hint="eastAsia" w:ascii="宋体" w:hAnsi="宋体" w:cs="宋体"/>
          <w:b/>
          <w:bCs/>
          <w:color w:val="auto"/>
          <w:sz w:val="24"/>
          <w:highlight w:val="none"/>
        </w:rPr>
        <w:t>二、工程承包范围及承包方式</w:t>
      </w:r>
    </w:p>
    <w:p w14:paraId="4C9920DE">
      <w:pPr>
        <w:snapToGrid w:val="0"/>
        <w:spacing w:line="440" w:lineRule="exact"/>
        <w:ind w:left="480" w:firstLine="472" w:firstLineChars="196"/>
        <w:rPr>
          <w:rFonts w:ascii="宋体" w:hAnsi="宋体" w:cs="宋体"/>
          <w:color w:val="auto"/>
          <w:sz w:val="24"/>
          <w:highlight w:val="none"/>
          <w:u w:val="single"/>
        </w:rPr>
      </w:pPr>
      <w:r>
        <w:rPr>
          <w:rFonts w:hint="eastAsia" w:ascii="宋体" w:hAnsi="宋体" w:cs="宋体"/>
          <w:b/>
          <w:bCs/>
          <w:color w:val="auto"/>
          <w:sz w:val="24"/>
          <w:highlight w:val="none"/>
        </w:rPr>
        <w:t>（一）承包范围：</w:t>
      </w:r>
      <w:r>
        <w:rPr>
          <w:rFonts w:hint="eastAsia" w:ascii="宋体" w:hAnsi="宋体" w:cs="宋体"/>
          <w:color w:val="auto"/>
          <w:sz w:val="24"/>
          <w:highlight w:val="none"/>
          <w:u w:val="single"/>
        </w:rPr>
        <w:t>按发包人确认的施工图纸、图纸会审纪录和有关变更文件、资料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、招标文件、承包人投标文件以及双方签订的有关协议所包含的内容。</w:t>
      </w:r>
    </w:p>
    <w:p w14:paraId="0F1C3DA4">
      <w:pPr>
        <w:snapToGrid w:val="0"/>
        <w:spacing w:line="440" w:lineRule="exact"/>
        <w:rPr>
          <w:rFonts w:ascii="宋体" w:hAnsi="宋体" w:cs="宋体"/>
          <w:color w:val="auto"/>
          <w:sz w:val="24"/>
          <w:highlight w:val="none"/>
          <w:u w:val="single"/>
        </w:rPr>
      </w:pPr>
      <w:r>
        <w:rPr>
          <w:rFonts w:ascii="宋体" w:hAnsi="宋体" w:cs="宋体"/>
          <w:color w:val="auto"/>
          <w:sz w:val="24"/>
          <w:highlight w:val="none"/>
        </w:rPr>
        <w:t xml:space="preserve">    </w:t>
      </w:r>
      <w:r>
        <w:rPr>
          <w:rFonts w:hint="eastAsia" w:ascii="宋体" w:hAnsi="宋体" w:cs="宋体"/>
          <w:b/>
          <w:color w:val="auto"/>
          <w:sz w:val="24"/>
          <w:highlight w:val="none"/>
        </w:rPr>
        <w:t>（二）承包方式：</w:t>
      </w:r>
      <w:r>
        <w:rPr>
          <w:rFonts w:ascii="宋体" w:hAnsi="宋体" w:cs="宋体"/>
          <w:color w:val="auto"/>
          <w:sz w:val="24"/>
          <w:highlight w:val="none"/>
          <w:u w:val="single"/>
        </w:rPr>
        <w:t xml:space="preserve"> 包工、包料、包工期、包质量、包安全、包文</w:t>
      </w:r>
      <w:r>
        <w:rPr>
          <w:rFonts w:hint="eastAsia" w:ascii="宋体" w:hAnsi="宋体" w:cs="宋体"/>
          <w:color w:val="auto"/>
          <w:sz w:val="24"/>
          <w:highlight w:val="none"/>
          <w:u w:val="single"/>
        </w:rPr>
        <w:t>明施工、包验收、包保修、综合单价包干，措施项目费（除施工围蔽费用外）包干，施工围蔽清单综合单价包干，工程量按实计量。</w:t>
      </w:r>
    </w:p>
    <w:p w14:paraId="57BB3797">
      <w:pPr>
        <w:snapToGrid w:val="0"/>
        <w:spacing w:line="440" w:lineRule="exact"/>
        <w:ind w:left="480"/>
        <w:rPr>
          <w:rFonts w:ascii="宋体" w:hAnsi="宋体" w:cs="宋体"/>
          <w:b/>
          <w:bCs/>
          <w:color w:val="auto"/>
          <w:sz w:val="24"/>
          <w:highlight w:val="none"/>
          <w:u w:val="single"/>
        </w:rPr>
      </w:pPr>
      <w:r>
        <w:rPr>
          <w:rFonts w:hint="eastAsia" w:ascii="宋体" w:hAnsi="宋体" w:cs="宋体"/>
          <w:b/>
          <w:bCs/>
          <w:color w:val="auto"/>
          <w:sz w:val="24"/>
          <w:highlight w:val="none"/>
        </w:rPr>
        <w:t>三、合同工期</w:t>
      </w:r>
    </w:p>
    <w:p w14:paraId="5909A727">
      <w:pPr>
        <w:snapToGrid w:val="0"/>
        <w:spacing w:line="440" w:lineRule="exact"/>
        <w:ind w:left="480"/>
        <w:rPr>
          <w:rFonts w:ascii="宋体" w:hAnsi="宋体" w:cs="宋体"/>
          <w:color w:val="auto"/>
          <w:sz w:val="24"/>
          <w:highlight w:val="none"/>
          <w:u w:val="single"/>
        </w:rPr>
      </w:pPr>
      <w:r>
        <w:rPr>
          <w:rFonts w:hint="eastAsia" w:ascii="宋体" w:hAnsi="宋体" w:cs="宋体"/>
          <w:color w:val="auto"/>
          <w:sz w:val="24"/>
          <w:highlight w:val="none"/>
        </w:rPr>
        <w:t>暂定开工日期：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14:paraId="7BE719CF">
      <w:pPr>
        <w:snapToGrid w:val="0"/>
        <w:spacing w:line="440" w:lineRule="exact"/>
        <w:ind w:left="480"/>
        <w:rPr>
          <w:rFonts w:ascii="宋体" w:hAnsi="宋体" w:cs="宋体"/>
          <w:color w:val="auto"/>
          <w:sz w:val="24"/>
          <w:highlight w:val="none"/>
          <w:u w:val="single"/>
        </w:rPr>
      </w:pPr>
      <w:r>
        <w:rPr>
          <w:rFonts w:hint="eastAsia" w:ascii="宋体" w:hAnsi="宋体" w:cs="宋体"/>
          <w:color w:val="auto"/>
          <w:sz w:val="24"/>
          <w:highlight w:val="none"/>
        </w:rPr>
        <w:t>暂定竣工日期：</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1A4E984D">
      <w:pPr>
        <w:snapToGrid w:val="0"/>
        <w:spacing w:line="440" w:lineRule="exact"/>
        <w:ind w:left="480"/>
        <w:rPr>
          <w:rFonts w:ascii="宋体" w:hAnsi="宋体" w:cs="宋体"/>
          <w:color w:val="auto"/>
          <w:sz w:val="24"/>
          <w:highlight w:val="none"/>
        </w:rPr>
      </w:pPr>
      <w:r>
        <w:rPr>
          <w:rFonts w:hint="eastAsia" w:ascii="宋体" w:hAnsi="宋体" w:cs="宋体"/>
          <w:color w:val="auto"/>
          <w:sz w:val="24"/>
          <w:highlight w:val="none"/>
        </w:rPr>
        <w:t>合同工期为</w:t>
      </w:r>
      <w:r>
        <w:rPr>
          <w:rFonts w:ascii="宋体" w:hAnsi="宋体" w:cs="宋体"/>
          <w:color w:val="auto"/>
          <w:sz w:val="24"/>
          <w:highlight w:val="none"/>
          <w:u w:val="single"/>
        </w:rPr>
        <w:t xml:space="preserve">     </w:t>
      </w:r>
      <w:r>
        <w:rPr>
          <w:rFonts w:hint="eastAsia" w:ascii="宋体" w:hAnsi="宋体" w:cs="宋体"/>
          <w:color w:val="auto"/>
          <w:sz w:val="24"/>
          <w:highlight w:val="none"/>
        </w:rPr>
        <w:t>日历天。实际开工日期以发包人或监理单位开工令或批准的开工报告日期为准。</w:t>
      </w:r>
    </w:p>
    <w:p w14:paraId="75F0BFC9">
      <w:pPr>
        <w:snapToGrid w:val="0"/>
        <w:spacing w:line="440" w:lineRule="exact"/>
        <w:ind w:left="480"/>
        <w:rPr>
          <w:rFonts w:ascii="宋体" w:hAnsi="宋体" w:cs="宋体"/>
          <w:b/>
          <w:bCs/>
          <w:color w:val="auto"/>
          <w:sz w:val="24"/>
          <w:highlight w:val="none"/>
        </w:rPr>
      </w:pPr>
      <w:r>
        <w:rPr>
          <w:rFonts w:hint="eastAsia" w:ascii="宋体" w:hAnsi="宋体" w:cs="宋体"/>
          <w:b/>
          <w:bCs/>
          <w:color w:val="auto"/>
          <w:sz w:val="24"/>
          <w:highlight w:val="none"/>
        </w:rPr>
        <w:t>四、质量标准</w:t>
      </w:r>
    </w:p>
    <w:p w14:paraId="17B4A5DD">
      <w:pPr>
        <w:pStyle w:val="315"/>
        <w:snapToGrid w:val="0"/>
        <w:spacing w:line="440" w:lineRule="exact"/>
        <w:ind w:firstLine="495"/>
        <w:rPr>
          <w:rFonts w:ascii="宋体" w:hAnsi="宋体" w:cs="宋体"/>
          <w:color w:val="auto"/>
          <w:sz w:val="24"/>
          <w:highlight w:val="none"/>
        </w:rPr>
      </w:pPr>
      <w:r>
        <w:rPr>
          <w:rFonts w:hint="eastAsia" w:ascii="宋体" w:hAnsi="宋体" w:cs="宋体"/>
          <w:color w:val="auto"/>
          <w:sz w:val="24"/>
          <w:highlight w:val="none"/>
        </w:rPr>
        <w:t>工程质量标准：</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rPr>
        <w:t>按投标文件承诺填写</w:t>
      </w:r>
      <w:r>
        <w:rPr>
          <w:rFonts w:hint="eastAsia" w:ascii="宋体" w:hAnsi="宋体" w:cs="宋体"/>
          <w:color w:val="auto"/>
          <w:sz w:val="24"/>
          <w:highlight w:val="none"/>
          <w:u w:val="single"/>
        </w:rPr>
        <w:t xml:space="preserve">  </w:t>
      </w:r>
    </w:p>
    <w:p w14:paraId="7ED748E9">
      <w:pPr>
        <w:pStyle w:val="315"/>
        <w:snapToGrid w:val="0"/>
        <w:spacing w:line="440" w:lineRule="exact"/>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五、合同价款</w:t>
      </w:r>
    </w:p>
    <w:p w14:paraId="01F138C3">
      <w:pPr>
        <w:spacing w:line="4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合同价款暂定为￥</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元（大写：人民币</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），其中绿色施工安全防护措施费为</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元、暂列金额为</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元，人工费</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元，工人工资比例为</w:t>
      </w:r>
      <w:r>
        <w:rPr>
          <w:rFonts w:ascii="宋体" w:hAnsi="宋体" w:cs="宋体"/>
          <w:bCs/>
          <w:snapToGrid w:val="0"/>
          <w:color w:val="auto"/>
          <w:kern w:val="0"/>
          <w:sz w:val="24"/>
          <w:highlight w:val="none"/>
          <w:u w:val="single"/>
        </w:rPr>
        <w:t xml:space="preserve">      </w:t>
      </w:r>
      <w:r>
        <w:rPr>
          <w:rFonts w:hint="eastAsia" w:ascii="宋体" w:hAnsi="宋体" w:cs="宋体"/>
          <w:bCs/>
          <w:snapToGrid w:val="0"/>
          <w:color w:val="auto"/>
          <w:kern w:val="0"/>
          <w:sz w:val="24"/>
          <w:highlight w:val="none"/>
        </w:rPr>
        <w:t>。</w:t>
      </w:r>
    </w:p>
    <w:p w14:paraId="1F9004E0">
      <w:pPr>
        <w:spacing w:line="440" w:lineRule="exact"/>
        <w:ind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工程结算价款以广州开发区财政局审定结算为准。如遇审计部门审计发现本合同结算价款存在超付的情形，发包人有权据实要求承包人返还该部分款项。</w:t>
      </w:r>
    </w:p>
    <w:p w14:paraId="2E21ABDB">
      <w:pPr>
        <w:widowControl/>
        <w:adjustRightInd w:val="0"/>
        <w:snapToGrid w:val="0"/>
        <w:spacing w:line="440" w:lineRule="exact"/>
        <w:ind w:firstLine="472" w:firstLineChars="196"/>
        <w:rPr>
          <w:rFonts w:ascii="宋体" w:hAnsi="宋体" w:cs="宋体"/>
          <w:b/>
          <w:bCs/>
          <w:color w:val="auto"/>
          <w:sz w:val="24"/>
          <w:highlight w:val="none"/>
        </w:rPr>
      </w:pPr>
      <w:r>
        <w:rPr>
          <w:rFonts w:hint="eastAsia" w:ascii="宋体" w:hAnsi="宋体" w:cs="宋体"/>
          <w:b/>
          <w:bCs/>
          <w:color w:val="auto"/>
          <w:sz w:val="24"/>
          <w:highlight w:val="none"/>
        </w:rPr>
        <w:t>六、组成合同的文件</w:t>
      </w:r>
    </w:p>
    <w:p w14:paraId="135EE58E">
      <w:pPr>
        <w:widowControl/>
        <w:adjustRightInd w:val="0"/>
        <w:snapToGrid w:val="0"/>
        <w:spacing w:line="440" w:lineRule="exact"/>
        <w:ind w:left="336" w:leftChars="160" w:firstLine="241" w:firstLineChars="100"/>
        <w:rPr>
          <w:rFonts w:ascii="宋体" w:hAnsi="宋体" w:cs="宋体"/>
          <w:color w:val="auto"/>
          <w:sz w:val="24"/>
          <w:highlight w:val="none"/>
        </w:rPr>
      </w:pPr>
      <w:r>
        <w:rPr>
          <w:rFonts w:ascii="宋体" w:hAnsi="宋体" w:cs="宋体"/>
          <w:b/>
          <w:bCs/>
          <w:color w:val="auto"/>
          <w:sz w:val="24"/>
          <w:highlight w:val="none"/>
        </w:rPr>
        <w:t>1、本合同履行</w:t>
      </w:r>
      <w:r>
        <w:rPr>
          <w:rFonts w:hint="eastAsia" w:ascii="宋体" w:hAnsi="宋体" w:cs="宋体"/>
          <w:color w:val="auto"/>
          <w:sz w:val="24"/>
          <w:highlight w:val="none"/>
        </w:rPr>
        <w:t>期间发包人与承包人双方签订的补充合同（协议）或修正文件；</w:t>
      </w:r>
    </w:p>
    <w:p w14:paraId="16D0562F">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2、本合同协议书</w:t>
      </w:r>
    </w:p>
    <w:p w14:paraId="588D871A">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3、国家、广东省、广州市、广州开发区、黄埔区关于本工程施工的有关文件（发包人在收到后尽快通报给承包人）；</w:t>
      </w:r>
    </w:p>
    <w:p w14:paraId="68237C42">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4、建设业主针对本工程建设管理的各项制度、规定；</w:t>
      </w:r>
    </w:p>
    <w:p w14:paraId="64972AF7">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5、中标通知书</w:t>
      </w:r>
    </w:p>
    <w:p w14:paraId="2766C27C">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6、本合同专用条款</w:t>
      </w:r>
    </w:p>
    <w:p w14:paraId="24A37ABF">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7、招标文件及附件（包括补充、修改、澄清文件及答疑纪要等）</w:t>
      </w:r>
    </w:p>
    <w:p w14:paraId="1221817F">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8、本合同通用条款</w:t>
      </w:r>
    </w:p>
    <w:p w14:paraId="1802FD3C">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9、投标文件及附件</w:t>
      </w:r>
    </w:p>
    <w:p w14:paraId="5A8AE726">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10、标准、规范和其他有关技术文件</w:t>
      </w:r>
    </w:p>
    <w:p w14:paraId="0CF232F9">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11、图纸</w:t>
      </w:r>
    </w:p>
    <w:p w14:paraId="27050BF8">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12、</w:t>
      </w:r>
      <w:r>
        <w:rPr>
          <w:rFonts w:hint="eastAsia" w:ascii="宋体" w:hAnsi="宋体" w:cs="宋体"/>
          <w:color w:val="auto"/>
          <w:sz w:val="24"/>
          <w:highlight w:val="none"/>
        </w:rPr>
        <w:t>已标价</w:t>
      </w:r>
      <w:r>
        <w:rPr>
          <w:rFonts w:ascii="宋体" w:hAnsi="宋体" w:cs="宋体"/>
          <w:color w:val="auto"/>
          <w:sz w:val="24"/>
          <w:highlight w:val="none"/>
        </w:rPr>
        <w:t>工程量清单</w:t>
      </w:r>
      <w:r>
        <w:rPr>
          <w:rFonts w:hint="eastAsia" w:ascii="宋体" w:hAnsi="宋体" w:cs="宋体"/>
          <w:color w:val="auto"/>
          <w:sz w:val="24"/>
          <w:highlight w:val="none"/>
        </w:rPr>
        <w:t>或预算书；</w:t>
      </w:r>
    </w:p>
    <w:p w14:paraId="7E285D41">
      <w:pPr>
        <w:widowControl/>
        <w:adjustRightInd w:val="0"/>
        <w:snapToGrid w:val="0"/>
        <w:spacing w:line="440" w:lineRule="exact"/>
        <w:ind w:left="336" w:leftChars="160" w:firstLine="240" w:firstLineChars="100"/>
        <w:rPr>
          <w:rFonts w:ascii="宋体" w:hAnsi="宋体" w:cs="宋体"/>
          <w:color w:val="auto"/>
          <w:sz w:val="24"/>
          <w:highlight w:val="none"/>
        </w:rPr>
      </w:pPr>
      <w:r>
        <w:rPr>
          <w:rFonts w:ascii="宋体" w:hAnsi="宋体" w:cs="宋体"/>
          <w:color w:val="auto"/>
          <w:sz w:val="24"/>
          <w:highlight w:val="none"/>
        </w:rPr>
        <w:t>13、联合体协议（如果有）；</w:t>
      </w:r>
    </w:p>
    <w:p w14:paraId="35187D2C">
      <w:pPr>
        <w:widowControl/>
        <w:adjustRightInd w:val="0"/>
        <w:snapToGrid w:val="0"/>
        <w:spacing w:line="440" w:lineRule="exact"/>
        <w:ind w:left="336" w:leftChars="160" w:firstLine="240" w:firstLineChars="100"/>
        <w:rPr>
          <w:rFonts w:ascii="宋体" w:hAnsi="宋体" w:cs="宋体"/>
          <w:color w:val="auto"/>
          <w:sz w:val="24"/>
          <w:highlight w:val="none"/>
        </w:rPr>
      </w:pPr>
      <w:r>
        <w:rPr>
          <w:rFonts w:hint="eastAsia" w:ascii="宋体" w:hAnsi="宋体" w:cs="宋体"/>
          <w:color w:val="auto"/>
          <w:sz w:val="24"/>
          <w:highlight w:val="none"/>
        </w:rPr>
        <w:t>14</w:t>
      </w:r>
      <w:r>
        <w:rPr>
          <w:rFonts w:ascii="宋体" w:hAnsi="宋体" w:cs="宋体"/>
          <w:color w:val="auto"/>
          <w:sz w:val="24"/>
          <w:highlight w:val="none"/>
        </w:rPr>
        <w:t>、合同附件（工程质量保修责任书、标函承诺书、项目负责人驻场承诺书、工程建设廉政协议书等）</w:t>
      </w:r>
    </w:p>
    <w:p w14:paraId="492B6AD6">
      <w:pPr>
        <w:pStyle w:val="71"/>
        <w:spacing w:line="440" w:lineRule="exact"/>
        <w:rPr>
          <w:rFonts w:ascii="宋体" w:hAnsi="宋体" w:cs="宋体"/>
          <w:color w:val="auto"/>
          <w:sz w:val="24"/>
          <w:highlight w:val="none"/>
        </w:rPr>
      </w:pPr>
      <w:r>
        <w:rPr>
          <w:rFonts w:hint="eastAsia" w:ascii="宋体" w:hAnsi="宋体" w:cs="宋体"/>
          <w:color w:val="auto"/>
          <w:sz w:val="24"/>
          <w:highlight w:val="none"/>
        </w:rPr>
        <w:t>双方有关工程的洽商、变更等书面协议或文件视为本合同的组成部分。</w:t>
      </w:r>
    </w:p>
    <w:p w14:paraId="5DAD15A2">
      <w:pPr>
        <w:pStyle w:val="52"/>
        <w:snapToGrid w:val="0"/>
        <w:spacing w:line="440" w:lineRule="exact"/>
        <w:ind w:left="0" w:leftChars="0"/>
        <w:rPr>
          <w:rFonts w:ascii="宋体" w:hAnsi="宋体" w:cs="宋体"/>
          <w:bCs/>
          <w:color w:val="auto"/>
          <w:sz w:val="24"/>
          <w:highlight w:val="none"/>
        </w:rPr>
      </w:pPr>
      <w:r>
        <w:rPr>
          <w:rFonts w:ascii="宋体" w:hAnsi="宋体" w:cs="宋体"/>
          <w:bCs/>
          <w:color w:val="auto"/>
          <w:sz w:val="24"/>
          <w:highlight w:val="none"/>
        </w:rPr>
        <w:t xml:space="preserve">   </w:t>
      </w:r>
      <w:r>
        <w:rPr>
          <w:rFonts w:ascii="宋体" w:hAnsi="宋体" w:cs="宋体"/>
          <w:b/>
          <w:bCs/>
          <w:color w:val="auto"/>
          <w:sz w:val="24"/>
          <w:highlight w:val="none"/>
        </w:rPr>
        <w:t xml:space="preserve"> </w:t>
      </w:r>
      <w:r>
        <w:rPr>
          <w:rFonts w:hint="eastAsia" w:ascii="宋体" w:hAnsi="宋体" w:cs="宋体"/>
          <w:b/>
          <w:bCs/>
          <w:color w:val="auto"/>
          <w:sz w:val="24"/>
          <w:highlight w:val="none"/>
        </w:rPr>
        <w:t>七、</w:t>
      </w:r>
      <w:r>
        <w:rPr>
          <w:rFonts w:hint="eastAsia" w:ascii="宋体" w:hAnsi="宋体" w:cs="宋体"/>
          <w:bCs/>
          <w:color w:val="auto"/>
          <w:sz w:val="24"/>
          <w:highlight w:val="none"/>
        </w:rPr>
        <w:t>协议书中有关词语含义与本合同第二部分《通用条款》中分别赋予它们的定义相同。</w:t>
      </w:r>
    </w:p>
    <w:p w14:paraId="62C61962">
      <w:pPr>
        <w:pStyle w:val="52"/>
        <w:snapToGrid w:val="0"/>
        <w:spacing w:line="440" w:lineRule="exact"/>
        <w:ind w:left="0" w:leftChars="0"/>
        <w:rPr>
          <w:rFonts w:ascii="宋体" w:hAnsi="宋体" w:cs="宋体"/>
          <w:bCs/>
          <w:color w:val="auto"/>
          <w:sz w:val="24"/>
          <w:highlight w:val="none"/>
        </w:rPr>
      </w:pPr>
      <w:r>
        <w:rPr>
          <w:rFonts w:ascii="宋体" w:hAnsi="宋体" w:cs="宋体"/>
          <w:bCs/>
          <w:color w:val="auto"/>
          <w:sz w:val="24"/>
          <w:highlight w:val="none"/>
        </w:rPr>
        <w:t xml:space="preserve">    </w:t>
      </w:r>
      <w:r>
        <w:rPr>
          <w:rFonts w:hint="eastAsia" w:ascii="宋体" w:hAnsi="宋体" w:cs="宋体"/>
          <w:b/>
          <w:bCs/>
          <w:color w:val="auto"/>
          <w:sz w:val="24"/>
          <w:highlight w:val="none"/>
        </w:rPr>
        <w:t>八、</w:t>
      </w:r>
      <w:r>
        <w:rPr>
          <w:rFonts w:hint="eastAsia" w:ascii="宋体" w:hAnsi="宋体" w:cs="宋体"/>
          <w:bCs/>
          <w:color w:val="auto"/>
          <w:sz w:val="24"/>
          <w:highlight w:val="none"/>
        </w:rPr>
        <w:t>承包人向发包人承诺按照合同约定进行施工、竣工并在质量保修期内承担工程质量保修责任。</w:t>
      </w:r>
    </w:p>
    <w:p w14:paraId="1581B2BF">
      <w:pPr>
        <w:pStyle w:val="52"/>
        <w:snapToGrid w:val="0"/>
        <w:spacing w:line="440" w:lineRule="exact"/>
        <w:ind w:left="0" w:leftChars="0" w:firstLine="480"/>
        <w:rPr>
          <w:rFonts w:ascii="宋体" w:hAnsi="宋体" w:cs="宋体"/>
          <w:bCs/>
          <w:color w:val="auto"/>
          <w:sz w:val="24"/>
          <w:highlight w:val="none"/>
        </w:rPr>
      </w:pPr>
      <w:r>
        <w:rPr>
          <w:rFonts w:hint="eastAsia" w:ascii="宋体" w:hAnsi="宋体" w:cs="宋体"/>
          <w:b/>
          <w:bCs/>
          <w:color w:val="auto"/>
          <w:sz w:val="24"/>
          <w:highlight w:val="none"/>
        </w:rPr>
        <w:t>九、</w:t>
      </w:r>
      <w:r>
        <w:rPr>
          <w:rFonts w:hint="eastAsia" w:ascii="宋体" w:hAnsi="宋体" w:cs="宋体"/>
          <w:bCs/>
          <w:color w:val="auto"/>
          <w:sz w:val="24"/>
          <w:highlight w:val="none"/>
        </w:rPr>
        <w:t>发包人向承包人承诺按照合同约定的期限和方式支付合同价款及其他应当支付的款项。</w:t>
      </w:r>
    </w:p>
    <w:p w14:paraId="778ACF06">
      <w:pPr>
        <w:pStyle w:val="5"/>
        <w:spacing w:line="240" w:lineRule="auto"/>
        <w:ind w:firstLine="482" w:firstLineChars="200"/>
        <w:jc w:val="left"/>
        <w:rPr>
          <w:rFonts w:ascii="宋体" w:hAnsi="宋体" w:cs="宋体" w:eastAsiaTheme="minorEastAsia"/>
          <w:b w:val="0"/>
          <w:bCs/>
          <w:color w:val="auto"/>
          <w:sz w:val="24"/>
          <w:highlight w:val="none"/>
        </w:rPr>
      </w:pPr>
      <w:r>
        <w:rPr>
          <w:rFonts w:hint="eastAsia" w:ascii="宋体" w:hAnsi="宋体"/>
          <w:bCs/>
          <w:color w:val="auto"/>
          <w:sz w:val="24"/>
          <w:highlight w:val="none"/>
        </w:rPr>
        <w:t>十、</w:t>
      </w:r>
      <w:r>
        <w:rPr>
          <w:rFonts w:hint="eastAsia" w:ascii="宋体" w:hAnsi="宋体" w:cs="宋体" w:eastAsiaTheme="minorEastAsia"/>
          <w:b w:val="0"/>
          <w:bCs/>
          <w:color w:val="auto"/>
          <w:sz w:val="24"/>
          <w:highlight w:val="none"/>
        </w:rPr>
        <w:t>承包人在本项目中存在《广州开发区财政投资建设项目管理中心拒绝投标资格惩戒措施清单》应予惩戒事实情形的，将被拒绝一定时期内参与发包人后续工程投标。惩戒期限3个月起，情形严重的，可视严重程度延长对承包人的拒绝投标时限，最长不超过3年。</w:t>
      </w:r>
    </w:p>
    <w:p w14:paraId="09817A51">
      <w:pPr>
        <w:pStyle w:val="52"/>
        <w:snapToGrid w:val="0"/>
        <w:spacing w:line="440" w:lineRule="exact"/>
        <w:ind w:left="0" w:leftChars="0" w:firstLine="480"/>
        <w:rPr>
          <w:rFonts w:ascii="宋体" w:hAnsi="宋体"/>
          <w:b/>
          <w:bCs/>
          <w:color w:val="auto"/>
          <w:sz w:val="24"/>
          <w:highlight w:val="none"/>
        </w:rPr>
      </w:pPr>
      <w:r>
        <w:rPr>
          <w:rFonts w:hint="eastAsia" w:ascii="宋体" w:hAnsi="宋体" w:cs="宋体"/>
          <w:b/>
          <w:bCs/>
          <w:color w:val="auto"/>
          <w:sz w:val="24"/>
          <w:highlight w:val="none"/>
        </w:rPr>
        <w:t>十一、</w:t>
      </w:r>
      <w:r>
        <w:rPr>
          <w:rFonts w:hint="eastAsia" w:ascii="宋体" w:hAnsi="宋体" w:cs="宋体"/>
          <w:bCs/>
          <w:color w:val="auto"/>
          <w:sz w:val="24"/>
          <w:highlight w:val="none"/>
        </w:rPr>
        <w:t>根据广东省住房和城乡建设厅关于贯彻实施《建设工程工程量清单计价标准》及九项专业工程工程量计算标准的补充通知（粤建市函〔</w:t>
      </w:r>
      <w:r>
        <w:rPr>
          <w:rFonts w:ascii="宋体" w:hAnsi="宋体" w:cs="宋体"/>
          <w:bCs/>
          <w:color w:val="auto"/>
          <w:sz w:val="24"/>
          <w:highlight w:val="none"/>
        </w:rPr>
        <w:t xml:space="preserve">2025〕587 </w:t>
      </w:r>
      <w:r>
        <w:rPr>
          <w:rFonts w:hint="eastAsia" w:ascii="宋体" w:hAnsi="宋体" w:cs="宋体"/>
          <w:bCs/>
          <w:color w:val="auto"/>
          <w:sz w:val="24"/>
          <w:highlight w:val="none"/>
        </w:rPr>
        <w:t>号），本项目执行</w:t>
      </w:r>
      <w:r>
        <w:rPr>
          <w:rFonts w:ascii="宋体" w:hAnsi="宋体" w:cs="宋体"/>
          <w:bCs/>
          <w:color w:val="auto"/>
          <w:sz w:val="24"/>
          <w:highlight w:val="none"/>
        </w:rPr>
        <w:t>2013版清单计价计算规范编制。</w:t>
      </w:r>
    </w:p>
    <w:p w14:paraId="5BADFFAD">
      <w:pPr>
        <w:pStyle w:val="52"/>
        <w:snapToGrid w:val="0"/>
        <w:spacing w:line="440" w:lineRule="exact"/>
        <w:ind w:left="0" w:leftChars="0" w:firstLine="480"/>
        <w:rPr>
          <w:rFonts w:ascii="宋体" w:hAnsi="宋体" w:cs="宋体"/>
          <w:b/>
          <w:bCs/>
          <w:color w:val="auto"/>
          <w:sz w:val="24"/>
          <w:highlight w:val="none"/>
        </w:rPr>
      </w:pPr>
      <w:r>
        <w:rPr>
          <w:rFonts w:hint="eastAsia" w:ascii="宋体" w:hAnsi="宋体"/>
          <w:b/>
          <w:bCs/>
          <w:color w:val="auto"/>
          <w:sz w:val="24"/>
          <w:highlight w:val="none"/>
        </w:rPr>
        <w:t>十二、</w:t>
      </w:r>
      <w:r>
        <w:rPr>
          <w:rFonts w:hint="eastAsia" w:ascii="宋体" w:hAnsi="宋体" w:cs="宋体"/>
          <w:b/>
          <w:bCs/>
          <w:color w:val="auto"/>
          <w:sz w:val="24"/>
          <w:highlight w:val="none"/>
        </w:rPr>
        <w:t>合同生效</w:t>
      </w:r>
    </w:p>
    <w:p w14:paraId="2A29894F">
      <w:pPr>
        <w:snapToGrid w:val="0"/>
        <w:spacing w:line="440" w:lineRule="exact"/>
        <w:ind w:firstLine="482"/>
        <w:rPr>
          <w:rFonts w:ascii="宋体" w:hAnsi="宋体" w:cs="宋体"/>
          <w:color w:val="auto"/>
          <w:sz w:val="24"/>
          <w:highlight w:val="none"/>
        </w:rPr>
      </w:pPr>
      <w:r>
        <w:rPr>
          <w:rFonts w:hint="eastAsia" w:ascii="宋体" w:hAnsi="宋体" w:cs="宋体"/>
          <w:color w:val="auto"/>
          <w:sz w:val="24"/>
          <w:highlight w:val="none"/>
        </w:rPr>
        <w:t>合同订立时间：</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w:t>
      </w:r>
    </w:p>
    <w:p w14:paraId="285FC720">
      <w:pPr>
        <w:snapToGrid w:val="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合同订立地点：</w:t>
      </w:r>
      <w:r>
        <w:rPr>
          <w:rFonts w:hint="eastAsia" w:ascii="宋体" w:hAnsi="宋体" w:eastAsia="宋体" w:cs="宋体"/>
          <w:color w:val="auto"/>
          <w:sz w:val="24"/>
          <w:highlight w:val="none"/>
          <w:u w:val="single"/>
        </w:rPr>
        <w:t>广州市黄埔区</w:t>
      </w:r>
    </w:p>
    <w:p w14:paraId="205BD06E">
      <w:pPr>
        <w:snapToGrid w:val="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本合同双方约定：</w:t>
      </w:r>
      <w:r>
        <w:rPr>
          <w:rFonts w:hint="eastAsia" w:ascii="宋体" w:hAnsi="宋体" w:cs="宋体"/>
          <w:color w:val="auto"/>
          <w:sz w:val="24"/>
          <w:highlight w:val="none"/>
          <w:u w:val="single"/>
        </w:rPr>
        <w:t>双方签名、盖章并在承包人提交履约担保后生效</w:t>
      </w:r>
      <w:r>
        <w:rPr>
          <w:rFonts w:hint="eastAsia" w:ascii="宋体" w:hAnsi="宋体" w:cs="宋体"/>
          <w:color w:val="auto"/>
          <w:sz w:val="24"/>
          <w:highlight w:val="none"/>
        </w:rPr>
        <w:t>。</w:t>
      </w:r>
    </w:p>
    <w:p w14:paraId="53C19D4A">
      <w:pPr>
        <w:snapToGrid w:val="0"/>
        <w:spacing w:line="460" w:lineRule="exact"/>
        <w:rPr>
          <w:rFonts w:ascii="宋体" w:hAnsi="宋体"/>
          <w:color w:val="auto"/>
          <w:sz w:val="24"/>
          <w:highlight w:val="none"/>
        </w:rPr>
      </w:pPr>
    </w:p>
    <w:p w14:paraId="465B1500">
      <w:pPr>
        <w:snapToGrid w:val="0"/>
        <w:spacing w:line="460" w:lineRule="exact"/>
        <w:ind w:firstLine="120" w:firstLineChars="50"/>
        <w:rPr>
          <w:rFonts w:ascii="宋体" w:hAnsi="宋体"/>
          <w:color w:val="auto"/>
          <w:sz w:val="24"/>
          <w:highlight w:val="none"/>
        </w:rPr>
      </w:pPr>
      <w:r>
        <w:rPr>
          <w:rFonts w:hint="eastAsia" w:ascii="宋体" w:hAnsi="宋体"/>
          <w:color w:val="auto"/>
          <w:sz w:val="24"/>
          <w:highlight w:val="none"/>
        </w:rPr>
        <w:t xml:space="preserve"> </w:t>
      </w:r>
    </w:p>
    <w:p w14:paraId="636ED31C">
      <w:pPr>
        <w:snapToGrid w:val="0"/>
        <w:spacing w:line="460" w:lineRule="exact"/>
        <w:rPr>
          <w:rFonts w:ascii="宋体" w:hAnsi="宋体"/>
          <w:color w:val="auto"/>
          <w:sz w:val="24"/>
          <w:highlight w:val="none"/>
        </w:rPr>
      </w:pPr>
    </w:p>
    <w:p w14:paraId="4083DC36">
      <w:pPr>
        <w:pStyle w:val="4"/>
        <w:rPr>
          <w:rFonts w:ascii="宋体" w:hAnsi="宋体"/>
          <w:color w:val="auto"/>
          <w:sz w:val="24"/>
          <w:highlight w:val="none"/>
        </w:rPr>
      </w:pPr>
    </w:p>
    <w:p w14:paraId="5E1ED497">
      <w:pPr>
        <w:rPr>
          <w:rFonts w:ascii="宋体" w:hAnsi="宋体"/>
          <w:color w:val="auto"/>
          <w:sz w:val="24"/>
          <w:highlight w:val="none"/>
        </w:rPr>
      </w:pPr>
    </w:p>
    <w:p w14:paraId="0014920E">
      <w:pPr>
        <w:pStyle w:val="4"/>
        <w:rPr>
          <w:color w:val="auto"/>
          <w:highlight w:val="none"/>
        </w:rPr>
      </w:pPr>
    </w:p>
    <w:tbl>
      <w:tblPr>
        <w:tblStyle w:val="88"/>
        <w:tblW w:w="0" w:type="auto"/>
        <w:tblInd w:w="534" w:type="dxa"/>
        <w:tblLayout w:type="fixed"/>
        <w:tblCellMar>
          <w:top w:w="0" w:type="dxa"/>
          <w:left w:w="108" w:type="dxa"/>
          <w:bottom w:w="0" w:type="dxa"/>
          <w:right w:w="108" w:type="dxa"/>
        </w:tblCellMar>
      </w:tblPr>
      <w:tblGrid>
        <w:gridCol w:w="1668"/>
        <w:gridCol w:w="2596"/>
        <w:gridCol w:w="1656"/>
        <w:gridCol w:w="2608"/>
      </w:tblGrid>
      <w:tr w14:paraId="6D6ABB96">
        <w:tblPrEx>
          <w:tblCellMar>
            <w:top w:w="0" w:type="dxa"/>
            <w:left w:w="108" w:type="dxa"/>
            <w:bottom w:w="0" w:type="dxa"/>
            <w:right w:w="108" w:type="dxa"/>
          </w:tblCellMar>
        </w:tblPrEx>
        <w:trPr>
          <w:trHeight w:val="871" w:hRule="atLeast"/>
        </w:trPr>
        <w:tc>
          <w:tcPr>
            <w:tcW w:w="1668" w:type="dxa"/>
            <w:vAlign w:val="center"/>
          </w:tcPr>
          <w:p w14:paraId="0A14161C">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发</w:t>
            </w:r>
            <w:r>
              <w:rPr>
                <w:rFonts w:ascii="宋体" w:hAnsi="宋体" w:eastAsia="宋体"/>
                <w:color w:val="auto"/>
                <w:sz w:val="24"/>
                <w:highlight w:val="none"/>
              </w:rPr>
              <w:t xml:space="preserve">  </w:t>
            </w:r>
            <w:r>
              <w:rPr>
                <w:rFonts w:hint="eastAsia" w:ascii="宋体" w:hAnsi="宋体" w:eastAsia="宋体"/>
                <w:color w:val="auto"/>
                <w:sz w:val="24"/>
                <w:highlight w:val="none"/>
              </w:rPr>
              <w:t>包</w:t>
            </w:r>
            <w:r>
              <w:rPr>
                <w:rFonts w:ascii="宋体" w:hAnsi="宋体" w:eastAsia="宋体"/>
                <w:color w:val="auto"/>
                <w:sz w:val="24"/>
                <w:highlight w:val="none"/>
              </w:rPr>
              <w:t xml:space="preserve">  </w:t>
            </w:r>
            <w:r>
              <w:rPr>
                <w:rFonts w:hint="eastAsia" w:ascii="宋体" w:hAnsi="宋体" w:eastAsia="宋体"/>
                <w:color w:val="auto"/>
                <w:sz w:val="24"/>
                <w:highlight w:val="none"/>
              </w:rPr>
              <w:t>人：</w:t>
            </w:r>
          </w:p>
        </w:tc>
        <w:tc>
          <w:tcPr>
            <w:tcW w:w="2596" w:type="dxa"/>
            <w:vAlign w:val="center"/>
          </w:tcPr>
          <w:p w14:paraId="5F34057B">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（公章）</w:t>
            </w:r>
          </w:p>
        </w:tc>
        <w:tc>
          <w:tcPr>
            <w:tcW w:w="1656" w:type="dxa"/>
            <w:vAlign w:val="center"/>
          </w:tcPr>
          <w:p w14:paraId="38E6D58D">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承</w:t>
            </w:r>
            <w:r>
              <w:rPr>
                <w:rFonts w:ascii="宋体" w:hAnsi="宋体" w:eastAsia="宋体"/>
                <w:color w:val="auto"/>
                <w:sz w:val="24"/>
                <w:highlight w:val="none"/>
              </w:rPr>
              <w:t xml:space="preserve">  </w:t>
            </w:r>
            <w:r>
              <w:rPr>
                <w:rFonts w:hint="eastAsia" w:ascii="宋体" w:hAnsi="宋体" w:eastAsia="宋体"/>
                <w:color w:val="auto"/>
                <w:sz w:val="24"/>
                <w:highlight w:val="none"/>
              </w:rPr>
              <w:t>包</w:t>
            </w:r>
            <w:r>
              <w:rPr>
                <w:rFonts w:ascii="宋体" w:hAnsi="宋体" w:eastAsia="宋体"/>
                <w:color w:val="auto"/>
                <w:sz w:val="24"/>
                <w:highlight w:val="none"/>
              </w:rPr>
              <w:t xml:space="preserve">  </w:t>
            </w:r>
            <w:r>
              <w:rPr>
                <w:rFonts w:hint="eastAsia" w:ascii="宋体" w:hAnsi="宋体" w:eastAsia="宋体"/>
                <w:color w:val="auto"/>
                <w:sz w:val="24"/>
                <w:highlight w:val="none"/>
              </w:rPr>
              <w:t>人：</w:t>
            </w:r>
          </w:p>
        </w:tc>
        <w:tc>
          <w:tcPr>
            <w:tcW w:w="2608" w:type="dxa"/>
            <w:vAlign w:val="center"/>
          </w:tcPr>
          <w:p w14:paraId="332CEC14">
            <w:pPr>
              <w:widowControl/>
              <w:wordWrap w:val="0"/>
              <w:topLinePunct/>
              <w:adjustRightInd w:val="0"/>
              <w:snapToGrid w:val="0"/>
              <w:spacing w:line="360" w:lineRule="exact"/>
              <w:rPr>
                <w:rFonts w:ascii="宋体" w:hAnsi="宋体" w:eastAsia="宋体"/>
                <w:color w:val="auto"/>
                <w:sz w:val="24"/>
                <w:highlight w:val="none"/>
              </w:rPr>
            </w:pPr>
            <w:r>
              <w:rPr>
                <w:rFonts w:hint="eastAsia" w:ascii="宋体" w:hAnsi="宋体" w:eastAsia="宋体"/>
                <w:color w:val="auto"/>
                <w:sz w:val="24"/>
                <w:highlight w:val="none"/>
              </w:rPr>
              <w:t>（公章）</w:t>
            </w:r>
          </w:p>
        </w:tc>
      </w:tr>
      <w:tr w14:paraId="37DE4CA7">
        <w:tblPrEx>
          <w:tblCellMar>
            <w:top w:w="0" w:type="dxa"/>
            <w:left w:w="108" w:type="dxa"/>
            <w:bottom w:w="0" w:type="dxa"/>
            <w:right w:w="108" w:type="dxa"/>
          </w:tblCellMar>
        </w:tblPrEx>
        <w:trPr>
          <w:trHeight w:val="1021" w:hRule="atLeast"/>
        </w:trPr>
        <w:tc>
          <w:tcPr>
            <w:tcW w:w="1668" w:type="dxa"/>
            <w:vAlign w:val="center"/>
          </w:tcPr>
          <w:p w14:paraId="5D4F7050">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住</w:t>
            </w:r>
            <w:r>
              <w:rPr>
                <w:rFonts w:ascii="宋体" w:hAnsi="宋体" w:eastAsia="宋体"/>
                <w:color w:val="auto"/>
                <w:sz w:val="24"/>
                <w:highlight w:val="none"/>
              </w:rPr>
              <w:t xml:space="preserve">      </w:t>
            </w:r>
            <w:r>
              <w:rPr>
                <w:rFonts w:hint="eastAsia" w:ascii="宋体" w:hAnsi="宋体" w:eastAsia="宋体"/>
                <w:color w:val="auto"/>
                <w:sz w:val="24"/>
                <w:highlight w:val="none"/>
              </w:rPr>
              <w:t>所：</w:t>
            </w:r>
          </w:p>
        </w:tc>
        <w:tc>
          <w:tcPr>
            <w:tcW w:w="2596" w:type="dxa"/>
            <w:vAlign w:val="center"/>
          </w:tcPr>
          <w:p w14:paraId="36754D9C">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科学城创意大厦</w:t>
            </w:r>
            <w:r>
              <w:rPr>
                <w:rFonts w:ascii="宋体" w:hAnsi="宋体" w:eastAsia="宋体"/>
                <w:color w:val="auto"/>
                <w:sz w:val="24"/>
                <w:highlight w:val="none"/>
              </w:rPr>
              <w:t>B2栋二、三楼</w:t>
            </w:r>
          </w:p>
        </w:tc>
        <w:tc>
          <w:tcPr>
            <w:tcW w:w="1656" w:type="dxa"/>
            <w:vAlign w:val="center"/>
          </w:tcPr>
          <w:p w14:paraId="50E37A4B">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住</w:t>
            </w:r>
            <w:r>
              <w:rPr>
                <w:rFonts w:ascii="宋体" w:hAnsi="宋体" w:eastAsia="宋体"/>
                <w:color w:val="auto"/>
                <w:sz w:val="24"/>
                <w:highlight w:val="none"/>
              </w:rPr>
              <w:t xml:space="preserve">      </w:t>
            </w:r>
            <w:r>
              <w:rPr>
                <w:rFonts w:hint="eastAsia" w:ascii="宋体" w:hAnsi="宋体" w:eastAsia="宋体"/>
                <w:color w:val="auto"/>
                <w:sz w:val="24"/>
                <w:highlight w:val="none"/>
              </w:rPr>
              <w:t>所：</w:t>
            </w:r>
          </w:p>
        </w:tc>
        <w:tc>
          <w:tcPr>
            <w:tcW w:w="2608" w:type="dxa"/>
            <w:vAlign w:val="center"/>
          </w:tcPr>
          <w:p w14:paraId="2C05A0B6">
            <w:pPr>
              <w:widowControl/>
              <w:wordWrap w:val="0"/>
              <w:topLinePunct/>
              <w:adjustRightInd w:val="0"/>
              <w:snapToGrid w:val="0"/>
              <w:spacing w:line="360" w:lineRule="exact"/>
              <w:rPr>
                <w:rFonts w:ascii="宋体" w:hAnsi="宋体" w:eastAsia="宋体"/>
                <w:color w:val="auto"/>
                <w:sz w:val="24"/>
                <w:highlight w:val="none"/>
              </w:rPr>
            </w:pPr>
          </w:p>
        </w:tc>
      </w:tr>
      <w:tr w14:paraId="2E37C487">
        <w:tblPrEx>
          <w:tblCellMar>
            <w:top w:w="0" w:type="dxa"/>
            <w:left w:w="108" w:type="dxa"/>
            <w:bottom w:w="0" w:type="dxa"/>
            <w:right w:w="108" w:type="dxa"/>
          </w:tblCellMar>
        </w:tblPrEx>
        <w:trPr>
          <w:trHeight w:val="1337" w:hRule="atLeast"/>
        </w:trPr>
        <w:tc>
          <w:tcPr>
            <w:tcW w:w="1668" w:type="dxa"/>
            <w:vAlign w:val="center"/>
          </w:tcPr>
          <w:p w14:paraId="476D7306">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法定代表人：</w:t>
            </w:r>
          </w:p>
        </w:tc>
        <w:tc>
          <w:tcPr>
            <w:tcW w:w="2596" w:type="dxa"/>
            <w:vAlign w:val="center"/>
          </w:tcPr>
          <w:p w14:paraId="3348E1CB">
            <w:pPr>
              <w:widowControl/>
              <w:wordWrap w:val="0"/>
              <w:topLinePunct/>
              <w:adjustRightInd w:val="0"/>
              <w:snapToGrid w:val="0"/>
              <w:spacing w:line="480" w:lineRule="exact"/>
              <w:rPr>
                <w:rFonts w:ascii="宋体" w:hAnsi="宋体" w:eastAsia="宋体"/>
                <w:color w:val="auto"/>
                <w:sz w:val="24"/>
                <w:highlight w:val="none"/>
              </w:rPr>
            </w:pPr>
          </w:p>
        </w:tc>
        <w:tc>
          <w:tcPr>
            <w:tcW w:w="1656" w:type="dxa"/>
            <w:vAlign w:val="center"/>
          </w:tcPr>
          <w:p w14:paraId="7713FDC7">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法定代表人：</w:t>
            </w:r>
          </w:p>
        </w:tc>
        <w:tc>
          <w:tcPr>
            <w:tcW w:w="2608" w:type="dxa"/>
            <w:vAlign w:val="center"/>
          </w:tcPr>
          <w:p w14:paraId="2EB258FD">
            <w:pPr>
              <w:widowControl/>
              <w:wordWrap w:val="0"/>
              <w:topLinePunct/>
              <w:adjustRightInd w:val="0"/>
              <w:snapToGrid w:val="0"/>
              <w:spacing w:line="360" w:lineRule="exact"/>
              <w:rPr>
                <w:rFonts w:ascii="宋体" w:hAnsi="宋体" w:eastAsia="宋体"/>
                <w:color w:val="auto"/>
                <w:sz w:val="24"/>
                <w:highlight w:val="none"/>
              </w:rPr>
            </w:pPr>
          </w:p>
        </w:tc>
      </w:tr>
      <w:tr w14:paraId="6FB3FF6B">
        <w:tblPrEx>
          <w:tblCellMar>
            <w:top w:w="0" w:type="dxa"/>
            <w:left w:w="108" w:type="dxa"/>
            <w:bottom w:w="0" w:type="dxa"/>
            <w:right w:w="108" w:type="dxa"/>
          </w:tblCellMar>
        </w:tblPrEx>
        <w:trPr>
          <w:trHeight w:val="1554" w:hRule="atLeast"/>
        </w:trPr>
        <w:tc>
          <w:tcPr>
            <w:tcW w:w="1668" w:type="dxa"/>
            <w:vAlign w:val="center"/>
          </w:tcPr>
          <w:p w14:paraId="57628C5D">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委托代理人：</w:t>
            </w:r>
          </w:p>
        </w:tc>
        <w:tc>
          <w:tcPr>
            <w:tcW w:w="2596" w:type="dxa"/>
            <w:vAlign w:val="center"/>
          </w:tcPr>
          <w:p w14:paraId="6885E3FB">
            <w:pPr>
              <w:widowControl/>
              <w:wordWrap w:val="0"/>
              <w:topLinePunct/>
              <w:adjustRightInd w:val="0"/>
              <w:snapToGrid w:val="0"/>
              <w:spacing w:line="480" w:lineRule="exact"/>
              <w:rPr>
                <w:rFonts w:ascii="宋体" w:hAnsi="宋体" w:eastAsia="宋体"/>
                <w:color w:val="auto"/>
                <w:sz w:val="24"/>
                <w:highlight w:val="none"/>
              </w:rPr>
            </w:pPr>
          </w:p>
        </w:tc>
        <w:tc>
          <w:tcPr>
            <w:tcW w:w="1656" w:type="dxa"/>
            <w:vAlign w:val="center"/>
          </w:tcPr>
          <w:p w14:paraId="591C256C">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委托代理人：</w:t>
            </w:r>
          </w:p>
        </w:tc>
        <w:tc>
          <w:tcPr>
            <w:tcW w:w="2608" w:type="dxa"/>
            <w:vAlign w:val="center"/>
          </w:tcPr>
          <w:p w14:paraId="37557850">
            <w:pPr>
              <w:widowControl/>
              <w:wordWrap w:val="0"/>
              <w:topLinePunct/>
              <w:adjustRightInd w:val="0"/>
              <w:snapToGrid w:val="0"/>
              <w:spacing w:line="360" w:lineRule="exact"/>
              <w:rPr>
                <w:rFonts w:ascii="宋体" w:hAnsi="宋体" w:eastAsia="宋体"/>
                <w:color w:val="auto"/>
                <w:sz w:val="24"/>
                <w:highlight w:val="none"/>
              </w:rPr>
            </w:pPr>
          </w:p>
        </w:tc>
      </w:tr>
      <w:tr w14:paraId="442607CE">
        <w:tblPrEx>
          <w:tblCellMar>
            <w:top w:w="0" w:type="dxa"/>
            <w:left w:w="108" w:type="dxa"/>
            <w:bottom w:w="0" w:type="dxa"/>
            <w:right w:w="108" w:type="dxa"/>
          </w:tblCellMar>
        </w:tblPrEx>
        <w:trPr>
          <w:trHeight w:val="604" w:hRule="atLeast"/>
        </w:trPr>
        <w:tc>
          <w:tcPr>
            <w:tcW w:w="1668" w:type="dxa"/>
            <w:vAlign w:val="center"/>
          </w:tcPr>
          <w:p w14:paraId="12535F4F">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电</w:t>
            </w:r>
            <w:r>
              <w:rPr>
                <w:rFonts w:ascii="宋体" w:hAnsi="宋体" w:eastAsia="宋体"/>
                <w:color w:val="auto"/>
                <w:sz w:val="24"/>
                <w:highlight w:val="none"/>
              </w:rPr>
              <w:t xml:space="preserve">      </w:t>
            </w:r>
            <w:r>
              <w:rPr>
                <w:rFonts w:hint="eastAsia" w:ascii="宋体" w:hAnsi="宋体" w:eastAsia="宋体"/>
                <w:color w:val="auto"/>
                <w:sz w:val="24"/>
                <w:highlight w:val="none"/>
              </w:rPr>
              <w:t>话：</w:t>
            </w:r>
          </w:p>
        </w:tc>
        <w:tc>
          <w:tcPr>
            <w:tcW w:w="2596" w:type="dxa"/>
            <w:vAlign w:val="center"/>
          </w:tcPr>
          <w:p w14:paraId="77006715">
            <w:pPr>
              <w:widowControl/>
              <w:wordWrap w:val="0"/>
              <w:topLinePunct/>
              <w:adjustRightInd w:val="0"/>
              <w:snapToGrid w:val="0"/>
              <w:spacing w:line="480" w:lineRule="exact"/>
              <w:rPr>
                <w:rFonts w:ascii="宋体" w:hAnsi="宋体" w:eastAsia="宋体"/>
                <w:color w:val="auto"/>
                <w:sz w:val="24"/>
                <w:highlight w:val="none"/>
              </w:rPr>
            </w:pPr>
          </w:p>
        </w:tc>
        <w:tc>
          <w:tcPr>
            <w:tcW w:w="1656" w:type="dxa"/>
            <w:vAlign w:val="center"/>
          </w:tcPr>
          <w:p w14:paraId="477EB442">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电</w:t>
            </w:r>
            <w:r>
              <w:rPr>
                <w:rFonts w:ascii="宋体" w:hAnsi="宋体" w:eastAsia="宋体"/>
                <w:color w:val="auto"/>
                <w:sz w:val="24"/>
                <w:highlight w:val="none"/>
              </w:rPr>
              <w:t xml:space="preserve">      </w:t>
            </w:r>
            <w:r>
              <w:rPr>
                <w:rFonts w:hint="eastAsia" w:ascii="宋体" w:hAnsi="宋体" w:eastAsia="宋体"/>
                <w:color w:val="auto"/>
                <w:sz w:val="24"/>
                <w:highlight w:val="none"/>
              </w:rPr>
              <w:t>话：</w:t>
            </w:r>
          </w:p>
        </w:tc>
        <w:tc>
          <w:tcPr>
            <w:tcW w:w="2608" w:type="dxa"/>
            <w:vAlign w:val="center"/>
          </w:tcPr>
          <w:p w14:paraId="765458A4">
            <w:pPr>
              <w:widowControl/>
              <w:wordWrap w:val="0"/>
              <w:topLinePunct/>
              <w:adjustRightInd w:val="0"/>
              <w:snapToGrid w:val="0"/>
              <w:spacing w:line="360" w:lineRule="exact"/>
              <w:rPr>
                <w:rFonts w:ascii="宋体" w:hAnsi="宋体" w:eastAsia="宋体"/>
                <w:color w:val="auto"/>
                <w:sz w:val="24"/>
                <w:highlight w:val="none"/>
              </w:rPr>
            </w:pPr>
          </w:p>
        </w:tc>
      </w:tr>
      <w:tr w14:paraId="5EF28C73">
        <w:tblPrEx>
          <w:tblCellMar>
            <w:top w:w="0" w:type="dxa"/>
            <w:left w:w="108" w:type="dxa"/>
            <w:bottom w:w="0" w:type="dxa"/>
            <w:right w:w="108" w:type="dxa"/>
          </w:tblCellMar>
        </w:tblPrEx>
        <w:trPr>
          <w:trHeight w:val="604" w:hRule="atLeast"/>
        </w:trPr>
        <w:tc>
          <w:tcPr>
            <w:tcW w:w="1668" w:type="dxa"/>
            <w:vAlign w:val="center"/>
          </w:tcPr>
          <w:p w14:paraId="3800D3FB">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传</w:t>
            </w:r>
            <w:r>
              <w:rPr>
                <w:rFonts w:ascii="宋体" w:hAnsi="宋体" w:eastAsia="宋体"/>
                <w:color w:val="auto"/>
                <w:sz w:val="24"/>
                <w:highlight w:val="none"/>
              </w:rPr>
              <w:t xml:space="preserve">      </w:t>
            </w:r>
            <w:r>
              <w:rPr>
                <w:rFonts w:hint="eastAsia" w:ascii="宋体" w:hAnsi="宋体" w:eastAsia="宋体"/>
                <w:color w:val="auto"/>
                <w:sz w:val="24"/>
                <w:highlight w:val="none"/>
              </w:rPr>
              <w:t>真：</w:t>
            </w:r>
          </w:p>
        </w:tc>
        <w:tc>
          <w:tcPr>
            <w:tcW w:w="2596" w:type="dxa"/>
            <w:vAlign w:val="center"/>
          </w:tcPr>
          <w:p w14:paraId="2529C307">
            <w:pPr>
              <w:widowControl/>
              <w:wordWrap w:val="0"/>
              <w:topLinePunct/>
              <w:adjustRightInd w:val="0"/>
              <w:snapToGrid w:val="0"/>
              <w:spacing w:line="480" w:lineRule="exact"/>
              <w:rPr>
                <w:rFonts w:ascii="宋体" w:hAnsi="宋体" w:eastAsia="宋体"/>
                <w:color w:val="auto"/>
                <w:sz w:val="24"/>
                <w:highlight w:val="none"/>
              </w:rPr>
            </w:pPr>
            <w:r>
              <w:rPr>
                <w:rFonts w:ascii="宋体" w:hAnsi="宋体" w:eastAsia="宋体"/>
                <w:color w:val="auto"/>
                <w:sz w:val="24"/>
                <w:highlight w:val="none"/>
              </w:rPr>
              <w:t>020-28068800</w:t>
            </w:r>
          </w:p>
        </w:tc>
        <w:tc>
          <w:tcPr>
            <w:tcW w:w="1656" w:type="dxa"/>
            <w:vAlign w:val="center"/>
          </w:tcPr>
          <w:p w14:paraId="0AC7F507">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传</w:t>
            </w:r>
            <w:r>
              <w:rPr>
                <w:rFonts w:ascii="宋体" w:hAnsi="宋体" w:eastAsia="宋体"/>
                <w:color w:val="auto"/>
                <w:sz w:val="24"/>
                <w:highlight w:val="none"/>
              </w:rPr>
              <w:t xml:space="preserve">      </w:t>
            </w:r>
            <w:r>
              <w:rPr>
                <w:rFonts w:hint="eastAsia" w:ascii="宋体" w:hAnsi="宋体" w:eastAsia="宋体"/>
                <w:color w:val="auto"/>
                <w:sz w:val="24"/>
                <w:highlight w:val="none"/>
              </w:rPr>
              <w:t>真：</w:t>
            </w:r>
          </w:p>
        </w:tc>
        <w:tc>
          <w:tcPr>
            <w:tcW w:w="2608" w:type="dxa"/>
            <w:vAlign w:val="center"/>
          </w:tcPr>
          <w:p w14:paraId="3970E1FE">
            <w:pPr>
              <w:widowControl/>
              <w:wordWrap w:val="0"/>
              <w:topLinePunct/>
              <w:adjustRightInd w:val="0"/>
              <w:snapToGrid w:val="0"/>
              <w:spacing w:line="360" w:lineRule="exact"/>
              <w:rPr>
                <w:rFonts w:ascii="宋体" w:hAnsi="宋体" w:eastAsia="宋体"/>
                <w:color w:val="auto"/>
                <w:sz w:val="24"/>
                <w:highlight w:val="none"/>
              </w:rPr>
            </w:pPr>
          </w:p>
        </w:tc>
      </w:tr>
      <w:tr w14:paraId="7B0924B7">
        <w:tblPrEx>
          <w:tblCellMar>
            <w:top w:w="0" w:type="dxa"/>
            <w:left w:w="108" w:type="dxa"/>
            <w:bottom w:w="0" w:type="dxa"/>
            <w:right w:w="108" w:type="dxa"/>
          </w:tblCellMar>
        </w:tblPrEx>
        <w:trPr>
          <w:trHeight w:val="843" w:hRule="atLeast"/>
        </w:trPr>
        <w:tc>
          <w:tcPr>
            <w:tcW w:w="1668" w:type="dxa"/>
            <w:vAlign w:val="center"/>
          </w:tcPr>
          <w:p w14:paraId="5C394D5A">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开户</w:t>
            </w:r>
            <w:r>
              <w:rPr>
                <w:rFonts w:ascii="宋体" w:hAnsi="宋体" w:eastAsia="宋体"/>
                <w:color w:val="auto"/>
                <w:sz w:val="24"/>
                <w:highlight w:val="none"/>
              </w:rPr>
              <w:t xml:space="preserve"> </w:t>
            </w:r>
            <w:r>
              <w:rPr>
                <w:rFonts w:hint="eastAsia" w:ascii="宋体" w:hAnsi="宋体" w:eastAsia="宋体"/>
                <w:color w:val="auto"/>
                <w:sz w:val="24"/>
                <w:highlight w:val="none"/>
              </w:rPr>
              <w:t>银</w:t>
            </w:r>
            <w:r>
              <w:rPr>
                <w:rFonts w:ascii="宋体" w:hAnsi="宋体" w:eastAsia="宋体"/>
                <w:color w:val="auto"/>
                <w:sz w:val="24"/>
                <w:highlight w:val="none"/>
              </w:rPr>
              <w:t xml:space="preserve"> </w:t>
            </w:r>
            <w:r>
              <w:rPr>
                <w:rFonts w:hint="eastAsia" w:ascii="宋体" w:hAnsi="宋体" w:eastAsia="宋体"/>
                <w:color w:val="auto"/>
                <w:sz w:val="24"/>
                <w:highlight w:val="none"/>
              </w:rPr>
              <w:t>行：</w:t>
            </w:r>
          </w:p>
        </w:tc>
        <w:tc>
          <w:tcPr>
            <w:tcW w:w="2596" w:type="dxa"/>
            <w:vAlign w:val="center"/>
          </w:tcPr>
          <w:p w14:paraId="14A65AA7">
            <w:pPr>
              <w:widowControl/>
              <w:wordWrap w:val="0"/>
              <w:topLinePunct/>
              <w:adjustRightInd w:val="0"/>
              <w:snapToGrid w:val="0"/>
              <w:spacing w:line="480" w:lineRule="exact"/>
              <w:rPr>
                <w:rFonts w:ascii="宋体" w:hAnsi="宋体" w:eastAsia="宋体"/>
                <w:color w:val="auto"/>
                <w:sz w:val="24"/>
                <w:highlight w:val="none"/>
              </w:rPr>
            </w:pPr>
          </w:p>
        </w:tc>
        <w:tc>
          <w:tcPr>
            <w:tcW w:w="1656" w:type="dxa"/>
            <w:vAlign w:val="center"/>
          </w:tcPr>
          <w:p w14:paraId="2FEF4D1B">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开户</w:t>
            </w:r>
            <w:r>
              <w:rPr>
                <w:rFonts w:ascii="宋体" w:hAnsi="宋体" w:eastAsia="宋体"/>
                <w:color w:val="auto"/>
                <w:sz w:val="24"/>
                <w:highlight w:val="none"/>
              </w:rPr>
              <w:t xml:space="preserve"> </w:t>
            </w:r>
            <w:r>
              <w:rPr>
                <w:rFonts w:hint="eastAsia" w:ascii="宋体" w:hAnsi="宋体" w:eastAsia="宋体"/>
                <w:color w:val="auto"/>
                <w:sz w:val="24"/>
                <w:highlight w:val="none"/>
              </w:rPr>
              <w:t>银</w:t>
            </w:r>
            <w:r>
              <w:rPr>
                <w:rFonts w:ascii="宋体" w:hAnsi="宋体" w:eastAsia="宋体"/>
                <w:color w:val="auto"/>
                <w:sz w:val="24"/>
                <w:highlight w:val="none"/>
              </w:rPr>
              <w:t xml:space="preserve"> </w:t>
            </w:r>
            <w:r>
              <w:rPr>
                <w:rFonts w:hint="eastAsia" w:ascii="宋体" w:hAnsi="宋体" w:eastAsia="宋体"/>
                <w:color w:val="auto"/>
                <w:sz w:val="24"/>
                <w:highlight w:val="none"/>
              </w:rPr>
              <w:t>行：</w:t>
            </w:r>
          </w:p>
        </w:tc>
        <w:tc>
          <w:tcPr>
            <w:tcW w:w="2608" w:type="dxa"/>
            <w:vAlign w:val="center"/>
          </w:tcPr>
          <w:p w14:paraId="3FA587CF">
            <w:pPr>
              <w:widowControl/>
              <w:wordWrap w:val="0"/>
              <w:topLinePunct/>
              <w:adjustRightInd w:val="0"/>
              <w:snapToGrid w:val="0"/>
              <w:spacing w:line="360" w:lineRule="exact"/>
              <w:rPr>
                <w:rFonts w:ascii="宋体" w:hAnsi="宋体" w:eastAsia="宋体"/>
                <w:color w:val="auto"/>
                <w:sz w:val="24"/>
                <w:highlight w:val="none"/>
              </w:rPr>
            </w:pPr>
          </w:p>
        </w:tc>
      </w:tr>
      <w:tr w14:paraId="53B3D7EE">
        <w:tblPrEx>
          <w:tblCellMar>
            <w:top w:w="0" w:type="dxa"/>
            <w:left w:w="108" w:type="dxa"/>
            <w:bottom w:w="0" w:type="dxa"/>
            <w:right w:w="108" w:type="dxa"/>
          </w:tblCellMar>
        </w:tblPrEx>
        <w:trPr>
          <w:trHeight w:val="591" w:hRule="atLeast"/>
        </w:trPr>
        <w:tc>
          <w:tcPr>
            <w:tcW w:w="1668" w:type="dxa"/>
            <w:vAlign w:val="center"/>
          </w:tcPr>
          <w:p w14:paraId="60EE692E">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账</w:t>
            </w:r>
            <w:r>
              <w:rPr>
                <w:rFonts w:ascii="宋体" w:hAnsi="宋体" w:eastAsia="宋体"/>
                <w:color w:val="auto"/>
                <w:sz w:val="24"/>
                <w:highlight w:val="none"/>
              </w:rPr>
              <w:t xml:space="preserve">      </w:t>
            </w:r>
            <w:r>
              <w:rPr>
                <w:rFonts w:hint="eastAsia" w:ascii="宋体" w:hAnsi="宋体" w:eastAsia="宋体"/>
                <w:color w:val="auto"/>
                <w:sz w:val="24"/>
                <w:highlight w:val="none"/>
              </w:rPr>
              <w:t>号：</w:t>
            </w:r>
          </w:p>
        </w:tc>
        <w:tc>
          <w:tcPr>
            <w:tcW w:w="2596" w:type="dxa"/>
            <w:vAlign w:val="center"/>
          </w:tcPr>
          <w:p w14:paraId="6E6223F6">
            <w:pPr>
              <w:widowControl/>
              <w:wordWrap w:val="0"/>
              <w:topLinePunct/>
              <w:adjustRightInd w:val="0"/>
              <w:snapToGrid w:val="0"/>
              <w:spacing w:line="480" w:lineRule="exact"/>
              <w:rPr>
                <w:rFonts w:ascii="宋体" w:hAnsi="宋体" w:eastAsia="宋体"/>
                <w:color w:val="auto"/>
                <w:sz w:val="24"/>
                <w:highlight w:val="none"/>
              </w:rPr>
            </w:pPr>
          </w:p>
        </w:tc>
        <w:tc>
          <w:tcPr>
            <w:tcW w:w="1656" w:type="dxa"/>
            <w:vAlign w:val="center"/>
          </w:tcPr>
          <w:p w14:paraId="3D36DACB">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账</w:t>
            </w:r>
            <w:r>
              <w:rPr>
                <w:rFonts w:ascii="宋体" w:hAnsi="宋体" w:eastAsia="宋体"/>
                <w:color w:val="auto"/>
                <w:sz w:val="24"/>
                <w:highlight w:val="none"/>
              </w:rPr>
              <w:t xml:space="preserve">      </w:t>
            </w:r>
            <w:r>
              <w:rPr>
                <w:rFonts w:hint="eastAsia" w:ascii="宋体" w:hAnsi="宋体" w:eastAsia="宋体"/>
                <w:color w:val="auto"/>
                <w:sz w:val="24"/>
                <w:highlight w:val="none"/>
              </w:rPr>
              <w:t>号：</w:t>
            </w:r>
          </w:p>
        </w:tc>
        <w:tc>
          <w:tcPr>
            <w:tcW w:w="2608" w:type="dxa"/>
            <w:vAlign w:val="center"/>
          </w:tcPr>
          <w:p w14:paraId="57057599">
            <w:pPr>
              <w:widowControl/>
              <w:wordWrap w:val="0"/>
              <w:topLinePunct/>
              <w:adjustRightInd w:val="0"/>
              <w:snapToGrid w:val="0"/>
              <w:spacing w:line="360" w:lineRule="exact"/>
              <w:rPr>
                <w:rFonts w:ascii="宋体" w:hAnsi="宋体" w:eastAsia="宋体"/>
                <w:color w:val="auto"/>
                <w:sz w:val="24"/>
                <w:highlight w:val="none"/>
              </w:rPr>
            </w:pPr>
          </w:p>
        </w:tc>
      </w:tr>
    </w:tbl>
    <w:p w14:paraId="3EDAAFB2">
      <w:pPr>
        <w:snapToGrid w:val="0"/>
        <w:spacing w:line="460" w:lineRule="exact"/>
        <w:rPr>
          <w:rFonts w:ascii="宋体" w:hAnsi="宋体"/>
          <w:color w:val="auto"/>
          <w:sz w:val="24"/>
          <w:highlight w:val="none"/>
        </w:rPr>
      </w:pPr>
    </w:p>
    <w:p w14:paraId="22542F48">
      <w:pPr>
        <w:spacing w:line="500" w:lineRule="exact"/>
        <w:rPr>
          <w:rFonts w:ascii="宋体" w:hAnsi="宋体"/>
          <w:color w:val="auto"/>
          <w:sz w:val="32"/>
          <w:highlight w:val="none"/>
        </w:rPr>
      </w:pPr>
      <w:r>
        <w:rPr>
          <w:rFonts w:ascii="宋体" w:hAnsi="宋体"/>
          <w:color w:val="auto"/>
          <w:sz w:val="24"/>
          <w:highlight w:val="none"/>
        </w:rPr>
        <w:t xml:space="preserve"> </w:t>
      </w:r>
      <w:r>
        <w:rPr>
          <w:rFonts w:hint="eastAsia" w:ascii="宋体" w:hAnsi="宋体"/>
          <w:color w:val="auto"/>
          <w:sz w:val="24"/>
          <w:highlight w:val="none"/>
        </w:rPr>
        <w:t xml:space="preserve">  </w:t>
      </w:r>
      <w:r>
        <w:rPr>
          <w:rFonts w:ascii="宋体" w:hAnsi="宋体"/>
          <w:color w:val="auto"/>
          <w:sz w:val="32"/>
          <w:highlight w:val="none"/>
        </w:rPr>
        <w:br w:type="page"/>
      </w:r>
      <w:r>
        <w:rPr>
          <w:rFonts w:hint="eastAsia" w:ascii="宋体" w:hAnsi="宋体"/>
          <w:color w:val="auto"/>
          <w:sz w:val="32"/>
          <w:highlight w:val="none"/>
        </w:rPr>
        <w:t xml:space="preserve">                    </w:t>
      </w:r>
    </w:p>
    <w:p w14:paraId="25F564A7">
      <w:pPr>
        <w:pStyle w:val="35"/>
        <w:spacing w:before="88" w:line="342" w:lineRule="auto"/>
        <w:ind w:right="258"/>
        <w:jc w:val="center"/>
        <w:rPr>
          <w:rFonts w:ascii="黑体" w:hAnsi="黑体" w:eastAsia="黑体" w:cs="黑体"/>
          <w:color w:val="auto"/>
          <w:spacing w:val="3"/>
          <w:sz w:val="18"/>
          <w:szCs w:val="18"/>
          <w:highlight w:val="none"/>
        </w:rPr>
      </w:pPr>
      <w:r>
        <w:rPr>
          <w:rFonts w:hint="eastAsia" w:ascii="宋体" w:hAnsi="宋体" w:eastAsia="宋体" w:cs="宋体"/>
          <w:b/>
          <w:bCs/>
          <w:color w:val="auto"/>
          <w:spacing w:val="3"/>
          <w:sz w:val="24"/>
          <w:highlight w:val="none"/>
        </w:rPr>
        <w:t>附件：《广州开发区财政投资建设项目管理中心拒绝投标资格惩戒措施清单》</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3627"/>
        <w:gridCol w:w="1528"/>
        <w:gridCol w:w="3312"/>
      </w:tblGrid>
      <w:tr w14:paraId="01727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819" w:type="dxa"/>
          </w:tcPr>
          <w:p w14:paraId="15332994">
            <w:pPr>
              <w:pStyle w:val="35"/>
              <w:spacing w:before="88" w:line="342" w:lineRule="auto"/>
              <w:ind w:right="258"/>
              <w:jc w:val="center"/>
              <w:rPr>
                <w:rFonts w:ascii="黑体" w:hAnsi="黑体" w:eastAsia="黑体" w:cs="黑体"/>
                <w:color w:val="auto"/>
                <w:spacing w:val="3"/>
                <w:szCs w:val="21"/>
                <w:highlight w:val="none"/>
              </w:rPr>
            </w:pPr>
            <w:r>
              <w:rPr>
                <w:rFonts w:hint="eastAsia" w:ascii="黑体" w:hAnsi="黑体" w:eastAsia="黑体" w:cs="黑体"/>
                <w:color w:val="auto"/>
                <w:spacing w:val="3"/>
                <w:szCs w:val="21"/>
                <w:highlight w:val="none"/>
              </w:rPr>
              <w:t>序号</w:t>
            </w:r>
          </w:p>
        </w:tc>
        <w:tc>
          <w:tcPr>
            <w:tcW w:w="3627" w:type="dxa"/>
            <w:vAlign w:val="center"/>
          </w:tcPr>
          <w:p w14:paraId="1331A15B">
            <w:pPr>
              <w:pStyle w:val="35"/>
              <w:spacing w:before="88" w:line="342" w:lineRule="auto"/>
              <w:ind w:right="258"/>
              <w:jc w:val="center"/>
              <w:rPr>
                <w:rFonts w:ascii="黑体" w:hAnsi="黑体" w:eastAsia="黑体" w:cs="黑体"/>
                <w:color w:val="auto"/>
                <w:spacing w:val="3"/>
                <w:szCs w:val="21"/>
                <w:highlight w:val="none"/>
              </w:rPr>
            </w:pPr>
            <w:r>
              <w:rPr>
                <w:rFonts w:hint="eastAsia" w:ascii="黑体" w:hAnsi="黑体" w:eastAsia="黑体" w:cs="黑体"/>
                <w:color w:val="auto"/>
                <w:spacing w:val="3"/>
                <w:szCs w:val="21"/>
                <w:highlight w:val="none"/>
              </w:rPr>
              <w:t>拒绝投标情形</w:t>
            </w:r>
          </w:p>
        </w:tc>
        <w:tc>
          <w:tcPr>
            <w:tcW w:w="1528" w:type="dxa"/>
            <w:vAlign w:val="center"/>
          </w:tcPr>
          <w:p w14:paraId="233F14E5">
            <w:pPr>
              <w:pStyle w:val="35"/>
              <w:spacing w:before="88" w:line="342" w:lineRule="auto"/>
              <w:ind w:right="258"/>
              <w:jc w:val="center"/>
              <w:rPr>
                <w:rFonts w:ascii="黑体" w:hAnsi="黑体" w:eastAsia="黑体" w:cs="黑体"/>
                <w:color w:val="auto"/>
                <w:spacing w:val="3"/>
                <w:szCs w:val="21"/>
                <w:highlight w:val="none"/>
              </w:rPr>
            </w:pPr>
            <w:r>
              <w:rPr>
                <w:rFonts w:hint="eastAsia" w:ascii="黑体" w:hAnsi="黑体" w:eastAsia="黑体" w:cs="黑体"/>
                <w:color w:val="auto"/>
                <w:spacing w:val="3"/>
                <w:szCs w:val="21"/>
                <w:highlight w:val="none"/>
              </w:rPr>
              <w:t>惩戒期限</w:t>
            </w:r>
          </w:p>
        </w:tc>
        <w:tc>
          <w:tcPr>
            <w:tcW w:w="3312" w:type="dxa"/>
            <w:vAlign w:val="center"/>
          </w:tcPr>
          <w:p w14:paraId="0AB1EF61">
            <w:pPr>
              <w:pStyle w:val="35"/>
              <w:spacing w:before="88" w:line="342" w:lineRule="auto"/>
              <w:ind w:right="258"/>
              <w:jc w:val="center"/>
              <w:rPr>
                <w:rFonts w:ascii="黑体" w:hAnsi="黑体" w:eastAsia="黑体" w:cs="黑体"/>
                <w:color w:val="auto"/>
                <w:spacing w:val="3"/>
                <w:szCs w:val="21"/>
                <w:highlight w:val="none"/>
              </w:rPr>
            </w:pPr>
            <w:r>
              <w:rPr>
                <w:rFonts w:hint="eastAsia" w:ascii="黑体" w:hAnsi="黑体" w:eastAsia="黑体" w:cs="黑体"/>
                <w:color w:val="auto"/>
                <w:spacing w:val="3"/>
                <w:szCs w:val="21"/>
                <w:highlight w:val="none"/>
              </w:rPr>
              <w:t>政策依据</w:t>
            </w:r>
          </w:p>
        </w:tc>
      </w:tr>
      <w:tr w14:paraId="1C5D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819" w:type="dxa"/>
            <w:vAlign w:val="center"/>
          </w:tcPr>
          <w:p w14:paraId="576CE8FC">
            <w:pPr>
              <w:pStyle w:val="35"/>
              <w:spacing w:before="88" w:line="342" w:lineRule="auto"/>
              <w:ind w:right="258"/>
              <w:jc w:val="center"/>
              <w:rPr>
                <w:rFonts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1</w:t>
            </w:r>
          </w:p>
        </w:tc>
        <w:tc>
          <w:tcPr>
            <w:tcW w:w="3627" w:type="dxa"/>
            <w:vAlign w:val="center"/>
          </w:tcPr>
          <w:p w14:paraId="63543387">
            <w:pPr>
              <w:pStyle w:val="35"/>
              <w:spacing w:before="88" w:line="342" w:lineRule="auto"/>
              <w:ind w:right="258"/>
              <w:jc w:val="left"/>
              <w:rPr>
                <w:rFonts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将中标工程转包或者违法分包的。</w:t>
            </w:r>
          </w:p>
        </w:tc>
        <w:tc>
          <w:tcPr>
            <w:tcW w:w="1528" w:type="dxa"/>
            <w:vAlign w:val="center"/>
          </w:tcPr>
          <w:p w14:paraId="7038A8FF">
            <w:pPr>
              <w:pStyle w:val="35"/>
              <w:spacing w:before="88" w:line="342" w:lineRule="auto"/>
              <w:ind w:right="258"/>
              <w:jc w:val="center"/>
              <w:rPr>
                <w:rFonts w:ascii="仿宋" w:hAnsi="仿宋" w:eastAsia="仿宋" w:cs="仿宋"/>
                <w:snapToGrid w:val="0"/>
                <w:color w:val="auto"/>
                <w:kern w:val="0"/>
                <w:szCs w:val="21"/>
                <w:highlight w:val="none"/>
              </w:rPr>
            </w:pPr>
            <w:r>
              <w:rPr>
                <w:rFonts w:hint="eastAsia" w:cs="仿宋"/>
                <w:snapToGrid w:val="0"/>
                <w:color w:val="auto"/>
                <w:kern w:val="0"/>
                <w:szCs w:val="21"/>
                <w:highlight w:val="none"/>
              </w:rPr>
              <w:t>3个月起</w:t>
            </w:r>
          </w:p>
        </w:tc>
        <w:tc>
          <w:tcPr>
            <w:tcW w:w="3312" w:type="dxa"/>
          </w:tcPr>
          <w:p w14:paraId="6870278B">
            <w:pPr>
              <w:rPr>
                <w:rFonts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广州市建设工程施工招标文件范本修改表（2024年11月）</w:t>
            </w:r>
          </w:p>
        </w:tc>
      </w:tr>
      <w:tr w14:paraId="09B1E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2814FF3">
            <w:pPr>
              <w:pStyle w:val="35"/>
              <w:spacing w:before="88" w:line="342" w:lineRule="auto"/>
              <w:ind w:right="258"/>
              <w:jc w:val="center"/>
              <w:rPr>
                <w:rFonts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2</w:t>
            </w:r>
          </w:p>
        </w:tc>
        <w:tc>
          <w:tcPr>
            <w:tcW w:w="3627" w:type="dxa"/>
            <w:vAlign w:val="center"/>
          </w:tcPr>
          <w:p w14:paraId="1FA673D2">
            <w:pPr>
              <w:snapToGrid w:val="0"/>
              <w:spacing w:line="360" w:lineRule="auto"/>
              <w:contextualSpacing/>
              <w:jc w:val="left"/>
              <w:rPr>
                <w:rFonts w:ascii="仿宋" w:hAnsi="仿宋" w:eastAsia="仿宋" w:cs="仿宋"/>
                <w:color w:val="auto"/>
                <w:szCs w:val="21"/>
                <w:highlight w:val="none"/>
              </w:rPr>
            </w:pPr>
            <w:r>
              <w:rPr>
                <w:rFonts w:hint="eastAsia" w:ascii="仿宋" w:hAnsi="仿宋" w:eastAsia="仿宋" w:cs="仿宋"/>
                <w:color w:val="auto"/>
                <w:szCs w:val="21"/>
                <w:highlight w:val="none"/>
              </w:rPr>
              <w:t>在中标工程中不执行质量、安全生产相关规定的，造成质量或安全事故的。</w:t>
            </w:r>
          </w:p>
        </w:tc>
        <w:tc>
          <w:tcPr>
            <w:tcW w:w="1528" w:type="dxa"/>
            <w:vAlign w:val="center"/>
          </w:tcPr>
          <w:p w14:paraId="3411CAA1">
            <w:pPr>
              <w:pStyle w:val="35"/>
              <w:spacing w:before="88" w:line="342" w:lineRule="auto"/>
              <w:ind w:right="258"/>
              <w:jc w:val="center"/>
              <w:rPr>
                <w:rFonts w:cs="仿宋"/>
                <w:snapToGrid w:val="0"/>
                <w:color w:val="auto"/>
                <w:kern w:val="0"/>
                <w:szCs w:val="21"/>
                <w:highlight w:val="none"/>
              </w:rPr>
            </w:pPr>
            <w:r>
              <w:rPr>
                <w:rFonts w:hint="eastAsia" w:cs="仿宋"/>
                <w:snapToGrid w:val="0"/>
                <w:color w:val="auto"/>
                <w:kern w:val="0"/>
                <w:szCs w:val="21"/>
                <w:highlight w:val="none"/>
              </w:rPr>
              <w:t>3个月起</w:t>
            </w:r>
          </w:p>
        </w:tc>
        <w:tc>
          <w:tcPr>
            <w:tcW w:w="3312" w:type="dxa"/>
          </w:tcPr>
          <w:p w14:paraId="54916670">
            <w:pPr>
              <w:rPr>
                <w:rFonts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广州市建设工程施工招标文件范本修改表（2024年11月）</w:t>
            </w:r>
          </w:p>
        </w:tc>
      </w:tr>
      <w:tr w14:paraId="0D78B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38411D0">
            <w:pPr>
              <w:pStyle w:val="35"/>
              <w:spacing w:before="88" w:line="342" w:lineRule="auto"/>
              <w:ind w:right="258"/>
              <w:jc w:val="center"/>
              <w:rPr>
                <w:rFonts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3</w:t>
            </w:r>
          </w:p>
        </w:tc>
        <w:tc>
          <w:tcPr>
            <w:tcW w:w="3627" w:type="dxa"/>
            <w:vAlign w:val="center"/>
          </w:tcPr>
          <w:p w14:paraId="7B8AB3B3">
            <w:pPr>
              <w:pStyle w:val="35"/>
              <w:spacing w:before="88" w:line="342" w:lineRule="auto"/>
              <w:ind w:right="258"/>
              <w:jc w:val="left"/>
              <w:rPr>
                <w:rFonts w:ascii="仿宋" w:hAnsi="仿宋" w:eastAsia="仿宋" w:cs="仿宋"/>
                <w:color w:val="auto"/>
                <w:spacing w:val="3"/>
                <w:szCs w:val="21"/>
                <w:highlight w:val="none"/>
              </w:rPr>
            </w:pPr>
            <w:r>
              <w:rPr>
                <w:rFonts w:hint="eastAsia" w:ascii="仿宋" w:hAnsi="仿宋" w:eastAsia="仿宋" w:cs="仿宋"/>
                <w:snapToGrid w:val="0"/>
                <w:color w:val="auto"/>
                <w:kern w:val="0"/>
                <w:szCs w:val="21"/>
                <w:highlight w:val="none"/>
                <w:lang w:eastAsia="en-US"/>
              </w:rPr>
              <w:t>出让投标资格的</w:t>
            </w:r>
            <w:r>
              <w:rPr>
                <w:rFonts w:hint="eastAsia" w:ascii="仿宋" w:hAnsi="仿宋" w:eastAsia="仿宋" w:cs="仿宋"/>
                <w:snapToGrid w:val="0"/>
                <w:color w:val="auto"/>
                <w:kern w:val="0"/>
                <w:szCs w:val="21"/>
                <w:highlight w:val="none"/>
              </w:rPr>
              <w:t>。</w:t>
            </w:r>
          </w:p>
        </w:tc>
        <w:tc>
          <w:tcPr>
            <w:tcW w:w="1528" w:type="dxa"/>
            <w:vAlign w:val="center"/>
          </w:tcPr>
          <w:p w14:paraId="4FDC4984">
            <w:pPr>
              <w:pStyle w:val="35"/>
              <w:spacing w:before="88" w:line="342" w:lineRule="auto"/>
              <w:ind w:right="258"/>
              <w:jc w:val="center"/>
              <w:rPr>
                <w:rFonts w:cs="仿宋"/>
                <w:snapToGrid w:val="0"/>
                <w:color w:val="auto"/>
                <w:kern w:val="0"/>
                <w:szCs w:val="21"/>
                <w:highlight w:val="none"/>
              </w:rPr>
            </w:pPr>
            <w:r>
              <w:rPr>
                <w:rFonts w:hint="eastAsia" w:cs="仿宋"/>
                <w:snapToGrid w:val="0"/>
                <w:color w:val="auto"/>
                <w:kern w:val="0"/>
                <w:szCs w:val="21"/>
                <w:highlight w:val="none"/>
              </w:rPr>
              <w:t>3个月起</w:t>
            </w:r>
          </w:p>
        </w:tc>
        <w:tc>
          <w:tcPr>
            <w:tcW w:w="3312" w:type="dxa"/>
          </w:tcPr>
          <w:p w14:paraId="0F056395">
            <w:pPr>
              <w:rPr>
                <w:rFonts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广州市建设工程施工招标文件范本修改表（2024年11月）</w:t>
            </w:r>
          </w:p>
        </w:tc>
      </w:tr>
      <w:tr w14:paraId="4DDBE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3A59BA47">
            <w:pPr>
              <w:pStyle w:val="35"/>
              <w:spacing w:before="88" w:line="342" w:lineRule="auto"/>
              <w:ind w:right="258"/>
              <w:jc w:val="center"/>
              <w:rPr>
                <w:rFonts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4</w:t>
            </w:r>
          </w:p>
        </w:tc>
        <w:tc>
          <w:tcPr>
            <w:tcW w:w="3627" w:type="dxa"/>
            <w:vAlign w:val="center"/>
          </w:tcPr>
          <w:p w14:paraId="39E4A9F5">
            <w:pPr>
              <w:pStyle w:val="35"/>
              <w:spacing w:before="88" w:line="342" w:lineRule="auto"/>
              <w:ind w:right="258"/>
              <w:jc w:val="left"/>
              <w:rPr>
                <w:rFonts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存在围标或串标情形的。</w:t>
            </w:r>
          </w:p>
        </w:tc>
        <w:tc>
          <w:tcPr>
            <w:tcW w:w="1528" w:type="dxa"/>
            <w:vAlign w:val="center"/>
          </w:tcPr>
          <w:p w14:paraId="4AA30681">
            <w:pPr>
              <w:pStyle w:val="35"/>
              <w:spacing w:before="88" w:line="342" w:lineRule="auto"/>
              <w:ind w:right="258"/>
              <w:jc w:val="center"/>
              <w:rPr>
                <w:rFonts w:ascii="仿宋" w:hAnsi="仿宋" w:eastAsia="仿宋" w:cs="仿宋"/>
                <w:color w:val="auto"/>
                <w:spacing w:val="3"/>
                <w:szCs w:val="21"/>
                <w:highlight w:val="none"/>
              </w:rPr>
            </w:pPr>
            <w:r>
              <w:rPr>
                <w:rFonts w:hint="eastAsia" w:cs="仿宋"/>
                <w:snapToGrid w:val="0"/>
                <w:color w:val="auto"/>
                <w:kern w:val="0"/>
                <w:szCs w:val="21"/>
                <w:highlight w:val="none"/>
              </w:rPr>
              <w:t>3个月起</w:t>
            </w:r>
          </w:p>
        </w:tc>
        <w:tc>
          <w:tcPr>
            <w:tcW w:w="3312" w:type="dxa"/>
          </w:tcPr>
          <w:p w14:paraId="2BB4EB32">
            <w:pPr>
              <w:rPr>
                <w:rFonts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广州市建设工程施工招标文件范本修改表（2024年11月）</w:t>
            </w:r>
          </w:p>
        </w:tc>
      </w:tr>
      <w:tr w14:paraId="76752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E6D34E5">
            <w:pPr>
              <w:pStyle w:val="35"/>
              <w:spacing w:before="88" w:line="342" w:lineRule="auto"/>
              <w:ind w:right="258"/>
              <w:jc w:val="center"/>
              <w:rPr>
                <w:rFonts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5</w:t>
            </w:r>
          </w:p>
        </w:tc>
        <w:tc>
          <w:tcPr>
            <w:tcW w:w="3627" w:type="dxa"/>
            <w:vAlign w:val="center"/>
          </w:tcPr>
          <w:p w14:paraId="0109CAC3">
            <w:pPr>
              <w:pStyle w:val="35"/>
              <w:spacing w:before="88" w:line="342" w:lineRule="auto"/>
              <w:ind w:right="258"/>
              <w:jc w:val="left"/>
              <w:rPr>
                <w:rFonts w:ascii="仿宋" w:hAnsi="仿宋" w:eastAsia="仿宋" w:cs="仿宋"/>
                <w:color w:val="auto"/>
                <w:spacing w:val="3"/>
                <w:szCs w:val="21"/>
                <w:highlight w:val="none"/>
              </w:rPr>
            </w:pPr>
            <w:r>
              <w:rPr>
                <w:rFonts w:hint="eastAsia" w:ascii="仿宋" w:hAnsi="仿宋" w:eastAsia="仿宋" w:cs="仿宋"/>
                <w:snapToGrid w:val="0"/>
                <w:color w:val="auto"/>
                <w:spacing w:val="3"/>
                <w:kern w:val="0"/>
                <w:szCs w:val="21"/>
                <w:highlight w:val="none"/>
              </w:rPr>
              <w:t>在投标文件中提供虚假材料的。</w:t>
            </w:r>
          </w:p>
        </w:tc>
        <w:tc>
          <w:tcPr>
            <w:tcW w:w="1528" w:type="dxa"/>
            <w:vAlign w:val="center"/>
          </w:tcPr>
          <w:p w14:paraId="027B1762">
            <w:pPr>
              <w:pStyle w:val="35"/>
              <w:spacing w:before="88" w:line="342" w:lineRule="auto"/>
              <w:ind w:right="258"/>
              <w:jc w:val="center"/>
              <w:rPr>
                <w:rFonts w:ascii="仿宋" w:hAnsi="仿宋" w:eastAsia="仿宋" w:cs="仿宋"/>
                <w:color w:val="auto"/>
                <w:spacing w:val="3"/>
                <w:szCs w:val="21"/>
                <w:highlight w:val="none"/>
              </w:rPr>
            </w:pPr>
            <w:r>
              <w:rPr>
                <w:rFonts w:hint="eastAsia" w:cs="仿宋"/>
                <w:snapToGrid w:val="0"/>
                <w:color w:val="auto"/>
                <w:kern w:val="0"/>
                <w:szCs w:val="21"/>
                <w:highlight w:val="none"/>
              </w:rPr>
              <w:t>3个月起</w:t>
            </w:r>
          </w:p>
        </w:tc>
        <w:tc>
          <w:tcPr>
            <w:tcW w:w="3312" w:type="dxa"/>
          </w:tcPr>
          <w:p w14:paraId="400D6063">
            <w:pPr>
              <w:rPr>
                <w:rFonts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广州市建设工程施工招标文件范本修改表（2024年11月）</w:t>
            </w:r>
          </w:p>
        </w:tc>
      </w:tr>
      <w:tr w14:paraId="0797A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0AE3BF1A">
            <w:pPr>
              <w:pStyle w:val="35"/>
              <w:spacing w:before="88" w:line="342" w:lineRule="auto"/>
              <w:ind w:right="258"/>
              <w:jc w:val="center"/>
              <w:rPr>
                <w:rFonts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6</w:t>
            </w:r>
          </w:p>
        </w:tc>
        <w:tc>
          <w:tcPr>
            <w:tcW w:w="3627" w:type="dxa"/>
            <w:vAlign w:val="center"/>
          </w:tcPr>
          <w:p w14:paraId="3847FA78">
            <w:pPr>
              <w:spacing w:line="360" w:lineRule="auto"/>
              <w:jc w:val="left"/>
              <w:rPr>
                <w:rFonts w:ascii="仿宋" w:hAnsi="仿宋" w:eastAsia="仿宋" w:cs="仿宋"/>
                <w:snapToGrid w:val="0"/>
                <w:color w:val="auto"/>
                <w:spacing w:val="3"/>
                <w:kern w:val="0"/>
                <w:szCs w:val="21"/>
                <w:highlight w:val="none"/>
              </w:rPr>
            </w:pPr>
            <w:r>
              <w:rPr>
                <w:rFonts w:hint="eastAsia" w:ascii="仿宋" w:hAnsi="仿宋" w:eastAsia="仿宋" w:cs="仿宋"/>
                <w:color w:val="auto"/>
                <w:szCs w:val="21"/>
                <w:highlight w:val="none"/>
              </w:rPr>
              <w:t>存在少放、不放业绩、奖项等客观评审资料，减少自身竞争力情形的。</w:t>
            </w:r>
          </w:p>
        </w:tc>
        <w:tc>
          <w:tcPr>
            <w:tcW w:w="1528" w:type="dxa"/>
            <w:vAlign w:val="center"/>
          </w:tcPr>
          <w:p w14:paraId="216D32AC">
            <w:pPr>
              <w:pStyle w:val="35"/>
              <w:spacing w:before="88" w:line="342" w:lineRule="auto"/>
              <w:ind w:right="258"/>
              <w:jc w:val="center"/>
              <w:rPr>
                <w:rFonts w:ascii="仿宋" w:hAnsi="仿宋" w:eastAsia="仿宋" w:cs="仿宋"/>
                <w:color w:val="auto"/>
                <w:spacing w:val="3"/>
                <w:szCs w:val="21"/>
                <w:highlight w:val="none"/>
              </w:rPr>
            </w:pPr>
            <w:r>
              <w:rPr>
                <w:rFonts w:hint="eastAsia" w:cs="仿宋"/>
                <w:snapToGrid w:val="0"/>
                <w:color w:val="auto"/>
                <w:kern w:val="0"/>
                <w:szCs w:val="21"/>
                <w:highlight w:val="none"/>
              </w:rPr>
              <w:t>3个月起</w:t>
            </w:r>
          </w:p>
        </w:tc>
        <w:tc>
          <w:tcPr>
            <w:tcW w:w="3312" w:type="dxa"/>
            <w:vAlign w:val="center"/>
          </w:tcPr>
          <w:p w14:paraId="64BFC39B">
            <w:pPr>
              <w:pStyle w:val="35"/>
              <w:spacing w:before="88" w:line="342" w:lineRule="auto"/>
              <w:ind w:right="258"/>
              <w:rPr>
                <w:rFonts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广州市建设工程施工招标文件范本修改表（2024年11月）</w:t>
            </w:r>
          </w:p>
        </w:tc>
      </w:tr>
      <w:tr w14:paraId="0C5E1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BB16D5D">
            <w:pPr>
              <w:pStyle w:val="35"/>
              <w:spacing w:before="88" w:line="342" w:lineRule="auto"/>
              <w:ind w:right="258"/>
              <w:jc w:val="center"/>
              <w:rPr>
                <w:rFonts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7</w:t>
            </w:r>
          </w:p>
        </w:tc>
        <w:tc>
          <w:tcPr>
            <w:tcW w:w="3627" w:type="dxa"/>
            <w:vAlign w:val="center"/>
          </w:tcPr>
          <w:p w14:paraId="35D1E0FC">
            <w:pPr>
              <w:spacing w:line="360" w:lineRule="auto"/>
              <w:jc w:val="left"/>
              <w:rPr>
                <w:rFonts w:ascii="仿宋" w:hAnsi="仿宋" w:eastAsia="仿宋" w:cs="仿宋"/>
                <w:color w:val="auto"/>
                <w:spacing w:val="3"/>
                <w:szCs w:val="21"/>
                <w:highlight w:val="none"/>
              </w:rPr>
            </w:pPr>
            <w:r>
              <w:rPr>
                <w:rFonts w:hint="eastAsia" w:ascii="仿宋" w:hAnsi="仿宋" w:eastAsia="仿宋" w:cs="仿宋"/>
                <w:snapToGrid w:val="0"/>
                <w:color w:val="auto"/>
                <w:spacing w:val="3"/>
                <w:kern w:val="0"/>
                <w:szCs w:val="21"/>
                <w:highlight w:val="none"/>
              </w:rPr>
              <w:t>存在行贿情形的。</w:t>
            </w:r>
          </w:p>
        </w:tc>
        <w:tc>
          <w:tcPr>
            <w:tcW w:w="1528" w:type="dxa"/>
            <w:vAlign w:val="center"/>
          </w:tcPr>
          <w:p w14:paraId="26694444">
            <w:pPr>
              <w:pStyle w:val="35"/>
              <w:spacing w:before="88" w:line="342" w:lineRule="auto"/>
              <w:ind w:right="258"/>
              <w:jc w:val="center"/>
              <w:rPr>
                <w:rFonts w:ascii="仿宋" w:hAnsi="仿宋" w:eastAsia="仿宋" w:cs="仿宋"/>
                <w:color w:val="auto"/>
                <w:spacing w:val="3"/>
                <w:szCs w:val="21"/>
                <w:highlight w:val="none"/>
              </w:rPr>
            </w:pPr>
            <w:r>
              <w:rPr>
                <w:rFonts w:hint="eastAsia" w:cs="仿宋"/>
                <w:snapToGrid w:val="0"/>
                <w:color w:val="auto"/>
                <w:kern w:val="0"/>
                <w:szCs w:val="21"/>
                <w:highlight w:val="none"/>
              </w:rPr>
              <w:t>3个月起</w:t>
            </w:r>
          </w:p>
        </w:tc>
        <w:tc>
          <w:tcPr>
            <w:tcW w:w="3312" w:type="dxa"/>
          </w:tcPr>
          <w:p w14:paraId="495755B5">
            <w:pPr>
              <w:rPr>
                <w:rFonts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广州市建设工程施工招标文件范本修改表（2024年11月）</w:t>
            </w:r>
          </w:p>
        </w:tc>
      </w:tr>
      <w:tr w14:paraId="6915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0513116">
            <w:pPr>
              <w:pStyle w:val="35"/>
              <w:spacing w:before="88" w:line="342" w:lineRule="auto"/>
              <w:ind w:right="258"/>
              <w:jc w:val="center"/>
              <w:rPr>
                <w:rFonts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8</w:t>
            </w:r>
          </w:p>
        </w:tc>
        <w:tc>
          <w:tcPr>
            <w:tcW w:w="3627" w:type="dxa"/>
            <w:vAlign w:val="center"/>
          </w:tcPr>
          <w:p w14:paraId="320CA20C">
            <w:pPr>
              <w:pStyle w:val="35"/>
              <w:spacing w:before="88" w:line="342" w:lineRule="auto"/>
              <w:ind w:right="258"/>
              <w:jc w:val="left"/>
              <w:rPr>
                <w:rFonts w:ascii="仿宋" w:hAnsi="仿宋" w:eastAsia="仿宋" w:cs="仿宋"/>
                <w:color w:val="auto"/>
                <w:spacing w:val="3"/>
                <w:szCs w:val="21"/>
                <w:highlight w:val="none"/>
              </w:rPr>
            </w:pPr>
            <w:r>
              <w:rPr>
                <w:rFonts w:hint="eastAsia" w:ascii="仿宋" w:hAnsi="仿宋" w:eastAsia="仿宋" w:cs="仿宋"/>
                <w:color w:val="auto"/>
                <w:szCs w:val="21"/>
                <w:highlight w:val="none"/>
              </w:rPr>
              <w:t>拖欠农民工工资的</w:t>
            </w:r>
            <w:r>
              <w:rPr>
                <w:rFonts w:hint="eastAsia" w:cs="仿宋"/>
                <w:color w:val="auto"/>
                <w:szCs w:val="21"/>
                <w:highlight w:val="none"/>
              </w:rPr>
              <w:t>。</w:t>
            </w:r>
          </w:p>
        </w:tc>
        <w:tc>
          <w:tcPr>
            <w:tcW w:w="1528" w:type="dxa"/>
            <w:vAlign w:val="center"/>
          </w:tcPr>
          <w:p w14:paraId="04952EE4">
            <w:pPr>
              <w:pStyle w:val="35"/>
              <w:spacing w:before="88" w:line="342" w:lineRule="auto"/>
              <w:ind w:right="258"/>
              <w:jc w:val="center"/>
              <w:rPr>
                <w:rFonts w:ascii="仿宋" w:hAnsi="仿宋" w:eastAsia="仿宋" w:cs="仿宋"/>
                <w:color w:val="auto"/>
                <w:spacing w:val="3"/>
                <w:szCs w:val="21"/>
                <w:highlight w:val="none"/>
              </w:rPr>
            </w:pPr>
            <w:r>
              <w:rPr>
                <w:rFonts w:hint="eastAsia" w:cs="仿宋"/>
                <w:snapToGrid w:val="0"/>
                <w:color w:val="auto"/>
                <w:kern w:val="0"/>
                <w:szCs w:val="21"/>
                <w:highlight w:val="none"/>
              </w:rPr>
              <w:t>3个月起</w:t>
            </w:r>
          </w:p>
        </w:tc>
        <w:tc>
          <w:tcPr>
            <w:tcW w:w="3312" w:type="dxa"/>
            <w:vAlign w:val="center"/>
          </w:tcPr>
          <w:p w14:paraId="244AF613">
            <w:pPr>
              <w:pStyle w:val="35"/>
              <w:spacing w:before="88" w:line="342" w:lineRule="auto"/>
              <w:ind w:right="258"/>
              <w:rPr>
                <w:rFonts w:ascii="仿宋" w:hAnsi="仿宋" w:eastAsia="仿宋" w:cs="仿宋"/>
                <w:color w:val="auto"/>
                <w:spacing w:val="3"/>
                <w:szCs w:val="21"/>
                <w:highlight w:val="none"/>
              </w:rPr>
            </w:pPr>
            <w:r>
              <w:rPr>
                <w:rFonts w:hint="eastAsia" w:ascii="仿宋" w:hAnsi="仿宋" w:eastAsia="仿宋" w:cs="仿宋"/>
                <w:snapToGrid w:val="0"/>
                <w:color w:val="auto"/>
                <w:kern w:val="0"/>
                <w:szCs w:val="21"/>
                <w:highlight w:val="none"/>
              </w:rPr>
              <w:t>广州市建设工程施工招标文件范本修改表（2024年11月）</w:t>
            </w:r>
          </w:p>
        </w:tc>
      </w:tr>
      <w:tr w14:paraId="4E28C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A31E269">
            <w:pPr>
              <w:pStyle w:val="35"/>
              <w:spacing w:before="88" w:line="342" w:lineRule="auto"/>
              <w:ind w:right="258"/>
              <w:jc w:val="center"/>
              <w:rPr>
                <w:rFonts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9</w:t>
            </w:r>
          </w:p>
        </w:tc>
        <w:tc>
          <w:tcPr>
            <w:tcW w:w="3627" w:type="dxa"/>
            <w:vAlign w:val="center"/>
          </w:tcPr>
          <w:p w14:paraId="742AA2C7">
            <w:pPr>
              <w:pStyle w:val="35"/>
              <w:spacing w:before="88" w:line="342" w:lineRule="auto"/>
              <w:ind w:right="258"/>
              <w:jc w:val="left"/>
              <w:rPr>
                <w:rFonts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未按照国家、省、市有关建筑施工实名制管理和工人工资支付分账管理的规定执行，被行政监管部门处罚的。</w:t>
            </w:r>
          </w:p>
        </w:tc>
        <w:tc>
          <w:tcPr>
            <w:tcW w:w="1528" w:type="dxa"/>
            <w:vAlign w:val="center"/>
          </w:tcPr>
          <w:p w14:paraId="21BF59B5">
            <w:pPr>
              <w:pStyle w:val="35"/>
              <w:spacing w:before="88" w:line="342" w:lineRule="auto"/>
              <w:ind w:right="258"/>
              <w:jc w:val="center"/>
              <w:rPr>
                <w:rFonts w:ascii="仿宋" w:hAnsi="仿宋" w:eastAsia="仿宋" w:cs="仿宋"/>
                <w:color w:val="auto"/>
                <w:spacing w:val="3"/>
                <w:szCs w:val="21"/>
                <w:highlight w:val="none"/>
              </w:rPr>
            </w:pPr>
            <w:r>
              <w:rPr>
                <w:rFonts w:hint="eastAsia" w:cs="仿宋"/>
                <w:snapToGrid w:val="0"/>
                <w:color w:val="auto"/>
                <w:kern w:val="0"/>
                <w:szCs w:val="21"/>
                <w:highlight w:val="none"/>
              </w:rPr>
              <w:t>3个月起</w:t>
            </w:r>
          </w:p>
        </w:tc>
        <w:tc>
          <w:tcPr>
            <w:tcW w:w="3312" w:type="dxa"/>
            <w:vAlign w:val="center"/>
          </w:tcPr>
          <w:p w14:paraId="271CC37E">
            <w:pPr>
              <w:pStyle w:val="35"/>
              <w:spacing w:before="88" w:line="342" w:lineRule="auto"/>
              <w:ind w:right="258"/>
              <w:rPr>
                <w:rFonts w:ascii="仿宋" w:hAnsi="仿宋" w:eastAsia="仿宋" w:cs="仿宋"/>
                <w:color w:val="auto"/>
                <w:spacing w:val="3"/>
                <w:szCs w:val="21"/>
                <w:highlight w:val="none"/>
              </w:rPr>
            </w:pPr>
            <w:r>
              <w:rPr>
                <w:rFonts w:hint="eastAsia" w:ascii="仿宋" w:hAnsi="仿宋" w:eastAsia="仿宋" w:cs="仿宋"/>
                <w:snapToGrid w:val="0"/>
                <w:color w:val="auto"/>
                <w:kern w:val="0"/>
                <w:szCs w:val="21"/>
                <w:highlight w:val="none"/>
              </w:rPr>
              <w:t>广州市建设工程施工招标文件范本修改表（2024年11月）</w:t>
            </w:r>
          </w:p>
        </w:tc>
      </w:tr>
      <w:tr w14:paraId="7515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41D9448F">
            <w:pPr>
              <w:pStyle w:val="35"/>
              <w:spacing w:before="88" w:line="342" w:lineRule="auto"/>
              <w:ind w:right="258"/>
              <w:jc w:val="center"/>
              <w:rPr>
                <w:rFonts w:ascii="仿宋" w:hAnsi="仿宋" w:eastAsia="仿宋" w:cs="仿宋"/>
                <w:color w:val="auto"/>
                <w:spacing w:val="3"/>
                <w:szCs w:val="21"/>
                <w:highlight w:val="none"/>
              </w:rPr>
            </w:pPr>
            <w:r>
              <w:rPr>
                <w:rFonts w:hint="eastAsia" w:cs="仿宋"/>
                <w:color w:val="auto"/>
                <w:spacing w:val="3"/>
                <w:szCs w:val="21"/>
                <w:highlight w:val="none"/>
              </w:rPr>
              <w:t>10</w:t>
            </w:r>
          </w:p>
        </w:tc>
        <w:tc>
          <w:tcPr>
            <w:tcW w:w="3627" w:type="dxa"/>
            <w:vAlign w:val="center"/>
          </w:tcPr>
          <w:p w14:paraId="2A4D95A1">
            <w:pPr>
              <w:pStyle w:val="35"/>
              <w:spacing w:before="88" w:line="342" w:lineRule="auto"/>
              <w:ind w:right="258"/>
              <w:jc w:val="left"/>
              <w:rPr>
                <w:rFonts w:ascii="仿宋" w:hAnsi="仿宋" w:eastAsia="仿宋" w:cs="仿宋"/>
                <w:color w:val="auto"/>
                <w:spacing w:val="3"/>
                <w:szCs w:val="21"/>
                <w:highlight w:val="none"/>
              </w:rPr>
            </w:pPr>
            <w:r>
              <w:rPr>
                <w:rFonts w:hint="eastAsia" w:ascii="仿宋" w:hAnsi="仿宋" w:eastAsia="仿宋" w:cs="仿宋"/>
                <w:color w:val="auto"/>
                <w:spacing w:val="3"/>
                <w:szCs w:val="21"/>
                <w:highlight w:val="none"/>
              </w:rPr>
              <w:t>在项目实施过程中选取的专业分包单位或劳务企业或劳务班组长与投标承诺不一致的（如有）。</w:t>
            </w:r>
          </w:p>
        </w:tc>
        <w:tc>
          <w:tcPr>
            <w:tcW w:w="1528" w:type="dxa"/>
            <w:vAlign w:val="center"/>
          </w:tcPr>
          <w:p w14:paraId="7B4B9104">
            <w:pPr>
              <w:pStyle w:val="35"/>
              <w:spacing w:before="88" w:line="342" w:lineRule="auto"/>
              <w:ind w:right="258"/>
              <w:jc w:val="center"/>
              <w:rPr>
                <w:rFonts w:ascii="仿宋" w:hAnsi="仿宋" w:eastAsia="仿宋" w:cs="仿宋"/>
                <w:color w:val="auto"/>
                <w:spacing w:val="3"/>
                <w:szCs w:val="21"/>
                <w:highlight w:val="none"/>
              </w:rPr>
            </w:pPr>
            <w:r>
              <w:rPr>
                <w:rFonts w:hint="eastAsia" w:cs="仿宋"/>
                <w:snapToGrid w:val="0"/>
                <w:color w:val="auto"/>
                <w:kern w:val="0"/>
                <w:szCs w:val="21"/>
                <w:highlight w:val="none"/>
              </w:rPr>
              <w:t>3个月起</w:t>
            </w:r>
          </w:p>
        </w:tc>
        <w:tc>
          <w:tcPr>
            <w:tcW w:w="3312" w:type="dxa"/>
            <w:vAlign w:val="center"/>
          </w:tcPr>
          <w:p w14:paraId="37044020">
            <w:pPr>
              <w:pStyle w:val="35"/>
              <w:spacing w:before="88" w:line="342" w:lineRule="auto"/>
              <w:ind w:right="258"/>
              <w:rPr>
                <w:rFonts w:ascii="仿宋" w:hAnsi="仿宋" w:eastAsia="仿宋" w:cs="仿宋"/>
                <w:color w:val="auto"/>
                <w:spacing w:val="3"/>
                <w:szCs w:val="21"/>
                <w:highlight w:val="none"/>
              </w:rPr>
            </w:pPr>
            <w:r>
              <w:rPr>
                <w:rFonts w:hint="eastAsia" w:ascii="仿宋" w:hAnsi="仿宋" w:eastAsia="仿宋" w:cs="仿宋"/>
                <w:snapToGrid w:val="0"/>
                <w:color w:val="auto"/>
                <w:kern w:val="0"/>
                <w:szCs w:val="21"/>
                <w:highlight w:val="none"/>
              </w:rPr>
              <w:t>广州市建设工程施工招标文件范本修改表（2024年11月）</w:t>
            </w:r>
          </w:p>
        </w:tc>
      </w:tr>
      <w:tr w14:paraId="11C0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13DEB208">
            <w:pPr>
              <w:pStyle w:val="35"/>
              <w:spacing w:before="88" w:line="342" w:lineRule="auto"/>
              <w:ind w:right="258"/>
              <w:jc w:val="center"/>
              <w:rPr>
                <w:rFonts w:ascii="仿宋" w:hAnsi="仿宋" w:eastAsia="仿宋" w:cs="仿宋"/>
                <w:color w:val="auto"/>
                <w:spacing w:val="3"/>
                <w:szCs w:val="21"/>
                <w:highlight w:val="none"/>
              </w:rPr>
            </w:pPr>
            <w:r>
              <w:rPr>
                <w:rFonts w:hint="eastAsia" w:cs="仿宋"/>
                <w:color w:val="auto"/>
                <w:spacing w:val="3"/>
                <w:szCs w:val="21"/>
                <w:highlight w:val="none"/>
              </w:rPr>
              <w:t>11</w:t>
            </w:r>
          </w:p>
        </w:tc>
        <w:tc>
          <w:tcPr>
            <w:tcW w:w="3627" w:type="dxa"/>
            <w:vAlign w:val="center"/>
          </w:tcPr>
          <w:p w14:paraId="1AA87F4D">
            <w:pPr>
              <w:spacing w:line="360" w:lineRule="auto"/>
              <w:jc w:val="left"/>
              <w:rPr>
                <w:rFonts w:ascii="仿宋" w:hAnsi="仿宋" w:eastAsia="仿宋" w:cs="仿宋"/>
                <w:snapToGrid w:val="0"/>
                <w:color w:val="auto"/>
                <w:spacing w:val="3"/>
                <w:kern w:val="0"/>
                <w:szCs w:val="21"/>
                <w:highlight w:val="none"/>
              </w:rPr>
            </w:pPr>
            <w:r>
              <w:rPr>
                <w:rFonts w:hint="eastAsia" w:ascii="仿宋" w:hAnsi="仿宋" w:eastAsia="仿宋" w:cs="仿宋"/>
                <w:snapToGrid w:val="0"/>
                <w:color w:val="auto"/>
                <w:spacing w:val="3"/>
                <w:kern w:val="0"/>
                <w:szCs w:val="21"/>
                <w:highlight w:val="none"/>
              </w:rPr>
              <w:t>中标人未按规定购买安全生产责任保险的。</w:t>
            </w:r>
          </w:p>
        </w:tc>
        <w:tc>
          <w:tcPr>
            <w:tcW w:w="1528" w:type="dxa"/>
            <w:vAlign w:val="center"/>
          </w:tcPr>
          <w:p w14:paraId="6DD20095">
            <w:pPr>
              <w:pStyle w:val="35"/>
              <w:spacing w:before="88" w:line="342" w:lineRule="auto"/>
              <w:ind w:right="258"/>
              <w:jc w:val="center"/>
              <w:rPr>
                <w:rFonts w:ascii="仿宋" w:hAnsi="仿宋" w:eastAsia="仿宋" w:cs="仿宋"/>
                <w:color w:val="auto"/>
                <w:spacing w:val="3"/>
                <w:szCs w:val="21"/>
                <w:highlight w:val="none"/>
              </w:rPr>
            </w:pPr>
            <w:r>
              <w:rPr>
                <w:rFonts w:hint="eastAsia" w:cs="仿宋"/>
                <w:snapToGrid w:val="0"/>
                <w:color w:val="auto"/>
                <w:kern w:val="0"/>
                <w:szCs w:val="21"/>
                <w:highlight w:val="none"/>
              </w:rPr>
              <w:t>3个月起</w:t>
            </w:r>
          </w:p>
        </w:tc>
        <w:tc>
          <w:tcPr>
            <w:tcW w:w="3312" w:type="dxa"/>
            <w:vAlign w:val="center"/>
          </w:tcPr>
          <w:p w14:paraId="3780748E">
            <w:pPr>
              <w:pStyle w:val="35"/>
              <w:spacing w:before="88" w:line="342" w:lineRule="auto"/>
              <w:ind w:right="258"/>
              <w:jc w:val="center"/>
              <w:rPr>
                <w:rFonts w:ascii="仿宋" w:hAnsi="仿宋" w:eastAsia="仿宋" w:cs="仿宋"/>
                <w:color w:val="auto"/>
                <w:spacing w:val="3"/>
                <w:szCs w:val="21"/>
                <w:highlight w:val="none"/>
              </w:rPr>
            </w:pPr>
            <w:r>
              <w:rPr>
                <w:rFonts w:hint="eastAsia" w:cs="仿宋"/>
                <w:color w:val="auto"/>
                <w:spacing w:val="3"/>
                <w:szCs w:val="21"/>
                <w:highlight w:val="none"/>
              </w:rPr>
              <w:t>广州开发区建设工程招投标管理办公室印发的</w:t>
            </w:r>
            <w:r>
              <w:rPr>
                <w:rFonts w:hint="eastAsia" w:ascii="仿宋" w:hAnsi="仿宋" w:eastAsia="仿宋" w:cs="仿宋"/>
                <w:color w:val="auto"/>
                <w:spacing w:val="3"/>
                <w:szCs w:val="21"/>
                <w:highlight w:val="none"/>
              </w:rPr>
              <w:t xml:space="preserve"> </w:t>
            </w:r>
            <w:r>
              <w:rPr>
                <w:rFonts w:hint="eastAsia" w:cs="仿宋"/>
                <w:color w:val="auto"/>
                <w:spacing w:val="3"/>
                <w:szCs w:val="21"/>
                <w:highlight w:val="none"/>
              </w:rPr>
              <w:t>《</w:t>
            </w:r>
            <w:r>
              <w:rPr>
                <w:rFonts w:hint="eastAsia" w:ascii="仿宋" w:hAnsi="仿宋" w:eastAsia="仿宋" w:cs="仿宋"/>
                <w:color w:val="auto"/>
                <w:spacing w:val="3"/>
                <w:szCs w:val="21"/>
                <w:highlight w:val="none"/>
              </w:rPr>
              <w:t>于施工项目招投标环节严格落实安全生产要求的指引</w:t>
            </w:r>
            <w:r>
              <w:rPr>
                <w:rFonts w:hint="eastAsia" w:cs="仿宋"/>
                <w:color w:val="auto"/>
                <w:spacing w:val="3"/>
                <w:szCs w:val="21"/>
                <w:highlight w:val="none"/>
              </w:rPr>
              <w:t>》</w:t>
            </w:r>
            <w:r>
              <w:rPr>
                <w:rFonts w:hint="eastAsia" w:ascii="仿宋" w:hAnsi="仿宋" w:eastAsia="仿宋" w:cs="仿宋"/>
                <w:color w:val="auto"/>
                <w:spacing w:val="3"/>
                <w:szCs w:val="21"/>
                <w:highlight w:val="none"/>
              </w:rPr>
              <w:t>关（2021年第4期）</w:t>
            </w:r>
          </w:p>
        </w:tc>
      </w:tr>
      <w:tr w14:paraId="429A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643F49AA">
            <w:pPr>
              <w:pStyle w:val="35"/>
              <w:spacing w:before="88" w:line="342" w:lineRule="auto"/>
              <w:ind w:right="258"/>
              <w:jc w:val="center"/>
              <w:rPr>
                <w:rFonts w:cs="仿宋"/>
                <w:color w:val="auto"/>
                <w:spacing w:val="3"/>
                <w:szCs w:val="21"/>
                <w:highlight w:val="none"/>
              </w:rPr>
            </w:pPr>
            <w:r>
              <w:rPr>
                <w:rFonts w:hint="eastAsia" w:cs="仿宋"/>
                <w:color w:val="auto"/>
                <w:spacing w:val="3"/>
                <w:szCs w:val="21"/>
                <w:highlight w:val="none"/>
              </w:rPr>
              <w:t>12</w:t>
            </w:r>
          </w:p>
        </w:tc>
        <w:tc>
          <w:tcPr>
            <w:tcW w:w="3627" w:type="dxa"/>
            <w:vAlign w:val="center"/>
          </w:tcPr>
          <w:p w14:paraId="4D13D8B6">
            <w:pPr>
              <w:spacing w:line="360" w:lineRule="auto"/>
              <w:jc w:val="left"/>
              <w:rPr>
                <w:rFonts w:ascii="仿宋" w:hAnsi="仿宋" w:eastAsia="仿宋" w:cs="仿宋"/>
                <w:snapToGrid w:val="0"/>
                <w:color w:val="auto"/>
                <w:spacing w:val="3"/>
                <w:kern w:val="0"/>
                <w:szCs w:val="21"/>
                <w:highlight w:val="none"/>
              </w:rPr>
            </w:pPr>
            <w:r>
              <w:rPr>
                <w:rFonts w:hint="eastAsia" w:ascii="仿宋" w:hAnsi="仿宋" w:eastAsia="仿宋" w:cs="仿宋"/>
                <w:snapToGrid w:val="0"/>
                <w:color w:val="auto"/>
                <w:spacing w:val="3"/>
                <w:kern w:val="0"/>
                <w:szCs w:val="21"/>
                <w:highlight w:val="none"/>
              </w:rPr>
              <w:t>承包人在项目实施过程中因不诚信或不充分履约达到合同列明的拒绝投标程度的。</w:t>
            </w:r>
          </w:p>
        </w:tc>
        <w:tc>
          <w:tcPr>
            <w:tcW w:w="1528" w:type="dxa"/>
            <w:vAlign w:val="center"/>
          </w:tcPr>
          <w:p w14:paraId="1B8EC261">
            <w:pPr>
              <w:pStyle w:val="35"/>
              <w:spacing w:before="88" w:line="342" w:lineRule="auto"/>
              <w:ind w:right="258"/>
              <w:jc w:val="center"/>
              <w:rPr>
                <w:rFonts w:cs="仿宋"/>
                <w:color w:val="auto"/>
                <w:spacing w:val="3"/>
                <w:szCs w:val="21"/>
                <w:highlight w:val="none"/>
              </w:rPr>
            </w:pPr>
            <w:r>
              <w:rPr>
                <w:rFonts w:hint="eastAsia" w:cs="仿宋"/>
                <w:snapToGrid w:val="0"/>
                <w:color w:val="auto"/>
                <w:kern w:val="0"/>
                <w:szCs w:val="21"/>
                <w:highlight w:val="none"/>
              </w:rPr>
              <w:t>3个月起</w:t>
            </w:r>
          </w:p>
        </w:tc>
        <w:tc>
          <w:tcPr>
            <w:tcW w:w="3312" w:type="dxa"/>
            <w:vAlign w:val="center"/>
          </w:tcPr>
          <w:p w14:paraId="36E7B4B7">
            <w:pPr>
              <w:widowControl/>
              <w:jc w:val="left"/>
              <w:rPr>
                <w:rFonts w:ascii="仿宋" w:hAnsi="仿宋" w:eastAsia="仿宋" w:cs="仿宋"/>
                <w:snapToGrid w:val="0"/>
                <w:color w:val="auto"/>
                <w:kern w:val="0"/>
                <w:szCs w:val="21"/>
                <w:highlight w:val="none"/>
              </w:rPr>
            </w:pPr>
            <w:r>
              <w:rPr>
                <w:rFonts w:hint="eastAsia" w:ascii="仿宋" w:hAnsi="仿宋" w:eastAsia="仿宋" w:cs="仿宋"/>
                <w:snapToGrid w:val="0"/>
                <w:color w:val="auto"/>
                <w:kern w:val="0"/>
                <w:szCs w:val="21"/>
                <w:highlight w:val="none"/>
              </w:rPr>
              <w:t>《广州市工程建设项目招标投标管理办法》</w:t>
            </w:r>
          </w:p>
          <w:p w14:paraId="72CA9569">
            <w:pPr>
              <w:pStyle w:val="35"/>
              <w:spacing w:before="88" w:line="342" w:lineRule="auto"/>
              <w:ind w:right="258"/>
              <w:jc w:val="center"/>
              <w:rPr>
                <w:rFonts w:cs="仿宋"/>
                <w:color w:val="auto"/>
                <w:spacing w:val="3"/>
                <w:szCs w:val="21"/>
                <w:highlight w:val="none"/>
              </w:rPr>
            </w:pPr>
          </w:p>
        </w:tc>
      </w:tr>
      <w:tr w14:paraId="7FC67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806498A">
            <w:pPr>
              <w:pStyle w:val="35"/>
              <w:spacing w:before="88" w:line="342" w:lineRule="auto"/>
              <w:ind w:right="258"/>
              <w:jc w:val="center"/>
              <w:rPr>
                <w:rFonts w:cs="仿宋"/>
                <w:color w:val="auto"/>
                <w:spacing w:val="3"/>
                <w:szCs w:val="21"/>
                <w:highlight w:val="none"/>
              </w:rPr>
            </w:pPr>
            <w:r>
              <w:rPr>
                <w:rFonts w:hint="eastAsia" w:cs="仿宋"/>
                <w:color w:val="auto"/>
                <w:spacing w:val="3"/>
                <w:szCs w:val="21"/>
                <w:highlight w:val="none"/>
              </w:rPr>
              <w:t>13</w:t>
            </w:r>
          </w:p>
        </w:tc>
        <w:tc>
          <w:tcPr>
            <w:tcW w:w="3627" w:type="dxa"/>
            <w:vAlign w:val="center"/>
          </w:tcPr>
          <w:p w14:paraId="77915B5F">
            <w:pPr>
              <w:spacing w:line="360" w:lineRule="auto"/>
              <w:jc w:val="left"/>
              <w:rPr>
                <w:rFonts w:ascii="仿宋" w:hAnsi="仿宋" w:eastAsia="仿宋" w:cs="仿宋"/>
                <w:snapToGrid w:val="0"/>
                <w:color w:val="auto"/>
                <w:spacing w:val="3"/>
                <w:kern w:val="0"/>
                <w:szCs w:val="21"/>
                <w:highlight w:val="none"/>
              </w:rPr>
            </w:pPr>
            <w:r>
              <w:rPr>
                <w:rFonts w:hint="eastAsia" w:ascii="仿宋" w:hAnsi="仿宋" w:eastAsia="仿宋" w:cs="仿宋"/>
                <w:snapToGrid w:val="0"/>
                <w:color w:val="auto"/>
                <w:spacing w:val="3"/>
                <w:kern w:val="0"/>
                <w:szCs w:val="21"/>
                <w:highlight w:val="none"/>
              </w:rPr>
              <w:t>承包人在本项目投标时拟派的专职安全员在其他项目中有任职且在本项目开工前未完成更换确保专职安全员只在本项目上任职的;</w:t>
            </w:r>
          </w:p>
        </w:tc>
        <w:tc>
          <w:tcPr>
            <w:tcW w:w="1528" w:type="dxa"/>
            <w:vAlign w:val="center"/>
          </w:tcPr>
          <w:p w14:paraId="7FBEA3BE">
            <w:pPr>
              <w:pStyle w:val="35"/>
              <w:spacing w:before="88" w:line="342" w:lineRule="auto"/>
              <w:ind w:right="258"/>
              <w:jc w:val="center"/>
              <w:rPr>
                <w:rFonts w:cs="仿宋"/>
                <w:snapToGrid w:val="0"/>
                <w:color w:val="auto"/>
                <w:kern w:val="0"/>
                <w:szCs w:val="21"/>
                <w:highlight w:val="none"/>
              </w:rPr>
            </w:pPr>
            <w:r>
              <w:rPr>
                <w:rFonts w:hint="eastAsia" w:cs="仿宋"/>
                <w:snapToGrid w:val="0"/>
                <w:color w:val="auto"/>
                <w:kern w:val="0"/>
                <w:szCs w:val="21"/>
                <w:highlight w:val="none"/>
              </w:rPr>
              <w:t>3个月起</w:t>
            </w:r>
          </w:p>
        </w:tc>
        <w:tc>
          <w:tcPr>
            <w:tcW w:w="3312" w:type="dxa"/>
            <w:vAlign w:val="center"/>
          </w:tcPr>
          <w:p w14:paraId="75DBF550">
            <w:pPr>
              <w:pStyle w:val="35"/>
              <w:spacing w:before="88" w:line="342" w:lineRule="auto"/>
              <w:ind w:right="258"/>
              <w:jc w:val="center"/>
              <w:rPr>
                <w:rFonts w:cs="仿宋"/>
                <w:color w:val="auto"/>
                <w:spacing w:val="3"/>
                <w:szCs w:val="21"/>
                <w:highlight w:val="none"/>
              </w:rPr>
            </w:pPr>
            <w:r>
              <w:rPr>
                <w:rFonts w:hint="eastAsia" w:cs="仿宋"/>
                <w:color w:val="auto"/>
                <w:spacing w:val="3"/>
                <w:szCs w:val="21"/>
                <w:highlight w:val="none"/>
              </w:rPr>
              <w:t>广州市建设工程施工招标文件范本修改表（2025年7月）</w:t>
            </w:r>
          </w:p>
        </w:tc>
      </w:tr>
      <w:tr w14:paraId="1CD26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14:paraId="77F94CC1">
            <w:pPr>
              <w:pStyle w:val="35"/>
              <w:spacing w:before="88" w:line="342" w:lineRule="auto"/>
              <w:ind w:right="258"/>
              <w:jc w:val="center"/>
              <w:rPr>
                <w:rFonts w:cs="仿宋"/>
                <w:color w:val="auto"/>
                <w:spacing w:val="3"/>
                <w:szCs w:val="21"/>
                <w:highlight w:val="none"/>
              </w:rPr>
            </w:pPr>
            <w:r>
              <w:rPr>
                <w:rFonts w:hint="eastAsia" w:cs="仿宋"/>
                <w:color w:val="auto"/>
                <w:spacing w:val="3"/>
                <w:szCs w:val="21"/>
                <w:highlight w:val="none"/>
              </w:rPr>
              <w:t>14</w:t>
            </w:r>
          </w:p>
        </w:tc>
        <w:tc>
          <w:tcPr>
            <w:tcW w:w="3627" w:type="dxa"/>
            <w:vAlign w:val="center"/>
          </w:tcPr>
          <w:p w14:paraId="3798CD91">
            <w:pPr>
              <w:spacing w:line="360" w:lineRule="auto"/>
              <w:jc w:val="left"/>
              <w:rPr>
                <w:rFonts w:ascii="仿宋" w:hAnsi="仿宋" w:eastAsia="仿宋" w:cs="仿宋"/>
                <w:snapToGrid w:val="0"/>
                <w:color w:val="auto"/>
                <w:spacing w:val="3"/>
                <w:kern w:val="0"/>
                <w:szCs w:val="21"/>
                <w:highlight w:val="none"/>
              </w:rPr>
            </w:pPr>
            <w:r>
              <w:rPr>
                <w:rFonts w:hint="eastAsia" w:ascii="仿宋" w:hAnsi="仿宋" w:eastAsia="仿宋" w:cs="仿宋"/>
                <w:snapToGrid w:val="0"/>
                <w:color w:val="auto"/>
                <w:spacing w:val="3"/>
                <w:kern w:val="0"/>
                <w:szCs w:val="21"/>
                <w:highlight w:val="none"/>
              </w:rPr>
              <w:t>其他法定情形</w:t>
            </w:r>
          </w:p>
        </w:tc>
        <w:tc>
          <w:tcPr>
            <w:tcW w:w="1528" w:type="dxa"/>
            <w:vAlign w:val="center"/>
          </w:tcPr>
          <w:p w14:paraId="50893BDC">
            <w:pPr>
              <w:pStyle w:val="35"/>
              <w:spacing w:before="88" w:line="342" w:lineRule="auto"/>
              <w:ind w:right="258"/>
              <w:jc w:val="center"/>
              <w:rPr>
                <w:rFonts w:cs="仿宋"/>
                <w:color w:val="auto"/>
                <w:spacing w:val="3"/>
                <w:szCs w:val="21"/>
                <w:highlight w:val="none"/>
              </w:rPr>
            </w:pPr>
            <w:r>
              <w:rPr>
                <w:rFonts w:hint="eastAsia" w:cs="仿宋"/>
                <w:snapToGrid w:val="0"/>
                <w:color w:val="auto"/>
                <w:kern w:val="0"/>
                <w:szCs w:val="21"/>
                <w:highlight w:val="none"/>
              </w:rPr>
              <w:t>3个月起</w:t>
            </w:r>
          </w:p>
        </w:tc>
        <w:tc>
          <w:tcPr>
            <w:tcW w:w="3312" w:type="dxa"/>
            <w:vAlign w:val="center"/>
          </w:tcPr>
          <w:p w14:paraId="01313C93">
            <w:pPr>
              <w:pStyle w:val="35"/>
              <w:spacing w:before="88" w:line="342" w:lineRule="auto"/>
              <w:ind w:right="258"/>
              <w:jc w:val="center"/>
              <w:rPr>
                <w:rFonts w:cs="仿宋"/>
                <w:color w:val="auto"/>
                <w:spacing w:val="3"/>
                <w:szCs w:val="21"/>
                <w:highlight w:val="none"/>
              </w:rPr>
            </w:pPr>
          </w:p>
        </w:tc>
      </w:tr>
    </w:tbl>
    <w:p w14:paraId="4D848541">
      <w:pPr>
        <w:spacing w:line="500" w:lineRule="exact"/>
        <w:rPr>
          <w:rFonts w:ascii="宋体" w:hAnsi="宋体"/>
          <w:b/>
          <w:color w:val="auto"/>
          <w:sz w:val="32"/>
          <w:highlight w:val="none"/>
        </w:rPr>
      </w:pPr>
    </w:p>
    <w:p w14:paraId="16130B9F">
      <w:pPr>
        <w:spacing w:line="500" w:lineRule="exact"/>
        <w:rPr>
          <w:rFonts w:ascii="宋体" w:hAnsi="宋体"/>
          <w:b/>
          <w:color w:val="auto"/>
          <w:sz w:val="32"/>
          <w:highlight w:val="none"/>
        </w:rPr>
      </w:pPr>
      <w:r>
        <w:rPr>
          <w:rFonts w:hint="eastAsia" w:ascii="宋体" w:hAnsi="宋体"/>
          <w:b/>
          <w:color w:val="auto"/>
          <w:sz w:val="32"/>
          <w:highlight w:val="none"/>
        </w:rPr>
        <w:t>附件：联合体协议（如有）放协议书附件</w:t>
      </w:r>
    </w:p>
    <w:p w14:paraId="1A419FD7">
      <w:pPr>
        <w:spacing w:line="500" w:lineRule="exact"/>
        <w:rPr>
          <w:rFonts w:ascii="宋体" w:hAnsi="宋体"/>
          <w:b/>
          <w:color w:val="auto"/>
          <w:sz w:val="32"/>
          <w:highlight w:val="none"/>
        </w:rPr>
      </w:pPr>
    </w:p>
    <w:p w14:paraId="6884650B">
      <w:pPr>
        <w:pStyle w:val="4"/>
        <w:rPr>
          <w:rFonts w:ascii="宋体" w:hAnsi="宋体"/>
          <w:color w:val="auto"/>
          <w:sz w:val="32"/>
          <w:highlight w:val="none"/>
        </w:rPr>
      </w:pPr>
    </w:p>
    <w:p w14:paraId="577DAFA3">
      <w:pPr>
        <w:rPr>
          <w:rFonts w:ascii="宋体" w:hAnsi="宋体"/>
          <w:b/>
          <w:color w:val="auto"/>
          <w:sz w:val="32"/>
          <w:highlight w:val="none"/>
        </w:rPr>
      </w:pPr>
    </w:p>
    <w:p w14:paraId="53579B03">
      <w:pPr>
        <w:pStyle w:val="4"/>
        <w:rPr>
          <w:rFonts w:ascii="宋体" w:hAnsi="宋体"/>
          <w:color w:val="auto"/>
          <w:sz w:val="32"/>
          <w:highlight w:val="none"/>
        </w:rPr>
      </w:pPr>
    </w:p>
    <w:p w14:paraId="745C4E8F">
      <w:pPr>
        <w:rPr>
          <w:rFonts w:ascii="宋体" w:hAnsi="宋体"/>
          <w:b/>
          <w:color w:val="auto"/>
          <w:sz w:val="32"/>
          <w:highlight w:val="none"/>
        </w:rPr>
      </w:pPr>
    </w:p>
    <w:p w14:paraId="5C4573D3">
      <w:pPr>
        <w:pStyle w:val="4"/>
        <w:rPr>
          <w:rFonts w:ascii="宋体" w:hAnsi="宋体"/>
          <w:color w:val="auto"/>
          <w:sz w:val="32"/>
          <w:highlight w:val="none"/>
        </w:rPr>
      </w:pPr>
    </w:p>
    <w:p w14:paraId="0E6B069D">
      <w:pPr>
        <w:rPr>
          <w:color w:val="auto"/>
          <w:highlight w:val="none"/>
        </w:rPr>
      </w:pPr>
    </w:p>
    <w:p w14:paraId="3FB48BFE">
      <w:pPr>
        <w:rPr>
          <w:color w:val="auto"/>
          <w:highlight w:val="none"/>
        </w:rPr>
      </w:pPr>
    </w:p>
    <w:p w14:paraId="50009B67">
      <w:pPr>
        <w:spacing w:line="500" w:lineRule="exact"/>
        <w:jc w:val="center"/>
        <w:rPr>
          <w:rFonts w:ascii="宋体" w:hAnsi="宋体"/>
          <w:b/>
          <w:color w:val="auto"/>
          <w:sz w:val="28"/>
          <w:szCs w:val="28"/>
          <w:highlight w:val="none"/>
        </w:rPr>
      </w:pPr>
    </w:p>
    <w:p w14:paraId="30AD3474">
      <w:pPr>
        <w:spacing w:line="500" w:lineRule="exact"/>
        <w:jc w:val="center"/>
        <w:rPr>
          <w:rFonts w:ascii="宋体" w:hAnsi="宋体"/>
          <w:b/>
          <w:color w:val="auto"/>
          <w:sz w:val="28"/>
          <w:szCs w:val="28"/>
          <w:highlight w:val="none"/>
        </w:rPr>
      </w:pPr>
      <w:r>
        <w:rPr>
          <w:rFonts w:hint="eastAsia" w:ascii="宋体" w:hAnsi="宋体"/>
          <w:b/>
          <w:color w:val="auto"/>
          <w:sz w:val="28"/>
          <w:szCs w:val="28"/>
          <w:highlight w:val="none"/>
        </w:rPr>
        <w:t>第二部分 通用条款</w:t>
      </w:r>
    </w:p>
    <w:p w14:paraId="0F7C3506">
      <w:pPr>
        <w:spacing w:line="400" w:lineRule="exact"/>
        <w:ind w:firstLine="718" w:firstLineChars="342"/>
        <w:rPr>
          <w:rFonts w:ascii="宋体" w:hAnsi="宋体"/>
          <w:color w:val="auto"/>
          <w:szCs w:val="21"/>
          <w:highlight w:val="none"/>
        </w:rPr>
      </w:pPr>
    </w:p>
    <w:p w14:paraId="6A489B6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一、词语定义及合同文件 </w:t>
      </w:r>
    </w:p>
    <w:p w14:paraId="78398305">
      <w:pPr>
        <w:spacing w:line="400" w:lineRule="exact"/>
        <w:ind w:firstLine="359" w:firstLineChars="171"/>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 xml:space="preserve">词语定义 </w:t>
      </w:r>
    </w:p>
    <w:p w14:paraId="412AA7D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下列词语除专用条款另有约定外，应具有本条所赋予的定义：</w:t>
      </w:r>
    </w:p>
    <w:p w14:paraId="6CC0D82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 通用条款：是根据法律、行政法规规定及建设工程施工的需要订立，通用于建设工程施工的条款。 </w:t>
      </w:r>
    </w:p>
    <w:p w14:paraId="52028AD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1.2 专用条款：是发包人与承包人根据法律、行政法规规定，结合具体工程实际，经协商达成一致意见的条款，是对通用条款的具体化、补充或修改。 </w:t>
      </w:r>
    </w:p>
    <w:p w14:paraId="3F72F85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1.3 发包人：指在协议书中约定，具有工程发包主体资格和支付工程价款能力的当事人以及取得该当事人资格的合法继承人。 </w:t>
      </w:r>
    </w:p>
    <w:p w14:paraId="606D9E6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1.4 承包人：指在协议书中约定，被发包人接受的具有工程施工承包主体资格的当事人以及取得该当事人资格的合法继承人。 </w:t>
      </w:r>
    </w:p>
    <w:p w14:paraId="515D8C6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1.5 项目负责人：指承包人在专用条款中指定的负责施工管理和合同履行的代表。 </w:t>
      </w:r>
    </w:p>
    <w:p w14:paraId="142EA65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1.6 设计单位：指发包人委托的负责本工程设计并取得相应工程设计资质等级证书的单位。 </w:t>
      </w:r>
    </w:p>
    <w:p w14:paraId="7864414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1.7 监理单位：指发包人委托的负责本工程监理并取得相应在工程监理资质等级证书的单位。 </w:t>
      </w:r>
    </w:p>
    <w:p w14:paraId="69FD637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1.8 工程师：指本工程监理单位委派的总监理工程师或发包人指定的履行本合同的代表，其具体身份和职权由发包人承包人在专用条款中约定。 </w:t>
      </w:r>
    </w:p>
    <w:p w14:paraId="31A2D04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 工程造价管理部门：指国务院有关部门、县级以上人民政府建设行政主管部门或其委托的工程造价管理机构。 </w:t>
      </w:r>
    </w:p>
    <w:p w14:paraId="5DADA26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1.10 工程：指发包人承包人在协议书中约定的承包范围内的工程。 </w:t>
      </w:r>
    </w:p>
    <w:p w14:paraId="4DDAE58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1.11 合同价款：指发包人承包人在协议书中约定，发包人用以支付承包人按照合同约定完成承包范围内全部工程并承担质量保修责任的款项。 </w:t>
      </w:r>
    </w:p>
    <w:p w14:paraId="1281E79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1.1</w:t>
      </w:r>
      <w:r>
        <w:rPr>
          <w:rFonts w:ascii="宋体" w:hAnsi="宋体"/>
          <w:color w:val="auto"/>
          <w:szCs w:val="21"/>
          <w:highlight w:val="none"/>
        </w:rPr>
        <w:t>2</w:t>
      </w:r>
      <w:r>
        <w:rPr>
          <w:rFonts w:hint="eastAsia" w:ascii="宋体" w:hAnsi="宋体"/>
          <w:color w:val="auto"/>
          <w:szCs w:val="21"/>
          <w:highlight w:val="none"/>
        </w:rPr>
        <w:t xml:space="preserve"> 追加合同价款：指在合同履行中发生需要增加合同价款的情况，经发包人确认后按计算合同价款的方法增加的合同价款。 </w:t>
      </w:r>
    </w:p>
    <w:p w14:paraId="0FD69F2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1.13 费用：指不包含在合同价款之内的应当由发包人或承包人承担的经济支出。</w:t>
      </w:r>
    </w:p>
    <w:p w14:paraId="174727C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1.14 工期：指发包人承包人在协议书中约定，按总日历天数（包括法定节假日）计算的承包天数。 </w:t>
      </w:r>
    </w:p>
    <w:p w14:paraId="3F7B97D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1.15 开工日期：指发包人承包人在协议书中约定，承包人开始施工的绝对或相对的日期。 </w:t>
      </w:r>
    </w:p>
    <w:p w14:paraId="2BEE8F5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1.16 竣工日期：指发包人承包人在协议书中约定，承包人完成承包范围内工程的绝对或相对的日期。 </w:t>
      </w:r>
    </w:p>
    <w:p w14:paraId="5FFFD94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1.17 图纸：指由发包人提供或承包人提供并经发包人批准，满足承包人施工需要的所有图纸（包括配套说明和有关资料）。 </w:t>
      </w:r>
    </w:p>
    <w:p w14:paraId="09C8092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1.18 施工场地：指由发包人提供的用于工程施工的场所以及发包人在图纸中具体指定的供施工使用的任何其他场所。 </w:t>
      </w:r>
    </w:p>
    <w:p w14:paraId="6EBB5F2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19</w:t>
      </w:r>
      <w:r>
        <w:rPr>
          <w:rFonts w:hint="eastAsia" w:ascii="宋体" w:hAnsi="宋体"/>
          <w:color w:val="auto"/>
          <w:szCs w:val="21"/>
          <w:highlight w:val="none"/>
        </w:rPr>
        <w:t xml:space="preserve"> 书面形式：指合同书、信件和数据电文（包括电报、电传、传真、电子数据交换和电子邮件）等可以有形地表现所载内容的形式。 </w:t>
      </w:r>
    </w:p>
    <w:p w14:paraId="695A36C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1.20 违约责任：指合同一方不履行合同义务或履行合同义务不符合约定所应承担的责任。 </w:t>
      </w:r>
    </w:p>
    <w:p w14:paraId="0649381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1.21 索赔：指在合同履行过程中，对于并非自己的过错，而是应由对方承担责任的情况造成的实际损失，向对方提出经济补偿和（或）工期顺延的要求。 </w:t>
      </w:r>
    </w:p>
    <w:p w14:paraId="2E9681A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1.22 不可抗力：指不能预见、不能避免并不能克服的客观情况。 </w:t>
      </w:r>
    </w:p>
    <w:p w14:paraId="3A3BEDD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1.23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但竣工日期除外。时限的最后一天的截止时间为当日24小时。 </w:t>
      </w:r>
    </w:p>
    <w:p w14:paraId="7FC62A4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2、合同文件及解释顺序 </w:t>
      </w:r>
    </w:p>
    <w:p w14:paraId="529F107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2.1 合同文件应能相互解释，互为说明。除专用条款另有约定外，组成本合同的文件及优先解释顺序如下： </w:t>
      </w:r>
    </w:p>
    <w:p w14:paraId="69F45FA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（1）本合同协议书 </w:t>
      </w:r>
    </w:p>
    <w:p w14:paraId="3F12A23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（2）中标通知书 </w:t>
      </w:r>
    </w:p>
    <w:p w14:paraId="66A2227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（3）投标书及其附件 </w:t>
      </w:r>
    </w:p>
    <w:p w14:paraId="2A672ED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（4）本合同专用条款 </w:t>
      </w:r>
    </w:p>
    <w:p w14:paraId="5729837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（5）本合同通用条款 </w:t>
      </w:r>
    </w:p>
    <w:p w14:paraId="772581F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（6）标准、规范及有关技术文件 </w:t>
      </w:r>
    </w:p>
    <w:p w14:paraId="319F0EA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（7）图纸 </w:t>
      </w:r>
    </w:p>
    <w:p w14:paraId="1A34DA2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（8）工程量清单 </w:t>
      </w:r>
    </w:p>
    <w:p w14:paraId="00CA38E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（9）工程报价单或预算书</w:t>
      </w:r>
    </w:p>
    <w:p w14:paraId="7152CCE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合同履行中，发包人承包人有关工程的洽商、变更等书面协议或文件视为本合同的组成部分。 </w:t>
      </w:r>
    </w:p>
    <w:p w14:paraId="0CB6D18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2.2当合同文件内容含糊不清或不相一致时，在不影响工程正常进行的情况下，由发包人承包人协商解决。双方也可以提请负责监理的工程师做出解释。双方协商不成或不同意负责监理的工程师的解释时，按本通用条款37条关于争议的约定处理。 </w:t>
      </w:r>
    </w:p>
    <w:p w14:paraId="27D803C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3、语言文字和适用法律、标准及规范 </w:t>
      </w:r>
    </w:p>
    <w:p w14:paraId="26F349C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3.1 语言文字 </w:t>
      </w:r>
    </w:p>
    <w:p w14:paraId="5A6CAF4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本合同文件使用汉语语言文字书写、解释和说明。如专用条款约定使用两种以上（含两种）语言文字时，汉语应为解释和说明本合同的标准语言文字。</w:t>
      </w:r>
    </w:p>
    <w:p w14:paraId="7C349BD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在少数民族地区，双方可以约定使用少数民族语言文字书写和解释、说明本合同。</w:t>
      </w:r>
    </w:p>
    <w:p w14:paraId="53A22A1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 适用法律和法规 </w:t>
      </w:r>
    </w:p>
    <w:p w14:paraId="1D4632B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本合同文件适用国家的法律和行政法规。需要明示的法律、行政法规，由双方在专用条款中约定。</w:t>
      </w:r>
    </w:p>
    <w:p w14:paraId="1701A05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3.3 适用标准、规范 </w:t>
      </w:r>
    </w:p>
    <w:p w14:paraId="42EBFFB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双方在专用条款内约定适用国家标准、规范和名称；没有国家标准、规范但有行业标准、规范的，约定适用行业标准、规范的名称；没有国家和行业标准、规范的，约定适用工程所在地地方标准、规范的名称。发包人应按专用条款约定的时间向承包人提供一式两份约定的标准、规范。</w:t>
      </w:r>
    </w:p>
    <w:p w14:paraId="5E13871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国内没有相应标准、规范的，由发包人按专用条款约定的时间向承包人</w:t>
      </w:r>
      <w:r>
        <w:rPr>
          <w:rFonts w:hint="eastAsia" w:ascii="宋体" w:hAnsi="宋体"/>
          <w:color w:val="auto"/>
          <w:spacing w:val="4"/>
          <w:szCs w:val="21"/>
          <w:highlight w:val="none"/>
        </w:rPr>
        <w:t>提出施工技术要求，承包人按约定的时间和要求提出施工工艺，经发包人认</w:t>
      </w:r>
      <w:r>
        <w:rPr>
          <w:rFonts w:hint="eastAsia" w:ascii="宋体" w:hAnsi="宋体"/>
          <w:color w:val="auto"/>
          <w:szCs w:val="21"/>
          <w:highlight w:val="none"/>
        </w:rPr>
        <w:t xml:space="preserve">可后执行。发包人要求使用国外标准、规范的，应负责提供中文译本。 </w:t>
      </w:r>
    </w:p>
    <w:p w14:paraId="542B205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本条所发生的购买、翻译标准、规范或制定施工工艺的费用，由发包人承担。</w:t>
      </w:r>
    </w:p>
    <w:p w14:paraId="66FD5E3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4、图纸 </w:t>
      </w:r>
    </w:p>
    <w:p w14:paraId="1109F46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4.1 发包人应按专用条款约定的日期和套数，向承包人提供图纸。承包人需要增加图纸套数的，发包人应代为复制，复制费用由承包人承担。发包人对工程有保密要求的，应在专用条款中提出保密要求，保密措施费用由发包人承担，承包人在约定保密期限内履行保密义务。 </w:t>
      </w:r>
    </w:p>
    <w:p w14:paraId="16B9341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4.2 承包人未经发包人同意，不得将本工程图纸转给第三人。工程质量保修期满后，除承包人存档需要的图纸外，应将全部图纸退还给发包人。 </w:t>
      </w:r>
    </w:p>
    <w:p w14:paraId="5170A98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4.3 承包人应在施工现场保留一套完整图纸，供工程师及有关人员进行工程检查时使用。 </w:t>
      </w:r>
    </w:p>
    <w:p w14:paraId="391E97A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二、双方一般权利和义务 </w:t>
      </w:r>
    </w:p>
    <w:p w14:paraId="216F97C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5、工程师 </w:t>
      </w:r>
    </w:p>
    <w:p w14:paraId="0A75D01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5.1实行工程监理的，发包人应在实施监理前将委托的监理单位名称、监理内容及监理权限以书面形式通知承包人。 </w:t>
      </w:r>
    </w:p>
    <w:p w14:paraId="3F3412A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5.2监理单位委派的总监理工程师在本合同中称工程师，其姓名、职务、职权由发包人承包人在专用条款内写明。工程师按合同约定行使职权，发包人在专用条款内要求工程师在行使某些职权前需要征得发包人批准的，工程师应征得发包人批准。 </w:t>
      </w:r>
    </w:p>
    <w:p w14:paraId="2379668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5.3 发包人派驻施工场地履行合同的代表在本合同中也称工程师，其姓名、职务、职权由发包人在专用条款内写明，但职权不得与监理单位委派的总监理工程师职权相互交叉。双方职权发生交叉或不明确时，由发包人予以明确，并以书面形式通知承包人。 </w:t>
      </w:r>
    </w:p>
    <w:p w14:paraId="4FBEF86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5.4 合同履行中，发生影响发包人承包人双方权利或义务的事件时，负责监理的工程师应依据合同在其职权范围内客观公正地进行处理。一方对工程师的处理有异议时，按本通用条款37条关于争议的约定处理。 </w:t>
      </w:r>
    </w:p>
    <w:p w14:paraId="6A037ED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5.5 除合同内有明确约定或经发包人同意外，负责监理的工程师无权解除本合同约定的承包人的任何权利与义务。</w:t>
      </w:r>
    </w:p>
    <w:p w14:paraId="3B584FD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5.6 不实行工程监理的，本合同中工程师专指发包人派驻施工现场履行合同的代表，其具体职权由发包人在专用条款中写明。 </w:t>
      </w:r>
    </w:p>
    <w:p w14:paraId="15F3298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6、工程师的委派和指令 </w:t>
      </w:r>
    </w:p>
    <w:p w14:paraId="0B772A4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6.1工程师可委派工程师代表，行使合同约定的自己的职权，并可在认为必要时撤回委派。委派和撤回均应提前7天以书面形式通知承包人，负责监理的工程师还应将委派和撤回通知发包人。委派书和撤回通知作为本合同附件。 </w:t>
      </w:r>
    </w:p>
    <w:p w14:paraId="29243AC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工程师代表在工程师授权范围内向承包人发出的任何书面形式的函件，与工程师发出的函件具有同等效力。承包人对工程师代表向其发出的任何书面形式的函件有疑问时，可将此函件提交工程师，工程师应进行确认。工程师代表发出指令有失误时，工程师应进行纠正。 </w:t>
      </w:r>
    </w:p>
    <w:p w14:paraId="613FBAA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除工程师或工程师代表外，发包人派驻工地的其他人员均无权向承包人发出任何指令。 </w:t>
      </w:r>
    </w:p>
    <w:p w14:paraId="6CD7BCF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6.2 工程师的指令、通知由其本人签字后，以书面形式交给项目负责人，项目负责人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 </w:t>
      </w:r>
    </w:p>
    <w:p w14:paraId="0FED3D2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立即执行的指令或承包人虽有异议，但工程师决定仍继续执行的指令，承包人应予执行。因指令错误发生的追加合同价款和给承包人造成的损失由发包人承担，延误的工期相应顺延。 </w:t>
      </w:r>
    </w:p>
    <w:p w14:paraId="1006C7F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本款规定同样适用于由工程师代表发出的指令、通知。</w:t>
      </w:r>
    </w:p>
    <w:p w14:paraId="0A3E9B8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6.3 工程师应按合同约定，及时向承包人提供所需指令、批准并履行约定的</w:t>
      </w:r>
      <w:r>
        <w:rPr>
          <w:rFonts w:hint="eastAsia" w:ascii="宋体" w:hAnsi="宋体"/>
          <w:color w:val="auto"/>
          <w:spacing w:val="4"/>
          <w:szCs w:val="21"/>
          <w:highlight w:val="none"/>
        </w:rPr>
        <w:t>其他义务。由于工程师未能按合同约定履行义务造成工期延误，发包人应承</w:t>
      </w:r>
      <w:r>
        <w:rPr>
          <w:rFonts w:hint="eastAsia" w:ascii="宋体" w:hAnsi="宋体"/>
          <w:color w:val="auto"/>
          <w:szCs w:val="21"/>
          <w:highlight w:val="none"/>
        </w:rPr>
        <w:t xml:space="preserve">担延误造成的追加合同价款，并赔偿承包人有关损失，顺延延误的工期。 </w:t>
      </w:r>
    </w:p>
    <w:p w14:paraId="3592921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6.4 如需更换工程师，发包人应至少提前7天以书面形式通知承包人，后任继续行使合同文件约定的前任的职权，履行前任的义务。 </w:t>
      </w:r>
    </w:p>
    <w:p w14:paraId="63E3DDA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7、项目负责人 </w:t>
      </w:r>
    </w:p>
    <w:p w14:paraId="6657997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7.1 项目负责人的姓名、职务在专用条款内写明。 </w:t>
      </w:r>
    </w:p>
    <w:p w14:paraId="78831FC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7.2 承包人依据合同发出的通知，以书面形式由项目负责人签字后送交工程师，工程师在回执上签署姓名和收到时间后生效。 </w:t>
      </w:r>
    </w:p>
    <w:p w14:paraId="0B58579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7.3 项目负责人按发包人认可的施工组织设计（施工方案）和工程师依据合同发出的指令组织施工。在情况紧急且无法与工程师联系时，项目负责人应当采取保证人员生命和工程、财产安全的紧急措施，并在采取措施后48小时内向工程师送交报告。责任在发包人或第三人，由发包人承担由此发生的追加合同价款，相应顺延工期；责任在承包人，由承包人承担费用，不顺延工期。 </w:t>
      </w:r>
    </w:p>
    <w:p w14:paraId="70F8FC6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7.4 承包人如需更换项目负责人，应至少提前7天以书面形式通知发包人，并征得发包人同意。后任继续行使合同文件约定的前任的职权，履行前任的义务。 </w:t>
      </w:r>
    </w:p>
    <w:p w14:paraId="4FF9810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7.5 发包人可以与承包人协商，建议更换其认为不称职的项目负责人。 </w:t>
      </w:r>
    </w:p>
    <w:p w14:paraId="64A6BAA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8、发包人工作 </w:t>
      </w:r>
    </w:p>
    <w:p w14:paraId="6FA02ED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8.1 发包人按专用条款约定的内容和时间完成以下工作: </w:t>
      </w:r>
    </w:p>
    <w:p w14:paraId="5B018F3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办理土地征用、拆迁补偿、平整施工场地等工作，使施工场地具备施工条件，在开工后继续负责解决以上事项遗留问题； </w:t>
      </w:r>
    </w:p>
    <w:p w14:paraId="663AF53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将施工所需水、电、电讯线路从施工场地外部接至专用条款约定地点，保证施工期间的需要； </w:t>
      </w:r>
    </w:p>
    <w:p w14:paraId="293E0B0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开通施工场地与城乡公共道路的通道，以及专用条款约定的施工场地内的主要道路，满足施工运输的需要，保证施工期间的畅通。 </w:t>
      </w:r>
    </w:p>
    <w:p w14:paraId="3FDDC52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向承包人提供施工场地的工程地质和地下管线资料，对资料的真实准确性负责； </w:t>
      </w:r>
    </w:p>
    <w:p w14:paraId="34DD11C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(5) 办理施工许可证及其他施工所需证件、批件和临时用地、停水、停电、中断道路交通、爆破作业等的申请批准文件（证明承包人自身资质的证件除外）；</w:t>
      </w:r>
    </w:p>
    <w:p w14:paraId="791E8D2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(6) 确定水准点与坐标控制点，以书面形式交给承包人，进行现场交验；</w:t>
      </w:r>
    </w:p>
    <w:p w14:paraId="52939E0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(7) 组织承包人和设计单位进行图纸会审和设计交底；</w:t>
      </w:r>
    </w:p>
    <w:p w14:paraId="022DF8B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(8) 协调管理施工场地周围地下管线和邻近建筑物、构筑物（包括文物保护建筑）、古树名木的保护工作，承担有关费用； </w:t>
      </w:r>
    </w:p>
    <w:p w14:paraId="1412A52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(9) 发包人应做的其他工作，双方在专用条款内约定。 </w:t>
      </w:r>
    </w:p>
    <w:p w14:paraId="68FF76C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8.2 发包人未履行8.1款各项义务，导致工期延误或给承包人造成损失的，发包人赔偿承包人有关损失，顺延延误的工期。 </w:t>
      </w:r>
    </w:p>
    <w:p w14:paraId="5762A65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9、承包人工作 </w:t>
      </w:r>
    </w:p>
    <w:p w14:paraId="23C7262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9.1 承包人按专用条款约定的内容和时间完成以下工作： </w:t>
      </w:r>
    </w:p>
    <w:p w14:paraId="53C14B2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 根据发包人委托，在其设计资质等级和业务允许的范围内，完成施工图设计或与工程配套的设计，经工程师确认后使用，发包人承担由此发生的费用；</w:t>
      </w:r>
    </w:p>
    <w:p w14:paraId="1ADE746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向工程师提供年、季、月度工程进度计划及相应进度统计报表； </w:t>
      </w:r>
    </w:p>
    <w:p w14:paraId="0B88752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根据工程需要，提供和维修非夜间施工使用的照明、围栏设施，并负责安全保卫； </w:t>
      </w:r>
    </w:p>
    <w:p w14:paraId="167C944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按专用条款约定的数量和要求，向发包人提供施工场地办公和生活的房屋及设施，发包人承担由此发生的费用； </w:t>
      </w:r>
    </w:p>
    <w:p w14:paraId="5CB158A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 遵守政府有关主管部门对施工场地交通、施工噪音以及环境保护和安全生产等的管理规定，按规定办理有关手续，并以书面形式通知发包人，发包人承担由此发生的费用，因承包人责任造成的罚款除外； </w:t>
      </w:r>
    </w:p>
    <w:p w14:paraId="6CAE9F8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(6) 已竣工工程未交付发包人之前，承包人按专用条款约定负责已完工程的保护工作，保护期间发生损坏，承包人自费予以修复；发包人要求承包人采取特殊措施保护的工程部位和相应的追加合同价款，双方在专用条款内约定；</w:t>
      </w:r>
    </w:p>
    <w:p w14:paraId="0F15A14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(7) 按专用条款约定做好施工场地地下管线和邻近建筑物、构筑物（包括文物保护建筑）、古树名木的保护工作；</w:t>
      </w:r>
    </w:p>
    <w:p w14:paraId="420181B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(8) 保证施工场地清洁符合环境卫生管理的有关规定，交工前清理现场达到专用条款约定的要求，承担因自身原因违反有关规定造成的损失和罚款；</w:t>
      </w:r>
    </w:p>
    <w:p w14:paraId="3C364F4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(9) </w:t>
      </w:r>
      <w:r>
        <w:rPr>
          <w:rFonts w:hint="eastAsia" w:ascii="宋体" w:hAnsi="宋体"/>
          <w:color w:val="auto"/>
          <w:spacing w:val="-6"/>
          <w:szCs w:val="21"/>
          <w:highlight w:val="none"/>
        </w:rPr>
        <w:t>办理施工许可证及施工所需证件、批件和临时用地、停水、停电、中断</w:t>
      </w:r>
      <w:r>
        <w:rPr>
          <w:rFonts w:hint="eastAsia" w:ascii="宋体" w:hAnsi="宋体"/>
          <w:color w:val="auto"/>
          <w:szCs w:val="21"/>
          <w:highlight w:val="none"/>
        </w:rPr>
        <w:t>道路交通、爆破作业等的申请批准手续（证明承包人自身资质的证件除外）；</w:t>
      </w:r>
    </w:p>
    <w:p w14:paraId="5B10447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(10)承包人应做的其他工作，双方在专用条款内约定。</w:t>
      </w:r>
    </w:p>
    <w:p w14:paraId="3FDB476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9.2承包人未能履行9.1款各项义务，造成发包人损失的，承包人赔偿发包人有关损失。</w:t>
      </w:r>
    </w:p>
    <w:p w14:paraId="583E5BE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三、施工组织设计和工期 </w:t>
      </w:r>
    </w:p>
    <w:p w14:paraId="41E0E42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10、进度计划 </w:t>
      </w:r>
    </w:p>
    <w:p w14:paraId="5635E9B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10.1 承包人应按专用条款约定的日期，将施工组织设计和工程进度计划提交工程师，工程师按专用条款约定的时间予以确认或提出修改意见，逾期不确认也不提出书面意见的，视为同意。 </w:t>
      </w:r>
    </w:p>
    <w:p w14:paraId="0DA87ED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10.2群体工程中单位工程分期进行施工的，承包人应按照发包人提供图纸及有关资料的时间，按单位工程编制进度计划，其具体内容双方在专用条款中约定。 </w:t>
      </w:r>
    </w:p>
    <w:p w14:paraId="0AC4C86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10.3承包人必须按工程师确认的进度计划组织施工，接受工程师对进度的检查、监督。工程实际进度与经确认的进度计划不符时，承包人应按工程师的要求提出改进措施，经工程师确认后执行。因承包人的原因导致实际进度与进度计划不符，承包人无权就改进措施提出追加合同价款。 </w:t>
      </w:r>
    </w:p>
    <w:p w14:paraId="5D41F7B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11、开工及延期开工 </w:t>
      </w:r>
    </w:p>
    <w:p w14:paraId="7FBE91A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11.1承包人应当按照协议书约定的开工日期开工。承包人不能按时开工，应当不迟于协议书约定的开工日期前7天，以书面形式向工程师提出延期开工的理由和要求。工程师应当在接到延期开工申请后的48小时内以书面形式答复承包人。工程师在接到延期开工申请后48小时内不答复，视为同意承包人要求，工期相应顺延。工程师不同意延期要求或承包人未在规定时间内提出延期开工要求，工期不予顺延。 </w:t>
      </w:r>
    </w:p>
    <w:p w14:paraId="03248B8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11.2因发包人原因不能按照协议书约定的开工日期开工，工程师应以书面形式通知承包人，推迟开工日期。发包人赔偿承包人因延期开工造成的损失，并相应顺延工期。 </w:t>
      </w:r>
    </w:p>
    <w:p w14:paraId="2C432FA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12、暂停施工 </w:t>
      </w:r>
    </w:p>
    <w:p w14:paraId="393C9E1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工程师认为确有必要暂停施工时，应当以书面形式要求承包人暂停施工，并在提出要求后48小时内提出书面处理意见。承包人应当按工程师要求停止施工，并妥善保护已完工程。承包人实施工程师做出的处理意见后，可以书面形式提出复工要求，工程师应当在48小时内给予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 </w:t>
      </w:r>
    </w:p>
    <w:p w14:paraId="63FDB19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13、工期延误 </w:t>
      </w:r>
    </w:p>
    <w:p w14:paraId="17ADA2A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13.1因以下原因造成工期延误，经工程师确认工期相应顺延； </w:t>
      </w:r>
    </w:p>
    <w:p w14:paraId="3A5C336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发包人未能按专用条款的约定提供图纸及开工条件； </w:t>
      </w:r>
    </w:p>
    <w:p w14:paraId="2A38934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 发包人未能按约定日期支付工程预付款、进度款，致使施工不能正常进行；</w:t>
      </w:r>
    </w:p>
    <w:p w14:paraId="660772A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 工程师未按合同约定提供所需指令、批准等，致使施工不能正常进行；</w:t>
      </w:r>
    </w:p>
    <w:p w14:paraId="2E1475A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设计变更和工程量增加； </w:t>
      </w:r>
    </w:p>
    <w:p w14:paraId="7085C58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(5) 一周内非承包人原因停水、停电、停气造成停工累计超过8小时；</w:t>
      </w:r>
    </w:p>
    <w:p w14:paraId="7B25398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(6) 不可抗力；</w:t>
      </w:r>
    </w:p>
    <w:p w14:paraId="47FDBB1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(7) 专用条款中约定或工程师同意工期顺延的其他情况。</w:t>
      </w:r>
    </w:p>
    <w:p w14:paraId="17D162D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13.2承包人在13.1款情况发生后14天内，就延误的工期以书面形式向工程师提出报告。工程师在收到报告后14天内予以确认，逾期不予确认也不提出修改意见，视为同意顺延工期。 </w:t>
      </w:r>
    </w:p>
    <w:p w14:paraId="1784AB2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14、工程竣工 </w:t>
      </w:r>
    </w:p>
    <w:p w14:paraId="740FD6A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14.1 承包人必须按照协议书约定的竣工日期或工程师同意顺延的工期竣工。 </w:t>
      </w:r>
    </w:p>
    <w:p w14:paraId="28EAFE9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14.2 因承包人原因不能按照协议书约定的竣工日期或工程师同意顺延的工期竣工的，承包人承担违约责任。 </w:t>
      </w:r>
    </w:p>
    <w:p w14:paraId="081A72D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14.3 施工中发包人如需提前竣工，双方协商一致后就应签订提前竣工协议，作为合同文件组成部分。提前竣工协议应包括承包人为保证工程质量和安全采取的措施、发包人为提前竣工提供的条件以及提前竣工所需的追加合同价款等内容。 </w:t>
      </w:r>
    </w:p>
    <w:p w14:paraId="3EE9419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四、质量与检验 </w:t>
      </w:r>
    </w:p>
    <w:p w14:paraId="287B6E6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15、工程质量 </w:t>
      </w:r>
    </w:p>
    <w:p w14:paraId="15EA179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pacing w:val="6"/>
          <w:szCs w:val="21"/>
          <w:highlight w:val="none"/>
        </w:rPr>
        <w:t>5.1 工程质量应当达到协议书约定的质量标准，质量标准的评定以国家或</w:t>
      </w:r>
      <w:r>
        <w:rPr>
          <w:rFonts w:hint="eastAsia" w:ascii="宋体" w:hAnsi="宋体"/>
          <w:color w:val="auto"/>
          <w:szCs w:val="21"/>
          <w:highlight w:val="none"/>
        </w:rPr>
        <w:t xml:space="preserve">行业的质量检验评定标准为依据。因承包人原因工程质量达不到约定的质量标准，承包人承担违约责任。 </w:t>
      </w:r>
    </w:p>
    <w:p w14:paraId="5C27620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15.2 双方对工程质量有争议，由双方同意的工程质量检测机构鉴定，所需费用及因此造成的损失，由责任方承担。双方均有责任，由双方根据其责任分别承担。 </w:t>
      </w:r>
    </w:p>
    <w:p w14:paraId="392626B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16、检查和返工 </w:t>
      </w:r>
    </w:p>
    <w:p w14:paraId="1B41093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16.1 承包人应认真按照标准、规范和设计图纸要求以及工程师依据合同发出的指令施工，随时接受工程师的检查检验，为检查检验提供便利条件。 </w:t>
      </w:r>
    </w:p>
    <w:p w14:paraId="153C55E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16.2 工程质量达不到约定标准的部分，工程师一经发现，应要求承包人拆除和重新施工，承包人应按工程师的要求拆除和重新施工，直到符合约定标准。因承包人原因达不到约定标准，由承包人承担拆除和重新施工的费用，工期不予顺延。 </w:t>
      </w:r>
    </w:p>
    <w:p w14:paraId="1301B12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16.3 工程师的检查检验不应影响施工正常进行。如影响施工正常进行，检查检验不合格时，影响正常施工的费用由承包人承担。除此之外影响正常施工的追加合同价款由发包人承担，相应顺延工期。 </w:t>
      </w:r>
    </w:p>
    <w:p w14:paraId="562FC85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16.4 因工程师指令失误或其他非承包人原因发生的追加合同价款，由发包人承担。 </w:t>
      </w:r>
    </w:p>
    <w:p w14:paraId="037A0AC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17、隐蔽工程和中间验收 </w:t>
      </w:r>
    </w:p>
    <w:p w14:paraId="4FFACE5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17.1 工程具备隐蔽条件或达到专用条款约定的中间验收部位，承包人进行自检，并在隐蔽或中间验收前48小时以书面形式通知工程师验收。通知包括隐蔽和中间验收的内容、验收时间和地点。承包人准备验收记录，验收合格，</w:t>
      </w:r>
      <w:r>
        <w:rPr>
          <w:rFonts w:hint="eastAsia" w:ascii="宋体" w:hAnsi="宋体"/>
          <w:color w:val="auto"/>
          <w:spacing w:val="4"/>
          <w:szCs w:val="21"/>
          <w:highlight w:val="none"/>
        </w:rPr>
        <w:t>工程师在验收记录上签字后，承包人可进行隐蔽和继续施工。验收不合格</w:t>
      </w:r>
      <w:r>
        <w:rPr>
          <w:rFonts w:hint="eastAsia" w:ascii="宋体" w:hAnsi="宋体"/>
          <w:color w:val="auto"/>
          <w:szCs w:val="21"/>
          <w:highlight w:val="none"/>
        </w:rPr>
        <w:t xml:space="preserve">，承包人在工程师限定的时间内修改后重新验收。 </w:t>
      </w:r>
    </w:p>
    <w:p w14:paraId="66D8696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17.2 工程师不能按时进行验收，应在验收前24小时以书面形式向承包人提出延期要求，延期不能超过48小时。工程师未能按以上时间提出延期要求，不进行验收，承包人可自行组织验收，工程师应承认验收记录。 </w:t>
      </w:r>
    </w:p>
    <w:p w14:paraId="0F119EB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17.3 经工程师验收，工程质量符合标准、规范和设计图纸等要求，验收24</w:t>
      </w:r>
      <w:r>
        <w:rPr>
          <w:rFonts w:hint="eastAsia" w:ascii="宋体" w:hAnsi="宋体"/>
          <w:color w:val="auto"/>
          <w:spacing w:val="4"/>
          <w:szCs w:val="21"/>
          <w:highlight w:val="none"/>
        </w:rPr>
        <w:t>小时后，工程师不在验收记录上签字，视为工程师已经认可验收记录，承包</w:t>
      </w:r>
      <w:r>
        <w:rPr>
          <w:rFonts w:hint="eastAsia" w:ascii="宋体" w:hAnsi="宋体"/>
          <w:color w:val="auto"/>
          <w:szCs w:val="21"/>
          <w:highlight w:val="none"/>
        </w:rPr>
        <w:t xml:space="preserve">人可进行隐蔽或继续施工。 </w:t>
      </w:r>
    </w:p>
    <w:p w14:paraId="246A59B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18、重新检验 </w:t>
      </w:r>
    </w:p>
    <w:p w14:paraId="67280EF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无论工程师是否进行验收，当其要求对已经隐蔽的工程重新检验时，承包人应按要求进行剥离或开孔，并在检验后重新覆盖或修复。检验合格，发包人承担由此发生的全部追加合同价款，赔偿承包人损失，并相应顺延工期。检验不合格，承包人承担发生的全部费用，工期不予顺延。 </w:t>
      </w:r>
    </w:p>
    <w:p w14:paraId="6F29762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19、工程试车 </w:t>
      </w:r>
    </w:p>
    <w:p w14:paraId="14488CC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19.1 双方约定需要试车的，试车内容应与承包人承包的安装范围相一致。 </w:t>
      </w:r>
    </w:p>
    <w:p w14:paraId="2F173F7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19.2 设备安装工程具备单机无负荷试车条件，承包人组织试车，并在试车前48小时以书面形式通知工程师。通知包括试车内容、时间、地点。承包人准备试车记录，发包人根据承包人要求为试车提供必要条件。试车合格，工程师在试车记录上签字。 </w:t>
      </w:r>
    </w:p>
    <w:p w14:paraId="14D2CAA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19.3 工程师不能按时参加试车，须在开始试车前24小时以书面形式向承包人提出延期要求，延期不能超过48小时。工程师未能按以上时间提出延期要求，不参加试车，应承认试车记录。 </w:t>
      </w:r>
    </w:p>
    <w:p w14:paraId="73AA9C5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19.4 设备安装工程具备无负荷联动试车条件，发包人组织试车，并在试车前48小时以书面形式通知承包人。通知包括试车内容、时间、地点和对承包人的要求，承包人按要求做好准备工作。试车合格，双方在试车记录上签字。 </w:t>
      </w:r>
    </w:p>
    <w:p w14:paraId="0DD4A1D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19.5双方责任 </w:t>
      </w:r>
    </w:p>
    <w:p w14:paraId="39C645E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由于设计原因试车达不到验收要求，发包人应要求设计单位修改设计，承包人按修改后的设计重新安装。发包人承担修改设计、拆除及重新安装的全部费用和追加合同价款，工期相应顺延。 </w:t>
      </w:r>
    </w:p>
    <w:p w14:paraId="33187F5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由于设备制造原因试车达不到验收要求，由该设备采购一方负责重新购置或修理，承包人负责拆除和重新安装。设备由承包人采购的，由承包人承担修理或重新购置、拆除及重新安装的费用，工期不予顺延；设备由发包人采购的，发包人承担上述各项追加合同价款，工期相应顺延。 </w:t>
      </w:r>
    </w:p>
    <w:p w14:paraId="6CDCACC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由于承包人施工原因试车达不到验收要求，承包人按工程师要求重新安装和试车，并承担重新安装和试车的费用，工期不予顺延。 </w:t>
      </w:r>
    </w:p>
    <w:p w14:paraId="6DCFB38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(4) 试车费用除已包括在合同价款之内或专用条款另有约定外，均由发包人承担。</w:t>
      </w:r>
    </w:p>
    <w:p w14:paraId="5D3AA4F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 工程师在试车合格后不在试车记录上签字，试车结束24小时后，视为工程师已经认可试车记录，承包人可继续施工或办理竣工手续。 </w:t>
      </w:r>
    </w:p>
    <w:p w14:paraId="7FF0E2F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19.6 投料试车应在工程竣工验收后由发包人负责，如发包人要求在工程竣工验收前进行或需要承包人配合时，应征得承包人同意，另行签订补充协议。 </w:t>
      </w:r>
    </w:p>
    <w:p w14:paraId="69A3896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五、安全施工 </w:t>
      </w:r>
    </w:p>
    <w:p w14:paraId="2E90EAD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20、安全施工与检查 </w:t>
      </w:r>
    </w:p>
    <w:p w14:paraId="5213194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20.1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 </w:t>
      </w:r>
    </w:p>
    <w:p w14:paraId="5597381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20.2发包人应对其在施工场地的工作人员进行安全教育，并对他们的安全负责。发包人不得要求承包人违反安全管理的规定进行施工。因发包人原因导致的安全事故，由发包人承担相应责任及发生的费用。 </w:t>
      </w:r>
    </w:p>
    <w:p w14:paraId="66B33FC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21、安全防护 </w:t>
      </w:r>
    </w:p>
    <w:p w14:paraId="24B1CDC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21.1承包人在动力设备、输电线路、地下管道、密封防震车间、易燃易爆地段以及临街交通要道附近施工时，施工开始前应向工程师提出安全防护措施，经工程师认可后实施，防护措施费用由发包人承担。 </w:t>
      </w:r>
    </w:p>
    <w:p w14:paraId="4228941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21.2实施爆破作业，在放射、毒害性环境中施工（含储存、运输、使用）及使用毒害性、腐蚀性物品施工时，承包人应在施工前14天以书面形式通知工</w:t>
      </w:r>
      <w:r>
        <w:rPr>
          <w:rFonts w:hint="eastAsia" w:ascii="宋体" w:hAnsi="宋体"/>
          <w:color w:val="auto"/>
          <w:spacing w:val="2"/>
          <w:szCs w:val="21"/>
          <w:highlight w:val="none"/>
        </w:rPr>
        <w:t>程师，并提出相应的安全防护措施，经工程师认可后实施,由发包人承担安全</w:t>
      </w:r>
      <w:r>
        <w:rPr>
          <w:rFonts w:hint="eastAsia" w:ascii="宋体" w:hAnsi="宋体"/>
          <w:color w:val="auto"/>
          <w:szCs w:val="21"/>
          <w:highlight w:val="none"/>
        </w:rPr>
        <w:t xml:space="preserve">防护措施费用。 </w:t>
      </w:r>
    </w:p>
    <w:p w14:paraId="1BE4778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22、事故处理 </w:t>
      </w:r>
    </w:p>
    <w:p w14:paraId="34A69E0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22.1发生重大伤亡及其他安全事故，承包人应按有关规定立即上报有关部门并通知工程师，同时按政府有关部门要求处理，由事故责任方承担发生的费用。</w:t>
      </w:r>
    </w:p>
    <w:p w14:paraId="7D05CA1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22.2发包人承包人对事故责任有争议时，应按政府有关部门的认定处理。 </w:t>
      </w:r>
    </w:p>
    <w:p w14:paraId="279C216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六、合同价款与支付 </w:t>
      </w:r>
    </w:p>
    <w:p w14:paraId="116117D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23、合同价款及调整 </w:t>
      </w:r>
    </w:p>
    <w:p w14:paraId="0BBBCE3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23.1招标工程的合同价款由发包人承包人依据中标通知书中的中标价格在协议书内约定。非招标工程的合同价款由发包人承包人依据工程预算书在协议书内约定。 </w:t>
      </w:r>
    </w:p>
    <w:p w14:paraId="56568CB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23.2合同价款在协议书内约定后，任何一方不得擅自改变。下列三种确定合同价款的方式，双方可在专用条款内约定采用其中一种： </w:t>
      </w:r>
    </w:p>
    <w:p w14:paraId="7E0406B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固定价格合同。双方在专用条款内约定合同价款包含的风险范围和风险费用的计算方法，在约定的风险范围内合同价款不再调整。风险范围以外的合同价款调整方法，应当在专用条款内约定。 </w:t>
      </w:r>
    </w:p>
    <w:p w14:paraId="71B84E3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可调价格合同。合同价款可根据双方的约定而调整，双方在专用条款内约定合同价款调整方法。 </w:t>
      </w:r>
    </w:p>
    <w:p w14:paraId="5D873CD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成本加酬金合同。合同价款包括成本和酬金两部分，双方在专用条款内约定成本构成和酬金的计算方法。 </w:t>
      </w:r>
    </w:p>
    <w:p w14:paraId="6528903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23.3可调价格合同中合同价款的调整因素包括：</w:t>
      </w:r>
    </w:p>
    <w:p w14:paraId="4188E61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法律、行政法规和国家有关政策变化影响合同价款； </w:t>
      </w:r>
    </w:p>
    <w:p w14:paraId="2230CB7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工程造价管理部门公布的价格调整； </w:t>
      </w:r>
    </w:p>
    <w:p w14:paraId="7E03F16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一周内非承包人原因停水、停电、停气造成的停工累计超过8小时； </w:t>
      </w:r>
    </w:p>
    <w:p w14:paraId="39BE248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双方约定的其他因素。 </w:t>
      </w:r>
    </w:p>
    <w:p w14:paraId="01412F2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23.4承包人应当在23.3款情况发生后14天内，将调整原因、金额以书面形式通知工程师，工程师确认调整金额后作为追加合同价款，与工程款同期支付。工程师收到承包人通知后14天内不予确认也不提出修改意见，视为已经同意该项调整。 </w:t>
      </w:r>
    </w:p>
    <w:p w14:paraId="0059CAE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24、工程预付款 </w:t>
      </w:r>
    </w:p>
    <w:p w14:paraId="58BC7F2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实行工程预付款的，双方应当在专用条款内约定发包人向承包人预付工程款的时间和数额，开工后按约定的时间和比例逐次扣回。预付时间应不迟于约定的开工日期前7天。发包人不按约定预付，承包人在约定预付时间7天后向发包人发出要求预付的通知，发包人收到通知后仍不能按要求预付，承包人可在发出通告后7天停止施工，发包人应从约定应付之日起向承包人支付应付款的贷款利息，并承担违约责任。 </w:t>
      </w:r>
    </w:p>
    <w:p w14:paraId="03C4246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25、工程量的确认 </w:t>
      </w:r>
    </w:p>
    <w:p w14:paraId="5B98452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25.1 承包人应按专用条款约定的时间，向工程师提交已完工程量的报告。工程师接到报告后7天内按设计图纸核实已完工程量（以下称计量），并在计量前24小时通知承包人，承包人应为计量提供便利条件并派人参加。承包人收到通知后不参加计量，计量结果有效，作为工程价款支付的依据。 </w:t>
      </w:r>
    </w:p>
    <w:p w14:paraId="36D9ABA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25.2 工程师收到承包人报告后7天内未进行计量，从第8天起，承包人报告中开列的工程量即视为被确认，作为工程价款支付的依据。工程师不按约定时间通知承包人，致使承包人未能参加计量，计量结果无效。 </w:t>
      </w:r>
    </w:p>
    <w:p w14:paraId="5B6DE4C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25.3对承包人超出设计图纸范围和因承包人原因造成返工的工程量，工程师不予计量。 </w:t>
      </w:r>
    </w:p>
    <w:p w14:paraId="3E41337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26、工程款（进度款）支付。 </w:t>
      </w:r>
    </w:p>
    <w:p w14:paraId="7960406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26.1 在确认计量结果后14天内，发包人应向承包人支付工程款（进度款）。按约定时间发包人应扣回的预付款，与工程款（进度款）同期结算。 </w:t>
      </w:r>
    </w:p>
    <w:p w14:paraId="672F1FE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26.2 本通用条款第23条确定调整的合同价款，第31条工程变更调整的合同价款及其他条款中约定的追加合同价款，应与工程款（进度款）同期调整支付。 </w:t>
      </w:r>
    </w:p>
    <w:p w14:paraId="1C2FF11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26.3 发包人超过约定的支付时间不支付工程款（进度款），承包人可向发包人发出要求付款的通知，发包人收到承包人通知后仍不能按要求付款，可与承包人协商签订延期付款协议，经承包人同意后可延期支付。协议应明确延期支付的时间和从计量结果确认后第15天起计算应付款的贷款利息。 </w:t>
      </w:r>
    </w:p>
    <w:p w14:paraId="0938E5A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26.4 发包人不按合同约定支付工程款（进度款），双方又未达成延期付款协议，导致施工无法进行，承包人可停止施工，由发包人承担违约责任。 </w:t>
      </w:r>
    </w:p>
    <w:p w14:paraId="2E4B6D1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七、材料设备供应 </w:t>
      </w:r>
    </w:p>
    <w:p w14:paraId="247DCAD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27、发包人供应材料设备 </w:t>
      </w:r>
    </w:p>
    <w:p w14:paraId="3D12A2F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27.1 实行发包人供应材料设备的，双方应当约定发包人供应材料设备的一览表，作为本合同附件（附件2）。一览表包括发包人供应材料设备的品种、规格、型号、数量、单价、质量等级、提供时间和地点。 </w:t>
      </w:r>
    </w:p>
    <w:p w14:paraId="61DB929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27.2 发包人按一览表约定的内容提供材料设备，并向承包人提供产品合格证明，对其质量负责。发包人在所供材料设备到货前24小时，以书面形式通知承包人，由承包人派人与发包人共同清点。 </w:t>
      </w:r>
    </w:p>
    <w:p w14:paraId="79DEFD6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27.3 发包人供应的材料设备，承包人派人参加清点后由承包人妥善保管，发包人支付相应保管费用。因承包人原因发生丢失损坏，由承包人负责赔偿。 </w:t>
      </w:r>
    </w:p>
    <w:p w14:paraId="60C1C86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发包人未通知承包人清点，承包人不负责材料设备的保管，丢失损坏由发包人负责。 </w:t>
      </w:r>
    </w:p>
    <w:p w14:paraId="4EEFB84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27.4发包人供应的材料设备与一览表不符时，发包人承担有关责任。发包人应承担责任的具体内容，双方根据下列情况在专用条款内约定。 </w:t>
      </w:r>
    </w:p>
    <w:p w14:paraId="6EE9A79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材料设备单价与一览表不符，由发包人承担所有价差； </w:t>
      </w:r>
    </w:p>
    <w:p w14:paraId="670F130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材料设备的品种、规格、型号、质量等级与一览表不符，承包人可拒绝接收保管，由发包人运出施工场地并重新采购； </w:t>
      </w:r>
    </w:p>
    <w:p w14:paraId="6899522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发包人供应的材料规格、型号与一览表不符，经发包人同意，承包人可代为调剂串换，由发包人承担相应费用； </w:t>
      </w:r>
    </w:p>
    <w:p w14:paraId="225C0EE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到货地点与一览表不符，由发包人负责运至一览表指定地点： </w:t>
      </w:r>
    </w:p>
    <w:p w14:paraId="64C9481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 供应数量少于一览表约定的数量时，由发包人补齐，多于一览表约定数量时，发包人负责将多出部分运出施工场地； </w:t>
      </w:r>
    </w:p>
    <w:p w14:paraId="139EFF5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(6) 到货时间早于一览表约定时间，由发包人承担因此发生的保管费用；到货时间迟于一览表约定的供应时间，发包人赔偿由此造成的承包人损失，造成工期延误的，相应顺延工期。 </w:t>
      </w:r>
    </w:p>
    <w:p w14:paraId="798B212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27.5发包人供应的材料设备使用前，由承包人负责检验或试验，不合格的不得使用，检验或试验费用由发包人承担。 </w:t>
      </w:r>
    </w:p>
    <w:p w14:paraId="281F432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27.6发包人供应材料设备的结算方法，双方在专用条款内约定。 </w:t>
      </w:r>
    </w:p>
    <w:p w14:paraId="0BBE37F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28、承包人采购材料设备 </w:t>
      </w:r>
    </w:p>
    <w:p w14:paraId="721488C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28.1 承包人负责采购材料设备的，应按照专用条款约定及设计和有关标准要求采购，并提供产品合格证明，对材料设备质量负责。承包人在材料设备到货前24小时通知工程师清点。</w:t>
      </w:r>
    </w:p>
    <w:p w14:paraId="1995DA7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28.2</w:t>
      </w:r>
      <w:r>
        <w:rPr>
          <w:rFonts w:hint="eastAsia" w:ascii="宋体" w:hAnsi="宋体"/>
          <w:color w:val="auto"/>
          <w:spacing w:val="8"/>
          <w:szCs w:val="21"/>
          <w:highlight w:val="none"/>
        </w:rPr>
        <w:t xml:space="preserve"> 承包人采购的材料设备与设计或标准要求不符时，承包人应按工程师要</w:t>
      </w:r>
      <w:r>
        <w:rPr>
          <w:rFonts w:hint="eastAsia" w:ascii="宋体" w:hAnsi="宋体"/>
          <w:color w:val="auto"/>
          <w:szCs w:val="21"/>
          <w:highlight w:val="none"/>
        </w:rPr>
        <w:t xml:space="preserve">求的时间运出施工场地，重新采购符合要求的产品，承担由此发生的费用，由此延误的工期不予顺延。 </w:t>
      </w:r>
    </w:p>
    <w:p w14:paraId="2B5D7F2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28.3 承包人采购的材料设备在使用前，承包人应按工程师的要求进行检验或试验，不合格的不得使用，检验或试验费用由承包人承担。 </w:t>
      </w:r>
    </w:p>
    <w:p w14:paraId="145CEE5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28.4 工程师发现承包人采购并使用不符合设计或标准要求的材料设备时，应要求由承包人负责修复、拆除或重新采购，并承担发生的费用，由此延误的工期不予顺延。 </w:t>
      </w:r>
    </w:p>
    <w:p w14:paraId="6E4D607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28.5 承包人需要使用代用材料时，应经工程师认可后才能使用，由此增减的合同价款双方以书面形式议定。 </w:t>
      </w:r>
    </w:p>
    <w:p w14:paraId="41BE432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28.6 由承包人采购的材料设备，发包人不得指定生产厂或供应商。 </w:t>
      </w:r>
    </w:p>
    <w:p w14:paraId="31E0E92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八、工程变更 </w:t>
      </w:r>
    </w:p>
    <w:p w14:paraId="36342EC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29、工程设计变更 </w:t>
      </w:r>
    </w:p>
    <w:p w14:paraId="27E430C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29.1施工中发包人需对原工程设计进行变更，应提前14天以书面形式向承包人发出变更通知。变更超过原设计标准或批准的建设规模时，发包人应报规划管理部门和其他有关部门重新审查批准，并由原设计单位提供变更的相应图纸和说明。承包人按照工程师发出的变更通知及有关要求，进行下列需要的变更： </w:t>
      </w:r>
    </w:p>
    <w:p w14:paraId="2CD351C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更改工程有关部分的标高、基线、位置和尺寸； </w:t>
      </w:r>
    </w:p>
    <w:p w14:paraId="786C637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增减合同中约定的工程量； </w:t>
      </w:r>
    </w:p>
    <w:p w14:paraId="653C083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改变有关工程的施工时间和顺序； </w:t>
      </w:r>
    </w:p>
    <w:p w14:paraId="376FF66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其他有关工程变更需要的附加工作。 </w:t>
      </w:r>
    </w:p>
    <w:p w14:paraId="4627690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因变更导致合同价款的增减及造成的承包人损失，由发包人承担，延误的工期相应顺延。 </w:t>
      </w:r>
    </w:p>
    <w:p w14:paraId="6DA9593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29.2施工中承包人不得对原工程设计进行变更。因承包人擅自变更设计发生的费用和由此导致发包人的直接损失，由承包人承担，延误的工期不予顺延。</w:t>
      </w:r>
    </w:p>
    <w:p w14:paraId="543971D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29.3承包人在施工中提出的合理化建议涉及到对设计图纸或施工组织设计的更改及对材料、设备的换用，须经工程师同意。未经同意擅自更改或换用时，承包人承担由此发生的费用，并赔偿发包人的有关损失，延误的工期不予顺延。</w:t>
      </w:r>
    </w:p>
    <w:p w14:paraId="156C1C9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工程师同意采用承包人合理化建议，所发生的费用和获得的收益，发包人承包人另行约定分担或分享。 </w:t>
      </w:r>
    </w:p>
    <w:p w14:paraId="36C327D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30、其他变更 </w:t>
      </w:r>
    </w:p>
    <w:p w14:paraId="1C24345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合同履行中发包人要求变更工程质量标准及发生其他实质性变更，由双方协商解决。 </w:t>
      </w:r>
    </w:p>
    <w:p w14:paraId="39ADA71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31、确定变更价款 </w:t>
      </w:r>
    </w:p>
    <w:p w14:paraId="4F30D06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31.1承包人在工程变更确定后14天内，提出变更工程价款的报告，经工程师确认后调整合同价款。变更合同价款按下列方法进行： </w:t>
      </w:r>
    </w:p>
    <w:p w14:paraId="6114139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合同中已有适用于变更工程的价格，按合同已有的价格变更合同价款； </w:t>
      </w:r>
    </w:p>
    <w:p w14:paraId="73FC4C8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合同中只有类似于变更工程的价格，可以参照类似价格变更合同价款； </w:t>
      </w:r>
    </w:p>
    <w:p w14:paraId="37B2329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合同中没有适用或类似于变更工程的价格，由承包人提出适当的变更价格，经工程师确认后执行。 </w:t>
      </w:r>
    </w:p>
    <w:p w14:paraId="30D06D0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31.2承包人在双方确定变更后14天内不向工程师提出变更工程价款报告时，视为该项变更不涉及合同价款的变更。 </w:t>
      </w:r>
    </w:p>
    <w:p w14:paraId="762A278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31.3工程师应在收到变更工程价款报告之日起14天内予以确认，工程师无正当理由不确认时，自变更工程价款报告送达之日起14天后视为变更工程价款报告已被确认。 </w:t>
      </w:r>
    </w:p>
    <w:p w14:paraId="035C267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31.4工程师不同意承包人提出的变更价款，按本通用条款第37条关于争议的约定处理。 </w:t>
      </w:r>
    </w:p>
    <w:p w14:paraId="181F309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31.5工程师确认增加的工程变更价款作为追加合同价款，与工程款同期支付。</w:t>
      </w:r>
    </w:p>
    <w:p w14:paraId="69A7FCE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31.6因承包人自身原因导致的工程变更，承包人无权要求追加合同价款。 </w:t>
      </w:r>
    </w:p>
    <w:p w14:paraId="626EB84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九、竣工验收与结算 </w:t>
      </w:r>
    </w:p>
    <w:p w14:paraId="6240109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32、竣工验收 </w:t>
      </w:r>
    </w:p>
    <w:p w14:paraId="619C17E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32.1 工程具备竣工验收条件，承包人按国家工程竣工验收有关规定，向发包人提供完整竣工资料及竣工验收报告。双方约定由承包人提供竣工图的，应当在专用条款内约定提供的日期和份数。 </w:t>
      </w:r>
    </w:p>
    <w:p w14:paraId="1768405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32.2 发包人收到竣工验收报告后28天内组织有关单位验收，并在验收后14天内给予认可或提出修改意见。承包人按要求修改，并承担由自身原因造成修改的费用。</w:t>
      </w:r>
    </w:p>
    <w:p w14:paraId="00E3906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32.3 发包人收到承包人送交的竣工验收报告后28天内不组织验收，或验收后14天内不提出修改意见，视为竣工验收报告已被认可。 </w:t>
      </w:r>
    </w:p>
    <w:p w14:paraId="4CBA28E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32.4 工程竣工验收通过，承包人送交竣工验收报告的日期为实际竣工日期。工程按发包人要求修改后通过竣工验收的，实际竣工日期为承包人修改后提请发包人验收的日期。 </w:t>
      </w:r>
    </w:p>
    <w:p w14:paraId="1B4B6FA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32.5 发包人收到承包人竣工验收报告后28天内不组织验收，从第29天起承担工程保管及一切意外责任。 </w:t>
      </w:r>
    </w:p>
    <w:p w14:paraId="779CC07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32.6 中间交工工程的范围和竣工时间，双方在专用条款内约定，其验收程序按本通用条款32.1款至32.4款办理。 </w:t>
      </w:r>
    </w:p>
    <w:p w14:paraId="6595D23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32.7 因特殊原因，发包人要求部分单位工程或工程部位甩项竣工的，双方另行签订甩项竣工协议，明确双方责任和工程价款支付方法。 </w:t>
      </w:r>
    </w:p>
    <w:p w14:paraId="492BBE0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32.8 工程未经竣工验收或竣工验收未通过的，发包人不得使用。发包人强行使用时，由此发生的质量问题及其他问题，由发包人承担责任。 </w:t>
      </w:r>
    </w:p>
    <w:p w14:paraId="52B52B8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33、竣工结算 </w:t>
      </w:r>
    </w:p>
    <w:p w14:paraId="5B833D1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33.1 工程竣工验收报告经发包人认可后28天内，承包人向发包人递交竣工结算报告及完整的结算资料，双方按照协议书约定的合同价款及专用条款约定的合同价款调整内容，进行工程竣工结算。 </w:t>
      </w:r>
    </w:p>
    <w:p w14:paraId="09C1757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33.2 发包人收到承包人递交的竣工结算报告及结算资料后28天内进行核实，给予确认或者提出修改意见。发包人确认竣工结算报告后通知经办银行向承包人支付工程竣工结算价款。承包人收到竣工结算价款后14天内将竣工工程交付发包人。 </w:t>
      </w:r>
    </w:p>
    <w:p w14:paraId="6F1A8D6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33.3 发包人收到竣工结算报告及结算资料后28天内无正当理由不支付工程竣工结算价款，从第29天起按承包人同期向银行贷款利率支付拖欠工程价款的利息，并承担违约责任。</w:t>
      </w:r>
    </w:p>
    <w:p w14:paraId="1DCDDDD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33.4 发包人收到竣工结算报告及结算资料后28天内不支付工程竣工结算价款，承包人可以催告发包人支付结算价款。发包人在收到竣工结算报告及结算资料后56天内仍不支付的，承包人可以与发包人协议将该工程折价，也可以由承包人申请人民法院将该工程依法拍卖，承包人就该工程折价或者拍卖的价款优先受偿。</w:t>
      </w:r>
    </w:p>
    <w:p w14:paraId="3ADE6D6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33.5 工程竣工验收报告经发包人认可后28天内，承包人未能向发包人递交竣工结算报告及完整的结算资料，造成工程竣工结算不能正常进行或工程竣工结算价款不能及时支付，发包人要求交付工程的，承包人应当交付；发包人不要求交付工程的，承包人承担保管责任。 </w:t>
      </w:r>
    </w:p>
    <w:p w14:paraId="75F0C9F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33.6 发包人承包人对工程竣工结算价款发生争议时，按本通用条款37条关于争议的约定处理。 </w:t>
      </w:r>
    </w:p>
    <w:p w14:paraId="2742BB7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34、质量保修 </w:t>
      </w:r>
    </w:p>
    <w:p w14:paraId="7E1388C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34.1 承包人应按法律、行政法规或国家关于工程质量保修的有关规定，对交付发包人使用的工程在质量保修期内承担质量保修责任。 </w:t>
      </w:r>
    </w:p>
    <w:p w14:paraId="6FCAE86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34.2 质量保修工作的实施。承包人应在工程竣工验收之前，与发包人签订质量保修书，作为本合同附件（附件3）。 </w:t>
      </w:r>
    </w:p>
    <w:p w14:paraId="3892235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34.3 质量保修书的主要内容包括： </w:t>
      </w:r>
    </w:p>
    <w:p w14:paraId="4F5EA8F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质量保修项目内容及范围； </w:t>
      </w:r>
    </w:p>
    <w:p w14:paraId="6D22860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质量保修期； </w:t>
      </w:r>
    </w:p>
    <w:p w14:paraId="48AB260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质量保修责任； </w:t>
      </w:r>
    </w:p>
    <w:p w14:paraId="65A4ED0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质量保修金的支付方法。 </w:t>
      </w:r>
    </w:p>
    <w:p w14:paraId="6537970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十、违约、索赔和争议 </w:t>
      </w:r>
    </w:p>
    <w:p w14:paraId="65A9535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35、违约 </w:t>
      </w:r>
    </w:p>
    <w:p w14:paraId="64F1ECF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35.1发包人违约。当发生下列情况时：</w:t>
      </w:r>
    </w:p>
    <w:p w14:paraId="2044397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本通用条款第24条提到的发包人不按时支付工程预付款； </w:t>
      </w:r>
    </w:p>
    <w:p w14:paraId="0874FA6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本通用条款第26.4款提到的发包人不按合同约定支付工程款，导致施工无法进行； </w:t>
      </w:r>
    </w:p>
    <w:p w14:paraId="75A6C5D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 本通用条款第33.3款提到的发包人无正当理由不支付工程竣工结算价款；</w:t>
      </w:r>
    </w:p>
    <w:p w14:paraId="167422A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发包人不履行合同义务或不按合同约定履行义务的其他情况。 </w:t>
      </w:r>
    </w:p>
    <w:p w14:paraId="0751816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发包人承担违约责任，赔偿因其违约给承包人造成的经济损失，顺延延误的工期。双方在专用条款内约定发包人赔偿承包人损失的计算方法或者发包人应当支付违约金的数额或计算方法。 </w:t>
      </w:r>
    </w:p>
    <w:p w14:paraId="3495483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35.2承包人违约。当发生下列情况时： </w:t>
      </w:r>
    </w:p>
    <w:p w14:paraId="6A3896E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本通用条款第14.2款提到的因承包人原因不能按照协议书约定的竣工日期或工程师同意顺延的工期竣工； </w:t>
      </w:r>
    </w:p>
    <w:p w14:paraId="402D4A4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本通用条款第15.1款提到的因承包人原因工程质量达不到协议书约定的质量标准； </w:t>
      </w:r>
    </w:p>
    <w:p w14:paraId="762E4A0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承包人不履行合同义务或不按合同约定履行义务的其他情况。 </w:t>
      </w:r>
    </w:p>
    <w:p w14:paraId="4650471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承包人承担违约责任，赔偿因其违约给发包人造成的损失。双方在专用条款内约定承包人赔偿发包人损失的计算方法或者承包人应当支付违约金的数额或计算方法。 </w:t>
      </w:r>
    </w:p>
    <w:p w14:paraId="700CEFA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35.3一方违约后，另一方要求违约方继续履行合同时，违约方承担上述违约责任后仍应继续履行合同。 </w:t>
      </w:r>
    </w:p>
    <w:p w14:paraId="5ECC084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36、索赔 </w:t>
      </w:r>
    </w:p>
    <w:p w14:paraId="323AB02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36.1当一方向另一方提出索赔时，要有正当索赔理由，且有索赔事件发生时的有效证据。 </w:t>
      </w:r>
    </w:p>
    <w:p w14:paraId="0BCB165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36.2发包人未能按合同约定履行自己的各项义务或发生错误以及应由发包人承担责任的其他情况，造成工期延误和（或）承包人不能及时得到合同价款及承包人的其他经济损失，承包人可按下列程序以书面形式向发包人索赔： </w:t>
      </w:r>
    </w:p>
    <w:p w14:paraId="09BF9B2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索赔事件发生后28天内，向工程师发出索赔意向通知； </w:t>
      </w:r>
    </w:p>
    <w:p w14:paraId="7C16E3D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发出索赔意向通知后28天内，向工程师提出延长工期和（或）补偿经济损失的索赔报告及有关资料； </w:t>
      </w:r>
    </w:p>
    <w:p w14:paraId="4820A67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工程师在收到承包人送交的索赔报告及有关资料后，于28天内给予答复，或要求承包人进一步补充索赔理由和证据； </w:t>
      </w:r>
    </w:p>
    <w:p w14:paraId="2F3C9DB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工程师在收到承包人送交的索赔报告和有关资料后28天内未予答复或未对承包人作进一步要求，视为该项索赔已经认可； </w:t>
      </w:r>
    </w:p>
    <w:p w14:paraId="4C10055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 当该索赔事件持续进行时，承包人应当阶段性向工程师发出索赔意向，在索赔事件终了后28天内，向工程师送交索赔的有关资料和最终索赔报告。索赔答复程序与（3）、（4）规定相同。 </w:t>
      </w:r>
    </w:p>
    <w:p w14:paraId="68EE96E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36.3承包人未能按合同约定履行自己的各项义务或发生错误，给发包人造成经济损失，发包人可按36.2款确定的时限向承包人提出索赔。 </w:t>
      </w:r>
    </w:p>
    <w:p w14:paraId="48D0B14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37、争议 </w:t>
      </w:r>
    </w:p>
    <w:p w14:paraId="3FAADA8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37.1发包人承包人在履行合同时发生争议，可以和解或者要求有关主管部门调解。当事人不愿和解、调解或者和解、调解不成的，双方可以在专用条款内约定以下一种方式解决争议： </w:t>
      </w:r>
    </w:p>
    <w:p w14:paraId="4BCCAA1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第一种解决方式：双方达成仲裁协议，向约定的仲裁委员会申请仲裁； </w:t>
      </w:r>
    </w:p>
    <w:p w14:paraId="79EFBB1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第二种解决方式：向有管辖权的人民法院起诉。 </w:t>
      </w:r>
    </w:p>
    <w:p w14:paraId="0110D65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37.2发生争议后，除非出现下列情况的，双方都应继续履行合同，保持施工连续，保护好已完工程： </w:t>
      </w:r>
    </w:p>
    <w:p w14:paraId="3C74099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单方违约导致合同确已无法履行，双方协议停止施工； </w:t>
      </w:r>
    </w:p>
    <w:p w14:paraId="4EEE2AA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调解要求停止施工，且为双方接受； </w:t>
      </w:r>
    </w:p>
    <w:p w14:paraId="2C62226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仲裁机构要求停止施工； </w:t>
      </w:r>
    </w:p>
    <w:p w14:paraId="02460D9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法院要求停止施工。 </w:t>
      </w:r>
    </w:p>
    <w:p w14:paraId="4688E12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十一、其他 </w:t>
      </w:r>
    </w:p>
    <w:p w14:paraId="52A287E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38、工程分包 </w:t>
      </w:r>
    </w:p>
    <w:p w14:paraId="5C53E7C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38.1 承包人按专用条款的约定分包所承包的部分工程，并与分包单位签订分包合同。非经发包人同意，承包人不得将承包工程的任何部分分包。 </w:t>
      </w:r>
    </w:p>
    <w:p w14:paraId="2B67998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38.2 承包人不得将其承包的全部工程转包给他人，也不得将其承包的全部工程肢解以后以分包的名义分别转包给他人。 </w:t>
      </w:r>
    </w:p>
    <w:p w14:paraId="7CE6FF6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38.3 工程分包不能解除承包人任何责任与义务。承包人应在分包场地派驻相应管理人员，保证本合同的履行。分包单位的任何违约行为或疏忽导致工程损害或给发包人造成其他损失，承包人承担连带责任。 </w:t>
      </w:r>
    </w:p>
    <w:p w14:paraId="07BF8A0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38.4分包工程价款由承包人与分包单位结算。发包人未经承包人同意不得以任何形式向分包单位支付各种工程款项。 </w:t>
      </w:r>
    </w:p>
    <w:p w14:paraId="300C711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39、不可抗力 </w:t>
      </w:r>
    </w:p>
    <w:p w14:paraId="60B260A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39.1 不可抗力包括因战争、动乱、空中飞行物体坠落或其他非发包人承包人责任造成的爆炸、火灾，以及专用条款约定的风、雨、雪、洪、震等自然灾害。</w:t>
      </w:r>
    </w:p>
    <w:p w14:paraId="3F5100F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39.2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害情况和损失情况，及预计清理和修复的费用。不可抗力事件持续发生，承包人应每隔7天向工程师报告一次受害情况。不可抗力事件结束后14天内，承包人向工程师提交清理和修复费用的正式报告及有关资料。 </w:t>
      </w:r>
    </w:p>
    <w:p w14:paraId="19AF185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39.3 因不可抗力事件导致的费用及延误的工期由双方按以下方法分别承担：</w:t>
      </w:r>
    </w:p>
    <w:p w14:paraId="7A2168B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工程本身的损害、因工程损害导致第三人人员伤亡和财产损失以及运至施工场地用于施工的材料和待安装的设备的损害，由发包人承担； </w:t>
      </w:r>
    </w:p>
    <w:p w14:paraId="22892AF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发包人承包人人员伤亡由其所在单位负责，并承担相应费用； </w:t>
      </w:r>
    </w:p>
    <w:p w14:paraId="01515DF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(3) 承包人机械设备损坏及停工损失，由承包人承担； </w:t>
      </w:r>
    </w:p>
    <w:p w14:paraId="216A12C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 停工期间，承包人应工程师要求留在施工场地的必要的管理人员及保卫人员的费用由发包人承担； </w:t>
      </w:r>
    </w:p>
    <w:p w14:paraId="70DE6BB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(5) 工程所需清理、修复费用，由发包人承担； </w:t>
      </w:r>
    </w:p>
    <w:p w14:paraId="5FA6D5A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(6) 延误的工期相应顺延。 </w:t>
      </w:r>
    </w:p>
    <w:p w14:paraId="342A6B2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39.4因合同一方迟延履行合同后发生不可抗力的，不能免除迟延履行方的相应责任。</w:t>
      </w:r>
    </w:p>
    <w:p w14:paraId="50BF7B8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40、保险 </w:t>
      </w:r>
    </w:p>
    <w:p w14:paraId="53ECF51B">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40.1工程开工前，发包人为建设工程和施工场地内的自有人员及第三人人员生命财产办理保险，支付保险费用。 </w:t>
      </w:r>
    </w:p>
    <w:p w14:paraId="66154FE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40.2运至施工场内用于工程的材料和待安装设备，由发包人办理保险，并支付保险费用。 </w:t>
      </w:r>
    </w:p>
    <w:p w14:paraId="250AA62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40.3发包人可以将有关保险事项委托承包人办理，费用由发包人承担。 </w:t>
      </w:r>
    </w:p>
    <w:p w14:paraId="6985ED5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40.4承包人必须为从事危险作业的职工办理意外伤害保险，并为施工场地内自有人员生命财产和施工机械设备办理保险，支付保险费用。 </w:t>
      </w:r>
    </w:p>
    <w:p w14:paraId="6F0C545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40.5保险事故发生时，发包人承包人有责任尽力采取必要的措施，防止或者减少损失。 </w:t>
      </w:r>
    </w:p>
    <w:p w14:paraId="53ED911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40.6具体投保内容和相关责任，发包人承包人在专用条款中约定。 </w:t>
      </w:r>
    </w:p>
    <w:p w14:paraId="246E30E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41、担保 </w:t>
      </w:r>
    </w:p>
    <w:p w14:paraId="229E81B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41.1发包人、承包人为了全面履行合同，应互相提供以下担保： </w:t>
      </w:r>
    </w:p>
    <w:p w14:paraId="7C16E8D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发包人向承包人提供履约担保，按合同约定支付工程价款及履行合同约定的其他义务。 </w:t>
      </w:r>
    </w:p>
    <w:p w14:paraId="5323652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(2) 承包人向发包人提供履约担保，按合同约定履行自己的各项义务。 </w:t>
      </w:r>
    </w:p>
    <w:p w14:paraId="59B9677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41.2 一方违约后，另一方可要求提供担保的第三人承担相应责任。 </w:t>
      </w:r>
    </w:p>
    <w:p w14:paraId="6B39173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41.3 提供担保的内容、方式和相关责任，发包人承包人除在专用条款中约定外，被担保方与担保方还应签订担保合同，作为本合同附件。 </w:t>
      </w:r>
    </w:p>
    <w:p w14:paraId="770C331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42、专利技术及特殊工艺 </w:t>
      </w:r>
    </w:p>
    <w:p w14:paraId="4552F1B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42.1 发包人要求使用专利技术或特殊工艺，应负责办理相应的申报手续，承担申报、试验、使用等费用；承包人提出使用专利技术或特殊工艺，应取得工程师认可，承包人负责办理申报手续并承担有关费用。 </w:t>
      </w:r>
    </w:p>
    <w:p w14:paraId="42ACE04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42.2 擅自使用专利技术侵犯他人专利权的，责任者依法承担相应责任。 </w:t>
      </w:r>
    </w:p>
    <w:p w14:paraId="748660F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43、文物和地下障碍物 </w:t>
      </w:r>
    </w:p>
    <w:p w14:paraId="28B8ECF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43.1 在施工中发现古墓、古建筑遗址等文物及化石或其他有考古、地质研究等价值的物品时，承包人应立即保护好现场并于4小时内以书面形式通知工程师，工程师应于收到书面通知后24小时内报告当地文物管理部门，发包人承包人按文物管理部门的要求采取妥善保护措施。发包人承担由此发生的费用，顺延延误的工期。</w:t>
      </w:r>
    </w:p>
    <w:p w14:paraId="2667265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如发现后隐瞒不报，致使文物遭受破坏，责任者依法承担相应责任。 </w:t>
      </w:r>
    </w:p>
    <w:p w14:paraId="053581E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43.2 施工中发现影响施工的地下障碍物时，承包人应于8小时内以书面形式通知工程师，同时提出</w:t>
      </w:r>
      <w:r>
        <w:rPr>
          <w:rFonts w:ascii="宋体" w:hAnsi="宋体"/>
          <w:color w:val="auto"/>
          <w:szCs w:val="21"/>
          <w:highlight w:val="none"/>
        </w:rPr>
        <w:t>处置</w:t>
      </w:r>
      <w:r>
        <w:rPr>
          <w:rFonts w:hint="eastAsia" w:ascii="宋体" w:hAnsi="宋体"/>
          <w:color w:val="auto"/>
          <w:szCs w:val="21"/>
          <w:highlight w:val="none"/>
        </w:rPr>
        <w:t>方案，工程师收到</w:t>
      </w:r>
      <w:r>
        <w:rPr>
          <w:rFonts w:ascii="宋体" w:hAnsi="宋体"/>
          <w:color w:val="auto"/>
          <w:szCs w:val="21"/>
          <w:highlight w:val="none"/>
        </w:rPr>
        <w:t>处置</w:t>
      </w:r>
      <w:r>
        <w:rPr>
          <w:rFonts w:hint="eastAsia" w:ascii="宋体" w:hAnsi="宋体"/>
          <w:color w:val="auto"/>
          <w:szCs w:val="21"/>
          <w:highlight w:val="none"/>
        </w:rPr>
        <w:t>方案后24小时内予以认可或提出修正方案。发包人承担由此发生的费用，顺延延误的工期。</w:t>
      </w:r>
    </w:p>
    <w:p w14:paraId="0F9B0A8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所发现的地下障碍物有归属单位时，发包人应报请有关部门协同处置。 </w:t>
      </w:r>
    </w:p>
    <w:p w14:paraId="31D1A8D3">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44、合同解除 </w:t>
      </w:r>
    </w:p>
    <w:p w14:paraId="55858C4C">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44.1 发包人承包人协商一致，可以解除合同。 </w:t>
      </w:r>
    </w:p>
    <w:p w14:paraId="14E8D41D">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44.2 发生本通用条款第26.4款情况，停止施工超过56天，发包人仍不支付工程款（进度款），承包人有权解除合同。 </w:t>
      </w:r>
    </w:p>
    <w:p w14:paraId="3A7A763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44.3 发生本通用条款第38.2款禁止的情况，承包人将其承包的全部工程转包给他人或者肢解以后以分包的名义分别转包给他人，发包人有权解除合同。 </w:t>
      </w:r>
    </w:p>
    <w:p w14:paraId="21DC3F1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44.4 有下列情形之一的，发包人承包人可以解除合同： </w:t>
      </w:r>
    </w:p>
    <w:p w14:paraId="6FF2F53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(1) 因不可抗力致使合同无法履行； </w:t>
      </w:r>
    </w:p>
    <w:p w14:paraId="5895C2A7">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(2) 因一方违约（包括因发包人原因造成工程停建或缓建）致使合同无法履行。</w:t>
      </w:r>
    </w:p>
    <w:p w14:paraId="31D72310">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44.5一方依据44.2、44.3、44.4款约定要求解除合同的，应以书面形式向对方发出解除合同的通知，并在发出通知前7天告知对方，通知到达对方时合同解除。对解除合同有争议的，按本通用条款第37条关于争议的约定处理。 </w:t>
      </w:r>
    </w:p>
    <w:p w14:paraId="530DC995">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44.6合同解除后，承包人应妥善做好已完工程和已购材料、设备的保护和移交工作，按发包人要求将自有机械设备和人员撤出施工场地。发包人应为承包人撤出提供必要条件，支付以上所发生的费用，并按合同约定支付已完工程价款。已经订货的材料、设备由订货方负责退货或解除订货合同，不能退还的货款和因退货、解除订货合同发生的费用，由发包人承担，因未及时退货造成的损失由责任方承担。除此之外，有过错的一方应当赔偿因合同解除给对方造成的损失。 </w:t>
      </w:r>
    </w:p>
    <w:p w14:paraId="0F497BB2">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44.7合同解除后，不影响双方在合同中约定的结算和清理条款的效力。 </w:t>
      </w:r>
    </w:p>
    <w:p w14:paraId="3E3889E9">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45、合同生效与终止 </w:t>
      </w:r>
    </w:p>
    <w:p w14:paraId="287DEA8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45.1双方在协议书中约定合同生效方式。 </w:t>
      </w:r>
    </w:p>
    <w:p w14:paraId="414D7ACF">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45.2除本通用条款第34条外，发包人承包人履行合同全部义务，竣工结算价款支付完毕，承包人向发包人交付竣工工程后，本合同即告终止。 </w:t>
      </w:r>
    </w:p>
    <w:p w14:paraId="5A56F008">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45.3合同的权利义务终止后，发包人承包人应当遵循诚实信用原则，履行通知、协助、保密等义务。 </w:t>
      </w:r>
    </w:p>
    <w:p w14:paraId="06E1D031">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46、合同份数 </w:t>
      </w:r>
    </w:p>
    <w:p w14:paraId="3E2109BE">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46.1本合同正本两份，具有同等效力，由发包人承包人分别保存一份。 </w:t>
      </w:r>
    </w:p>
    <w:p w14:paraId="2D481C94">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46.2本合同副本份数，由双方根据需要在专用条款内约定。 </w:t>
      </w:r>
    </w:p>
    <w:p w14:paraId="3A36716A">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 xml:space="preserve">47、补充条款 </w:t>
      </w:r>
    </w:p>
    <w:p w14:paraId="6C7F4C66">
      <w:pPr>
        <w:spacing w:line="400" w:lineRule="exact"/>
        <w:ind w:firstLine="359" w:firstLineChars="171"/>
        <w:rPr>
          <w:rFonts w:ascii="宋体" w:hAnsi="宋体"/>
          <w:color w:val="auto"/>
          <w:szCs w:val="21"/>
          <w:highlight w:val="none"/>
        </w:rPr>
      </w:pPr>
      <w:r>
        <w:rPr>
          <w:rFonts w:hint="eastAsia" w:ascii="宋体" w:hAnsi="宋体"/>
          <w:color w:val="auto"/>
          <w:szCs w:val="21"/>
          <w:highlight w:val="none"/>
        </w:rPr>
        <w:t>双方根据有关法律、行政法规规定，结合工程实际，经协商一致后，可对本通用条款内容具体化，补充或修改，在专用条款内约定。</w:t>
      </w:r>
    </w:p>
    <w:p w14:paraId="6204CC3D">
      <w:pPr>
        <w:spacing w:line="500" w:lineRule="exact"/>
        <w:jc w:val="center"/>
        <w:rPr>
          <w:rFonts w:ascii="宋体" w:hAnsi="宋体"/>
          <w:b/>
          <w:color w:val="auto"/>
          <w:sz w:val="28"/>
          <w:szCs w:val="28"/>
          <w:highlight w:val="none"/>
        </w:rPr>
      </w:pPr>
      <w:r>
        <w:rPr>
          <w:rFonts w:hint="eastAsia" w:ascii="宋体" w:hAnsi="宋体"/>
          <w:color w:val="auto"/>
          <w:highlight w:val="none"/>
        </w:rPr>
        <w:br w:type="page"/>
      </w:r>
      <w:r>
        <w:rPr>
          <w:rFonts w:hint="eastAsia" w:ascii="宋体" w:hAnsi="宋体"/>
          <w:b/>
          <w:color w:val="auto"/>
          <w:sz w:val="28"/>
          <w:szCs w:val="28"/>
          <w:highlight w:val="none"/>
        </w:rPr>
        <w:t>第三部分  专用条款</w:t>
      </w:r>
    </w:p>
    <w:p w14:paraId="501B5DE7">
      <w:pPr>
        <w:snapToGrid w:val="0"/>
        <w:spacing w:line="500" w:lineRule="exact"/>
        <w:ind w:firstLine="397"/>
        <w:rPr>
          <w:rFonts w:ascii="宋体" w:hAnsi="宋体"/>
          <w:b/>
          <w:color w:val="auto"/>
          <w:sz w:val="24"/>
          <w:highlight w:val="none"/>
        </w:rPr>
      </w:pPr>
    </w:p>
    <w:p w14:paraId="7D6940EE">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一、词语定义及合同文件</w:t>
      </w:r>
    </w:p>
    <w:p w14:paraId="1CFF77C3">
      <w:pPr>
        <w:snapToGrid w:val="0"/>
        <w:spacing w:line="440" w:lineRule="exact"/>
        <w:ind w:firstLine="482" w:firstLineChars="200"/>
        <w:rPr>
          <w:rFonts w:ascii="宋体" w:hAnsi="宋体" w:cs="宋体"/>
          <w:color w:val="auto"/>
          <w:sz w:val="24"/>
          <w:highlight w:val="none"/>
        </w:rPr>
      </w:pPr>
      <w:r>
        <w:rPr>
          <w:rFonts w:ascii="宋体" w:hAnsi="宋体" w:cs="宋体"/>
          <w:b/>
          <w:bCs/>
          <w:color w:val="auto"/>
          <w:sz w:val="24"/>
          <w:highlight w:val="none"/>
        </w:rPr>
        <w:t>1.词语定义</w:t>
      </w:r>
      <w:r>
        <w:rPr>
          <w:rFonts w:ascii="宋体" w:hAnsi="宋体" w:cs="宋体"/>
          <w:color w:val="auto"/>
          <w:sz w:val="24"/>
          <w:highlight w:val="none"/>
        </w:rPr>
        <w:t xml:space="preserve"> </w:t>
      </w:r>
    </w:p>
    <w:p w14:paraId="521AC070">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1.6 </w:t>
      </w:r>
      <w:r>
        <w:rPr>
          <w:rFonts w:hint="eastAsia" w:ascii="宋体" w:hAnsi="宋体" w:cs="宋体"/>
          <w:color w:val="auto"/>
          <w:sz w:val="24"/>
          <w:highlight w:val="none"/>
        </w:rPr>
        <w:t>设计单位</w:t>
      </w:r>
    </w:p>
    <w:p w14:paraId="71C69456">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本合同工程的设计单位是：</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68FE7FB0">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1.7 </w:t>
      </w:r>
      <w:r>
        <w:rPr>
          <w:rFonts w:hint="eastAsia" w:ascii="宋体" w:hAnsi="宋体" w:cs="宋体"/>
          <w:color w:val="auto"/>
          <w:sz w:val="24"/>
          <w:highlight w:val="none"/>
        </w:rPr>
        <w:t>监理单位</w:t>
      </w:r>
    </w:p>
    <w:p w14:paraId="582B02AF">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本合同工程的监理单位是：</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41840960">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1.24招标控制价：指</w:t>
      </w:r>
      <w:r>
        <w:rPr>
          <w:rFonts w:hint="eastAsia" w:ascii="宋体" w:hAnsi="宋体" w:cs="宋体"/>
          <w:color w:val="auto"/>
          <w:sz w:val="24"/>
          <w:highlight w:val="none"/>
        </w:rPr>
        <w:t>经招标人确定的最高投标限价，并在广州公共资源交易中心开发区、黄埔区交易部公示。</w:t>
      </w:r>
    </w:p>
    <w:p w14:paraId="30B9C323">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1.25中标下浮率：中标下浮率=（1-中标价格</w:t>
      </w:r>
      <w:r>
        <w:rPr>
          <w:rFonts w:hint="eastAsia" w:ascii="宋体" w:hAnsi="宋体" w:cs="宋体"/>
          <w:color w:val="auto"/>
          <w:sz w:val="24"/>
          <w:highlight w:val="none"/>
        </w:rPr>
        <w:t>÷</w:t>
      </w:r>
      <w:r>
        <w:rPr>
          <w:rFonts w:hint="eastAsia" w:ascii="宋体" w:hAnsi="宋体" w:cs="宋体"/>
          <w:color w:val="auto"/>
          <w:sz w:val="24"/>
          <w:highlight w:val="none"/>
        </w:rPr>
        <w:t>招标控制价）×</w:t>
      </w:r>
      <w:r>
        <w:rPr>
          <w:rFonts w:ascii="宋体" w:hAnsi="宋体" w:cs="宋体"/>
          <w:color w:val="auto"/>
          <w:sz w:val="24"/>
          <w:highlight w:val="none"/>
        </w:rPr>
        <w:t>100%,</w:t>
      </w:r>
      <w:r>
        <w:rPr>
          <w:rFonts w:hint="eastAsia" w:ascii="宋体" w:hAnsi="宋体" w:cs="宋体"/>
          <w:color w:val="auto"/>
          <w:sz w:val="24"/>
          <w:highlight w:val="none"/>
        </w:rPr>
        <w:t>式中的中标价格及招标控制价均不含不可竞争的</w:t>
      </w:r>
      <w:r>
        <w:rPr>
          <w:rFonts w:hint="eastAsia" w:ascii="宋体" w:hAnsi="宋体" w:cs="宋体"/>
          <w:color w:val="auto"/>
          <w:sz w:val="24"/>
          <w:highlight w:val="none"/>
        </w:rPr>
        <w:t>绿色施工安全防护措施费</w:t>
      </w:r>
      <w:r>
        <w:rPr>
          <w:rFonts w:hint="eastAsia" w:ascii="宋体" w:hAnsi="宋体" w:cs="宋体"/>
          <w:color w:val="auto"/>
          <w:sz w:val="24"/>
          <w:highlight w:val="none"/>
        </w:rPr>
        <w:t>及暂列金额及暂估价。</w:t>
      </w:r>
    </w:p>
    <w:p w14:paraId="1FE447A4">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1.26工人工资比例=中标</w:t>
      </w:r>
      <w:r>
        <w:rPr>
          <w:rFonts w:hint="eastAsia" w:ascii="宋体" w:hAnsi="宋体" w:cs="宋体"/>
          <w:color w:val="auto"/>
          <w:sz w:val="24"/>
          <w:highlight w:val="none"/>
        </w:rPr>
        <w:t>的人工费金额÷中标价格，本项目工人工资比例为：</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6AE2B9AC">
      <w:pPr>
        <w:snapToGrid w:val="0"/>
        <w:spacing w:line="440" w:lineRule="exact"/>
        <w:ind w:firstLine="482" w:firstLineChars="200"/>
        <w:rPr>
          <w:rFonts w:ascii="宋体" w:hAnsi="宋体" w:cs="宋体"/>
          <w:b/>
          <w:color w:val="auto"/>
          <w:sz w:val="24"/>
          <w:highlight w:val="none"/>
        </w:rPr>
      </w:pPr>
      <w:r>
        <w:rPr>
          <w:rFonts w:ascii="宋体" w:hAnsi="宋体" w:cs="宋体"/>
          <w:b/>
          <w:color w:val="auto"/>
          <w:sz w:val="24"/>
          <w:highlight w:val="none"/>
        </w:rPr>
        <w:t>2</w:t>
      </w:r>
      <w:r>
        <w:rPr>
          <w:rFonts w:hint="eastAsia" w:ascii="宋体" w:hAnsi="宋体" w:cs="宋体"/>
          <w:b/>
          <w:color w:val="auto"/>
          <w:sz w:val="24"/>
          <w:highlight w:val="none"/>
        </w:rPr>
        <w:t>、合同文件及解释顺序</w:t>
      </w:r>
    </w:p>
    <w:p w14:paraId="0BF73D55">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2.1合同文件组成及解释顺序：</w:t>
      </w:r>
      <w:r>
        <w:rPr>
          <w:rFonts w:ascii="宋体" w:hAnsi="宋体" w:cs="宋体"/>
          <w:color w:val="auto"/>
          <w:sz w:val="24"/>
          <w:highlight w:val="none"/>
          <w:u w:val="single"/>
        </w:rPr>
        <w:t>1</w:t>
      </w:r>
      <w:r>
        <w:rPr>
          <w:rFonts w:hint="eastAsia" w:ascii="宋体" w:hAnsi="宋体" w:cs="宋体"/>
          <w:color w:val="auto"/>
          <w:sz w:val="24"/>
          <w:highlight w:val="none"/>
          <w:u w:val="single"/>
        </w:rPr>
        <w:t>、本合同履行期间发包人与承包人双方签订的补充合同（协议）或修正文件；</w:t>
      </w:r>
      <w:r>
        <w:rPr>
          <w:rFonts w:ascii="宋体" w:hAnsi="宋体" w:cs="宋体"/>
          <w:color w:val="auto"/>
          <w:sz w:val="24"/>
          <w:highlight w:val="none"/>
          <w:u w:val="single"/>
        </w:rPr>
        <w:t>2、本合同协议书；3、国家、广东省、广州市、广州开发区黄埔区关于本工程施工的有关文件（发包人在收到后尽快通报给承包人）；4、建设业主针对本工程建设管理的各项制度、规定；5、中标通知书；6、本合同专用条款；7、招标文件及附件（包括补充、修改、澄清文件及答疑纪要等）； 8、本合同通用条款；9、投标文件及附件；10、标准、规范和其他有关技术文件；11、图纸；12、</w:t>
      </w:r>
      <w:r>
        <w:rPr>
          <w:rFonts w:hint="eastAsia" w:ascii="宋体" w:hAnsi="宋体"/>
          <w:color w:val="auto"/>
          <w:sz w:val="24"/>
          <w:highlight w:val="none"/>
        </w:rPr>
        <w:t>已标价</w:t>
      </w:r>
      <w:r>
        <w:rPr>
          <w:rFonts w:ascii="宋体" w:hAnsi="宋体"/>
          <w:color w:val="auto"/>
          <w:sz w:val="24"/>
          <w:highlight w:val="none"/>
        </w:rPr>
        <w:t>工程量清单</w:t>
      </w:r>
      <w:r>
        <w:rPr>
          <w:rFonts w:hint="eastAsia" w:ascii="宋体" w:hAnsi="宋体"/>
          <w:color w:val="auto"/>
          <w:sz w:val="24"/>
          <w:highlight w:val="none"/>
        </w:rPr>
        <w:t>或预算书</w:t>
      </w:r>
      <w:r>
        <w:rPr>
          <w:rFonts w:hint="eastAsia" w:ascii="宋体" w:hAnsi="宋体"/>
          <w:color w:val="auto"/>
          <w:sz w:val="24"/>
          <w:highlight w:val="none"/>
        </w:rPr>
        <w:t>；13、联合体协议（如果有）</w:t>
      </w:r>
      <w:r>
        <w:rPr>
          <w:rFonts w:ascii="宋体" w:hAnsi="宋体" w:cs="宋体"/>
          <w:color w:val="auto"/>
          <w:sz w:val="24"/>
          <w:highlight w:val="none"/>
          <w:u w:val="single"/>
        </w:rPr>
        <w:t>；1</w:t>
      </w:r>
      <w:r>
        <w:rPr>
          <w:rFonts w:hint="eastAsia" w:ascii="宋体" w:hAnsi="宋体" w:cs="宋体"/>
          <w:color w:val="auto"/>
          <w:sz w:val="24"/>
          <w:highlight w:val="none"/>
          <w:u w:val="single"/>
        </w:rPr>
        <w:t>4</w:t>
      </w:r>
      <w:r>
        <w:rPr>
          <w:rFonts w:ascii="宋体" w:hAnsi="宋体" w:cs="宋体"/>
          <w:color w:val="auto"/>
          <w:sz w:val="24"/>
          <w:highlight w:val="none"/>
          <w:u w:val="single"/>
        </w:rPr>
        <w:t>、合同附件（工程质量保修责任书、标函承诺书、项目负责人驻场承诺书、工程建设廉政协议书等）。</w:t>
      </w:r>
    </w:p>
    <w:p w14:paraId="5B4A4423">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w:t>
      </w:r>
      <w:r>
        <w:rPr>
          <w:rFonts w:hint="eastAsia" w:ascii="宋体" w:hAnsi="宋体" w:cs="宋体"/>
          <w:b/>
          <w:color w:val="auto"/>
          <w:sz w:val="24"/>
          <w:highlight w:val="none"/>
        </w:rPr>
        <w:t>、语言文字和适用法律、标准及规范</w:t>
      </w:r>
    </w:p>
    <w:p w14:paraId="2E897167">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3.1 </w:t>
      </w:r>
      <w:r>
        <w:rPr>
          <w:rFonts w:hint="eastAsia" w:ascii="宋体" w:hAnsi="宋体" w:cs="宋体"/>
          <w:color w:val="auto"/>
          <w:sz w:val="24"/>
          <w:highlight w:val="none"/>
        </w:rPr>
        <w:t>本合同除使用汉语外，还使用</w:t>
      </w:r>
      <w:r>
        <w:rPr>
          <w:rFonts w:ascii="宋体" w:hAnsi="宋体" w:cs="宋体"/>
          <w:color w:val="auto"/>
          <w:sz w:val="24"/>
          <w:highlight w:val="none"/>
          <w:u w:val="single"/>
        </w:rPr>
        <w:t xml:space="preserve">        /         </w:t>
      </w:r>
      <w:r>
        <w:rPr>
          <w:rFonts w:hint="eastAsia" w:ascii="宋体" w:hAnsi="宋体" w:cs="宋体"/>
          <w:color w:val="auto"/>
          <w:sz w:val="24"/>
          <w:highlight w:val="none"/>
        </w:rPr>
        <w:t>语言文字。</w:t>
      </w:r>
    </w:p>
    <w:p w14:paraId="12E3AA57">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3.2 </w:t>
      </w:r>
      <w:r>
        <w:rPr>
          <w:rFonts w:hint="eastAsia" w:ascii="宋体" w:hAnsi="宋体" w:cs="宋体"/>
          <w:color w:val="auto"/>
          <w:sz w:val="24"/>
          <w:highlight w:val="none"/>
        </w:rPr>
        <w:t>适用法律和法规</w:t>
      </w:r>
    </w:p>
    <w:p w14:paraId="2F517A8F">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需要明示的法律、行政法规：</w:t>
      </w:r>
      <w:r>
        <w:rPr>
          <w:rFonts w:hint="eastAsia" w:ascii="宋体" w:hAnsi="宋体" w:cs="宋体"/>
          <w:color w:val="auto"/>
          <w:sz w:val="24"/>
          <w:highlight w:val="none"/>
          <w:u w:val="single"/>
        </w:rPr>
        <w:t>按照现行的法律、法规</w:t>
      </w:r>
      <w:r>
        <w:rPr>
          <w:rFonts w:hint="eastAsia" w:ascii="宋体" w:hAnsi="宋体" w:cs="宋体"/>
          <w:color w:val="auto"/>
          <w:sz w:val="24"/>
          <w:highlight w:val="none"/>
        </w:rPr>
        <w:t>。</w:t>
      </w:r>
    </w:p>
    <w:p w14:paraId="3BE49CFD">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3.3 </w:t>
      </w:r>
      <w:r>
        <w:rPr>
          <w:rFonts w:hint="eastAsia" w:ascii="宋体" w:hAnsi="宋体" w:cs="宋体"/>
          <w:color w:val="auto"/>
          <w:sz w:val="24"/>
          <w:highlight w:val="none"/>
        </w:rPr>
        <w:t>适用标准、规范</w:t>
      </w:r>
    </w:p>
    <w:p w14:paraId="15B13393">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适用标准、规范的名称：</w:t>
      </w:r>
      <w:r>
        <w:rPr>
          <w:rFonts w:hint="eastAsia" w:ascii="宋体" w:hAnsi="宋体" w:cs="宋体"/>
          <w:color w:val="auto"/>
          <w:sz w:val="24"/>
          <w:highlight w:val="none"/>
          <w:u w:val="single"/>
        </w:rPr>
        <w:t>相应工种现行施工规范。</w:t>
      </w:r>
    </w:p>
    <w:p w14:paraId="648EFDD3">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发包人提供标准、规范的时间：</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60BA3052">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国内没有相应标准、规范时的约定：</w:t>
      </w:r>
      <w:r>
        <w:rPr>
          <w:rFonts w:hint="eastAsia" w:ascii="宋体" w:hAnsi="宋体" w:cs="宋体"/>
          <w:color w:val="auto"/>
          <w:sz w:val="24"/>
          <w:highlight w:val="none"/>
          <w:u w:val="single"/>
        </w:rPr>
        <w:t>按施工图纸，招标文件和广州开发区相关规定及答疑纪要的要求执行。</w:t>
      </w:r>
    </w:p>
    <w:p w14:paraId="2FD36E7F">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w:t>
      </w:r>
      <w:r>
        <w:rPr>
          <w:rFonts w:hint="eastAsia" w:ascii="宋体" w:hAnsi="宋体" w:cs="宋体"/>
          <w:b/>
          <w:color w:val="auto"/>
          <w:sz w:val="24"/>
          <w:highlight w:val="none"/>
        </w:rPr>
        <w:t>、图纸</w:t>
      </w:r>
    </w:p>
    <w:p w14:paraId="3EB07735">
      <w:pPr>
        <w:snapToGrid w:val="0"/>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 xml:space="preserve">4.1 </w:t>
      </w:r>
      <w:r>
        <w:rPr>
          <w:rFonts w:hint="eastAsia" w:ascii="宋体" w:hAnsi="宋体" w:cs="宋体"/>
          <w:color w:val="auto"/>
          <w:sz w:val="24"/>
          <w:highlight w:val="none"/>
        </w:rPr>
        <w:t>发包人向承包人提供图纸日期和套数：</w:t>
      </w:r>
      <w:r>
        <w:rPr>
          <w:rFonts w:hint="eastAsia" w:ascii="宋体" w:hAnsi="宋体" w:cs="宋体"/>
          <w:color w:val="auto"/>
          <w:sz w:val="24"/>
          <w:highlight w:val="none"/>
          <w:u w:val="single"/>
        </w:rPr>
        <w:t>开工前提供肆套图纸。</w:t>
      </w:r>
    </w:p>
    <w:p w14:paraId="7846A696">
      <w:pPr>
        <w:snapToGrid w:val="0"/>
        <w:spacing w:line="440" w:lineRule="exact"/>
        <w:ind w:left="997" w:leftChars="132" w:hanging="720" w:hangingChars="300"/>
        <w:rPr>
          <w:rFonts w:ascii="宋体" w:hAnsi="宋体" w:cs="宋体"/>
          <w:color w:val="auto"/>
          <w:sz w:val="24"/>
          <w:highlight w:val="none"/>
          <w:u w:val="single"/>
        </w:rPr>
      </w:pPr>
      <w:r>
        <w:rPr>
          <w:rFonts w:hint="eastAsia" w:ascii="宋体" w:hAnsi="宋体" w:cs="宋体"/>
          <w:color w:val="auto"/>
          <w:sz w:val="24"/>
          <w:highlight w:val="none"/>
        </w:rPr>
        <w:t>发包人对图纸的保密要求：</w:t>
      </w:r>
      <w:r>
        <w:rPr>
          <w:rFonts w:hint="eastAsia" w:ascii="宋体" w:hAnsi="宋体" w:cs="宋体"/>
          <w:color w:val="auto"/>
          <w:sz w:val="24"/>
          <w:highlight w:val="none"/>
          <w:u w:val="single"/>
        </w:rPr>
        <w:t>按本合同通用条款</w:t>
      </w:r>
      <w:r>
        <w:rPr>
          <w:rFonts w:hint="eastAsia" w:ascii="宋体" w:hAnsi="宋体" w:cs="宋体"/>
          <w:color w:val="auto"/>
          <w:sz w:val="24"/>
          <w:highlight w:val="none"/>
        </w:rPr>
        <w:t>。</w:t>
      </w:r>
    </w:p>
    <w:p w14:paraId="2B3EE6B5">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使用国外图纸的要求及费用承担：</w:t>
      </w:r>
      <w:r>
        <w:rPr>
          <w:rFonts w:ascii="宋体" w:hAnsi="宋体" w:cs="宋体"/>
          <w:color w:val="auto"/>
          <w:sz w:val="24"/>
          <w:highlight w:val="none"/>
          <w:u w:val="single"/>
        </w:rPr>
        <w:t xml:space="preserve">    /    </w:t>
      </w:r>
    </w:p>
    <w:p w14:paraId="1CC334AF">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二、双方一般权利和义务</w:t>
      </w:r>
    </w:p>
    <w:p w14:paraId="60810E9E">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5</w:t>
      </w:r>
      <w:r>
        <w:rPr>
          <w:rFonts w:hint="eastAsia" w:ascii="宋体" w:hAnsi="宋体" w:cs="宋体"/>
          <w:b/>
          <w:color w:val="auto"/>
          <w:sz w:val="24"/>
          <w:highlight w:val="none"/>
        </w:rPr>
        <w:t>、工程师</w:t>
      </w:r>
    </w:p>
    <w:p w14:paraId="7ABEAE70">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5.2 </w:t>
      </w:r>
      <w:r>
        <w:rPr>
          <w:rFonts w:hint="eastAsia" w:ascii="宋体" w:hAnsi="宋体" w:cs="宋体"/>
          <w:color w:val="auto"/>
          <w:sz w:val="24"/>
          <w:highlight w:val="none"/>
        </w:rPr>
        <w:t>监理单位委派的工程师</w:t>
      </w:r>
    </w:p>
    <w:p w14:paraId="75C8F86E">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姓名：</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职务：</w:t>
      </w:r>
      <w:r>
        <w:rPr>
          <w:rFonts w:ascii="宋体" w:hAnsi="宋体" w:cs="宋体"/>
          <w:color w:val="auto"/>
          <w:sz w:val="24"/>
          <w:highlight w:val="none"/>
          <w:u w:val="single"/>
        </w:rPr>
        <w:t xml:space="preserve"> 总监理工程师</w:t>
      </w:r>
      <w:r>
        <w:rPr>
          <w:rFonts w:hint="eastAsia" w:ascii="宋体" w:hAnsi="宋体" w:cs="宋体"/>
          <w:color w:val="auto"/>
          <w:sz w:val="24"/>
          <w:highlight w:val="none"/>
        </w:rPr>
        <w:t>。</w:t>
      </w:r>
    </w:p>
    <w:p w14:paraId="5F6C377D">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发包人委托的职权：</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对本工程进行全过程的监理</w:t>
      </w:r>
      <w:r>
        <w:rPr>
          <w:rFonts w:hint="eastAsia" w:ascii="宋体" w:hAnsi="宋体" w:cs="宋体"/>
          <w:color w:val="auto"/>
          <w:sz w:val="24"/>
          <w:highlight w:val="none"/>
        </w:rPr>
        <w:t>。</w:t>
      </w:r>
    </w:p>
    <w:p w14:paraId="16FEF44E">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需要取得发包人批准才能行使的职权：</w:t>
      </w:r>
      <w:r>
        <w:rPr>
          <w:rFonts w:hint="eastAsia" w:ascii="宋体" w:hAnsi="宋体" w:cs="宋体"/>
          <w:color w:val="auto"/>
          <w:sz w:val="24"/>
          <w:highlight w:val="none"/>
          <w:u w:val="single"/>
        </w:rPr>
        <w:t>按发包人与监理单位签订的监理合同有关规定执行，涉及变更签证或费用调整、发布开工、停工、复工令等均需经发包人书面认可</w:t>
      </w:r>
      <w:r>
        <w:rPr>
          <w:rFonts w:hint="eastAsia" w:ascii="宋体" w:hAnsi="宋体" w:cs="宋体"/>
          <w:color w:val="auto"/>
          <w:sz w:val="24"/>
          <w:highlight w:val="none"/>
        </w:rPr>
        <w:t>。</w:t>
      </w:r>
    </w:p>
    <w:p w14:paraId="134F2D69">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义务：</w:t>
      </w:r>
      <w:r>
        <w:rPr>
          <w:rFonts w:hint="eastAsia" w:ascii="宋体" w:hAnsi="宋体" w:cs="宋体"/>
          <w:color w:val="auto"/>
          <w:sz w:val="24"/>
          <w:highlight w:val="none"/>
          <w:u w:val="single"/>
        </w:rPr>
        <w:t>常驻现场，代表监理单位履行与发包人签订的监理合同</w:t>
      </w:r>
      <w:r>
        <w:rPr>
          <w:rFonts w:hint="eastAsia" w:ascii="宋体" w:hAnsi="宋体" w:cs="宋体"/>
          <w:color w:val="auto"/>
          <w:sz w:val="24"/>
          <w:highlight w:val="none"/>
        </w:rPr>
        <w:t>。</w:t>
      </w:r>
    </w:p>
    <w:p w14:paraId="03135176">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5.3 </w:t>
      </w:r>
      <w:r>
        <w:rPr>
          <w:rFonts w:hint="eastAsia" w:ascii="宋体" w:hAnsi="宋体" w:cs="宋体"/>
          <w:color w:val="auto"/>
          <w:sz w:val="24"/>
          <w:highlight w:val="none"/>
        </w:rPr>
        <w:t>发包人派驻的工程师</w:t>
      </w:r>
    </w:p>
    <w:p w14:paraId="6DD33B2E">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姓名：</w:t>
      </w:r>
      <w:r>
        <w:rPr>
          <w:rFonts w:ascii="宋体" w:hAnsi="宋体" w:cs="宋体"/>
          <w:color w:val="auto"/>
          <w:sz w:val="24"/>
          <w:highlight w:val="none"/>
          <w:u w:val="single"/>
        </w:rPr>
        <w:t xml:space="preserve">    </w:t>
      </w:r>
      <w:r>
        <w:rPr>
          <w:rFonts w:ascii="宋体" w:hAnsi="宋体" w:cs="宋体"/>
          <w:color w:val="auto"/>
          <w:sz w:val="24"/>
          <w:highlight w:val="none"/>
        </w:rPr>
        <w:t xml:space="preserve"> 职务：</w:t>
      </w:r>
      <w:r>
        <w:rPr>
          <w:rFonts w:hint="eastAsia" w:ascii="宋体" w:hAnsi="宋体" w:cs="宋体"/>
          <w:color w:val="auto"/>
          <w:sz w:val="24"/>
          <w:highlight w:val="none"/>
          <w:u w:val="single"/>
        </w:rPr>
        <w:t>工</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师</w:t>
      </w:r>
      <w:r>
        <w:rPr>
          <w:rFonts w:hint="eastAsia" w:ascii="宋体" w:hAnsi="宋体" w:cs="宋体"/>
          <w:color w:val="auto"/>
          <w:sz w:val="24"/>
          <w:highlight w:val="none"/>
        </w:rPr>
        <w:t>。</w:t>
      </w:r>
    </w:p>
    <w:p w14:paraId="148FB827">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职权：</w:t>
      </w:r>
      <w:r>
        <w:rPr>
          <w:rFonts w:hint="eastAsia" w:ascii="宋体" w:hAnsi="宋体" w:cs="宋体"/>
          <w:color w:val="auto"/>
          <w:sz w:val="24"/>
          <w:highlight w:val="none"/>
          <w:u w:val="single"/>
        </w:rPr>
        <w:t>发包人代表，行使发包人的权利。</w:t>
      </w:r>
    </w:p>
    <w:p w14:paraId="259637D7">
      <w:pPr>
        <w:snapToGrid w:val="0"/>
        <w:spacing w:line="440" w:lineRule="exact"/>
        <w:ind w:firstLine="397"/>
        <w:rPr>
          <w:rFonts w:ascii="宋体" w:hAnsi="宋体" w:cs="宋体"/>
          <w:color w:val="auto"/>
          <w:spacing w:val="-8"/>
          <w:sz w:val="24"/>
          <w:highlight w:val="none"/>
          <w:u w:val="single"/>
        </w:rPr>
      </w:pPr>
      <w:r>
        <w:rPr>
          <w:rFonts w:hint="eastAsia" w:ascii="宋体" w:hAnsi="宋体" w:cs="宋体"/>
          <w:color w:val="auto"/>
          <w:spacing w:val="-8"/>
          <w:sz w:val="24"/>
          <w:highlight w:val="none"/>
        </w:rPr>
        <w:t>义务：</w:t>
      </w:r>
      <w:r>
        <w:rPr>
          <w:rFonts w:hint="eastAsia" w:ascii="宋体" w:hAnsi="宋体" w:cs="宋体"/>
          <w:color w:val="auto"/>
          <w:spacing w:val="-8"/>
          <w:sz w:val="24"/>
          <w:highlight w:val="none"/>
          <w:u w:val="single"/>
        </w:rPr>
        <w:t>常驻现场，代表发包人负责工程质量、进度、技术、投资控制等施工期间的日常管理工作，履行与承包人签订的本建设工程施工合同</w:t>
      </w:r>
      <w:r>
        <w:rPr>
          <w:rFonts w:hint="eastAsia" w:ascii="宋体" w:hAnsi="宋体" w:cs="宋体"/>
          <w:color w:val="auto"/>
          <w:spacing w:val="-8"/>
          <w:sz w:val="24"/>
          <w:highlight w:val="none"/>
        </w:rPr>
        <w:t>。</w:t>
      </w:r>
    </w:p>
    <w:p w14:paraId="3DFB16B7">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5.6 </w:t>
      </w:r>
      <w:r>
        <w:rPr>
          <w:rFonts w:hint="eastAsia" w:ascii="宋体" w:hAnsi="宋体" w:cs="宋体"/>
          <w:color w:val="auto"/>
          <w:sz w:val="24"/>
          <w:highlight w:val="none"/>
        </w:rPr>
        <w:t>不实行监理的，工程师的职权：</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162D54EC">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7</w:t>
      </w:r>
      <w:r>
        <w:rPr>
          <w:rFonts w:hint="eastAsia" w:ascii="宋体" w:hAnsi="宋体" w:cs="宋体"/>
          <w:b/>
          <w:color w:val="auto"/>
          <w:sz w:val="24"/>
          <w:highlight w:val="none"/>
        </w:rPr>
        <w:t>、项目负责人</w:t>
      </w:r>
    </w:p>
    <w:p w14:paraId="7F9F0111">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7.1（1）项目负责人</w:t>
      </w:r>
    </w:p>
    <w:p w14:paraId="2F33CC2B">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姓名：</w:t>
      </w:r>
      <w:r>
        <w:rPr>
          <w:rFonts w:ascii="宋体" w:hAnsi="宋体" w:cs="宋体"/>
          <w:color w:val="auto"/>
          <w:sz w:val="24"/>
          <w:highlight w:val="none"/>
          <w:u w:val="single"/>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职权：</w:t>
      </w:r>
      <w:r>
        <w:rPr>
          <w:rFonts w:hint="eastAsia" w:ascii="宋体" w:hAnsi="宋体" w:cs="宋体"/>
          <w:color w:val="auto"/>
          <w:sz w:val="24"/>
          <w:highlight w:val="none"/>
          <w:u w:val="single"/>
        </w:rPr>
        <w:t>代表承包人全权处理本工程的一切事务</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7F1F7BA3">
      <w:pPr>
        <w:snapToGrid w:val="0"/>
        <w:spacing w:line="440" w:lineRule="exact"/>
        <w:ind w:firstLine="397"/>
        <w:rPr>
          <w:rFonts w:ascii="宋体" w:hAnsi="宋体" w:eastAsia="宋体" w:cs="宋体"/>
          <w:color w:val="auto"/>
          <w:sz w:val="24"/>
          <w:highlight w:val="none"/>
          <w:u w:val="single"/>
        </w:rPr>
      </w:pPr>
      <w:r>
        <w:rPr>
          <w:rFonts w:hint="eastAsia" w:ascii="宋体" w:hAnsi="宋体" w:cs="宋体"/>
          <w:color w:val="auto"/>
          <w:sz w:val="24"/>
          <w:highlight w:val="none"/>
        </w:rPr>
        <w:t>义务：</w:t>
      </w:r>
      <w:r>
        <w:rPr>
          <w:rFonts w:hint="eastAsia" w:ascii="宋体" w:hAnsi="宋体" w:cs="宋体"/>
          <w:color w:val="auto"/>
          <w:sz w:val="24"/>
          <w:highlight w:val="none"/>
          <w:u w:val="single"/>
        </w:rPr>
        <w:t>按照在投标文件中签署的（或在签订本合同前补充签署的）《项目负责人驻场承诺书》中的承诺常驻现场，代表承包人履行与发包人签订的本建设工程施工合同</w:t>
      </w:r>
      <w:r>
        <w:rPr>
          <w:rFonts w:hint="eastAsia" w:ascii="宋体" w:hAnsi="宋体" w:cs="宋体"/>
          <w:color w:val="auto"/>
          <w:sz w:val="24"/>
          <w:highlight w:val="none"/>
        </w:rPr>
        <w:t>。</w:t>
      </w:r>
      <w:r>
        <w:rPr>
          <w:rFonts w:hint="eastAsia" w:ascii="宋体" w:hAnsi="宋体" w:eastAsia="宋体" w:cs="宋体"/>
          <w:color w:val="auto"/>
          <w:sz w:val="24"/>
          <w:highlight w:val="none"/>
          <w:u w:val="single"/>
        </w:rPr>
        <w:t>本工程的项目负责人管理执行《广州市住房和城乡建设局关于加强建筑工程项目负责人管理的通知》（穗建规字〔2025〕9 号）的相关规定，如有新规，按最新规定执行。</w:t>
      </w:r>
    </w:p>
    <w:p w14:paraId="3A79A0BB">
      <w:pPr>
        <w:snapToGrid w:val="0"/>
        <w:spacing w:line="440" w:lineRule="exact"/>
        <w:ind w:firstLine="480" w:firstLineChars="200"/>
        <w:rPr>
          <w:rFonts w:ascii="宋体" w:hAnsi="宋体" w:cs="宋体"/>
          <w:color w:val="auto"/>
          <w:sz w:val="24"/>
          <w:highlight w:val="none"/>
        </w:rPr>
      </w:pPr>
    </w:p>
    <w:p w14:paraId="791667D3">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u w:val="single"/>
        </w:rPr>
        <w:t>承包人如需更换项目负责人或技术负责人，按有关规定执行，后任继续行使合同文件约定的前任的职权，履行前任的义务。未征得发包人书面同意，承包人不得更换项目负责人</w:t>
      </w:r>
      <w:r>
        <w:rPr>
          <w:rFonts w:hint="eastAsia" w:ascii="宋体" w:hAnsi="宋体" w:cs="宋体"/>
          <w:color w:val="auto"/>
          <w:sz w:val="24"/>
          <w:highlight w:val="none"/>
        </w:rPr>
        <w:t>。</w:t>
      </w:r>
    </w:p>
    <w:p w14:paraId="31899FF1">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7.5</w:t>
      </w:r>
      <w:r>
        <w:rPr>
          <w:rFonts w:hint="eastAsia" w:ascii="宋体" w:hAnsi="宋体" w:cs="宋体"/>
          <w:color w:val="auto"/>
          <w:sz w:val="24"/>
          <w:highlight w:val="none"/>
          <w:u w:val="single"/>
        </w:rPr>
        <w:t>发包人可以与承包人协商，建议更换其认为不称职的项目负责人，承包人应及时采纳发包人的建议予以更换，新更换的项目负责人应满足招标文件及本项目相应的资质要求并能胜任本项目的项目负责人工作</w:t>
      </w:r>
      <w:r>
        <w:rPr>
          <w:rFonts w:hint="eastAsia" w:ascii="宋体" w:hAnsi="宋体" w:cs="宋体"/>
          <w:color w:val="auto"/>
          <w:sz w:val="24"/>
          <w:highlight w:val="none"/>
        </w:rPr>
        <w:t>。</w:t>
      </w:r>
    </w:p>
    <w:p w14:paraId="03094A23">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7.6</w:t>
      </w:r>
      <w:r>
        <w:rPr>
          <w:rFonts w:hint="eastAsia" w:ascii="宋体" w:hAnsi="宋体" w:cs="宋体"/>
          <w:color w:val="auto"/>
          <w:sz w:val="24"/>
          <w:highlight w:val="none"/>
          <w:u w:val="single"/>
        </w:rPr>
        <w:t>承包人项目负责人不得兼任其他工程项目负责人，否则发包人可按单方面终止合同处理。</w:t>
      </w:r>
    </w:p>
    <w:p w14:paraId="1A5C9505">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7.7</w:t>
      </w:r>
      <w:r>
        <w:rPr>
          <w:rFonts w:hint="eastAsia" w:ascii="宋体" w:hAnsi="宋体" w:cs="宋体"/>
          <w:color w:val="auto"/>
          <w:sz w:val="24"/>
          <w:highlight w:val="none"/>
          <w:u w:val="single"/>
        </w:rPr>
        <w:t>现场管理机构</w:t>
      </w:r>
    </w:p>
    <w:p w14:paraId="201C869E">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1）承包人必须按照投标文件的承诺建立现场管理机构，严格执行现行建设工程项目管理规范，并积极主动接受建设行政主管部门的监督和检查。</w:t>
      </w:r>
    </w:p>
    <w:p w14:paraId="514CDF1E">
      <w:pPr>
        <w:snapToGrid w:val="0"/>
        <w:spacing w:line="440" w:lineRule="exact"/>
        <w:ind w:firstLine="538"/>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2）现场管理机构各部主要组织管理人员在开工前必须全部到位，并接受总监理工程师和发包人代表的查验。承包人委派的现场管理机构各部主要组织管理人员不得有兼职情况存在，并需接受监理单位的监督。</w:t>
      </w:r>
    </w:p>
    <w:p w14:paraId="544E4498">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7.8</w:t>
      </w:r>
      <w:r>
        <w:rPr>
          <w:rFonts w:hint="eastAsia" w:ascii="宋体" w:hAnsi="宋体" w:cs="宋体"/>
          <w:color w:val="auto"/>
          <w:sz w:val="24"/>
          <w:highlight w:val="none"/>
          <w:u w:val="single"/>
        </w:rPr>
        <w:t>现场管理机构各部主要组织管理人员应与投标文件保持一致，发包人不要求更换时不得更换。因特殊情况需要更换的，承包人应以书面形式向监理单位提出意向（附前任和后任人员的详细履历资料），经总监理工程师签署意见后向发包人提出申请，征得发包人同意后方可更换。承包人必须保证后任人员的资质、资历、业绩、实际工作能力不低于前任人员的素质。</w:t>
      </w:r>
    </w:p>
    <w:p w14:paraId="5FFF1F91">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7.9</w:t>
      </w:r>
      <w:r>
        <w:rPr>
          <w:rFonts w:hint="eastAsia" w:ascii="宋体" w:hAnsi="宋体" w:cs="宋体"/>
          <w:color w:val="auto"/>
          <w:sz w:val="24"/>
          <w:highlight w:val="none"/>
          <w:u w:val="singl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36C7E6B0">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7.10</w:t>
      </w:r>
      <w:r>
        <w:rPr>
          <w:rFonts w:hint="eastAsia" w:ascii="宋体" w:hAnsi="宋体" w:cs="宋体"/>
          <w:color w:val="auto"/>
          <w:sz w:val="24"/>
          <w:highlight w:val="none"/>
          <w:u w:val="singl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77DB3066">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8</w:t>
      </w:r>
      <w:r>
        <w:rPr>
          <w:rFonts w:hint="eastAsia" w:ascii="宋体" w:hAnsi="宋体" w:cs="宋体"/>
          <w:b/>
          <w:color w:val="auto"/>
          <w:sz w:val="24"/>
          <w:highlight w:val="none"/>
        </w:rPr>
        <w:t>、发包人工作</w:t>
      </w:r>
    </w:p>
    <w:p w14:paraId="5C70DEA2">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8.1 </w:t>
      </w:r>
      <w:r>
        <w:rPr>
          <w:rFonts w:hint="eastAsia" w:ascii="宋体" w:hAnsi="宋体" w:cs="宋体"/>
          <w:color w:val="auto"/>
          <w:sz w:val="24"/>
          <w:highlight w:val="none"/>
        </w:rPr>
        <w:t>发包人应按约定的时间和要求完成以下工作：</w:t>
      </w:r>
    </w:p>
    <w:p w14:paraId="115D86AF">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）施工场地具备施工条件的要求及完成的时间：</w:t>
      </w:r>
      <w:r>
        <w:rPr>
          <w:rFonts w:hint="eastAsia" w:ascii="宋体" w:hAnsi="宋体" w:cs="宋体"/>
          <w:color w:val="auto"/>
          <w:sz w:val="24"/>
          <w:highlight w:val="none"/>
          <w:u w:val="single"/>
        </w:rPr>
        <w:t>土地征收、国有土地上房屋征收、集体土地上房屋拆迁补偿工作完成时间原则上在开工前；因征收和拆迁补偿进度原因不能按时移交场地的，可采取分段逐步方式移交施工场地</w:t>
      </w:r>
      <w:r>
        <w:rPr>
          <w:rFonts w:hint="eastAsia" w:ascii="宋体" w:hAnsi="宋体" w:cs="宋体"/>
          <w:color w:val="auto"/>
          <w:sz w:val="24"/>
          <w:highlight w:val="none"/>
        </w:rPr>
        <w:t>。</w:t>
      </w:r>
      <w:r>
        <w:rPr>
          <w:rFonts w:ascii="宋体" w:hAnsi="宋体" w:cs="宋体"/>
          <w:color w:val="auto"/>
          <w:sz w:val="24"/>
          <w:highlight w:val="none"/>
        </w:rPr>
        <w:t xml:space="preserve"> </w:t>
      </w:r>
    </w:p>
    <w:p w14:paraId="465A1A05">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）将施工所需的水、电、电讯线路接至施工场地的时间、地点和供应要求：</w:t>
      </w:r>
      <w:r>
        <w:rPr>
          <w:rFonts w:hint="eastAsia" w:ascii="宋体" w:hAnsi="宋体" w:cs="宋体"/>
          <w:color w:val="auto"/>
          <w:sz w:val="24"/>
          <w:highlight w:val="none"/>
          <w:u w:val="single"/>
        </w:rPr>
        <w:t>由承包人自行解决，费用已包在本工程中标总造价中</w:t>
      </w:r>
      <w:r>
        <w:rPr>
          <w:rFonts w:hint="eastAsia" w:ascii="宋体" w:hAnsi="宋体" w:cs="宋体"/>
          <w:color w:val="auto"/>
          <w:sz w:val="24"/>
          <w:highlight w:val="none"/>
        </w:rPr>
        <w:t>。</w:t>
      </w:r>
    </w:p>
    <w:p w14:paraId="68F3EF79">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）施工场地与公共道路的通道开通时间和要求：</w:t>
      </w:r>
      <w:r>
        <w:rPr>
          <w:rFonts w:hint="eastAsia" w:ascii="宋体" w:hAnsi="宋体" w:cs="宋体"/>
          <w:color w:val="auto"/>
          <w:sz w:val="24"/>
          <w:highlight w:val="none"/>
          <w:u w:val="single"/>
        </w:rPr>
        <w:t>通道按现状，不论满足施工要求与否，该通道及施工便道均由承包人自行解决，费用已包在本工程中标总造价中。</w:t>
      </w:r>
    </w:p>
    <w:p w14:paraId="2384CF6C">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）工程地质和地下管线资料的提供时间：</w:t>
      </w:r>
      <w:r>
        <w:rPr>
          <w:rFonts w:hint="eastAsia" w:ascii="宋体" w:hAnsi="宋体" w:cs="宋体"/>
          <w:color w:val="auto"/>
          <w:sz w:val="24"/>
          <w:highlight w:val="none"/>
          <w:u w:val="single"/>
        </w:rPr>
        <w:t>根据施工计划提前提供</w:t>
      </w:r>
      <w:r>
        <w:rPr>
          <w:rFonts w:hint="eastAsia" w:ascii="宋体" w:hAnsi="宋体" w:cs="宋体"/>
          <w:color w:val="auto"/>
          <w:sz w:val="24"/>
          <w:highlight w:val="none"/>
        </w:rPr>
        <w:t>。</w:t>
      </w:r>
    </w:p>
    <w:p w14:paraId="50D1F2AF">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）由发包人办理的施工所需证件、批件的名称和完成时间：</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361C2721">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）水准点与坐标控制点交验要求：</w:t>
      </w:r>
      <w:r>
        <w:rPr>
          <w:rFonts w:ascii="宋体" w:hAnsi="宋体" w:cs="宋体"/>
          <w:color w:val="auto"/>
          <w:sz w:val="24"/>
          <w:highlight w:val="none"/>
        </w:rPr>
        <w:t xml:space="preserve"> </w:t>
      </w:r>
      <w:r>
        <w:rPr>
          <w:rFonts w:hint="eastAsia" w:ascii="宋体" w:hAnsi="宋体" w:cs="宋体"/>
          <w:color w:val="auto"/>
          <w:sz w:val="24"/>
          <w:highlight w:val="none"/>
          <w:u w:val="single"/>
        </w:rPr>
        <w:t>开工前交验</w:t>
      </w:r>
      <w:r>
        <w:rPr>
          <w:rFonts w:hint="eastAsia" w:ascii="宋体" w:hAnsi="宋体" w:cs="宋体"/>
          <w:color w:val="auto"/>
          <w:sz w:val="24"/>
          <w:highlight w:val="none"/>
        </w:rPr>
        <w:t>。</w:t>
      </w:r>
    </w:p>
    <w:p w14:paraId="12732739">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）图纸会审和设计交底时间：</w:t>
      </w:r>
      <w:r>
        <w:rPr>
          <w:rFonts w:hint="eastAsia" w:ascii="宋体" w:hAnsi="宋体" w:cs="宋体"/>
          <w:color w:val="auto"/>
          <w:sz w:val="24"/>
          <w:highlight w:val="none"/>
          <w:u w:val="single"/>
        </w:rPr>
        <w:t>工程施工前</w:t>
      </w:r>
      <w:r>
        <w:rPr>
          <w:rFonts w:hint="eastAsia" w:ascii="宋体" w:hAnsi="宋体" w:cs="宋体"/>
          <w:color w:val="auto"/>
          <w:sz w:val="24"/>
          <w:highlight w:val="none"/>
        </w:rPr>
        <w:t>。</w:t>
      </w:r>
    </w:p>
    <w:p w14:paraId="20A8C86D">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8</w:t>
      </w:r>
      <w:r>
        <w:rPr>
          <w:rFonts w:hint="eastAsia" w:ascii="宋体" w:hAnsi="宋体" w:cs="宋体"/>
          <w:color w:val="auto"/>
          <w:sz w:val="24"/>
          <w:highlight w:val="none"/>
        </w:rPr>
        <w:t>）协调处理施工场地周围地下管线和邻近建筑物、构筑物（含文物保护建筑）、古树名木的保护工作：</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268F7C0C">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9</w:t>
      </w:r>
      <w:r>
        <w:rPr>
          <w:rFonts w:hint="eastAsia" w:ascii="宋体" w:hAnsi="宋体" w:cs="宋体"/>
          <w:color w:val="auto"/>
          <w:sz w:val="24"/>
          <w:highlight w:val="none"/>
        </w:rPr>
        <w:t>）双方约定发包人应做的其他工作：</w:t>
      </w:r>
      <w:r>
        <w:rPr>
          <w:rFonts w:hint="eastAsia" w:ascii="宋体" w:hAnsi="宋体" w:cs="宋体"/>
          <w:color w:val="auto"/>
          <w:sz w:val="24"/>
          <w:highlight w:val="none"/>
          <w:u w:val="single"/>
        </w:rPr>
        <w:t>发包人按现有场地移交给承包人，承包人应无条件接受。</w:t>
      </w:r>
    </w:p>
    <w:p w14:paraId="57733CAD">
      <w:pPr>
        <w:spacing w:line="440" w:lineRule="exact"/>
        <w:rPr>
          <w:rFonts w:ascii="宋体" w:hAnsi="宋体" w:cs="宋体"/>
          <w:color w:val="auto"/>
          <w:sz w:val="24"/>
          <w:highlight w:val="none"/>
          <w:u w:val="single"/>
        </w:rPr>
      </w:pPr>
      <w:r>
        <w:rPr>
          <w:rFonts w:ascii="宋体" w:hAnsi="宋体" w:cs="宋体"/>
          <w:color w:val="auto"/>
          <w:sz w:val="24"/>
          <w:highlight w:val="none"/>
        </w:rPr>
        <w:t xml:space="preserve">   8.2</w:t>
      </w:r>
      <w:r>
        <w:rPr>
          <w:rFonts w:hint="eastAsia" w:ascii="宋体" w:hAnsi="宋体" w:cs="宋体"/>
          <w:color w:val="auto"/>
          <w:sz w:val="24"/>
          <w:highlight w:val="none"/>
        </w:rPr>
        <w:t>发包人委托承包人办理的工作：</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工程质监登记、合同鉴证、施工许可证、购买印花税等一切施工所需的审批、申领手续以及规划验收、消防验收、环保验收、防雷报建及验收、永久用水接驳及验收等工作。费用按政策规定各自承担相应部分。</w:t>
      </w:r>
    </w:p>
    <w:p w14:paraId="72B794F2">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9</w:t>
      </w:r>
      <w:r>
        <w:rPr>
          <w:rFonts w:hint="eastAsia" w:ascii="宋体" w:hAnsi="宋体" w:cs="宋体"/>
          <w:b/>
          <w:color w:val="auto"/>
          <w:sz w:val="24"/>
          <w:highlight w:val="none"/>
        </w:rPr>
        <w:t>、承包人工作</w:t>
      </w:r>
    </w:p>
    <w:p w14:paraId="1A854AD9">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9.1 </w:t>
      </w:r>
      <w:r>
        <w:rPr>
          <w:rFonts w:hint="eastAsia" w:ascii="宋体" w:hAnsi="宋体" w:cs="宋体"/>
          <w:color w:val="auto"/>
          <w:sz w:val="24"/>
          <w:highlight w:val="none"/>
        </w:rPr>
        <w:t>承包人应按约定时间和要求，完成以下工作：</w:t>
      </w:r>
    </w:p>
    <w:p w14:paraId="3CDDB0A8">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）需由设计资质等级和业务范围允许的承包人完成的设计文件提交时间：</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4D2277F7">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）应提供计划、报表的名称及完成时间：</w:t>
      </w:r>
      <w:r>
        <w:rPr>
          <w:rFonts w:hint="eastAsia" w:ascii="宋体" w:hAnsi="宋体" w:cs="宋体"/>
          <w:color w:val="auto"/>
          <w:sz w:val="24"/>
          <w:highlight w:val="none"/>
          <w:u w:val="single"/>
        </w:rPr>
        <w:t>施工组织设计、管理人员架构表，于开工前三天报。提交工程年、季、月度计划及进度统计报表。</w:t>
      </w:r>
    </w:p>
    <w:p w14:paraId="485C7EA3">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3）承担施工安全保卫工作及非夜间施工照明的责任和要求：</w:t>
      </w:r>
      <w:r>
        <w:rPr>
          <w:rFonts w:hint="eastAsia" w:ascii="宋体" w:hAnsi="宋体" w:cs="宋体"/>
          <w:color w:val="auto"/>
          <w:sz w:val="24"/>
          <w:highlight w:val="none"/>
          <w:u w:val="single"/>
        </w:rPr>
        <w:t>按招标文件要求及国家、省、市、区相关规定执行，并满足本工程需要</w:t>
      </w:r>
      <w:r>
        <w:rPr>
          <w:rFonts w:hint="eastAsia" w:ascii="宋体" w:hAnsi="宋体" w:cs="宋体"/>
          <w:color w:val="auto"/>
          <w:sz w:val="24"/>
          <w:highlight w:val="none"/>
        </w:rPr>
        <w:t>。</w:t>
      </w:r>
      <w:r>
        <w:rPr>
          <w:rFonts w:hint="eastAsia" w:ascii="宋体" w:hAnsi="宋体" w:cs="宋体"/>
          <w:color w:val="auto"/>
          <w:sz w:val="24"/>
          <w:highlight w:val="none"/>
          <w:u w:val="single"/>
        </w:rPr>
        <w:t>根据工程需要，提供和维护施工使用的照明、围栏设施和警卫，并负责整个现场的安全文明施工、安全保卫。</w:t>
      </w:r>
    </w:p>
    <w:p w14:paraId="7FA812D4">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4）承包人自行解决办公、交通、生活及通讯等设施，费用已包含在</w:t>
      </w:r>
      <w:r>
        <w:rPr>
          <w:rFonts w:hint="eastAsia" w:ascii="宋体" w:hAnsi="宋体" w:cs="宋体"/>
          <w:color w:val="auto"/>
          <w:sz w:val="24"/>
          <w:highlight w:val="none"/>
          <w:u w:val="single"/>
        </w:rPr>
        <w:t>本工程中标总造价中</w:t>
      </w:r>
      <w:r>
        <w:rPr>
          <w:rFonts w:hint="eastAsia" w:ascii="宋体" w:hAnsi="宋体" w:cs="宋体"/>
          <w:color w:val="auto"/>
          <w:sz w:val="24"/>
          <w:highlight w:val="none"/>
        </w:rPr>
        <w:t>；向发包人或监理工程师提供的办公、交通和生活、通讯设施的要求：</w:t>
      </w:r>
      <w:r>
        <w:rPr>
          <w:rFonts w:hint="eastAsia" w:ascii="宋体" w:hAnsi="宋体" w:cs="宋体"/>
          <w:color w:val="auto"/>
          <w:sz w:val="24"/>
          <w:highlight w:val="none"/>
          <w:u w:val="single"/>
        </w:rPr>
        <w:t>向发包人和监理单位总共提供具备办公条件的办公用房</w:t>
      </w:r>
      <w:r>
        <w:rPr>
          <w:rFonts w:ascii="宋体" w:hAnsi="宋体" w:cs="宋体"/>
          <w:color w:val="auto"/>
          <w:sz w:val="24"/>
          <w:highlight w:val="none"/>
          <w:u w:val="single"/>
        </w:rPr>
        <w:t>4间，面积不少于100㎡。（</w:t>
      </w:r>
      <w:r>
        <w:rPr>
          <w:rFonts w:hint="eastAsia" w:ascii="宋体" w:hAnsi="宋体" w:cs="宋体"/>
          <w:color w:val="auto"/>
          <w:sz w:val="24"/>
          <w:highlight w:val="none"/>
          <w:u w:val="single"/>
        </w:rPr>
        <w:t>向发包人或监理提供的设施要求由业务部门确认）</w:t>
      </w:r>
    </w:p>
    <w:p w14:paraId="3B0D54B0">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5）需承包人办理有关施工场地交通、环卫和施工噪音管理等手续：</w:t>
      </w:r>
      <w:r>
        <w:rPr>
          <w:rFonts w:hint="eastAsia" w:ascii="宋体" w:hAnsi="宋体" w:cs="宋体"/>
          <w:color w:val="auto"/>
          <w:sz w:val="24"/>
          <w:highlight w:val="none"/>
          <w:u w:val="single"/>
        </w:rPr>
        <w:t>承包人按本合同通用条款要求执行，并承担相关费用</w:t>
      </w:r>
      <w:r>
        <w:rPr>
          <w:rFonts w:hint="eastAsia" w:ascii="宋体" w:hAnsi="宋体" w:cs="宋体"/>
          <w:color w:val="auto"/>
          <w:sz w:val="24"/>
          <w:highlight w:val="none"/>
        </w:rPr>
        <w:t>。</w:t>
      </w:r>
      <w:r>
        <w:rPr>
          <w:rFonts w:ascii="宋体" w:hAnsi="宋体" w:cs="宋体"/>
          <w:color w:val="auto"/>
          <w:sz w:val="24"/>
          <w:highlight w:val="none"/>
        </w:rPr>
        <w:t xml:space="preserve"> </w:t>
      </w:r>
    </w:p>
    <w:p w14:paraId="67AEDE71">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）已完工程成品保护的特殊要求及费用承担：</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按本合同通用条款执行</w:t>
      </w:r>
      <w:r>
        <w:rPr>
          <w:rFonts w:hint="eastAsia" w:ascii="宋体" w:hAnsi="宋体" w:cs="宋体"/>
          <w:color w:val="auto"/>
          <w:sz w:val="24"/>
          <w:highlight w:val="none"/>
        </w:rPr>
        <w:t>。</w:t>
      </w:r>
    </w:p>
    <w:p w14:paraId="0625CFC7">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）施工场地周围地下管线和邻近建筑物、构筑物（含文物保护建筑）、古树名木的保护要求及费用承担：</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除文物保护外的保护费用全部由承包人承担</w:t>
      </w:r>
      <w:r>
        <w:rPr>
          <w:rFonts w:hint="eastAsia" w:ascii="宋体" w:hAnsi="宋体" w:cs="宋体"/>
          <w:color w:val="auto"/>
          <w:sz w:val="24"/>
          <w:highlight w:val="none"/>
        </w:rPr>
        <w:t>。</w:t>
      </w:r>
    </w:p>
    <w:p w14:paraId="50B93015">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8）施工场地清洁卫生的要求：</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满足</w:t>
      </w:r>
      <w:r>
        <w:rPr>
          <w:rFonts w:hint="eastAsia" w:ascii="宋体" w:hAnsi="宋体" w:cs="宋体"/>
          <w:color w:val="auto"/>
          <w:spacing w:val="-10"/>
          <w:sz w:val="24"/>
          <w:highlight w:val="none"/>
          <w:u w:val="single"/>
        </w:rPr>
        <w:t>文明施工要求</w:t>
      </w:r>
      <w:r>
        <w:rPr>
          <w:rFonts w:hint="eastAsia" w:ascii="宋体" w:hAnsi="宋体" w:cs="宋体"/>
          <w:color w:val="auto"/>
          <w:spacing w:val="-10"/>
          <w:sz w:val="24"/>
          <w:highlight w:val="none"/>
        </w:rPr>
        <w:t>。</w:t>
      </w:r>
      <w:r>
        <w:rPr>
          <w:rFonts w:hint="eastAsia" w:ascii="宋体" w:hAnsi="宋体" w:cs="宋体"/>
          <w:color w:val="auto"/>
          <w:sz w:val="24"/>
          <w:highlight w:val="none"/>
          <w:u w:val="single"/>
        </w:rPr>
        <w:t>保证施工场地清洁符合环境卫生管理的有关规定，交工前清理现场达到合同约定的要求（包括建筑物周围余土、垃圾、生产和生活临时设施拆除），并将门窗、玻璃、地面擦扫干净，厕所厨房的排水和给水管道清理干净、畅通，做到工完场清。承担因自身原因违反有关规定造成的损失和罚款。</w:t>
      </w:r>
    </w:p>
    <w:p w14:paraId="28562DF4">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9）双方约定承包人应做的其他工作：</w:t>
      </w:r>
    </w:p>
    <w:p w14:paraId="18DAB16F">
      <w:pPr>
        <w:snapToGrid w:val="0"/>
        <w:spacing w:line="440" w:lineRule="exact"/>
        <w:ind w:firstLine="360" w:firstLineChars="150"/>
        <w:rPr>
          <w:rFonts w:ascii="宋体" w:hAnsi="宋体" w:cs="宋体"/>
          <w:color w:val="auto"/>
          <w:sz w:val="24"/>
          <w:highlight w:val="none"/>
        </w:rPr>
      </w:pPr>
      <w:r>
        <w:rPr>
          <w:rFonts w:ascii="宋体" w:hAnsi="宋体" w:cs="宋体"/>
          <w:color w:val="auto"/>
          <w:sz w:val="24"/>
          <w:highlight w:val="none"/>
        </w:rPr>
        <w:t xml:space="preserve"> </w:t>
      </w:r>
      <w:r>
        <w:rPr>
          <w:rFonts w:hint="eastAsia" w:ascii="宋体" w:hAnsi="宋体" w:cs="宋体"/>
          <w:color w:val="auto"/>
          <w:sz w:val="24"/>
          <w:highlight w:val="none"/>
        </w:rPr>
        <w:t>①</w:t>
      </w:r>
      <w:r>
        <w:rPr>
          <w:rFonts w:hint="eastAsia" w:ascii="宋体" w:hAnsi="宋体" w:cs="宋体"/>
          <w:color w:val="auto"/>
          <w:sz w:val="24"/>
          <w:highlight w:val="none"/>
        </w:rPr>
        <w:t>承包人应根据相关规定及发包人的要求、合同约定对发包人另行发包的专业承包单位进行统一管理和配合服务。包括但不限于：项目总进度计划协调管理；公共临时设施管理；公共文明施工和安全生产设施管理；现场综合管理；内部沟通与外部协调；总体设计与技术督导的协调配合；为发包人另行发包的专业承包单位提供标高、基准点与平面控制、轴线；提供工作面（含基础、预埋件、预留孔洞）；提供施工用水、用电的接驳点；成品保护；协助发包人办理项目竣工验收、竣工资料和竣工备案；为发包人另行发包的专业承包单位提供生产、生活用场地；提供公共运输道路和通道；提供公共水平、垂直运输设施；提供公共外排栅、外脚手架；负责组织整体竣工验收及整体工程资料汇总及整理工作以及其它管理和配合服务。承包人应按照《广州市住房和城乡建设局关于规范房屋建筑工程施工承发包管理的通知》</w:t>
      </w:r>
      <w:r>
        <w:rPr>
          <w:rFonts w:ascii="宋体" w:hAnsi="宋体" w:cs="宋体"/>
          <w:color w:val="auto"/>
          <w:sz w:val="24"/>
          <w:highlight w:val="none"/>
        </w:rPr>
        <w:t>(穗建规字〔2019〕10号)</w:t>
      </w:r>
      <w:r>
        <w:rPr>
          <w:rFonts w:hint="eastAsia" w:ascii="宋体" w:hAnsi="宋体" w:cs="宋体"/>
          <w:color w:val="auto"/>
          <w:sz w:val="24"/>
          <w:highlight w:val="none"/>
        </w:rPr>
        <w:t>的规定，对本工程所有专业承包工程负全面管理责任，对施工现场的安全生产、文明施工等工作负总责。承包人对发包人单独发包的专业工程的安全生产、文明施工等工作承担连带责任。承包人应主动配合发包人单独发包的其他专业承包工程的施工，承担由于自身管理、配合服务和协调不到位而导致的违约责任和连带违约责任。</w:t>
      </w:r>
      <w:r>
        <w:rPr>
          <w:rFonts w:hint="eastAsia" w:ascii="宋体" w:hAnsi="宋体" w:cs="宋体"/>
          <w:b/>
          <w:color w:val="auto"/>
          <w:sz w:val="24"/>
          <w:highlight w:val="none"/>
        </w:rPr>
        <w:t>【总承包工程适用本条款】</w:t>
      </w:r>
    </w:p>
    <w:p w14:paraId="38D136FB">
      <w:pPr>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②</w:t>
      </w:r>
      <w:r>
        <w:rPr>
          <w:rFonts w:hint="eastAsia" w:ascii="宋体" w:hAnsi="宋体" w:cs="宋体"/>
          <w:color w:val="auto"/>
          <w:sz w:val="24"/>
          <w:highlight w:val="none"/>
        </w:rPr>
        <w:t>建筑节能要求</w:t>
      </w:r>
      <w:r>
        <w:rPr>
          <w:rFonts w:ascii="宋体" w:hAnsi="宋体" w:cs="宋体"/>
          <w:color w:val="auto"/>
          <w:sz w:val="24"/>
          <w:highlight w:val="none"/>
        </w:rPr>
        <w:t>:按照穗建技[2006]678号</w:t>
      </w:r>
      <w:r>
        <w:rPr>
          <w:rFonts w:hint="eastAsia" w:ascii="宋体" w:hAnsi="宋体" w:cs="宋体"/>
          <w:color w:val="auto"/>
          <w:sz w:val="24"/>
          <w:highlight w:val="none"/>
        </w:rPr>
        <w:t>文的规定，承包人应</w:t>
      </w:r>
      <w:r>
        <w:rPr>
          <w:rFonts w:ascii="宋体" w:hAnsi="宋体" w:cs="宋体"/>
          <w:color w:val="auto"/>
          <w:sz w:val="24"/>
          <w:highlight w:val="none"/>
        </w:rPr>
        <w:t>履行以下质量责任和义务</w:t>
      </w:r>
      <w:r>
        <w:rPr>
          <w:rFonts w:hint="eastAsia" w:ascii="宋体" w:hAnsi="宋体" w:cs="宋体"/>
          <w:color w:val="auto"/>
          <w:sz w:val="24"/>
          <w:highlight w:val="none"/>
        </w:rPr>
        <w:t>：</w:t>
      </w:r>
      <w:r>
        <w:rPr>
          <w:rFonts w:ascii="宋体" w:hAnsi="宋体" w:cs="宋体"/>
          <w:color w:val="auto"/>
          <w:sz w:val="24"/>
          <w:highlight w:val="none"/>
        </w:rPr>
        <w:t>A、严格按照审查合格的设计文件和建筑节能标准的要求进行施工，不得擅自修改设计文件。B、对进入施工现场的墙体材料、保温材料、门窗部品等进行检验。对采暖空调系统、照明设备等进行检验，保证产品说明书和产品标识上注明的性能指标符合建筑节能要求。C、应当编制建筑节能专项施工技术方案，并由施工单位专业技术人员及监理单位专业监理工程师进行审核，审核合格，由施工单位技术负责人及监理单位总监理工程师签字。D、应当加强施工过程质量控制，特别应当加强对易产生热桥和热工缺陷等重要部位的质量控制，保证符合设计要求和有关节能标准规定。E、对采暖空调、通风、电气等系统的调试，应当符合设计等要求。F、保温工程等在保修范围和保修期限内发生质量问题的，施工单位应当履行保修义务，并对造成的损失承担赔偿责任。</w:t>
      </w:r>
    </w:p>
    <w:p w14:paraId="392A1245">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③创“无渗漏”工程</w:t>
      </w:r>
      <w:r>
        <w:rPr>
          <w:rFonts w:ascii="宋体" w:hAnsi="宋体" w:cs="宋体"/>
          <w:color w:val="auto"/>
          <w:sz w:val="24"/>
          <w:highlight w:val="none"/>
        </w:rPr>
        <w:t>:承包</w:t>
      </w:r>
      <w:r>
        <w:rPr>
          <w:rFonts w:hint="eastAsia" w:ascii="宋体" w:hAnsi="宋体" w:cs="宋体"/>
          <w:color w:val="auto"/>
          <w:sz w:val="24"/>
          <w:highlight w:val="none"/>
        </w:rPr>
        <w:t>人为创“无渗漏”工程中必须承担的义务：对专业管线穿过楼地面或墙体等结构后留下的孔隙按要求进行填补，并达到防水的要求；卫生间、水池的试水：结构施工完成后做一次浸水试验、防水层施工完成后做一次浸水试验、管道安装完成后做一次浸水试验、装饰面层完成后做一次浸水试验、竣工验收前做一次浸水试验、移交前做一次浸水试验；屋面淋水试验：按</w:t>
      </w:r>
      <w:r>
        <w:rPr>
          <w:rFonts w:ascii="宋体" w:hAnsi="宋体" w:cs="宋体"/>
          <w:color w:val="auto"/>
          <w:sz w:val="24"/>
          <w:highlight w:val="none"/>
        </w:rPr>
        <w:t>GB50207-2002的要求做泼水、淋水、蓄水试验。以上试验所需费用已含在合同总价中。</w:t>
      </w:r>
    </w:p>
    <w:p w14:paraId="3F5BD4FC">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④专业深化设计工程实行限额设计要求：</w:t>
      </w:r>
      <w:r>
        <w:rPr>
          <w:rFonts w:ascii="宋体" w:hAnsi="宋体" w:cs="宋体"/>
          <w:color w:val="auto"/>
          <w:sz w:val="24"/>
          <w:highlight w:val="none"/>
        </w:rPr>
        <w:t>(选择性条款)</w:t>
      </w:r>
    </w:p>
    <w:p w14:paraId="6308D6EE">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中标后，部分需深化设计的专业工程（如弱电、电梯工程等）应由承包人负责按招标文件的技术要求及发包人规定的时限完成深化设计，深化设计图纸加盖出图章，并经总体设计单位审核及发包人、业主最终确认后方可按确认后的图纸施工。相关深化设计费包含在投标报价中，无论发包人是否提出变更，均无需另行支付设计费。</w:t>
      </w:r>
    </w:p>
    <w:p w14:paraId="249F94C7">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深化设计以承包人原对应专业工程的投标报价为上限，实行限额深化设计，除非属发包人对技术规范书（技术需求与标准）进行调整或有经发包人确认的工程变更，否则，超出限额的工程费用由承包人承担。如果因深化图纸未能满足使用功能需求而发生设计变更，工程费用一律不作调整。</w:t>
      </w:r>
    </w:p>
    <w:p w14:paraId="7785FBE2">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⑤本工程要求达到“绿色建筑</w:t>
      </w:r>
      <w:r>
        <w:rPr>
          <w:rFonts w:ascii="宋体" w:hAnsi="宋体" w:cs="宋体"/>
          <w:color w:val="auto"/>
          <w:sz w:val="24"/>
          <w:highlight w:val="none"/>
        </w:rPr>
        <w:t xml:space="preserve"> </w:t>
      </w:r>
      <w:r>
        <w:rPr>
          <w:rFonts w:hint="eastAsia" w:ascii="宋体" w:hAnsi="宋体" w:cs="宋体"/>
          <w:color w:val="auto"/>
          <w:sz w:val="24"/>
          <w:highlight w:val="none"/>
        </w:rPr>
        <w:t>星级”标准，承包人需协助发包人办理“绿色建筑评价标识”的相关申报工作。</w:t>
      </w:r>
    </w:p>
    <w:p w14:paraId="2592C22D">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⑥本工程采取样板先行的办法推进，样板涉及的全部费用已含在投标报价中，不另计费。</w:t>
      </w:r>
    </w:p>
    <w:p w14:paraId="01FF8FD5">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⑦承包人应按照《广州市建筑施工实名制管理办法》的规定，进场施工前在市建设领域管理应用信息平台上进行实名制登记并安排专职人员进行动态维护，实名制信息内容包含但不限以下内容：建筑从业人员基本信息、作业工人考勤与工资支付信息、施工进度情况信息等。承包人应对</w:t>
      </w:r>
      <w:r>
        <w:rPr>
          <w:rFonts w:hint="eastAsia" w:ascii="宋体" w:hAnsi="宋体" w:cs="宋体"/>
          <w:color w:val="auto"/>
          <w:sz w:val="24"/>
          <w:highlight w:val="none"/>
        </w:rPr>
        <w:t>依法分包的专业工程和劳务工程的承包人</w:t>
      </w:r>
      <w:r>
        <w:rPr>
          <w:rFonts w:hint="eastAsia" w:ascii="宋体" w:hAnsi="宋体" w:cs="宋体"/>
          <w:color w:val="auto"/>
          <w:sz w:val="24"/>
          <w:highlight w:val="none"/>
        </w:rPr>
        <w:t>实施统一管理，督促落实实名制管理。发包人及监理单位将不定期抽查承包人实名制管理的执行情况，如发现违反本合同有关约定的，将追究承包人相应违约责任。</w:t>
      </w:r>
    </w:p>
    <w:p w14:paraId="180F5BD0">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⑧承包人应按照《广州市建设领域工人工资支付分账管理实施细则》的规定选择商业银行开立工人工资支付专用账户，在用工之日起</w:t>
      </w:r>
      <w:r>
        <w:rPr>
          <w:rFonts w:ascii="宋体" w:hAnsi="宋体" w:cs="宋体"/>
          <w:color w:val="auto"/>
          <w:sz w:val="24"/>
          <w:highlight w:val="none"/>
        </w:rPr>
        <w:t>15日内为每个工人办理工人工资个人账户，保证按时足额支付工人工资。</w:t>
      </w:r>
      <w:r>
        <w:rPr>
          <w:rFonts w:hint="eastAsia" w:ascii="宋体" w:hAnsi="宋体" w:cs="宋体"/>
          <w:color w:val="auto"/>
          <w:sz w:val="24"/>
          <w:highlight w:val="none"/>
        </w:rPr>
        <w:t>承包人应对</w:t>
      </w:r>
      <w:r>
        <w:rPr>
          <w:rFonts w:hint="eastAsia" w:ascii="宋体" w:hAnsi="宋体" w:cs="宋体"/>
          <w:color w:val="auto"/>
          <w:sz w:val="24"/>
          <w:highlight w:val="none"/>
        </w:rPr>
        <w:t>依法分包的专业工程和劳务工程的承包人</w:t>
      </w:r>
      <w:r>
        <w:rPr>
          <w:rFonts w:hint="eastAsia" w:ascii="宋体" w:hAnsi="宋体" w:cs="宋体"/>
          <w:color w:val="auto"/>
          <w:sz w:val="24"/>
          <w:highlight w:val="none"/>
        </w:rPr>
        <w:t>实施统一管理，</w:t>
      </w:r>
      <w:r>
        <w:rPr>
          <w:rFonts w:hint="eastAsia" w:ascii="宋体" w:hAnsi="宋体" w:cs="宋体"/>
          <w:color w:val="auto"/>
          <w:sz w:val="24"/>
          <w:highlight w:val="none"/>
        </w:rPr>
        <w:t>严格按国家、省、市关于农民工工资实施总承包单位代发制度的相关规定代发分包单位工人工资。</w:t>
      </w:r>
    </w:p>
    <w:p w14:paraId="2FC0EB4F">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⑨承包人应当建立工人考勤、工资结算和支付等管理台账，存档备查，并将相关信息按月报送发包人及监理单位。</w:t>
      </w:r>
    </w:p>
    <w:p w14:paraId="44CF63AF">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（10）承包人应在本项目中投入使用燃料电池汽车等新能源工程车,且投入数量占本项目投入的建筑垃圾自卸车（渣土车）总数比例不得低于40%，相关费用已包含在合同价中，不另行计取。</w:t>
      </w:r>
    </w:p>
    <w:p w14:paraId="419118CF">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（11）承包人应当建立燃料电池汽车等新能源工程车投入管理台账备查，并将投入现场的影像等相关资料按要求报送发包人及监理单位核查。</w:t>
      </w:r>
      <w:r>
        <w:rPr>
          <w:rFonts w:hint="eastAsia" w:ascii="宋体" w:hAnsi="宋体" w:cs="宋体"/>
          <w:color w:val="auto"/>
          <w:sz w:val="24"/>
          <w:highlight w:val="none"/>
        </w:rPr>
        <w:t>（适用于一般项目）</w:t>
      </w:r>
    </w:p>
    <w:p w14:paraId="47FC72A4">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12）承包人必须严格按照《工程建设领域农民工工资保证金规定》[人社部发（2021）65号]、《广州市建设领域施工企业工人工资支付保证金管理办法》[穗人社规字[2023]1号]等有关要求，执行工资保证金专用账户的开立、工资保证金的存储、补足或农民工工资保证金银行保函的开具、备案及提交新保函等工作（如相关规定有更新，按适时有效的最新规定执行）。</w:t>
      </w:r>
    </w:p>
    <w:p w14:paraId="36DD5FC2">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三、施工组织设计和工期</w:t>
      </w:r>
    </w:p>
    <w:p w14:paraId="09426755">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10</w:t>
      </w:r>
      <w:r>
        <w:rPr>
          <w:rFonts w:hint="eastAsia" w:ascii="宋体" w:hAnsi="宋体" w:cs="宋体"/>
          <w:b/>
          <w:color w:val="auto"/>
          <w:sz w:val="24"/>
          <w:highlight w:val="none"/>
        </w:rPr>
        <w:t>、进度计划</w:t>
      </w:r>
    </w:p>
    <w:p w14:paraId="52200694">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10.1 </w:t>
      </w:r>
      <w:r>
        <w:rPr>
          <w:rFonts w:hint="eastAsia" w:ascii="宋体" w:hAnsi="宋体" w:cs="宋体"/>
          <w:color w:val="auto"/>
          <w:sz w:val="24"/>
          <w:highlight w:val="none"/>
        </w:rPr>
        <w:t>承包人提供施工组织设计</w:t>
      </w:r>
      <w:r>
        <w:rPr>
          <w:rFonts w:ascii="宋体" w:hAnsi="宋体" w:cs="宋体"/>
          <w:color w:val="auto"/>
          <w:sz w:val="24"/>
          <w:highlight w:val="none"/>
        </w:rPr>
        <w:t>(施工方案)和进度计划时间：</w:t>
      </w:r>
    </w:p>
    <w:p w14:paraId="61871D19">
      <w:pPr>
        <w:snapToGrid w:val="0"/>
        <w:spacing w:line="440" w:lineRule="exact"/>
        <w:ind w:firstLine="756" w:firstLineChars="315"/>
        <w:rPr>
          <w:rFonts w:ascii="宋体" w:hAnsi="宋体" w:cs="宋体"/>
          <w:color w:val="auto"/>
          <w:sz w:val="24"/>
          <w:highlight w:val="none"/>
          <w:u w:val="single"/>
        </w:rPr>
      </w:pPr>
      <w:r>
        <w:rPr>
          <w:rFonts w:ascii="宋体" w:hAnsi="宋体" w:cs="宋体"/>
          <w:color w:val="auto"/>
          <w:sz w:val="24"/>
          <w:highlight w:val="none"/>
          <w:u w:val="single"/>
        </w:rPr>
        <w:t>1）承包人应于接到中标通知书后4天内向发包人提交总体工程进度计划（网络计划），并</w:t>
      </w:r>
      <w:r>
        <w:rPr>
          <w:rFonts w:hint="eastAsia" w:ascii="宋体" w:hAnsi="宋体" w:cs="宋体"/>
          <w:color w:val="auto"/>
          <w:sz w:val="24"/>
          <w:highlight w:val="none"/>
          <w:u w:val="single"/>
        </w:rPr>
        <w:t>于开工前</w:t>
      </w:r>
      <w:r>
        <w:rPr>
          <w:rFonts w:ascii="宋体" w:hAnsi="宋体" w:cs="宋体"/>
          <w:color w:val="auto"/>
          <w:sz w:val="24"/>
          <w:highlight w:val="none"/>
          <w:u w:val="single"/>
        </w:rPr>
        <w:t>3天内提交施工组织设计（施工方案）给发包人。</w:t>
      </w:r>
    </w:p>
    <w:p w14:paraId="6721B468">
      <w:pPr>
        <w:snapToGrid w:val="0"/>
        <w:spacing w:line="440" w:lineRule="exact"/>
        <w:ind w:firstLine="516" w:firstLineChars="215"/>
        <w:rPr>
          <w:rFonts w:ascii="宋体" w:hAnsi="宋体" w:cs="宋体"/>
          <w:color w:val="auto"/>
          <w:sz w:val="24"/>
          <w:highlight w:val="none"/>
          <w:u w:val="single"/>
        </w:rPr>
      </w:pPr>
      <w:r>
        <w:rPr>
          <w:rFonts w:hint="eastAsia" w:ascii="宋体" w:hAnsi="宋体" w:cs="宋体"/>
          <w:color w:val="auto"/>
          <w:sz w:val="24"/>
          <w:highlight w:val="none"/>
          <w:u w:val="single"/>
        </w:rPr>
        <w:t>承包人提交的施工组织设计应当按监理工程师及国家、省、市及广州开发区关于施工承包管理的要求编制。</w:t>
      </w:r>
    </w:p>
    <w:p w14:paraId="20500260">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u w:val="single"/>
        </w:rPr>
        <w:t>承包人编制的工程进度计划内容应全面详实，且应针对承包管理范围内的各专业承包工程及建筑工程的全部或分项施工作业和特点提出施工方法、施工穿插顺序及时间安排，并在各节点位置标注相应的工程量、资金使用计划、人机组织及材料消耗量。</w:t>
      </w:r>
    </w:p>
    <w:p w14:paraId="27B1CBBE">
      <w:pPr>
        <w:snapToGrid w:val="0"/>
        <w:spacing w:line="440" w:lineRule="exact"/>
        <w:ind w:firstLine="516" w:firstLineChars="215"/>
        <w:rPr>
          <w:rFonts w:ascii="宋体" w:hAnsi="宋体" w:cs="宋体"/>
          <w:color w:val="auto"/>
          <w:sz w:val="24"/>
          <w:highlight w:val="none"/>
          <w:u w:val="single"/>
        </w:rPr>
      </w:pPr>
      <w:r>
        <w:rPr>
          <w:rFonts w:ascii="宋体" w:hAnsi="宋体" w:cs="宋体"/>
          <w:color w:val="auto"/>
          <w:sz w:val="24"/>
          <w:highlight w:val="none"/>
        </w:rPr>
        <w:t>2）</w:t>
      </w:r>
      <w:r>
        <w:rPr>
          <w:rFonts w:hint="eastAsia" w:ascii="宋体" w:hAnsi="宋体" w:cs="宋体"/>
          <w:color w:val="auto"/>
          <w:sz w:val="24"/>
          <w:highlight w:val="none"/>
          <w:u w:val="single"/>
        </w:rPr>
        <w:t>总监理工程师在接到承包人提交的施工组织设计和工程进度计划后，予以确认或提出修改意见。</w:t>
      </w:r>
    </w:p>
    <w:p w14:paraId="497BDD13">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工程师确认的时间：</w:t>
      </w:r>
      <w:r>
        <w:rPr>
          <w:rFonts w:hint="eastAsia" w:ascii="宋体" w:hAnsi="宋体" w:cs="宋体"/>
          <w:color w:val="auto"/>
          <w:sz w:val="24"/>
          <w:highlight w:val="none"/>
          <w:u w:val="single"/>
        </w:rPr>
        <w:t>开工前。</w:t>
      </w:r>
    </w:p>
    <w:p w14:paraId="2522C5AB">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10.2</w:t>
      </w:r>
      <w:r>
        <w:rPr>
          <w:rFonts w:hint="eastAsia" w:ascii="宋体" w:hAnsi="宋体" w:cs="宋体"/>
          <w:color w:val="auto"/>
          <w:sz w:val="24"/>
          <w:highlight w:val="none"/>
          <w:u w:val="single"/>
        </w:rPr>
        <w:t>为便于总监理工程师掌握和控制工期，承包人应于每周一及每月底向总监理工程师填报各专业工程（含各分部、分项工程及专业承包工程）的周计划完成情况及当月进度计划完成情况（没完成计划的必须说明原因），并在此基础上更新工程进度计划、资金计划和其它工作计划。总监理工程师在接到报告后予以确认或提出书面意见，承包人必须按照总监理工程师的确认或者书面意见执行。（报监理工程师的同时，抄送一份给发包人。）</w:t>
      </w:r>
    </w:p>
    <w:p w14:paraId="0D29CEDE">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10.3</w:t>
      </w:r>
      <w:r>
        <w:rPr>
          <w:rFonts w:hint="eastAsia" w:ascii="宋体" w:hAnsi="宋体" w:cs="宋体"/>
          <w:color w:val="auto"/>
          <w:sz w:val="24"/>
          <w:highlight w:val="none"/>
          <w:u w:val="single"/>
        </w:rPr>
        <w:t>工程实际进度与经总监理工程师确认的进度计划或者更新进度计划不符时，总监理工程师认为本工程或其中任何部分工程进度滞后而不能按预定工期完工，则应将此情况通知承包人，承包人应据此编制修改工程进度计划，采取总监理工程师同意的必要措施加快工程进度，属承包人原因，则承包人无权要求发包人支付任何附加费用。如承包人未能在工程师发布指令后</w:t>
      </w:r>
      <w:r>
        <w:rPr>
          <w:rFonts w:ascii="宋体" w:hAnsi="宋体" w:cs="宋体"/>
          <w:color w:val="auto"/>
          <w:sz w:val="24"/>
          <w:highlight w:val="none"/>
          <w:u w:val="single"/>
        </w:rPr>
        <w:t>10天内采取有效措施，工程进度仍然无明显改进，发包人有权解除部分或全部合同，将未完工程另行发包给其他有能力的第三方，承包人必须无条件服从，由此所造成的全部损失由承包人承担，并追究承包人的违约赔偿责任。</w:t>
      </w:r>
    </w:p>
    <w:p w14:paraId="2C30A93B">
      <w:pPr>
        <w:snapToGrid w:val="0"/>
        <w:spacing w:line="440" w:lineRule="exact"/>
        <w:ind w:firstLine="482" w:firstLineChars="200"/>
        <w:rPr>
          <w:rFonts w:ascii="宋体" w:hAnsi="宋体" w:cs="宋体"/>
          <w:b/>
          <w:color w:val="auto"/>
          <w:sz w:val="24"/>
          <w:highlight w:val="none"/>
        </w:rPr>
      </w:pPr>
      <w:r>
        <w:rPr>
          <w:rFonts w:ascii="宋体" w:hAnsi="宋体" w:cs="宋体"/>
          <w:b/>
          <w:color w:val="auto"/>
          <w:sz w:val="24"/>
          <w:highlight w:val="none"/>
        </w:rPr>
        <w:t>11、开工及延期开工</w:t>
      </w:r>
    </w:p>
    <w:p w14:paraId="79FB8377">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11.1 </w:t>
      </w:r>
      <w:r>
        <w:rPr>
          <w:rFonts w:hint="eastAsia" w:ascii="宋体" w:hAnsi="宋体" w:cs="宋体"/>
          <w:color w:val="auto"/>
          <w:sz w:val="24"/>
          <w:highlight w:val="none"/>
        </w:rPr>
        <w:t>开工日期和竣工日期</w:t>
      </w:r>
    </w:p>
    <w:p w14:paraId="7BB4E81A">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11.1.1 </w:t>
      </w:r>
      <w:r>
        <w:rPr>
          <w:rFonts w:hint="eastAsia" w:ascii="宋体" w:hAnsi="宋体" w:cs="宋体"/>
          <w:color w:val="auto"/>
          <w:sz w:val="24"/>
          <w:highlight w:val="none"/>
        </w:rPr>
        <w:t>本工程工期为</w:t>
      </w:r>
      <w:r>
        <w:rPr>
          <w:rFonts w:ascii="宋体" w:hAnsi="宋体" w:cs="宋体"/>
          <w:color w:val="auto"/>
          <w:sz w:val="24"/>
          <w:highlight w:val="none"/>
          <w:u w:val="single"/>
        </w:rPr>
        <w:t xml:space="preserve">     </w:t>
      </w:r>
      <w:r>
        <w:rPr>
          <w:rFonts w:hint="eastAsia" w:ascii="宋体" w:hAnsi="宋体" w:cs="宋体"/>
          <w:color w:val="auto"/>
          <w:sz w:val="24"/>
          <w:highlight w:val="none"/>
        </w:rPr>
        <w:t>日历天。其中开工时间初定为</w:t>
      </w:r>
      <w:r>
        <w:rPr>
          <w:rFonts w:ascii="宋体" w:hAnsi="宋体" w:cs="宋体"/>
          <w:color w:val="auto"/>
          <w:sz w:val="24"/>
          <w:highlight w:val="none"/>
          <w:u w:val="single"/>
        </w:rPr>
        <w:t xml:space="preserve">     </w:t>
      </w:r>
      <w:r>
        <w:rPr>
          <w:rFonts w:hint="eastAsia" w:ascii="宋体" w:hAnsi="宋体" w:cs="宋体"/>
          <w:color w:val="auto"/>
          <w:sz w:val="24"/>
          <w:highlight w:val="none"/>
        </w:rPr>
        <w:t>年</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u w:val="single"/>
        </w:rPr>
        <w:t xml:space="preserve">  </w:t>
      </w:r>
      <w:r>
        <w:rPr>
          <w:rFonts w:hint="eastAsia" w:ascii="宋体" w:hAnsi="宋体" w:cs="宋体"/>
          <w:color w:val="auto"/>
          <w:sz w:val="24"/>
          <w:highlight w:val="none"/>
        </w:rPr>
        <w:t>日。（具体开工日期以发包人或监理单位开工令或批准的开工报告日期为准）</w:t>
      </w:r>
      <w:r>
        <w:rPr>
          <w:rFonts w:ascii="宋体" w:hAnsi="宋体" w:cs="宋体"/>
          <w:color w:val="auto"/>
          <w:sz w:val="24"/>
          <w:highlight w:val="none"/>
        </w:rPr>
        <w:t xml:space="preserve"> </w:t>
      </w:r>
    </w:p>
    <w:p w14:paraId="3F216F29">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11.1.2 </w:t>
      </w:r>
      <w:r>
        <w:rPr>
          <w:rFonts w:hint="eastAsia" w:ascii="宋体" w:hAnsi="宋体" w:cs="宋体"/>
          <w:color w:val="auto"/>
          <w:sz w:val="24"/>
          <w:highlight w:val="none"/>
        </w:rPr>
        <w:t>承包人必须采取一切有效措施保证竣工日期，不得延误。除非发生了以下情形：</w:t>
      </w:r>
    </w:p>
    <w:p w14:paraId="2A1872E3">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1）政府对本工程建设项目作出停建、缓建的决定；</w:t>
      </w:r>
    </w:p>
    <w:p w14:paraId="2A20691E">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2）重大设计变更导致本工程在规划、使用、功能方面有重大调整；</w:t>
      </w:r>
    </w:p>
    <w:p w14:paraId="30FDAE5B">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3）不可抗力持续影响而延误工期超过12天以上。</w:t>
      </w:r>
    </w:p>
    <w:p w14:paraId="62703816">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4）本合同专用条款约定的其他非承包人原因导致的工期延误。</w:t>
      </w:r>
    </w:p>
    <w:p w14:paraId="40FDD25B">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11.2 </w:t>
      </w:r>
      <w:r>
        <w:rPr>
          <w:rFonts w:hint="eastAsia" w:ascii="宋体" w:hAnsi="宋体" w:cs="宋体"/>
          <w:color w:val="auto"/>
          <w:sz w:val="24"/>
          <w:highlight w:val="none"/>
        </w:rPr>
        <w:t>延期开工：</w:t>
      </w:r>
    </w:p>
    <w:p w14:paraId="3EECDB60">
      <w:pPr>
        <w:adjustRightInd w:val="0"/>
        <w:snapToGrid w:val="0"/>
        <w:spacing w:line="440" w:lineRule="exact"/>
        <w:ind w:right="11" w:firstLine="420" w:firstLineChars="175"/>
        <w:rPr>
          <w:rFonts w:ascii="宋体" w:hAnsi="宋体" w:cs="宋体"/>
          <w:color w:val="auto"/>
          <w:sz w:val="24"/>
          <w:highlight w:val="none"/>
          <w:u w:val="single"/>
        </w:rPr>
      </w:pPr>
      <w:r>
        <w:rPr>
          <w:rFonts w:ascii="宋体" w:hAnsi="宋体" w:cs="宋体"/>
          <w:color w:val="auto"/>
          <w:sz w:val="24"/>
          <w:highlight w:val="none"/>
        </w:rPr>
        <w:t xml:space="preserve">11.2.1 </w:t>
      </w:r>
      <w:r>
        <w:rPr>
          <w:rFonts w:hint="eastAsia" w:ascii="宋体" w:hAnsi="宋体" w:cs="宋体"/>
          <w:color w:val="auto"/>
          <w:sz w:val="24"/>
          <w:highlight w:val="none"/>
          <w:u w:val="single"/>
        </w:rPr>
        <w:t>因发包人原因不能按照协议书约定的开工日期开工或暂停施工的，总监理工程师应通知承包人推迟开工日期，经监理单位、发包人确认后，工期可相应顺延，但不作费用补偿。</w:t>
      </w:r>
    </w:p>
    <w:p w14:paraId="467CD560">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 xml:space="preserve">11.2.2 </w:t>
      </w:r>
      <w:r>
        <w:rPr>
          <w:rFonts w:hint="eastAsia" w:ascii="宋体" w:hAnsi="宋体" w:cs="宋体"/>
          <w:color w:val="auto"/>
          <w:sz w:val="24"/>
          <w:highlight w:val="none"/>
          <w:u w:val="single"/>
        </w:rPr>
        <w:t>承包人未能主动及时地履行其协调、配合服务义务而造成专业承包单位无法开工，由此产生的工期延误等损失由承包人承担，并承担违约责任。</w:t>
      </w:r>
    </w:p>
    <w:p w14:paraId="6D9E8D62">
      <w:pPr>
        <w:snapToGrid w:val="0"/>
        <w:spacing w:line="440" w:lineRule="exact"/>
        <w:ind w:firstLine="482" w:firstLineChars="200"/>
        <w:rPr>
          <w:rFonts w:ascii="宋体" w:hAnsi="宋体" w:cs="宋体"/>
          <w:b/>
          <w:color w:val="auto"/>
          <w:sz w:val="24"/>
          <w:highlight w:val="none"/>
        </w:rPr>
      </w:pPr>
      <w:r>
        <w:rPr>
          <w:rFonts w:ascii="宋体" w:hAnsi="宋体" w:cs="宋体"/>
          <w:b/>
          <w:color w:val="auto"/>
          <w:sz w:val="24"/>
          <w:highlight w:val="none"/>
        </w:rPr>
        <w:t>12、暂停施工</w:t>
      </w:r>
    </w:p>
    <w:p w14:paraId="53E3494C">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12.1因下列原因，总监理工程师报经发包人同意，可通知承包人暂停施工：</w:t>
      </w:r>
    </w:p>
    <w:p w14:paraId="4A2F1537">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1）工程设计发生重大变更；</w:t>
      </w:r>
    </w:p>
    <w:p w14:paraId="7314E6E2">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w:t>
      </w:r>
      <w:r>
        <w:rPr>
          <w:rFonts w:hint="eastAsia" w:ascii="宋体" w:hAnsi="宋体" w:cs="宋体"/>
          <w:color w:val="auto"/>
          <w:sz w:val="24"/>
          <w:highlight w:val="none"/>
          <w:u w:val="single"/>
        </w:rPr>
        <w:t>不可抗力；</w:t>
      </w:r>
    </w:p>
    <w:p w14:paraId="52679C02">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3）质量事故；</w:t>
      </w:r>
    </w:p>
    <w:p w14:paraId="1E8A6EEC">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4）安全生产事故；</w:t>
      </w:r>
    </w:p>
    <w:p w14:paraId="5672F1D3">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5）因承包人管理不善，可能导致现场混乱；</w:t>
      </w:r>
    </w:p>
    <w:p w14:paraId="77494272">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6）承包人违规施工，经监理工程师通知改正但仍不执行。</w:t>
      </w:r>
    </w:p>
    <w:p w14:paraId="237FC427">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承包人不得以与发包人有争议为由或者以争议未解决为由而单方面停工。否则，应按约定承担工期延误的违约责任。</w:t>
      </w:r>
    </w:p>
    <w:p w14:paraId="52F4A6E1">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因发生上述第（</w:t>
      </w:r>
      <w:r>
        <w:rPr>
          <w:rFonts w:ascii="宋体" w:hAnsi="宋体" w:cs="宋体"/>
          <w:color w:val="auto"/>
          <w:sz w:val="24"/>
          <w:highlight w:val="none"/>
          <w:u w:val="single"/>
        </w:rPr>
        <w:t>1）、（2）项原因而暂停施工的，工期可协商调整，因发生上述第（3）、（4）、（5）、（6）项原因而暂停施工的，工期不予顺延,承包人必须承担由此发生的费用并向发包人承担违约责任。</w:t>
      </w:r>
    </w:p>
    <w:p w14:paraId="2124D346">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12.2为了保证工程质量安全，凡承包人出现下列情况之一（不限于此）的，总监理工程师有权下达停工令，责令承包人停工整改，由此造成的损失由承包人自行承担，工期不予顺延，如果造成工期延误的，承包人还应承担违约责任。</w:t>
      </w:r>
    </w:p>
    <w:p w14:paraId="2009A444">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(1)拒绝监理单位管理；</w:t>
      </w:r>
    </w:p>
    <w:p w14:paraId="02D0BCA6">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(2)施工组织设计（方案）未获总监理工程师批准而进行施工；</w:t>
      </w:r>
    </w:p>
    <w:p w14:paraId="0A579EE9">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(3)未经监理单位检验而进行下一道工序作业者；</w:t>
      </w:r>
    </w:p>
    <w:p w14:paraId="3DE85E21">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(4)擅自采用未经监理单位及发包人认可或批准的材料的，或者使用的原材料、构配件不合格或未经检查确认的，或者擅自采用未经认可的代用材料的；</w:t>
      </w:r>
    </w:p>
    <w:p w14:paraId="235FADFC">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(5)擅自变更设计图纸的要求；</w:t>
      </w:r>
    </w:p>
    <w:p w14:paraId="0FAFF924">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(6)转包工程；</w:t>
      </w:r>
    </w:p>
    <w:p w14:paraId="38AE1D72">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(7)擅自让未经总监理工程师批准的专业承包单位进场作业；</w:t>
      </w:r>
    </w:p>
    <w:p w14:paraId="2E7BA18B">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(8)存在安全隐患，未按监理单位要求及时进行整改；</w:t>
      </w:r>
    </w:p>
    <w:p w14:paraId="29D6B023">
      <w:pPr>
        <w:snapToGrid w:val="0"/>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u w:val="single"/>
        </w:rPr>
        <w:t>(9)未按双方约定的资料上报要求上报所需资料的。</w:t>
      </w:r>
    </w:p>
    <w:p w14:paraId="24816BE4">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12.3因不可抗力引起工程停工，工期按第12.1款约定执行，费用承担按以下原则：</w:t>
      </w:r>
    </w:p>
    <w:p w14:paraId="1E876801">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1）因工程损害导致第三方人员伤亡和财产损失，如系在工程竣工验收合格移交给发包人使用前造成的，费用由承包人承担；如系在工程竣工验收合格移交给发包人使用后发生的，费用由发包人承担。</w:t>
      </w:r>
    </w:p>
    <w:p w14:paraId="5111D8B2">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2）运至施工场地用于施工的材料和待安装的设备的损害，属发包人供应的由发包人承担；属承包人采购的由承包人承担。</w:t>
      </w:r>
    </w:p>
    <w:p w14:paraId="26E23BA3">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3）发包人承包人人员伤亡由其所在单位负责，并承担相应费用。</w:t>
      </w:r>
    </w:p>
    <w:p w14:paraId="54324E21">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4）承包人机械设备损坏及停工损失由承包人承担。</w:t>
      </w:r>
    </w:p>
    <w:p w14:paraId="55372C7A">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5）停工期间，承包人应总监理工程师要求留在施工场地的必要的管理人员及保卫人员的费用由承包人承担。</w:t>
      </w:r>
    </w:p>
    <w:p w14:paraId="7F0E2027">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6）工程所需清理、修复费用由发包人承担。</w:t>
      </w:r>
    </w:p>
    <w:p w14:paraId="231CE625">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12.4由于承包人自身原因或施工承包管理、配合及协调不力，而导致专业承包工程停工，产生的费用由承包人承担。</w:t>
      </w:r>
    </w:p>
    <w:p w14:paraId="0AAB6AC3">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13、工期延误</w:t>
      </w:r>
    </w:p>
    <w:p w14:paraId="77EC3D02">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13.2对于非因承包人原因发生的工期延误，承包人应当在工期延误事件发生后7天内就延误的内容经总监理工程师向发包人提出书面报告，逾期不报告，发包人不予确认；发包人在收到经总监理工程师确认报告后15个工作日内予以答复，逾期不予答复，承包人即可视为延期要求已被确认。经确认同意延期，可顺延工期，但不作费用补偿。</w:t>
      </w:r>
    </w:p>
    <w:p w14:paraId="208520FB">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四、质量与验收</w:t>
      </w:r>
    </w:p>
    <w:p w14:paraId="4FF368B9">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15、工程质量</w:t>
      </w:r>
    </w:p>
    <w:p w14:paraId="3F2FBD61">
      <w:pPr>
        <w:pStyle w:val="315"/>
        <w:snapToGrid w:val="0"/>
        <w:spacing w:line="440" w:lineRule="exact"/>
        <w:ind w:firstLine="495"/>
        <w:rPr>
          <w:rFonts w:ascii="宋体" w:hAnsi="宋体" w:cs="宋体"/>
          <w:color w:val="auto"/>
          <w:sz w:val="24"/>
          <w:highlight w:val="none"/>
        </w:rPr>
      </w:pPr>
      <w:r>
        <w:rPr>
          <w:rFonts w:ascii="宋体" w:hAnsi="宋体" w:cs="宋体"/>
          <w:bCs/>
          <w:color w:val="auto"/>
          <w:sz w:val="24"/>
          <w:highlight w:val="none"/>
        </w:rPr>
        <w:t>15.3</w:t>
      </w:r>
      <w:r>
        <w:rPr>
          <w:rFonts w:hint="eastAsia" w:ascii="宋体" w:hAnsi="宋体" w:cs="宋体"/>
          <w:bCs/>
          <w:color w:val="auto"/>
          <w:sz w:val="24"/>
          <w:highlight w:val="none"/>
          <w:u w:val="single"/>
        </w:rPr>
        <w:t xml:space="preserve">承包人必须严格按照设计施工图和国家及行业颁发的现行有关设计、施工及验收规范的要求进行施工，确保工程质量，工程的质量要求达到  </w:t>
      </w:r>
      <w:r>
        <w:rPr>
          <w:rFonts w:hint="eastAsia" w:ascii="宋体" w:hAnsi="宋体" w:cs="宋体"/>
          <w:color w:val="auto"/>
          <w:sz w:val="24"/>
          <w:highlight w:val="none"/>
          <w:u w:val="single"/>
        </w:rPr>
        <w:t>按投标文件承诺填写</w:t>
      </w:r>
      <w:r>
        <w:rPr>
          <w:rFonts w:hint="eastAsia" w:ascii="宋体" w:hAnsi="宋体" w:cs="宋体"/>
          <w:color w:val="auto"/>
          <w:sz w:val="24"/>
          <w:highlight w:val="none"/>
          <w:u w:val="single"/>
        </w:rPr>
        <w:t xml:space="preserve"> </w:t>
      </w:r>
      <w:r>
        <w:rPr>
          <w:rFonts w:hint="eastAsia" w:ascii="宋体" w:hAnsi="宋体" w:cs="宋体"/>
          <w:bCs/>
          <w:color w:val="auto"/>
          <w:sz w:val="24"/>
          <w:highlight w:val="none"/>
        </w:rPr>
        <w:t>。</w:t>
      </w:r>
    </w:p>
    <w:p w14:paraId="09E7831C">
      <w:pPr>
        <w:snapToGrid w:val="0"/>
        <w:spacing w:line="440" w:lineRule="exact"/>
        <w:ind w:firstLine="495"/>
        <w:rPr>
          <w:rFonts w:ascii="宋体" w:hAnsi="宋体" w:cs="宋体"/>
          <w:bCs/>
          <w:color w:val="auto"/>
          <w:sz w:val="24"/>
          <w:highlight w:val="none"/>
        </w:rPr>
      </w:pPr>
      <w:r>
        <w:rPr>
          <w:rFonts w:hint="eastAsia" w:ascii="宋体" w:hAnsi="宋体" w:cs="宋体"/>
          <w:bCs/>
          <w:color w:val="auto"/>
          <w:sz w:val="24"/>
          <w:highlight w:val="none"/>
          <w:u w:val="single"/>
        </w:rPr>
        <w:t>承包人对图纸中存在的问题有责任和义务提前以书面形式报告工程师及发包人，以供发包人同监理人核实并及时要求设计方修改设计图纸。</w:t>
      </w:r>
    </w:p>
    <w:p w14:paraId="60E1657D">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15.4</w:t>
      </w:r>
      <w:r>
        <w:rPr>
          <w:rFonts w:hint="eastAsia" w:ascii="宋体" w:hAnsi="宋体" w:cs="宋体"/>
          <w:bCs/>
          <w:color w:val="auto"/>
          <w:sz w:val="24"/>
          <w:highlight w:val="none"/>
          <w:u w:val="single"/>
        </w:rPr>
        <w:t>本工程项目的所有材料、设备及配件须达到现行中华人民共和国以及省、自治区、直辖市或行业的工程建设标准、规范的要求，产品应有生产许可证书、出厂合格证书，经监理工程师和发包人代表认可后方可使用。</w:t>
      </w:r>
    </w:p>
    <w:p w14:paraId="7F44AA39">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15.5</w:t>
      </w:r>
      <w:r>
        <w:rPr>
          <w:rFonts w:hint="eastAsia" w:ascii="宋体" w:hAnsi="宋体" w:cs="宋体"/>
          <w:bCs/>
          <w:color w:val="auto"/>
          <w:sz w:val="24"/>
          <w:highlight w:val="none"/>
          <w:u w:val="single"/>
        </w:rPr>
        <w:t>工程质量不符合设计要求、质量不合格者，监理工程师可指令承包人停工或返工，返工费用由承包人承担，工期不予顺延。</w:t>
      </w:r>
    </w:p>
    <w:p w14:paraId="14829CA5">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15.6</w:t>
      </w:r>
      <w:r>
        <w:rPr>
          <w:rFonts w:hint="eastAsia" w:ascii="宋体" w:hAnsi="宋体" w:cs="宋体"/>
          <w:bCs/>
          <w:color w:val="auto"/>
          <w:sz w:val="24"/>
          <w:highlight w:val="none"/>
          <w:u w:val="single"/>
        </w:rPr>
        <w:t>发生须紧急抢修事故，承包人接到通知后，应立即到达事故现场抢修；否则，发包人可以另委托单位抢修，属承包人施工质量问题造成的修复等费用全部由承包人承担。</w:t>
      </w:r>
    </w:p>
    <w:p w14:paraId="5B530B31">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15.7</w:t>
      </w:r>
      <w:r>
        <w:rPr>
          <w:rFonts w:hint="eastAsia" w:ascii="宋体" w:hAnsi="宋体" w:cs="宋体"/>
          <w:bCs/>
          <w:color w:val="auto"/>
          <w:sz w:val="24"/>
          <w:highlight w:val="none"/>
          <w:u w:val="single"/>
        </w:rPr>
        <w:t>本工程按照本合同专用条款</w:t>
      </w:r>
      <w:r>
        <w:rPr>
          <w:rFonts w:ascii="宋体" w:hAnsi="宋体" w:cs="宋体"/>
          <w:bCs/>
          <w:color w:val="auto"/>
          <w:sz w:val="24"/>
          <w:highlight w:val="none"/>
          <w:u w:val="single"/>
        </w:rPr>
        <w:t>3.3的约定进行质量验收。若承包人有违反操作规程和标准或施工质量不符合规定的，发包人及监理工程师有权令其停止（或暂停）施工，由此造成的损失均由承包人负责。如在施工过程中颁发新的质量标准规范版本的，是否采用新版本规定，由监理工程师与有关各方洽商决定。</w:t>
      </w:r>
    </w:p>
    <w:p w14:paraId="0AB40FD5">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16、检查和返工</w:t>
      </w:r>
    </w:p>
    <w:p w14:paraId="14A8821E">
      <w:pPr>
        <w:snapToGrid w:val="0"/>
        <w:spacing w:line="440" w:lineRule="exact"/>
        <w:ind w:firstLine="397"/>
        <w:rPr>
          <w:rFonts w:ascii="宋体" w:hAnsi="宋体" w:cs="宋体"/>
          <w:bCs/>
          <w:color w:val="auto"/>
          <w:sz w:val="24"/>
          <w:highlight w:val="none"/>
        </w:rPr>
      </w:pPr>
      <w:r>
        <w:rPr>
          <w:rFonts w:ascii="宋体" w:hAnsi="宋体" w:cs="宋体"/>
          <w:bCs/>
          <w:color w:val="auto"/>
          <w:sz w:val="24"/>
          <w:highlight w:val="none"/>
        </w:rPr>
        <w:t>16.3工程师的检查检验：</w:t>
      </w:r>
      <w:r>
        <w:rPr>
          <w:rFonts w:hint="eastAsia" w:ascii="宋体" w:hAnsi="宋体" w:cs="宋体"/>
          <w:bCs/>
          <w:color w:val="auto"/>
          <w:sz w:val="24"/>
          <w:highlight w:val="none"/>
          <w:u w:val="single"/>
        </w:rPr>
        <w:t>工程师按规范、标准、设计图纸要求和频率所进行的检查检测不应成为承包人工期顺延的理由</w:t>
      </w:r>
      <w:r>
        <w:rPr>
          <w:rFonts w:hint="eastAsia" w:ascii="宋体" w:hAnsi="宋体" w:cs="宋体"/>
          <w:bCs/>
          <w:color w:val="auto"/>
          <w:sz w:val="24"/>
          <w:highlight w:val="none"/>
        </w:rPr>
        <w:t>。</w:t>
      </w:r>
    </w:p>
    <w:p w14:paraId="538498EE">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17</w:t>
      </w:r>
      <w:r>
        <w:rPr>
          <w:rFonts w:hint="eastAsia" w:ascii="宋体" w:hAnsi="宋体" w:cs="宋体"/>
          <w:b/>
          <w:color w:val="auto"/>
          <w:sz w:val="24"/>
          <w:highlight w:val="none"/>
        </w:rPr>
        <w:t>、隐蔽工程和中间验收</w:t>
      </w:r>
    </w:p>
    <w:p w14:paraId="11DF0B41">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 xml:space="preserve">17.1 </w:t>
      </w:r>
      <w:r>
        <w:rPr>
          <w:rFonts w:hint="eastAsia" w:ascii="宋体" w:hAnsi="宋体" w:cs="宋体"/>
          <w:color w:val="auto"/>
          <w:sz w:val="24"/>
          <w:highlight w:val="none"/>
        </w:rPr>
        <w:t>双方约定中间验收部位：</w:t>
      </w:r>
      <w:r>
        <w:rPr>
          <w:rFonts w:hint="eastAsia" w:ascii="宋体" w:hAnsi="宋体" w:cs="宋体"/>
          <w:color w:val="auto"/>
          <w:sz w:val="24"/>
          <w:highlight w:val="none"/>
          <w:u w:val="single"/>
        </w:rPr>
        <w:t>按相应工程施工及验收规范要求执行。</w:t>
      </w:r>
      <w:r>
        <w:rPr>
          <w:rFonts w:ascii="宋体" w:hAnsi="宋体" w:cs="宋体"/>
          <w:color w:val="auto"/>
          <w:sz w:val="24"/>
          <w:highlight w:val="none"/>
        </w:rPr>
        <w:t xml:space="preserve"> </w:t>
      </w:r>
    </w:p>
    <w:p w14:paraId="34316FD2">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19</w:t>
      </w:r>
      <w:r>
        <w:rPr>
          <w:rFonts w:hint="eastAsia" w:ascii="宋体" w:hAnsi="宋体" w:cs="宋体"/>
          <w:b/>
          <w:color w:val="auto"/>
          <w:sz w:val="24"/>
          <w:highlight w:val="none"/>
        </w:rPr>
        <w:t>、工程试车</w:t>
      </w:r>
    </w:p>
    <w:p w14:paraId="70E34AD1">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19.5 </w:t>
      </w:r>
      <w:r>
        <w:rPr>
          <w:rFonts w:hint="eastAsia" w:ascii="宋体" w:hAnsi="宋体" w:cs="宋体"/>
          <w:color w:val="auto"/>
          <w:sz w:val="24"/>
          <w:highlight w:val="none"/>
        </w:rPr>
        <w:t>试车费用的承担：</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366D3348">
      <w:pPr>
        <w:snapToGrid w:val="0"/>
        <w:spacing w:line="440" w:lineRule="exact"/>
        <w:ind w:firstLine="397"/>
        <w:rPr>
          <w:rFonts w:ascii="宋体" w:hAnsi="宋体" w:cs="宋体"/>
          <w:color w:val="auto"/>
          <w:sz w:val="24"/>
          <w:highlight w:val="none"/>
        </w:rPr>
      </w:pPr>
      <w:r>
        <w:rPr>
          <w:rFonts w:hint="eastAsia" w:ascii="宋体" w:hAnsi="宋体" w:cs="宋体"/>
          <w:b/>
          <w:color w:val="auto"/>
          <w:sz w:val="24"/>
          <w:highlight w:val="none"/>
        </w:rPr>
        <w:t>五、安全施工</w:t>
      </w:r>
      <w:r>
        <w:rPr>
          <w:rFonts w:ascii="宋体" w:hAnsi="宋体" w:cs="宋体"/>
          <w:b/>
          <w:color w:val="auto"/>
          <w:sz w:val="24"/>
          <w:highlight w:val="none"/>
        </w:rPr>
        <w:t xml:space="preserve">  </w:t>
      </w:r>
    </w:p>
    <w:p w14:paraId="02A66FA8">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20、安全施工与检查</w:t>
      </w:r>
    </w:p>
    <w:p w14:paraId="0F079D39">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20.3</w:t>
      </w:r>
      <w:r>
        <w:rPr>
          <w:rFonts w:hint="eastAsia" w:ascii="宋体" w:hAnsi="宋体" w:cs="宋体"/>
          <w:color w:val="auto"/>
          <w:sz w:val="24"/>
          <w:highlight w:val="none"/>
          <w:u w:val="single"/>
        </w:rPr>
        <w:t>承包人应建立安全责任制，明确各部门安全工作的岗位责任人，建立健全正常运转的各种安全工作保证体系和规章制度，将安全生产目标分解落实到实处。</w:t>
      </w:r>
    </w:p>
    <w:p w14:paraId="6931FA28">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20.4</w:t>
      </w:r>
      <w:r>
        <w:rPr>
          <w:rFonts w:hint="eastAsia" w:ascii="宋体" w:hAnsi="宋体" w:cs="宋体"/>
          <w:color w:val="auto"/>
          <w:sz w:val="24"/>
          <w:highlight w:val="none"/>
          <w:u w:val="single"/>
        </w:rPr>
        <w:t>承包人按规定数量配置安全员。</w:t>
      </w:r>
    </w:p>
    <w:p w14:paraId="7E582305">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20.5</w:t>
      </w:r>
      <w:r>
        <w:rPr>
          <w:rFonts w:hint="eastAsia" w:ascii="宋体" w:hAnsi="宋体" w:cs="宋体"/>
          <w:color w:val="auto"/>
          <w:sz w:val="24"/>
          <w:highlight w:val="none"/>
          <w:u w:val="single"/>
        </w:rPr>
        <w:t>承包人在开工前须向质量安全监督机构提交备案的书面资料。</w:t>
      </w:r>
    </w:p>
    <w:p w14:paraId="743399DD">
      <w:pPr>
        <w:snapToGrid w:val="0"/>
        <w:spacing w:line="440" w:lineRule="exact"/>
        <w:ind w:firstLine="397"/>
        <w:rPr>
          <w:rFonts w:ascii="宋体" w:hAnsi="宋体" w:eastAsia="宋体" w:cs="宋体"/>
          <w:color w:val="auto"/>
          <w:sz w:val="24"/>
          <w:highlight w:val="none"/>
          <w:u w:val="single"/>
        </w:rPr>
      </w:pPr>
      <w:r>
        <w:rPr>
          <w:rFonts w:hint="eastAsia" w:ascii="宋体" w:hAnsi="宋体" w:eastAsia="宋体" w:cs="宋体"/>
          <w:color w:val="auto"/>
          <w:sz w:val="24"/>
          <w:highlight w:val="none"/>
        </w:rPr>
        <w:t>20.6</w:t>
      </w:r>
      <w:r>
        <w:rPr>
          <w:rFonts w:hint="eastAsia" w:ascii="宋体" w:hAnsi="宋体" w:eastAsia="宋体" w:cs="宋体"/>
          <w:color w:val="auto"/>
          <w:sz w:val="24"/>
          <w:highlight w:val="none"/>
          <w:u w:val="single"/>
        </w:rPr>
        <w:t>承包人在编制施工组织设计时，应当根据工程的特点编制相应的安全技术措施。对危险性较大的分部分项工程和达到一定规模的危险性较大的分部分项工程应当编制专项施工方案，并附具安全验算结果，经施工单位技术负责人签字以及总监理工程师核签后实施，由专职安全生产管理人员进行现场监督。对于超过一定规模的危大工程，施工单位应当组织召开专家论证会对专项施工方案进行论证。危险性较大的分部分项工程和达到一定规模的危险性较大的分部分项工程范围按照《住房和城乡建设部办公厅关于实施&lt;危险性较大的分部分项工程安全管理规定&gt;有关问题的通知》（建办质〔2018〕31号）执行。</w:t>
      </w:r>
    </w:p>
    <w:p w14:paraId="65DA50C0">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20.7</w:t>
      </w:r>
      <w:r>
        <w:rPr>
          <w:rFonts w:hint="eastAsia" w:ascii="宋体" w:hAnsi="宋体" w:cs="宋体"/>
          <w:color w:val="auto"/>
          <w:sz w:val="24"/>
          <w:highlight w:val="none"/>
          <w:u w:val="single"/>
        </w:rPr>
        <w:t>承包人按有关安全和防护的规定组织施工生产，不得使用不合标准的防护器材、机具和材料。</w:t>
      </w:r>
    </w:p>
    <w:p w14:paraId="33463E44">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20.8</w:t>
      </w:r>
      <w:r>
        <w:rPr>
          <w:rFonts w:hint="eastAsia" w:ascii="宋体" w:hAnsi="宋体" w:cs="宋体"/>
          <w:color w:val="auto"/>
          <w:sz w:val="24"/>
          <w:highlight w:val="none"/>
          <w:u w:val="single"/>
        </w:rPr>
        <w:t>在工程实施期间，施工场地一经移交给承包人，承包人即对自身施工场地负有全过程、全面的管理责任，必须对自身施工场地范围内的治安秩序、安全保卫、环境卫生以及周围房屋、市政设施等负全责，对自身施工场地范围内的交通道路、用水、用电、场地内的协调进行的管理和协调。承包人需对其施工场地布置、人员的管理、交通组织制订详细的方案，对施工时段作出合理安排，必须采用全封闭施工方案，确保不对周边环境、道路、行人和相邻施工现场造成不利影响，不得干扰周围居民的正常生活，不得影响学生的上课及正常的活动。</w:t>
      </w:r>
    </w:p>
    <w:p w14:paraId="0B06CE2F">
      <w:pPr>
        <w:adjustRightInd w:val="0"/>
        <w:snapToGrid w:val="0"/>
        <w:spacing w:line="440" w:lineRule="exact"/>
        <w:ind w:right="11" w:firstLine="420" w:firstLineChars="175"/>
        <w:rPr>
          <w:rFonts w:ascii="宋体" w:hAnsi="宋体" w:cs="宋体"/>
          <w:color w:val="auto"/>
          <w:sz w:val="24"/>
          <w:highlight w:val="none"/>
          <w:u w:val="single"/>
        </w:rPr>
      </w:pPr>
      <w:r>
        <w:rPr>
          <w:rFonts w:ascii="宋体" w:hAnsi="宋体" w:cs="宋体"/>
          <w:color w:val="auto"/>
          <w:sz w:val="24"/>
          <w:highlight w:val="none"/>
        </w:rPr>
        <w:t>20.9</w:t>
      </w:r>
      <w:r>
        <w:rPr>
          <w:rFonts w:hint="eastAsia" w:ascii="宋体" w:hAnsi="宋体" w:cs="宋体"/>
          <w:color w:val="auto"/>
          <w:sz w:val="24"/>
          <w:highlight w:val="none"/>
          <w:u w:val="single"/>
        </w:rPr>
        <w:t>对于承包人或其分包人所雇佣的工人出现的伤亡事故或损失，应由承包人自行负责（但由于发包人或监理单位的行为所造成的除外）。对于这类伤亡或损失，发包人不负责任，不负担涉及这类伤亡或损失的索赔、诉讼、损害赔偿及其他费用。</w:t>
      </w:r>
    </w:p>
    <w:p w14:paraId="034C3E67">
      <w:pPr>
        <w:tabs>
          <w:tab w:val="left" w:pos="2340"/>
        </w:tabs>
        <w:spacing w:line="440" w:lineRule="exact"/>
        <w:ind w:firstLine="482" w:firstLineChars="200"/>
        <w:jc w:val="left"/>
        <w:rPr>
          <w:rFonts w:ascii="宋体" w:hAnsi="宋体" w:cs="宋体"/>
          <w:color w:val="auto"/>
          <w:sz w:val="24"/>
          <w:highlight w:val="none"/>
        </w:rPr>
      </w:pPr>
      <w:r>
        <w:rPr>
          <w:rFonts w:ascii="宋体" w:hAnsi="宋体" w:cs="宋体"/>
          <w:b/>
          <w:color w:val="auto"/>
          <w:sz w:val="24"/>
          <w:highlight w:val="none"/>
        </w:rPr>
        <w:t>21、安全防护</w:t>
      </w:r>
    </w:p>
    <w:p w14:paraId="0780CF95">
      <w:pPr>
        <w:tabs>
          <w:tab w:val="left" w:pos="2340"/>
        </w:tabs>
        <w:spacing w:line="440" w:lineRule="exact"/>
        <w:ind w:firstLine="480" w:firstLineChars="200"/>
        <w:jc w:val="left"/>
        <w:rPr>
          <w:rFonts w:ascii="宋体" w:hAnsi="宋体" w:cs="宋体"/>
          <w:color w:val="auto"/>
          <w:sz w:val="24"/>
          <w:highlight w:val="none"/>
        </w:rPr>
      </w:pPr>
      <w:r>
        <w:rPr>
          <w:rFonts w:ascii="宋体" w:hAnsi="宋体" w:cs="宋体"/>
          <w:color w:val="auto"/>
          <w:sz w:val="24"/>
          <w:highlight w:val="none"/>
        </w:rPr>
        <w:t>21.3</w:t>
      </w:r>
      <w:r>
        <w:rPr>
          <w:rFonts w:hint="eastAsia" w:ascii="宋体" w:hAnsi="宋体" w:cs="宋体"/>
          <w:color w:val="auto"/>
          <w:sz w:val="24"/>
          <w:highlight w:val="none"/>
          <w:u w:val="single"/>
        </w:rPr>
        <w:t>承包人应在施工现场采取维护安全、防范危险、预防火灾等措施，在特殊作业环境应对作业人员采取劳动保护措施。</w:t>
      </w:r>
    </w:p>
    <w:p w14:paraId="4DA31BF7">
      <w:pPr>
        <w:snapToGrid w:val="0"/>
        <w:spacing w:line="440" w:lineRule="exact"/>
        <w:rPr>
          <w:rFonts w:ascii="宋体" w:hAnsi="宋体" w:cs="宋体"/>
          <w:color w:val="auto"/>
          <w:sz w:val="24"/>
          <w:highlight w:val="none"/>
        </w:rPr>
      </w:pPr>
      <w:r>
        <w:rPr>
          <w:rFonts w:hint="eastAsia" w:ascii="宋体" w:hAnsi="宋体" w:cs="宋体"/>
          <w:color w:val="auto"/>
          <w:sz w:val="24"/>
          <w:highlight w:val="none"/>
        </w:rPr>
        <w:t xml:space="preserve">   </w:t>
      </w:r>
      <w:r>
        <w:rPr>
          <w:rFonts w:ascii="宋体" w:hAnsi="宋体" w:cs="宋体"/>
          <w:color w:val="auto"/>
          <w:sz w:val="24"/>
          <w:highlight w:val="none"/>
        </w:rPr>
        <w:t>21.4</w:t>
      </w:r>
      <w:r>
        <w:rPr>
          <w:rFonts w:hint="eastAsia" w:ascii="宋体" w:hAnsi="宋体" w:cs="宋体"/>
          <w:color w:val="auto"/>
          <w:sz w:val="24"/>
          <w:highlight w:val="none"/>
        </w:rPr>
        <w:t>承包人应加强周边学校、居民住宅的环境保护，制定绿色施工安全防护措施（包括防尘、防噪音、施工围蔽等），施工现场严格按照《广州市建设工程文明施工管理规定》（广州市人民政府令第158号）、《广州市建设工程现场文明施工管理办法》（</w:t>
      </w:r>
      <w:r>
        <w:rPr>
          <w:rFonts w:hint="eastAsia" w:ascii="宋体" w:hAnsi="宋体" w:cs="宋体"/>
          <w:bCs/>
          <w:smallCaps/>
          <w:color w:val="auto"/>
          <w:sz w:val="24"/>
          <w:highlight w:val="none"/>
        </w:rPr>
        <w:t>穗建质</w:t>
      </w:r>
      <w:r>
        <w:rPr>
          <w:rFonts w:hint="eastAsia" w:ascii="宋体" w:hAnsi="宋体" w:cs="宋体"/>
          <w:color w:val="auto"/>
          <w:sz w:val="24"/>
          <w:highlight w:val="none"/>
        </w:rPr>
        <w:t>〔2008〕</w:t>
      </w:r>
      <w:r>
        <w:rPr>
          <w:rFonts w:hint="eastAsia" w:ascii="宋体" w:hAnsi="宋体" w:cs="宋体"/>
          <w:bCs/>
          <w:smallCaps/>
          <w:color w:val="auto"/>
          <w:sz w:val="24"/>
          <w:highlight w:val="none"/>
        </w:rPr>
        <w:t>937号）</w:t>
      </w:r>
      <w:r>
        <w:rPr>
          <w:rFonts w:hint="eastAsia" w:ascii="宋体" w:hAnsi="宋体" w:cs="宋体"/>
          <w:color w:val="auto"/>
          <w:sz w:val="24"/>
          <w:highlight w:val="none"/>
        </w:rPr>
        <w:t>、《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加强规范建设施工现场围蔽的通知》（穗建质〔2018〕1008号）、《广州市建设工程绿色施工围蔽指导图集（V2.0版）》(穗建质〔2020〕1号）</w:t>
      </w:r>
      <w:r>
        <w:rPr>
          <w:rFonts w:hint="eastAsia" w:ascii="宋体" w:hAnsi="宋体" w:cs="宋体"/>
          <w:color w:val="auto"/>
          <w:sz w:val="24"/>
          <w:highlight w:val="none"/>
        </w:rPr>
        <w:t>、</w:t>
      </w:r>
      <w:r>
        <w:rPr>
          <w:rFonts w:hint="eastAsia" w:ascii="宋体" w:hAnsi="宋体"/>
          <w:bCs/>
          <w:snapToGrid w:val="0"/>
          <w:color w:val="auto"/>
          <w:kern w:val="0"/>
          <w:sz w:val="24"/>
          <w:highlight w:val="none"/>
        </w:rPr>
        <w:t>《危险性较大的分部分项工程安全管理规定》(中华人民共和国住房和城乡建设部令第</w:t>
      </w:r>
      <w:r>
        <w:rPr>
          <w:rFonts w:hint="eastAsia" w:ascii="宋体" w:hAnsi="宋体"/>
          <w:b/>
          <w:snapToGrid w:val="0"/>
          <w:color w:val="auto"/>
          <w:kern w:val="0"/>
          <w:sz w:val="24"/>
          <w:highlight w:val="none"/>
        </w:rPr>
        <w:t>47号</w:t>
      </w:r>
      <w:r>
        <w:rPr>
          <w:rFonts w:hint="eastAsia" w:ascii="宋体" w:hAnsi="宋体"/>
          <w:bCs/>
          <w:snapToGrid w:val="0"/>
          <w:color w:val="auto"/>
          <w:kern w:val="0"/>
          <w:sz w:val="24"/>
          <w:highlight w:val="none"/>
        </w:rPr>
        <w:t>)、</w:t>
      </w:r>
      <w:r>
        <w:rPr>
          <w:rFonts w:hint="eastAsia" w:ascii="宋体" w:hAnsi="宋体" w:cs="宋体"/>
          <w:color w:val="auto"/>
          <w:sz w:val="24"/>
          <w:highlight w:val="none"/>
        </w:rPr>
        <w:t>《关于进一步落实我区市政建设项目施工围蔽提升工作的通知》（穗埔建[2019]123号）及《黄埔区住房和城乡建设局</w:t>
      </w:r>
      <w:r>
        <w:rPr>
          <w:rFonts w:ascii="宋体" w:hAnsi="宋体" w:cs="宋体"/>
          <w:color w:val="auto"/>
          <w:sz w:val="24"/>
          <w:highlight w:val="none"/>
        </w:rPr>
        <w:t xml:space="preserve"> </w:t>
      </w:r>
      <w:r>
        <w:rPr>
          <w:rFonts w:hint="eastAsia" w:ascii="宋体" w:hAnsi="宋体" w:cs="宋体"/>
          <w:color w:val="auto"/>
          <w:sz w:val="24"/>
          <w:highlight w:val="none"/>
        </w:rPr>
        <w:t>广州开发区建设和交通局关于进一步规范全区建设工程施工围蔽标准的通知》（穗埔建﹝</w:t>
      </w:r>
      <w:r>
        <w:rPr>
          <w:rFonts w:ascii="宋体" w:hAnsi="宋体" w:cs="宋体"/>
          <w:color w:val="auto"/>
          <w:sz w:val="24"/>
          <w:highlight w:val="none"/>
        </w:rPr>
        <w:t>2020﹞183号）实施。以上文件要求不一致的，以后发布文件为准，若相关部门发布有关施工围蔽新文件规定的，按新规定执行。</w:t>
      </w:r>
      <w:r>
        <w:rPr>
          <w:rFonts w:hint="eastAsia" w:ascii="宋体" w:hAnsi="宋体" w:cs="宋体"/>
          <w:color w:val="auto"/>
          <w:sz w:val="24"/>
          <w:highlight w:val="none"/>
        </w:rPr>
        <w:t>如承包人未及时按要求做好围蔽、落实工地扬尘防治等绿色施工安全防护措施，业主可另行委托单位实施，业主在工程款中扣减相应措施费用。承包人应当在项目施工前编制扬尘污染防治专项方案和扬尘污染防治费用使用计划，明确扬尘控制目标、防治部位、控制措施，并将扬尘污染防治费用专项使用。</w:t>
      </w:r>
    </w:p>
    <w:p w14:paraId="0BEED628">
      <w:pPr>
        <w:snapToGrid w:val="0"/>
        <w:spacing w:line="440" w:lineRule="exact"/>
        <w:rPr>
          <w:rFonts w:ascii="宋体" w:hAnsi="宋体" w:cs="宋体"/>
          <w:color w:val="auto"/>
          <w:sz w:val="24"/>
          <w:highlight w:val="none"/>
          <w:u w:val="single"/>
        </w:rPr>
      </w:pPr>
      <w:r>
        <w:rPr>
          <w:rFonts w:ascii="宋体" w:hAnsi="宋体" w:cs="宋体"/>
          <w:color w:val="auto"/>
          <w:sz w:val="24"/>
          <w:highlight w:val="none"/>
        </w:rPr>
        <w:t xml:space="preserve">   </w:t>
      </w:r>
      <w:r>
        <w:rPr>
          <w:rFonts w:ascii="宋体" w:hAnsi="宋体" w:cs="宋体"/>
          <w:color w:val="auto"/>
          <w:sz w:val="24"/>
          <w:highlight w:val="none"/>
        </w:rPr>
        <w:t>21.5</w:t>
      </w:r>
      <w:r>
        <w:rPr>
          <w:rFonts w:hint="eastAsia" w:ascii="宋体" w:hAnsi="宋体" w:cs="宋体"/>
          <w:color w:val="auto"/>
          <w:sz w:val="24"/>
          <w:highlight w:val="none"/>
          <w:u w:val="single"/>
        </w:rPr>
        <w:t>承包人应按规定对工程施工人员进行安全教育和管理。</w:t>
      </w:r>
    </w:p>
    <w:p w14:paraId="5214831F">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21.6</w:t>
      </w:r>
      <w:r>
        <w:rPr>
          <w:rFonts w:hint="eastAsia" w:ascii="宋体" w:hAnsi="宋体" w:cs="宋体"/>
          <w:color w:val="auto"/>
          <w:sz w:val="24"/>
          <w:highlight w:val="none"/>
          <w:u w:val="single"/>
        </w:rPr>
        <w:t>承包人应书面记录专项安全施工组织设计方案审查、安全检查、安全技术交底、安全隐患整改、安全教育等重要安全管理活动。</w:t>
      </w:r>
    </w:p>
    <w:p w14:paraId="6590AA0B">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21.7</w:t>
      </w:r>
      <w:r>
        <w:rPr>
          <w:rFonts w:hint="eastAsia" w:ascii="宋体" w:hAnsi="宋体" w:cs="宋体"/>
          <w:color w:val="auto"/>
          <w:sz w:val="24"/>
          <w:highlight w:val="none"/>
          <w:u w:val="single"/>
        </w:rPr>
        <w:t>承包人用于本项目的非标起重机械设备须严格执行《关于印发</w:t>
      </w:r>
      <w:r>
        <w:rPr>
          <w:rFonts w:ascii="宋体" w:hAnsi="宋体" w:cs="宋体"/>
          <w:color w:val="auto"/>
          <w:sz w:val="24"/>
          <w:highlight w:val="none"/>
          <w:u w:val="single"/>
        </w:rPr>
        <w:t>&lt;</w:t>
      </w:r>
      <w:r>
        <w:rPr>
          <w:rFonts w:hint="eastAsia" w:ascii="宋体" w:hAnsi="宋体" w:cs="宋体"/>
          <w:color w:val="auto"/>
          <w:sz w:val="24"/>
          <w:highlight w:val="none"/>
          <w:u w:val="single"/>
        </w:rPr>
        <w:t>广州市非标建筑起重机械管理办法</w:t>
      </w:r>
      <w:r>
        <w:rPr>
          <w:rFonts w:ascii="宋体" w:hAnsi="宋体" w:cs="宋体"/>
          <w:color w:val="auto"/>
          <w:sz w:val="24"/>
          <w:highlight w:val="none"/>
          <w:u w:val="single"/>
        </w:rPr>
        <w:t>&gt;</w:t>
      </w:r>
      <w:r>
        <w:rPr>
          <w:rFonts w:hint="eastAsia" w:ascii="宋体" w:hAnsi="宋体" w:cs="宋体"/>
          <w:color w:val="auto"/>
          <w:sz w:val="24"/>
          <w:highlight w:val="none"/>
          <w:u w:val="single"/>
        </w:rPr>
        <w:t>的通知》</w:t>
      </w:r>
      <w:r>
        <w:rPr>
          <w:rFonts w:ascii="宋体" w:hAnsi="宋体" w:cs="宋体"/>
          <w:color w:val="auto"/>
          <w:sz w:val="24"/>
          <w:highlight w:val="none"/>
          <w:u w:val="single"/>
        </w:rPr>
        <w:t>(穗建质[2010]999号)</w:t>
      </w:r>
      <w:r>
        <w:rPr>
          <w:rFonts w:hint="eastAsia" w:ascii="宋体" w:hAnsi="宋体" w:cs="宋体"/>
          <w:color w:val="auto"/>
          <w:sz w:val="24"/>
          <w:highlight w:val="none"/>
          <w:u w:val="single"/>
        </w:rPr>
        <w:t>的相关规定，非标起重机械设备是指没有国家或行业制造标准的各类起重机械设备，如非标架桥设备、</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竖井提升设备、非标龙门吊、贝雷架式或扒杆式起重装置等。</w:t>
      </w:r>
    </w:p>
    <w:p w14:paraId="035BB51E">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21.8</w:t>
      </w:r>
      <w:r>
        <w:rPr>
          <w:rFonts w:hint="eastAsia" w:ascii="宋体" w:hAnsi="宋体" w:cs="宋体"/>
          <w:color w:val="auto"/>
          <w:sz w:val="24"/>
          <w:highlight w:val="none"/>
          <w:u w:val="single"/>
        </w:rPr>
        <w:t>承包人用于本项目的起重设备须严格执行《广州市住房和城乡建设委员会关于启用建筑起重机械设备安全监管系统的通知</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》（穗建质〔</w:t>
      </w:r>
      <w:r>
        <w:rPr>
          <w:rFonts w:ascii="宋体" w:hAnsi="宋体" w:cs="宋体"/>
          <w:color w:val="auto"/>
          <w:sz w:val="24"/>
          <w:highlight w:val="none"/>
          <w:u w:val="single"/>
        </w:rPr>
        <w:t xml:space="preserve">2018〕889号）、《广州市住房和城乡建设局关于进一步加强建筑起重机械安全管理的通知 </w:t>
      </w:r>
      <w:r>
        <w:rPr>
          <w:rFonts w:hint="eastAsia" w:ascii="宋体" w:hAnsi="宋体" w:cs="宋体"/>
          <w:color w:val="auto"/>
          <w:sz w:val="24"/>
          <w:highlight w:val="none"/>
          <w:u w:val="single"/>
        </w:rPr>
        <w:t>》（穗建质【</w:t>
      </w:r>
      <w:r>
        <w:rPr>
          <w:rFonts w:ascii="宋体" w:hAnsi="宋体" w:cs="宋体"/>
          <w:color w:val="auto"/>
          <w:sz w:val="24"/>
          <w:highlight w:val="none"/>
          <w:u w:val="single"/>
        </w:rPr>
        <w:t>2020】216号）、《广州市住房和城乡建设委员会关于进一步加强建筑起重机械设备信息化安全监管的通知》</w:t>
      </w:r>
      <w:r>
        <w:rPr>
          <w:rFonts w:hint="eastAsia" w:ascii="宋体" w:hAnsi="宋体" w:cs="宋体"/>
          <w:color w:val="auto"/>
          <w:sz w:val="24"/>
          <w:highlight w:val="none"/>
          <w:u w:val="single"/>
        </w:rPr>
        <w:t>等相关规定。</w:t>
      </w:r>
    </w:p>
    <w:p w14:paraId="6AD47405">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21.9</w:t>
      </w:r>
      <w:r>
        <w:rPr>
          <w:rFonts w:hint="eastAsia" w:ascii="宋体" w:hAnsi="宋体" w:cs="宋体"/>
          <w:color w:val="auto"/>
          <w:sz w:val="24"/>
          <w:highlight w:val="none"/>
          <w:u w:val="single"/>
        </w:rPr>
        <w:t>承包人在工程实施过程中，按照国家、省、市的相关规定制定相关的专项安全施工方案（如高支模、基坑支护、沉井等），组织专家评审通过后，报监理人、发包人审批后方可开展专项工程的施工。</w:t>
      </w:r>
    </w:p>
    <w:p w14:paraId="54798722">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21.10根据《广州市城乡建设委员会关于印发广州市建设工程施工机械设备环保管理整治联合行动工作方案的函》（穗建质函[2014]2763号）要求，承包人应按上述文件规定执行，确保所有在用施工机械设备整洁、安全、有效，防止尾气污染的超标排放。所有施工机械必须具有出厂合格证明文件或进口设备检测证明文件，机械设备必须使用广州市推广使用的车用燃油。承包人应对正使用的机械设备定期维护保养并采取有效措施减少污染排放。承包人未按上述要求执行的，视为未按约定投入机械设备，按35.2.6</w:t>
      </w:r>
      <w:r>
        <w:rPr>
          <w:rFonts w:hint="eastAsia" w:ascii="宋体" w:hAnsi="宋体" w:cs="宋体"/>
          <w:color w:val="auto"/>
          <w:sz w:val="24"/>
          <w:highlight w:val="none"/>
        </w:rPr>
        <w:t>款（</w:t>
      </w:r>
      <w:r>
        <w:rPr>
          <w:rFonts w:ascii="宋体" w:hAnsi="宋体" w:cs="宋体"/>
          <w:color w:val="auto"/>
          <w:sz w:val="24"/>
          <w:highlight w:val="none"/>
        </w:rPr>
        <w:t>2）项承担违约责任。</w:t>
      </w:r>
    </w:p>
    <w:p w14:paraId="01869E27">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21.11承包人在施工期间要确保工程外场地清洁及道路畅通，如须使用他方道路，则还必须负责养护、保洁责任，否则责任自负。施工和警示标志明显，因施工造成人身损害和财产损失的，由承包人承担责任。</w:t>
      </w:r>
    </w:p>
    <w:p w14:paraId="504DC480">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21.12承包人必须考虑安全、环保等因素在局部施工范围进行围蔽施工，现场围蔽不符合国家有关安全措施及技术要求的，不得开展施工作业，由此造成的工期延长，由承包人自己负责，当作延误工期处理。</w:t>
      </w:r>
    </w:p>
    <w:p w14:paraId="49F40938">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21.13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5F39C805">
      <w:pPr>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21.14承包人应对当地现有的交通道路状况进行充分调查，充分考虑该路段的交通疏导问题和文明施工，制定可行的交通疏导（包括场内和场外）方案，确保原有道路的交通畅通和施工临时排水的通畅，并符合施工环保要求。承包人应与交警及公路管理部门协商，取得同意和协助，并负责承担道路改线或改善和其他费用。相关费用计入措施项目费中，</w:t>
      </w:r>
      <w:r>
        <w:rPr>
          <w:rFonts w:hint="eastAsia" w:ascii="宋体" w:hAnsi="宋体" w:cs="宋体"/>
          <w:color w:val="auto"/>
          <w:sz w:val="24"/>
          <w:highlight w:val="none"/>
        </w:rPr>
        <w:t>结算时按发包人批准的实施方案，按合同约定结算。如果承包人不及时按要求设置，发包人可以另行委托实施。发包人按实际发生的费用在工程款中扣除，承包人不得有任何异议。</w:t>
      </w:r>
    </w:p>
    <w:p w14:paraId="06B35FD3">
      <w:pPr>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22、</w:t>
      </w:r>
      <w:r>
        <w:rPr>
          <w:rFonts w:hint="eastAsia" w:ascii="宋体" w:hAnsi="宋体" w:cs="宋体"/>
          <w:color w:val="auto"/>
          <w:sz w:val="24"/>
          <w:highlight w:val="none"/>
          <w:u w:val="single"/>
        </w:rPr>
        <w:t>事故处理</w:t>
      </w:r>
    </w:p>
    <w:p w14:paraId="37070CB7">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w:t>
      </w:r>
      <w:r>
        <w:rPr>
          <w:rFonts w:hint="eastAsia" w:ascii="宋体" w:hAnsi="宋体" w:cs="宋体"/>
          <w:color w:val="auto"/>
          <w:sz w:val="24"/>
          <w:highlight w:val="none"/>
          <w:u w:val="single"/>
        </w:rPr>
        <w:t>如发生安全事故，除按法定程序办理有关事宜外，还必须按以下程序进行处理：</w:t>
      </w:r>
    </w:p>
    <w:p w14:paraId="7B147959">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22.3.1</w:t>
      </w:r>
      <w:r>
        <w:rPr>
          <w:rFonts w:hint="eastAsia" w:ascii="宋体" w:hAnsi="宋体" w:cs="宋体"/>
          <w:color w:val="auto"/>
          <w:sz w:val="24"/>
          <w:highlight w:val="none"/>
          <w:u w:val="single"/>
        </w:rPr>
        <w:t>报告安全事故：安全事故发生后，承包人应在</w:t>
      </w:r>
      <w:r>
        <w:rPr>
          <w:rFonts w:ascii="宋体" w:hAnsi="宋体" w:cs="宋体"/>
          <w:color w:val="auto"/>
          <w:sz w:val="24"/>
          <w:highlight w:val="none"/>
          <w:u w:val="single"/>
        </w:rPr>
        <w:t>1小时内用最快的信息传递手段，将发生事故的时间、地点、伤亡人数、事故原因等情况，报工程师和发包人。</w:t>
      </w:r>
    </w:p>
    <w:p w14:paraId="3F3C5A7B">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22.3.2</w:t>
      </w:r>
      <w:r>
        <w:rPr>
          <w:rFonts w:hint="eastAsia" w:ascii="宋体" w:hAnsi="宋体" w:cs="宋体"/>
          <w:color w:val="auto"/>
          <w:sz w:val="24"/>
          <w:highlight w:val="none"/>
          <w:u w:val="single"/>
        </w:rPr>
        <w:t>事故处理：承包人负责抢救伤员、排除险情，防止事故扩大蔓延，保护好现场，并做好标志，启动保险理赔程序。</w:t>
      </w:r>
    </w:p>
    <w:p w14:paraId="2AD2EE21">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22.3.3</w:t>
      </w:r>
      <w:r>
        <w:rPr>
          <w:rFonts w:hint="eastAsia" w:ascii="宋体" w:hAnsi="宋体" w:cs="宋体"/>
          <w:color w:val="auto"/>
          <w:sz w:val="24"/>
          <w:highlight w:val="none"/>
          <w:u w:val="single"/>
        </w:rPr>
        <w:t>事故调查：承包人应组织内部技术安全、质量部门的人员组成调查组，开展调查，并配合做好发包人或政府有关部门组织的调查工作。</w:t>
      </w:r>
    </w:p>
    <w:p w14:paraId="14E6D9F1">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22.3.4</w:t>
      </w:r>
      <w:r>
        <w:rPr>
          <w:rFonts w:hint="eastAsia" w:ascii="宋体" w:hAnsi="宋体" w:cs="宋体"/>
          <w:color w:val="auto"/>
          <w:sz w:val="24"/>
          <w:highlight w:val="none"/>
          <w:u w:val="single"/>
        </w:rPr>
        <w:t>调查报告：承包人应把事故发生经过、原因、性质、损失、责任、处理意见、纠正和预防措施撰写成调查报告，送工程师会审后报发包人。</w:t>
      </w:r>
    </w:p>
    <w:p w14:paraId="0786E40F">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六、合同价款与支付</w:t>
      </w:r>
    </w:p>
    <w:p w14:paraId="2BF75C1C">
      <w:pPr>
        <w:snapToGrid w:val="0"/>
        <w:spacing w:line="440" w:lineRule="exact"/>
        <w:ind w:firstLine="360" w:firstLineChars="150"/>
        <w:rPr>
          <w:rFonts w:ascii="宋体" w:hAnsi="宋体" w:cs="宋体"/>
          <w:color w:val="auto"/>
          <w:sz w:val="24"/>
          <w:highlight w:val="none"/>
          <w:u w:val="single"/>
        </w:rPr>
      </w:pPr>
      <w:r>
        <w:rPr>
          <w:rFonts w:ascii="宋体" w:hAnsi="宋体" w:cs="宋体"/>
          <w:color w:val="auto"/>
          <w:sz w:val="24"/>
          <w:highlight w:val="none"/>
        </w:rPr>
        <w:t xml:space="preserve">23.2 </w:t>
      </w:r>
      <w:r>
        <w:rPr>
          <w:rFonts w:hint="eastAsia" w:ascii="宋体" w:hAnsi="宋体" w:cs="宋体"/>
          <w:color w:val="auto"/>
          <w:sz w:val="24"/>
          <w:highlight w:val="none"/>
          <w:u w:val="single"/>
        </w:rPr>
        <w:t>本合同价款按照协议书第五条、本条及专用条款</w:t>
      </w:r>
      <w:r>
        <w:rPr>
          <w:rFonts w:ascii="宋体" w:hAnsi="宋体" w:cs="宋体"/>
          <w:color w:val="auto"/>
          <w:sz w:val="24"/>
          <w:highlight w:val="none"/>
          <w:u w:val="single"/>
        </w:rPr>
        <w:t>23.3款、23.5款约定执行，</w:t>
      </w:r>
      <w:r>
        <w:rPr>
          <w:rFonts w:hint="eastAsia" w:ascii="宋体" w:hAnsi="宋体" w:cs="宋体"/>
          <w:snapToGrid w:val="0"/>
          <w:color w:val="auto"/>
          <w:kern w:val="0"/>
          <w:sz w:val="24"/>
          <w:highlight w:val="none"/>
          <w:u w:val="single"/>
        </w:rPr>
        <w:t>最终按结算终审部门审定价结算</w:t>
      </w:r>
      <w:r>
        <w:rPr>
          <w:rFonts w:hint="eastAsia" w:ascii="宋体" w:hAnsi="宋体" w:cs="宋体"/>
          <w:color w:val="auto"/>
          <w:sz w:val="24"/>
          <w:highlight w:val="none"/>
          <w:u w:val="single"/>
        </w:rPr>
        <w:t>。</w:t>
      </w:r>
    </w:p>
    <w:p w14:paraId="066CB9D6">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本合同价款采用分部分项工程量清单固定综合单价方式确定，具体办法如下：</w:t>
      </w:r>
    </w:p>
    <w:p w14:paraId="7E574732">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1）分部分项工程量清单费：除23.5.1及23.5.2规定情况外，分部分项工程量清单综合单价固定不变，工程量按实计量。</w:t>
      </w:r>
    </w:p>
    <w:p w14:paraId="645D8598">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2）措施项目费：</w:t>
      </w:r>
      <w:r>
        <w:rPr>
          <w:rFonts w:hint="eastAsia" w:ascii="宋体" w:hAnsi="宋体" w:cs="宋体"/>
          <w:color w:val="auto"/>
          <w:sz w:val="24"/>
          <w:highlight w:val="none"/>
          <w:u w:val="single"/>
        </w:rPr>
        <w:t>措施项目费（除施工围蔽费用外）固定不变，包干使用，结算时不予调整，施工围蔽清单综合单价固定不变，工程量按实计量。</w:t>
      </w:r>
    </w:p>
    <w:p w14:paraId="3747F53C">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3）其他项目部分：</w:t>
      </w:r>
      <w:r>
        <w:rPr>
          <w:rFonts w:hint="eastAsia" w:ascii="宋体" w:hAnsi="宋体" w:cs="宋体"/>
          <w:color w:val="auto"/>
          <w:sz w:val="24"/>
          <w:highlight w:val="none"/>
          <w:u w:val="single"/>
        </w:rPr>
        <w:t>按现行清单计价规范或开发区相关规定执行。</w:t>
      </w:r>
    </w:p>
    <w:p w14:paraId="6153ABE7">
      <w:pPr>
        <w:snapToGrid w:val="0"/>
        <w:spacing w:line="440" w:lineRule="exact"/>
        <w:ind w:firstLine="360" w:firstLineChars="150"/>
        <w:rPr>
          <w:rFonts w:ascii="宋体" w:hAnsi="宋体" w:cs="宋体"/>
          <w:color w:val="auto"/>
          <w:sz w:val="24"/>
          <w:highlight w:val="none"/>
          <w:u w:val="single"/>
        </w:rPr>
      </w:pPr>
      <w:r>
        <w:rPr>
          <w:rFonts w:hint="eastAsia" w:ascii="宋体" w:hAnsi="宋体" w:cs="宋体"/>
          <w:color w:val="auto"/>
          <w:sz w:val="24"/>
          <w:highlight w:val="none"/>
          <w:u w:val="single"/>
        </w:rPr>
        <w:t>（</w:t>
      </w:r>
      <w:r>
        <w:rPr>
          <w:rFonts w:ascii="宋体" w:hAnsi="宋体" w:cs="宋体"/>
          <w:color w:val="auto"/>
          <w:sz w:val="24"/>
          <w:highlight w:val="none"/>
          <w:u w:val="single"/>
        </w:rPr>
        <w:t>4）</w:t>
      </w:r>
      <w:r>
        <w:rPr>
          <w:rFonts w:hint="eastAsia" w:ascii="宋体" w:hAnsi="宋体" w:cs="宋体"/>
          <w:color w:val="auto"/>
          <w:sz w:val="24"/>
          <w:highlight w:val="none"/>
          <w:u w:val="single"/>
        </w:rPr>
        <w:t>税金：税金按实计取，费率按国家现行规定执行。</w:t>
      </w:r>
    </w:p>
    <w:p w14:paraId="77D5F608">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23.3</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双方约定合同价款的调整因素：</w:t>
      </w:r>
    </w:p>
    <w:p w14:paraId="367ABBFF">
      <w:pPr>
        <w:numPr>
          <w:ilvl w:val="0"/>
          <w:numId w:val="14"/>
        </w:num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发包人及监理单位共同确认工程量偏差；</w:t>
      </w:r>
    </w:p>
    <w:p w14:paraId="7BBC39D3">
      <w:pPr>
        <w:numPr>
          <w:ilvl w:val="0"/>
          <w:numId w:val="14"/>
        </w:num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发包人及监理单位共同确认工程变更、签证和新增工程；</w:t>
      </w:r>
    </w:p>
    <w:p w14:paraId="1E5735CC">
      <w:pPr>
        <w:numPr>
          <w:ilvl w:val="0"/>
          <w:numId w:val="14"/>
        </w:num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物价变化；</w:t>
      </w:r>
    </w:p>
    <w:p w14:paraId="514B7C93">
      <w:pPr>
        <w:numPr>
          <w:ilvl w:val="0"/>
          <w:numId w:val="14"/>
        </w:num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费用索赔事件或发包人负责的其他情况。</w:t>
      </w:r>
    </w:p>
    <w:p w14:paraId="09FB4AC9">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以上调整事项涉及的价款计价原则按</w:t>
      </w:r>
      <w:r>
        <w:rPr>
          <w:rFonts w:ascii="宋体" w:hAnsi="宋体" w:cs="宋体"/>
          <w:color w:val="auto"/>
          <w:sz w:val="24"/>
          <w:highlight w:val="none"/>
        </w:rPr>
        <w:t>23.5款约定执行。</w:t>
      </w:r>
    </w:p>
    <w:p w14:paraId="1E7F03AC">
      <w:pPr>
        <w:snapToGrid w:val="0"/>
        <w:spacing w:line="440" w:lineRule="exact"/>
        <w:ind w:firstLine="338" w:firstLineChars="141"/>
        <w:rPr>
          <w:rFonts w:ascii="宋体" w:hAnsi="宋体" w:cs="宋体"/>
          <w:color w:val="auto"/>
          <w:sz w:val="24"/>
          <w:highlight w:val="none"/>
        </w:rPr>
      </w:pPr>
      <w:r>
        <w:rPr>
          <w:rFonts w:ascii="宋体" w:hAnsi="宋体" w:cs="宋体"/>
          <w:color w:val="auto"/>
          <w:sz w:val="24"/>
          <w:highlight w:val="none"/>
        </w:rPr>
        <w:t>23.4承包人应在第23.3款情况发生后3天内，将调整原因、金额以书面形式通知监理单位，必须经监理单位和发包人书面批准后作为调整合同价款的依据。对承包人在没有得到发包人的同意和正式盖章书面函件的前提下进行的调整，发包人不予认可，一切责任和后果由承包人承担。</w:t>
      </w:r>
    </w:p>
    <w:p w14:paraId="498AD907">
      <w:pPr>
        <w:pStyle w:val="261"/>
        <w:snapToGrid w:val="0"/>
        <w:spacing w:line="440" w:lineRule="exact"/>
        <w:ind w:firstLine="338" w:firstLineChars="141"/>
        <w:rPr>
          <w:rFonts w:ascii="宋体" w:hAnsi="宋体" w:cs="宋体"/>
          <w:color w:val="auto"/>
          <w:sz w:val="24"/>
          <w:highlight w:val="none"/>
          <w:u w:val="single"/>
        </w:rPr>
      </w:pPr>
      <w:r>
        <w:rPr>
          <w:rFonts w:ascii="宋体" w:hAnsi="宋体" w:cs="宋体"/>
          <w:color w:val="auto"/>
          <w:sz w:val="24"/>
          <w:highlight w:val="none"/>
        </w:rPr>
        <w:t xml:space="preserve"> 23.5</w:t>
      </w:r>
      <w:r>
        <w:rPr>
          <w:rFonts w:hint="eastAsia" w:ascii="宋体" w:hAnsi="宋体" w:cs="宋体"/>
          <w:color w:val="auto"/>
          <w:sz w:val="24"/>
          <w:highlight w:val="none"/>
          <w:u w:val="single"/>
        </w:rPr>
        <w:t>合同价款调整原则</w:t>
      </w:r>
    </w:p>
    <w:p w14:paraId="2E1F498D">
      <w:pPr>
        <w:pStyle w:val="312"/>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23.5.1</w:t>
      </w:r>
      <w:r>
        <w:rPr>
          <w:rFonts w:ascii="宋体" w:hAnsi="宋体" w:eastAsia="宋体" w:cs="宋体"/>
          <w:color w:val="auto"/>
          <w:sz w:val="24"/>
          <w:highlight w:val="none"/>
        </w:rPr>
        <w:t>1</w:t>
      </w:r>
      <w:r>
        <w:rPr>
          <w:rFonts w:hint="eastAsia" w:ascii="宋体" w:hAnsi="宋体" w:eastAsia="宋体" w:cs="宋体"/>
          <w:color w:val="auto"/>
          <w:sz w:val="24"/>
          <w:highlight w:val="none"/>
          <w:u w:val="single"/>
        </w:rPr>
        <w:t>变更、签证工程和新增工程：工程项目实施期间和结算时，招标文件工程量清单中漏列而由监理单位和招标人现场签证确认的工程项目；由于设计需要或项目建设实际需要，会引致工程量清单内数量发生变化、或工程量清单内项目的局部内容发生变化、或新增了工程量清单内没有的项目；原设计没有而由招标人批准设计变更产生的工程项目及经监理单位和招标人现场签证确认的工程项目；合同所确定的工程内容以外，非施工单位原因造成而施工过程中实际发生且需支付工程费用的，并经监理单位和招标人现场签证确认工程实际内容。变更、签证工程和新增工程按以下办法确定价格：</w:t>
      </w:r>
    </w:p>
    <w:p w14:paraId="77ED2844">
      <w:pPr>
        <w:pStyle w:val="2"/>
        <w:spacing w:line="360" w:lineRule="auto"/>
        <w:ind w:left="0" w:leftChars="0" w:firstLine="240" w:firstLineChars="100"/>
        <w:rPr>
          <w:rFonts w:eastAsia="宋体"/>
          <w:color w:val="auto"/>
          <w:sz w:val="24"/>
          <w:highlight w:val="none"/>
        </w:rPr>
      </w:pPr>
      <w:r>
        <w:rPr>
          <w:rFonts w:eastAsia="宋体"/>
          <w:color w:val="auto"/>
          <w:sz w:val="24"/>
          <w:highlight w:val="none"/>
        </w:rPr>
        <w:t>（1）合同工程量清单中有相同适用项目的，则采用该项目投标综合单价；合同工程量清单中相同适用项目有多个的，取最有利于发包人的相同适用项目的投标综合单价。但新增工程量超过15%的，比较招标控制价对应的综合单价并执行中标下浮率和投标综合单价，取两者的较小值作为超出15%的新增工程量的综合单价。</w:t>
      </w:r>
      <w:r>
        <w:rPr>
          <w:rFonts w:hint="eastAsia"/>
          <w:color w:val="auto"/>
          <w:sz w:val="24"/>
          <w:highlight w:val="none"/>
        </w:rPr>
        <w:t>减少</w:t>
      </w:r>
      <w:r>
        <w:rPr>
          <w:rFonts w:eastAsia="宋体"/>
          <w:color w:val="auto"/>
          <w:sz w:val="24"/>
          <w:highlight w:val="none"/>
        </w:rPr>
        <w:t>工程量超过15%的，比较招标控制价对应的综合单价并执行中标下浮率和投标综合单价，取两者的较</w:t>
      </w:r>
      <w:r>
        <w:rPr>
          <w:rFonts w:hint="eastAsia"/>
          <w:color w:val="auto"/>
          <w:sz w:val="24"/>
          <w:highlight w:val="none"/>
        </w:rPr>
        <w:t>大</w:t>
      </w:r>
      <w:r>
        <w:rPr>
          <w:rFonts w:eastAsia="宋体"/>
          <w:color w:val="auto"/>
          <w:sz w:val="24"/>
          <w:highlight w:val="none"/>
        </w:rPr>
        <w:t>值作为</w:t>
      </w:r>
      <w:r>
        <w:rPr>
          <w:rFonts w:hint="eastAsia"/>
          <w:color w:val="auto"/>
          <w:sz w:val="24"/>
          <w:highlight w:val="none"/>
        </w:rPr>
        <w:t>减少</w:t>
      </w:r>
      <w:r>
        <w:rPr>
          <w:rFonts w:eastAsia="宋体"/>
          <w:color w:val="auto"/>
          <w:sz w:val="24"/>
          <w:highlight w:val="none"/>
        </w:rPr>
        <w:t>超出15%的工程量的综合单价</w:t>
      </w:r>
      <w:r>
        <w:rPr>
          <w:rFonts w:hint="eastAsia"/>
          <w:color w:val="auto"/>
          <w:sz w:val="24"/>
          <w:highlight w:val="none"/>
        </w:rPr>
        <w:t>。如同一条清单因多次设计变更导致工程量有增有减时，结算时应根据最终完成的工程量，按此条计价原则进行修正。</w:t>
      </w:r>
    </w:p>
    <w:p w14:paraId="564AF6E1">
      <w:pPr>
        <w:pStyle w:val="2"/>
        <w:spacing w:line="360" w:lineRule="auto"/>
        <w:ind w:left="0" w:leftChars="0" w:firstLine="480" w:firstLineChars="200"/>
        <w:rPr>
          <w:rFonts w:eastAsia="宋体"/>
          <w:color w:val="auto"/>
          <w:sz w:val="24"/>
          <w:highlight w:val="none"/>
        </w:rPr>
      </w:pPr>
      <w:r>
        <w:rPr>
          <w:rFonts w:eastAsia="宋体"/>
          <w:color w:val="auto"/>
          <w:sz w:val="24"/>
          <w:highlight w:val="none"/>
        </w:rPr>
        <w:t>（2）合同工程量清单中无相同适用项目、只有类似适用项目的，则按类似项目的综合单价对相应子目、消耗量、材料设备价格等进行调整换算，原管理费、利润水平不变，仅调整主材和主要设备价格。如合同工程量清单中类似项目的综合单价有两个以上，则由发包人按消耗量最少、管理费和利润取费最低的优先顺序选择类似项目综合单价进行换算。所换算主材及设备价格</w:t>
      </w:r>
      <w:r>
        <w:rPr>
          <w:rFonts w:hint="eastAsia"/>
          <w:color w:val="auto"/>
          <w:sz w:val="24"/>
          <w:highlight w:val="none"/>
        </w:rPr>
        <w:t>按照</w:t>
      </w:r>
      <w:r>
        <w:rPr>
          <w:rFonts w:eastAsia="宋体"/>
          <w:color w:val="auto"/>
          <w:sz w:val="24"/>
          <w:highlight w:val="none"/>
        </w:rPr>
        <w:t>工程造价管理机构发布的实际施工月份《广州地区建设工程常用材料税前综合价格》</w:t>
      </w:r>
      <w:r>
        <w:rPr>
          <w:rFonts w:hint="eastAsia"/>
          <w:color w:val="auto"/>
          <w:sz w:val="24"/>
          <w:highlight w:val="none"/>
        </w:rPr>
        <w:t>并执行中标下浮率</w:t>
      </w:r>
      <w:r>
        <w:rPr>
          <w:rFonts w:eastAsia="宋体"/>
          <w:color w:val="auto"/>
          <w:sz w:val="24"/>
          <w:highlight w:val="none"/>
        </w:rPr>
        <w:t>（实际施工跨月份的，则按监理单位确认的各月施工完成的工程量为基础</w:t>
      </w:r>
      <w:r>
        <w:rPr>
          <w:rFonts w:hint="eastAsia"/>
          <w:color w:val="auto"/>
          <w:sz w:val="24"/>
          <w:highlight w:val="none"/>
        </w:rPr>
        <w:t>采用加权平均值</w:t>
      </w:r>
      <w:r>
        <w:rPr>
          <w:rFonts w:eastAsia="宋体"/>
          <w:color w:val="auto"/>
          <w:sz w:val="24"/>
          <w:highlight w:val="none"/>
        </w:rPr>
        <w:t>进行计算</w:t>
      </w:r>
      <w:r>
        <w:rPr>
          <w:rFonts w:hint="eastAsia"/>
          <w:color w:val="auto"/>
          <w:sz w:val="24"/>
          <w:highlight w:val="none"/>
        </w:rPr>
        <w:t>，如未提供监理确认的各月施工完成工程量的，则按所跨月份中最低的价格进行计算</w:t>
      </w:r>
      <w:r>
        <w:rPr>
          <w:rFonts w:eastAsia="宋体"/>
          <w:color w:val="auto"/>
          <w:sz w:val="24"/>
          <w:highlight w:val="none"/>
        </w:rPr>
        <w:t>）；《广州地区建设工程常用材料税前综合价格》没有的材料、设备单价，参考实际施工期《广州地区建设工程材料（设备）厂商价格信息》</w:t>
      </w:r>
      <w:r>
        <w:rPr>
          <w:rFonts w:hint="eastAsia"/>
          <w:color w:val="auto"/>
          <w:sz w:val="24"/>
          <w:highlight w:val="none"/>
        </w:rPr>
        <w:t>并结合市场询价</w:t>
      </w:r>
      <w:r>
        <w:rPr>
          <w:rFonts w:eastAsia="宋体"/>
          <w:color w:val="auto"/>
          <w:sz w:val="24"/>
          <w:highlight w:val="none"/>
        </w:rPr>
        <w:t>计算税前价格</w:t>
      </w:r>
      <w:r>
        <w:rPr>
          <w:rFonts w:hint="eastAsia"/>
          <w:color w:val="auto"/>
          <w:sz w:val="24"/>
          <w:highlight w:val="none"/>
        </w:rPr>
        <w:t>并执行中标下浮率</w:t>
      </w:r>
      <w:r>
        <w:rPr>
          <w:rFonts w:eastAsia="宋体"/>
          <w:color w:val="auto"/>
          <w:sz w:val="24"/>
          <w:highlight w:val="none"/>
        </w:rPr>
        <w:t>（实际施工跨月份的，则按监理单位确认的各月施工完成的工程量为基础</w:t>
      </w:r>
      <w:r>
        <w:rPr>
          <w:rFonts w:hint="eastAsia"/>
          <w:color w:val="auto"/>
          <w:sz w:val="24"/>
          <w:highlight w:val="none"/>
        </w:rPr>
        <w:t>采用加权平均值</w:t>
      </w:r>
      <w:r>
        <w:rPr>
          <w:rFonts w:eastAsia="宋体"/>
          <w:color w:val="auto"/>
          <w:sz w:val="24"/>
          <w:highlight w:val="none"/>
        </w:rPr>
        <w:t>进行计算</w:t>
      </w:r>
      <w:r>
        <w:rPr>
          <w:rFonts w:hint="eastAsia"/>
          <w:color w:val="auto"/>
          <w:sz w:val="24"/>
          <w:highlight w:val="none"/>
        </w:rPr>
        <w:t>，如未提供监理确认的各月施工完成工程量的，则按所跨月份中最低的价格进行计算</w:t>
      </w:r>
      <w:r>
        <w:rPr>
          <w:rFonts w:eastAsia="宋体"/>
          <w:color w:val="auto"/>
          <w:sz w:val="24"/>
          <w:highlight w:val="none"/>
        </w:rPr>
        <w:t>）。《广州地区建设工程常用材料税前综合价格》及《广州地区建设工程材料（设备）厂商价格信息》均没有的材料、设备价格，由发包人、监理单位、承包人结合市场价共同协商确定。</w:t>
      </w:r>
      <w:r>
        <w:rPr>
          <w:rFonts w:hint="eastAsia" w:eastAsia="宋体"/>
          <w:color w:val="auto"/>
          <w:sz w:val="24"/>
          <w:highlight w:val="none"/>
        </w:rPr>
        <w:t>按上述原则调整后的换算综合单价最终均应执行中标下浮率。</w:t>
      </w:r>
    </w:p>
    <w:p w14:paraId="63957887">
      <w:pPr>
        <w:pStyle w:val="2"/>
        <w:spacing w:line="360" w:lineRule="auto"/>
        <w:ind w:left="0" w:leftChars="0" w:firstLine="480" w:firstLineChars="200"/>
        <w:rPr>
          <w:rFonts w:eastAsia="宋体"/>
          <w:color w:val="auto"/>
          <w:sz w:val="24"/>
          <w:highlight w:val="none"/>
        </w:rPr>
      </w:pPr>
      <w:r>
        <w:rPr>
          <w:rFonts w:eastAsia="宋体"/>
          <w:color w:val="auto"/>
          <w:sz w:val="24"/>
          <w:highlight w:val="none"/>
        </w:rPr>
        <w:t>（3）合同工程量清单报价中没有相同或类似适用项目的，按以下原则计价：</w:t>
      </w:r>
    </w:p>
    <w:p w14:paraId="11367985">
      <w:pPr>
        <w:pStyle w:val="2"/>
        <w:spacing w:line="360" w:lineRule="auto"/>
        <w:ind w:left="0" w:leftChars="0" w:firstLine="480" w:firstLineChars="200"/>
        <w:rPr>
          <w:rFonts w:eastAsia="宋体"/>
          <w:color w:val="auto"/>
          <w:sz w:val="24"/>
          <w:highlight w:val="none"/>
        </w:rPr>
      </w:pPr>
      <w:r>
        <w:rPr>
          <w:rFonts w:eastAsia="宋体"/>
          <w:color w:val="auto"/>
          <w:sz w:val="24"/>
          <w:highlight w:val="none"/>
        </w:rPr>
        <w:t>① 由承包人依据变更工程资料，计量原则，按《广东省房屋建筑与装饰工程综合定额》（2018年）</w:t>
      </w:r>
      <w:r>
        <w:rPr>
          <w:rFonts w:hint="eastAsia"/>
          <w:color w:val="auto"/>
          <w:sz w:val="24"/>
          <w:highlight w:val="none"/>
        </w:rPr>
        <w:t>、</w:t>
      </w:r>
      <w:r>
        <w:rPr>
          <w:rFonts w:eastAsia="宋体"/>
          <w:color w:val="auto"/>
          <w:sz w:val="24"/>
          <w:highlight w:val="none"/>
        </w:rPr>
        <w:t>《广东省通用安装工程综合定额》（2018年）</w:t>
      </w:r>
      <w:r>
        <w:rPr>
          <w:rFonts w:hint="eastAsia"/>
          <w:color w:val="auto"/>
          <w:sz w:val="24"/>
          <w:highlight w:val="none"/>
        </w:rPr>
        <w:t>、</w:t>
      </w:r>
      <w:r>
        <w:rPr>
          <w:rFonts w:eastAsia="宋体"/>
          <w:color w:val="auto"/>
          <w:sz w:val="24"/>
          <w:highlight w:val="none"/>
        </w:rPr>
        <w:t>《广东省市政工程综合定额》（2018年）、《广东省园林绿化工程综合定额》（2018年）、《广东省建设工程施工机具台班费用编制规则</w:t>
      </w:r>
      <w:r>
        <w:rPr>
          <w:rFonts w:hint="eastAsia" w:eastAsia="宋体"/>
          <w:color w:val="auto"/>
          <w:sz w:val="24"/>
          <w:highlight w:val="none"/>
        </w:rPr>
        <w:t>》</w:t>
      </w:r>
      <w:r>
        <w:rPr>
          <w:rFonts w:eastAsia="宋体"/>
          <w:color w:val="auto"/>
          <w:sz w:val="24"/>
          <w:highlight w:val="none"/>
        </w:rPr>
        <w:t>（2018）等相关定额标准及工程实施期工程造价管理机构发布的材料设备参考价格编制综合单价并执行中标下浮率。</w:t>
      </w:r>
      <w:r>
        <w:rPr>
          <w:rFonts w:hint="eastAsia" w:eastAsia="宋体"/>
          <w:color w:val="auto"/>
          <w:sz w:val="24"/>
          <w:highlight w:val="none"/>
        </w:rPr>
        <w:t>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且需对选用的厂商价格信息重新进行市场调研询价后方可使用。《广州地区建设工程常用材料税前综合价格》及《广州地区建设工程材料（设备）厂商价格信息》均没有的相关价格的，由发包人、监理单位、承包人结合市场价共同协商确定。</w:t>
      </w:r>
    </w:p>
    <w:p w14:paraId="334341C0">
      <w:pPr>
        <w:pStyle w:val="2"/>
        <w:spacing w:line="360" w:lineRule="auto"/>
        <w:ind w:left="0" w:leftChars="0" w:firstLine="480" w:firstLineChars="200"/>
        <w:rPr>
          <w:rFonts w:eastAsia="宋体"/>
          <w:color w:val="auto"/>
          <w:sz w:val="24"/>
          <w:highlight w:val="none"/>
        </w:rPr>
      </w:pPr>
      <w:r>
        <w:rPr>
          <w:rFonts w:eastAsia="宋体"/>
          <w:color w:val="auto"/>
          <w:sz w:val="24"/>
          <w:highlight w:val="none"/>
        </w:rPr>
        <w:t>② 合同工程量清单没有相同或相类似且无相关定额的项目，承包人参照《广东省市政工程综合定额》（2018年）、《广东省房屋建筑与装饰工程综合定额》（2018年）、《广东省通用安装工程综合定额》（2018年）、《广东省园林绿化工程综合定额》（2018年）、《广东省建设工程施工机具台班费用编制规则</w:t>
      </w:r>
      <w:r>
        <w:rPr>
          <w:rFonts w:hint="eastAsia" w:eastAsia="宋体"/>
          <w:color w:val="auto"/>
          <w:sz w:val="24"/>
          <w:highlight w:val="none"/>
        </w:rPr>
        <w:t>》</w:t>
      </w:r>
      <w:r>
        <w:rPr>
          <w:rFonts w:eastAsia="宋体"/>
          <w:color w:val="auto"/>
          <w:sz w:val="24"/>
          <w:highlight w:val="none"/>
        </w:rPr>
        <w:t>（2018）等相关定额编制原则（上述定额查找不到的可参考其它相关定额或由发包人与承包人协商确定）及工程实施期工程造价管理机构发布的材料设备参考价格编制综合单价并执行中标下浮率</w:t>
      </w:r>
      <w:r>
        <w:rPr>
          <w:rFonts w:hint="eastAsia"/>
          <w:color w:val="auto"/>
          <w:sz w:val="24"/>
          <w:highlight w:val="none"/>
        </w:rPr>
        <w:t>。其中材料、设备价格执行工程造价管理机构发布的实际施工月份《广州地区建设工程常用材料税前综合价格》（实际施工跨月份的，则按监理单位确认的各月施工完成的工程量为基础分别进行计算）；《广州地区建设工程常用材料税前综合价格》没有的材料、设备单价，参考实际施工期《广州地区建设工程材料（设备）厂商价格信息》计算税前价格（实际施工跨月份的，则按监理单位确认的各月施工完成的工程量为基础分别进行计算），且需对选用的厂商价格信息重新进行市场调研询价后方可使用。《广州地区建设工程常用材料税前综合价格》及《广州地区建设工程材料（设备）厂商价格信息》均没有的相关价格的，由发包人、监理单位、承包人结合市场价共同协商确定。</w:t>
      </w:r>
    </w:p>
    <w:p w14:paraId="7559B2C2">
      <w:pPr>
        <w:pStyle w:val="261"/>
        <w:adjustRightInd w:val="0"/>
        <w:snapToGrid w:val="0"/>
        <w:spacing w:line="440" w:lineRule="exact"/>
        <w:ind w:right="11" w:firstLine="360" w:firstLineChars="150"/>
        <w:rPr>
          <w:rFonts w:ascii="宋体" w:hAnsi="宋体" w:cs="宋体"/>
          <w:color w:val="auto"/>
          <w:sz w:val="24"/>
          <w:highlight w:val="none"/>
        </w:rPr>
      </w:pPr>
      <w:r>
        <w:rPr>
          <w:rFonts w:hint="eastAsia" w:ascii="宋体" w:hAnsi="宋体" w:cs="宋体"/>
          <w:color w:val="auto"/>
          <w:sz w:val="24"/>
          <w:highlight w:val="none"/>
        </w:rPr>
        <w:t>（4）</w:t>
      </w:r>
      <w:r>
        <w:rPr>
          <w:rFonts w:hint="eastAsia" w:ascii="宋体" w:hAnsi="宋体" w:cs="宋体"/>
          <w:color w:val="auto"/>
          <w:sz w:val="24"/>
          <w:highlight w:val="none"/>
          <w:u w:val="single"/>
        </w:rPr>
        <w:t>按上述原则确定价格时，措施项目费用不计取,</w:t>
      </w:r>
      <w:r>
        <w:rPr>
          <w:rFonts w:hint="eastAsia" w:ascii="宋体" w:hAnsi="宋体" w:cs="宋体"/>
          <w:color w:val="auto"/>
          <w:sz w:val="24"/>
          <w:highlight w:val="none"/>
          <w:u w:val="single"/>
        </w:rPr>
        <w:t>清单计价及税金的计取</w:t>
      </w:r>
      <w:r>
        <w:rPr>
          <w:rFonts w:hint="eastAsia" w:ascii="宋体" w:hAnsi="宋体" w:cs="宋体"/>
          <w:color w:val="auto"/>
          <w:sz w:val="24"/>
          <w:highlight w:val="none"/>
          <w:u w:val="single"/>
        </w:rPr>
        <w:t>，应符合《广东省住房和城乡建设厅关于营业税改征增值税后调整广东省建设工程计价依据的通知》（粤建市【2016】1113号）、《广州市住房和城乡建设委员会转发关于营业税改增值税后调整广东省建设工程计价依据有关事项的通知》（穗建筑【2016】744号）及《广州市建设工程造价管理站关于营业税改征增值税后广州市建设工程计价有关问题的通知》（穗建造价【2016】31号）、《广东省住房和城乡建设厅关于印发&lt;广东省建设工程计价依据（2018)&gt;的通知》（穗建市〔2019〕6号）</w:t>
      </w:r>
      <w:r>
        <w:rPr>
          <w:rFonts w:hint="eastAsia" w:ascii="宋体" w:hAnsi="宋体" w:cs="宋体"/>
          <w:color w:val="auto"/>
          <w:sz w:val="24"/>
          <w:highlight w:val="none"/>
          <w:u w:val="single"/>
        </w:rPr>
        <w:t>等相关文件的规定。</w:t>
      </w:r>
    </w:p>
    <w:p w14:paraId="063ACEBB">
      <w:pPr>
        <w:snapToGrid w:val="0"/>
        <w:spacing w:line="440" w:lineRule="exact"/>
        <w:ind w:firstLine="338" w:firstLineChars="141"/>
        <w:rPr>
          <w:rFonts w:ascii="宋体" w:hAnsi="宋体" w:cs="宋体"/>
          <w:color w:val="auto"/>
          <w:sz w:val="24"/>
          <w:highlight w:val="none"/>
        </w:rPr>
      </w:pPr>
      <w:r>
        <w:rPr>
          <w:rFonts w:ascii="宋体" w:hAnsi="宋体" w:cs="宋体"/>
          <w:color w:val="auto"/>
          <w:sz w:val="24"/>
          <w:highlight w:val="none"/>
        </w:rPr>
        <w:t xml:space="preserve">23.5.2 </w:t>
      </w:r>
      <w:r>
        <w:rPr>
          <w:rFonts w:hint="eastAsia" w:ascii="宋体" w:hAnsi="宋体" w:cs="宋体"/>
          <w:color w:val="auto"/>
          <w:sz w:val="24"/>
          <w:highlight w:val="none"/>
          <w:u w:val="single"/>
        </w:rPr>
        <w:t>工程量发生变化时，如项目综合单价与招标控制价对应的综合单价×（</w:t>
      </w:r>
      <w:r>
        <w:rPr>
          <w:rFonts w:ascii="宋体" w:hAnsi="宋体" w:cs="宋体"/>
          <w:color w:val="auto"/>
          <w:sz w:val="24"/>
          <w:highlight w:val="none"/>
          <w:u w:val="single"/>
        </w:rPr>
        <w:t>1-中标下浮率)（下称基价）偏差超过一定幅度时，相应调整项目综合单价。其中项目综合单价＞（1+15%）×基价且工程量增加的，增加部分工程量的综合单价按基价执行；项目综合单价＜（1-15%）×基价且工程量减少的，减少部分工程量的综合单价按基价执行，并从合同价款中扣除</w:t>
      </w:r>
      <w:r>
        <w:rPr>
          <w:rFonts w:hint="eastAsia" w:ascii="宋体" w:hAnsi="宋体" w:cs="宋体"/>
          <w:color w:val="auto"/>
          <w:sz w:val="24"/>
          <w:highlight w:val="none"/>
        </w:rPr>
        <w:t>。</w:t>
      </w:r>
    </w:p>
    <w:p w14:paraId="7FD4FDD7">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rPr>
        <w:t>23.5.3</w:t>
      </w:r>
      <w:r>
        <w:rPr>
          <w:rFonts w:hint="eastAsia" w:ascii="宋体" w:hAnsi="宋体" w:cs="宋体"/>
          <w:color w:val="auto"/>
          <w:sz w:val="24"/>
          <w:highlight w:val="none"/>
          <w:u w:val="single"/>
        </w:rPr>
        <w:t>物价涨跌的价格调整</w:t>
      </w:r>
    </w:p>
    <w:p w14:paraId="3AE2B96F">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1）合同履行期间，出现工程造价管理机构发布的人工、材料、工程设备和施工设备、机械台班单价涨跌超过本工程招标文件规定的投标截止日期前第28天时广州市建设工程造价管理部门发布的人工、材料、工程设备和施工设备、机械台班相应单价且符合以下规定的，应调整合同价款。</w:t>
      </w:r>
    </w:p>
    <w:p w14:paraId="6940707B">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承包人承担工料机价格涨跌幅度在10%以内（含10%）的风险，不予调整合同价款；工料机价格涨跌幅度超过10%时，可以调整合同价款, 调整范围为人工、机械台班、砂、碎石、石屑，及《印发&lt;关于区财政投资工程人工、材料（设备）、机械价格调整的意见&gt;的通知》（穗开环建〔2008〕59号）附件《各类工程可调价差材料（设备）清单》中对应工程类别规定的可调价材料（设备）且属《广州地区建设工程常用材料税前综合价格》（以下简称“综合价格”）包含的材料、设备；“综合价格”中没有的材料、设备均不予调整。</w:t>
      </w:r>
    </w:p>
    <w:p w14:paraId="3B108F7C">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（2）价款调整的方法</w:t>
      </w:r>
    </w:p>
    <w:p w14:paraId="5594F554">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①当人工、机械台班、可调价格的材料设备价格上涨幅度超过10%时，超出10%的部分由发包人承担；当人工、机械台班、可调价格的材料设备价格下跌幅度超过10%时，超出10%的部分由承包人退回发包人。人工、机械台班价格按实际发生的数量调整，材料（设备）按各类工程消耗的主要材料（设备）进行调整。</w:t>
      </w:r>
    </w:p>
    <w:p w14:paraId="2EB5E5AD">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② 价款调整以各调价工料机的数量乘以单价价差，再乘以（1-中标下浮率）计算。各工料机的数量按该当期实际完成的适用投标单价项目的工程量计取，各调价工料机的单价价差以广州市建设工程造价管理部门发布的价格信息为依据，按施工当月信息价格与招标文件规定的投标截止日期前第28天时广州市建设工程造价管理部门发布的人工、材料、工程设备和施工设备、机械台班信息价格差值计取。</w:t>
      </w:r>
    </w:p>
    <w:p w14:paraId="261170B4">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③ 价款调整以月为单位计算，</w:t>
      </w:r>
      <w:r>
        <w:rPr>
          <w:rFonts w:hint="eastAsia" w:ascii="宋体" w:hAnsi="宋体" w:cs="宋体"/>
          <w:color w:val="auto"/>
          <w:sz w:val="24"/>
          <w:highlight w:val="none"/>
          <w:u w:val="single"/>
        </w:rPr>
        <w:t>结算时一次性调整，结算时由承包人直接计入结算申报总价内报发包人审核，无需办理申报审批手续；如施工期间需调整价款的，经发包人、承包人协商一致后可签订价差补充协议，作为追加（减）合同价款和支付工程进度款的依据。</w:t>
      </w:r>
    </w:p>
    <w:p w14:paraId="3190A80D">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④ 各调价材料、设备的信息价格按广州市建设工程造价管理部门发布的当月 “综合价格”计取，综合价格中没有的材料、设备单价，价差不予调整。</w:t>
      </w:r>
    </w:p>
    <w:p w14:paraId="095C3DBB">
      <w:pPr>
        <w:snapToGrid w:val="0"/>
        <w:spacing w:line="440" w:lineRule="exact"/>
        <w:ind w:firstLine="338" w:firstLineChars="141"/>
        <w:rPr>
          <w:rFonts w:ascii="宋体" w:hAnsi="宋体" w:cs="宋体"/>
          <w:color w:val="auto"/>
          <w:sz w:val="24"/>
          <w:highlight w:val="none"/>
          <w:u w:val="single"/>
        </w:rPr>
      </w:pPr>
      <w:r>
        <w:rPr>
          <w:rFonts w:hint="eastAsia" w:ascii="宋体" w:hAnsi="宋体" w:cs="宋体"/>
          <w:color w:val="auto"/>
          <w:sz w:val="24"/>
          <w:highlight w:val="none"/>
          <w:u w:val="single"/>
        </w:rPr>
        <w:t>（3）由于承包人原因导致工期延误的，所延误时段内物价上涨的风险全部由承包人承担，不予调整；如物价下跌，则仍按第（2）款约定计算及扣回相应价款。</w:t>
      </w:r>
    </w:p>
    <w:p w14:paraId="471FABC5">
      <w:pPr>
        <w:spacing w:line="440" w:lineRule="exact"/>
        <w:rPr>
          <w:rFonts w:ascii="宋体" w:hAnsi="宋体" w:cs="宋体"/>
          <w:color w:val="auto"/>
          <w:sz w:val="24"/>
          <w:highlight w:val="none"/>
        </w:rPr>
      </w:pPr>
    </w:p>
    <w:p w14:paraId="4CA4E682">
      <w:pPr>
        <w:snapToGrid w:val="0"/>
        <w:spacing w:line="440" w:lineRule="exact"/>
        <w:rPr>
          <w:rFonts w:ascii="宋体" w:hAnsi="宋体" w:cs="宋体"/>
          <w:b/>
          <w:color w:val="auto"/>
          <w:sz w:val="24"/>
          <w:highlight w:val="none"/>
        </w:rPr>
      </w:pPr>
      <w:r>
        <w:rPr>
          <w:rFonts w:ascii="宋体" w:hAnsi="宋体" w:cs="宋体"/>
          <w:color w:val="auto"/>
          <w:sz w:val="24"/>
          <w:highlight w:val="none"/>
        </w:rPr>
        <w:t xml:space="preserve">  24</w:t>
      </w:r>
      <w:r>
        <w:rPr>
          <w:rFonts w:hint="eastAsia" w:ascii="宋体" w:hAnsi="宋体" w:cs="宋体"/>
          <w:b/>
          <w:color w:val="auto"/>
          <w:sz w:val="24"/>
          <w:highlight w:val="none"/>
        </w:rPr>
        <w:t>、工程预付款及工人工资</w:t>
      </w:r>
    </w:p>
    <w:p w14:paraId="4AFE500D">
      <w:pPr>
        <w:snapToGrid w:val="0"/>
        <w:spacing w:line="440" w:lineRule="exact"/>
        <w:ind w:firstLine="338" w:firstLineChars="141"/>
        <w:rPr>
          <w:rFonts w:ascii="宋体" w:hAnsi="宋体" w:cs="宋体"/>
          <w:color w:val="auto"/>
          <w:sz w:val="24"/>
          <w:highlight w:val="none"/>
        </w:rPr>
      </w:pPr>
      <w:r>
        <w:rPr>
          <w:rFonts w:ascii="宋体" w:hAnsi="宋体" w:cs="宋体"/>
          <w:color w:val="auto"/>
          <w:sz w:val="24"/>
          <w:highlight w:val="none"/>
        </w:rPr>
        <w:t>24.1工程预付款</w:t>
      </w:r>
    </w:p>
    <w:p w14:paraId="68CF9770">
      <w:pPr>
        <w:snapToGrid w:val="0"/>
        <w:spacing w:line="440" w:lineRule="exact"/>
        <w:ind w:firstLine="338" w:firstLineChars="141"/>
        <w:rPr>
          <w:rFonts w:ascii="宋体" w:hAnsi="宋体" w:cs="宋体"/>
          <w:color w:val="auto"/>
          <w:sz w:val="24"/>
          <w:highlight w:val="none"/>
        </w:rPr>
      </w:pPr>
      <w:r>
        <w:rPr>
          <w:rFonts w:ascii="宋体" w:hAnsi="宋体" w:cs="宋体"/>
          <w:color w:val="auto"/>
          <w:sz w:val="24"/>
          <w:highlight w:val="none"/>
        </w:rPr>
        <w:t xml:space="preserve">24.1.1发包人向承包人预付工程款的时间和金额或占合同价款总额的比例：按广州开发区财政投资建设项目管理中心 </w:t>
      </w:r>
      <w:r>
        <w:rPr>
          <w:rFonts w:hint="eastAsia" w:ascii="宋体" w:hAnsi="宋体" w:cs="宋体"/>
          <w:color w:val="auto"/>
          <w:sz w:val="24"/>
          <w:highlight w:val="none"/>
        </w:rPr>
        <w:t>《关于加强建设工程预付款管理的通知》及相关规定核查，承包人相关情况符合要求，且合同生效及财政拨款到位后，发包人预付合同价【</w:t>
      </w:r>
      <w:r>
        <w:rPr>
          <w:rFonts w:hint="eastAsia" w:ascii="宋体" w:hAnsi="宋体" w:cs="宋体"/>
          <w:color w:val="auto"/>
          <w:sz w:val="24"/>
          <w:highlight w:val="none"/>
        </w:rPr>
        <w:t>扣除绿色施工安全防护措施费，若工程量清单中有暂定金则扣除暂定金（含暂列金额和暂估价）部分</w:t>
      </w:r>
      <w:r>
        <w:rPr>
          <w:rFonts w:hint="eastAsia" w:ascii="宋体" w:hAnsi="宋体" w:cs="宋体"/>
          <w:color w:val="auto"/>
          <w:sz w:val="24"/>
          <w:highlight w:val="none"/>
        </w:rPr>
        <w:t>】的</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30</w:t>
      </w:r>
      <w:r>
        <w:rPr>
          <w:rFonts w:ascii="宋体" w:hAnsi="宋体" w:cs="宋体"/>
          <w:color w:val="auto"/>
          <w:sz w:val="24"/>
          <w:highlight w:val="none"/>
          <w:u w:val="single"/>
        </w:rPr>
        <w:t xml:space="preserve"> </w:t>
      </w:r>
      <w:r>
        <w:rPr>
          <w:rFonts w:ascii="宋体" w:hAnsi="宋体" w:cs="宋体"/>
          <w:color w:val="auto"/>
          <w:sz w:val="24"/>
          <w:highlight w:val="none"/>
        </w:rPr>
        <w:t>%作为预付款，但最高不超过</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1000</w:t>
      </w:r>
      <w:r>
        <w:rPr>
          <w:rFonts w:ascii="宋体" w:hAnsi="宋体" w:cs="宋体"/>
          <w:color w:val="auto"/>
          <w:sz w:val="24"/>
          <w:highlight w:val="none"/>
          <w:u w:val="single"/>
        </w:rPr>
        <w:t xml:space="preserve"> </w:t>
      </w:r>
      <w:r>
        <w:rPr>
          <w:rFonts w:hint="eastAsia" w:ascii="宋体" w:hAnsi="宋体" w:cs="宋体"/>
          <w:color w:val="auto"/>
          <w:sz w:val="24"/>
          <w:highlight w:val="none"/>
        </w:rPr>
        <w:t>万元。预付款中，（预付款×工人工资比例）的部分需支付至工人工资专用账户。（注：根据工程实际，执行《广州开发区财政投资建设项目管理中心建设工程招投标管理办法补充规定（</w:t>
      </w:r>
      <w:r>
        <w:rPr>
          <w:rFonts w:ascii="宋体" w:hAnsi="宋体" w:cs="宋体"/>
          <w:color w:val="auto"/>
          <w:sz w:val="24"/>
          <w:highlight w:val="none"/>
        </w:rPr>
        <w:t>2021年试行版）</w:t>
      </w:r>
      <w:r>
        <w:rPr>
          <w:rFonts w:hint="eastAsia" w:ascii="宋体" w:hAnsi="宋体" w:cs="宋体"/>
          <w:color w:val="auto"/>
          <w:sz w:val="24"/>
          <w:highlight w:val="none"/>
        </w:rPr>
        <w:t>广州开发区财政投资建设项目管理中心</w:t>
      </w:r>
      <w:r>
        <w:rPr>
          <w:rFonts w:ascii="宋体" w:hAnsi="宋体" w:cs="宋体"/>
          <w:color w:val="auto"/>
          <w:sz w:val="24"/>
          <w:highlight w:val="none"/>
        </w:rPr>
        <w:t xml:space="preserve"> </w:t>
      </w:r>
      <w:r>
        <w:rPr>
          <w:rFonts w:hint="eastAsia" w:ascii="宋体" w:hAnsi="宋体" w:cs="宋体"/>
          <w:color w:val="auto"/>
          <w:sz w:val="24"/>
          <w:highlight w:val="none"/>
        </w:rPr>
        <w:t>建设工程招投标管理办法补充规定》）</w:t>
      </w:r>
    </w:p>
    <w:p w14:paraId="1D5AF16F">
      <w:pPr>
        <w:snapToGrid w:val="0"/>
        <w:spacing w:line="440" w:lineRule="exact"/>
        <w:ind w:firstLine="338" w:firstLineChars="141"/>
        <w:rPr>
          <w:rFonts w:ascii="宋体" w:hAnsi="宋体" w:cs="宋体"/>
          <w:color w:val="auto"/>
          <w:sz w:val="24"/>
          <w:highlight w:val="none"/>
        </w:rPr>
      </w:pPr>
      <w:r>
        <w:rPr>
          <w:rFonts w:ascii="宋体" w:hAnsi="宋体" w:cs="宋体"/>
          <w:color w:val="auto"/>
          <w:sz w:val="24"/>
          <w:highlight w:val="none"/>
        </w:rPr>
        <w:t xml:space="preserve"> 24.1.2承包人收取预付款后，应优先用于按有关规定缴纳工伤保险和办理建筑意外伤害险，专款专用。</w:t>
      </w:r>
    </w:p>
    <w:p w14:paraId="4C8E303B">
      <w:pPr>
        <w:snapToGrid w:val="0"/>
        <w:spacing w:line="440" w:lineRule="exact"/>
        <w:ind w:firstLine="456" w:firstLineChars="190"/>
        <w:rPr>
          <w:rFonts w:ascii="宋体" w:hAnsi="宋体" w:cs="宋体"/>
          <w:color w:val="auto"/>
          <w:sz w:val="24"/>
          <w:highlight w:val="none"/>
        </w:rPr>
      </w:pPr>
      <w:r>
        <w:rPr>
          <w:rFonts w:ascii="宋体" w:hAnsi="宋体" w:cs="宋体"/>
          <w:color w:val="auto"/>
          <w:sz w:val="24"/>
          <w:highlight w:val="none"/>
        </w:rPr>
        <w:t>24.1.3扣回预付款的时间、比例：按本合同专用条款26条约定执行。</w:t>
      </w:r>
    </w:p>
    <w:p w14:paraId="62C12548">
      <w:pPr>
        <w:snapToGrid w:val="0"/>
        <w:spacing w:line="440" w:lineRule="exact"/>
        <w:ind w:firstLine="456" w:firstLineChars="190"/>
        <w:rPr>
          <w:rFonts w:ascii="宋体" w:hAnsi="宋体" w:cs="宋体"/>
          <w:color w:val="auto"/>
          <w:sz w:val="24"/>
          <w:highlight w:val="none"/>
        </w:rPr>
      </w:pPr>
      <w:r>
        <w:rPr>
          <w:rFonts w:ascii="宋体" w:hAnsi="宋体" w:cs="宋体"/>
          <w:color w:val="auto"/>
          <w:sz w:val="24"/>
          <w:highlight w:val="none"/>
        </w:rPr>
        <w:t>24.2工人工资</w:t>
      </w:r>
    </w:p>
    <w:p w14:paraId="26B2C5B5">
      <w:pPr>
        <w:snapToGrid w:val="0"/>
        <w:spacing w:line="440" w:lineRule="exact"/>
        <w:ind w:firstLine="456" w:firstLineChars="190"/>
        <w:rPr>
          <w:rFonts w:ascii="宋体" w:hAnsi="宋体" w:cs="宋体"/>
          <w:color w:val="auto"/>
          <w:sz w:val="24"/>
          <w:highlight w:val="none"/>
        </w:rPr>
      </w:pPr>
      <w:r>
        <w:rPr>
          <w:rFonts w:ascii="宋体" w:hAnsi="宋体" w:cs="宋体"/>
          <w:color w:val="auto"/>
          <w:sz w:val="24"/>
          <w:highlight w:val="none"/>
        </w:rPr>
        <w:t>24.2.1承包人需按有关规定与商业银行另行签订广州市建设领域工人工资支付专用账户管理协议、开设专用账户并报发包人备案,工人工资支付至专用账户。</w:t>
      </w:r>
    </w:p>
    <w:p w14:paraId="4FE32E0F">
      <w:pPr>
        <w:snapToGrid w:val="0"/>
        <w:spacing w:line="440" w:lineRule="exact"/>
        <w:ind w:firstLine="456" w:firstLineChars="190"/>
        <w:rPr>
          <w:rFonts w:ascii="宋体" w:hAnsi="宋体" w:cs="宋体"/>
          <w:color w:val="auto"/>
          <w:sz w:val="24"/>
          <w:highlight w:val="none"/>
        </w:rPr>
      </w:pPr>
      <w:r>
        <w:rPr>
          <w:rFonts w:ascii="宋体" w:hAnsi="宋体" w:cs="宋体"/>
          <w:color w:val="auto"/>
          <w:sz w:val="24"/>
          <w:highlight w:val="none"/>
        </w:rPr>
        <w:t>24.2.2工人工资进度款与工程进度款同步支付，其中每期需支付的工程进度款×工人工资比例为该期工人工资进度款，支付至工人工资专用账户。</w:t>
      </w:r>
    </w:p>
    <w:p w14:paraId="0148BDB8">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25</w:t>
      </w:r>
      <w:r>
        <w:rPr>
          <w:rFonts w:hint="eastAsia" w:ascii="宋体" w:hAnsi="宋体" w:cs="宋体"/>
          <w:b/>
          <w:color w:val="auto"/>
          <w:sz w:val="24"/>
          <w:highlight w:val="none"/>
        </w:rPr>
        <w:t>、工程量确认</w:t>
      </w:r>
    </w:p>
    <w:p w14:paraId="63FDB0BD">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25.1 </w:t>
      </w:r>
      <w:r>
        <w:rPr>
          <w:rFonts w:hint="eastAsia" w:ascii="宋体" w:hAnsi="宋体" w:cs="宋体"/>
          <w:color w:val="auto"/>
          <w:sz w:val="24"/>
          <w:highlight w:val="none"/>
        </w:rPr>
        <w:t>承包人向工程师提交已完工程量报告的时间：</w:t>
      </w:r>
      <w:r>
        <w:rPr>
          <w:rFonts w:hint="eastAsia" w:ascii="宋体" w:hAnsi="宋体" w:cs="宋体"/>
          <w:color w:val="auto"/>
          <w:sz w:val="24"/>
          <w:highlight w:val="none"/>
          <w:u w:val="single"/>
        </w:rPr>
        <w:t>自开工之日起每周及每月报告已完成工程状况</w:t>
      </w:r>
      <w:r>
        <w:rPr>
          <w:rFonts w:hint="eastAsia" w:ascii="宋体" w:hAnsi="宋体" w:cs="宋体"/>
          <w:color w:val="auto"/>
          <w:sz w:val="24"/>
          <w:highlight w:val="none"/>
        </w:rPr>
        <w:t>。</w:t>
      </w:r>
    </w:p>
    <w:p w14:paraId="7323C1FB">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25.2双方一致同意不适用通用条款25.2款。承包人完成工程量必须经发包人书面确认。</w:t>
      </w:r>
    </w:p>
    <w:p w14:paraId="4C19F46B">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26</w:t>
      </w:r>
      <w:r>
        <w:rPr>
          <w:rFonts w:hint="eastAsia" w:ascii="宋体" w:hAnsi="宋体" w:cs="宋体"/>
          <w:color w:val="auto"/>
          <w:sz w:val="24"/>
          <w:highlight w:val="none"/>
        </w:rPr>
        <w:t>、</w:t>
      </w:r>
      <w:r>
        <w:rPr>
          <w:rFonts w:hint="eastAsia" w:ascii="宋体" w:hAnsi="宋体" w:cs="宋体"/>
          <w:b/>
          <w:color w:val="auto"/>
          <w:sz w:val="24"/>
          <w:highlight w:val="none"/>
        </w:rPr>
        <w:t>工程款（进度款）支付</w:t>
      </w:r>
    </w:p>
    <w:p w14:paraId="6CE182C7">
      <w:pPr>
        <w:snapToGrid w:val="0"/>
        <w:spacing w:line="440" w:lineRule="exact"/>
        <w:ind w:firstLine="480"/>
        <w:rPr>
          <w:rFonts w:ascii="宋体" w:hAnsi="宋体" w:cs="宋体"/>
          <w:color w:val="auto"/>
          <w:sz w:val="24"/>
          <w:highlight w:val="none"/>
        </w:rPr>
      </w:pPr>
      <w:r>
        <w:rPr>
          <w:rFonts w:ascii="宋体" w:hAnsi="宋体" w:cs="宋体"/>
          <w:color w:val="auto"/>
          <w:sz w:val="24"/>
          <w:highlight w:val="none"/>
        </w:rPr>
        <w:t>26.1双方约定的工程款（进度款）支付采取如下的</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方式二</w:t>
      </w:r>
      <w:r>
        <w:rPr>
          <w:rFonts w:ascii="宋体" w:hAnsi="宋体" w:cs="宋体"/>
          <w:color w:val="auto"/>
          <w:sz w:val="24"/>
          <w:highlight w:val="none"/>
          <w:u w:val="single"/>
        </w:rPr>
        <w:t xml:space="preserve"> </w:t>
      </w:r>
      <w:r>
        <w:rPr>
          <w:rFonts w:hint="eastAsia" w:ascii="宋体" w:hAnsi="宋体" w:cs="宋体"/>
          <w:color w:val="auto"/>
          <w:sz w:val="24"/>
          <w:highlight w:val="none"/>
        </w:rPr>
        <w:t>方式进行：</w:t>
      </w:r>
    </w:p>
    <w:p w14:paraId="76A67462">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26.1.1 </w:t>
      </w:r>
      <w:r>
        <w:rPr>
          <w:rFonts w:hint="eastAsia" w:ascii="宋体" w:hAnsi="宋体" w:cs="宋体"/>
          <w:color w:val="auto"/>
          <w:sz w:val="24"/>
          <w:highlight w:val="none"/>
        </w:rPr>
        <w:t>按累计完成工作量百分率支付工程款（进度款）方式：</w:t>
      </w:r>
    </w:p>
    <w:p w14:paraId="5AF2C5F5">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 xml:space="preserve">1）当完成工作量达到 60% </w:t>
      </w:r>
      <w:r>
        <w:rPr>
          <w:rFonts w:hint="eastAsia" w:ascii="宋体" w:hAnsi="宋体" w:cs="宋体"/>
          <w:color w:val="auto"/>
          <w:sz w:val="24"/>
          <w:highlight w:val="none"/>
        </w:rPr>
        <w:t>时，支付工程进度款</w:t>
      </w:r>
      <w:r>
        <w:rPr>
          <w:rFonts w:ascii="宋体" w:hAnsi="宋体" w:cs="宋体"/>
          <w:color w:val="auto"/>
          <w:sz w:val="24"/>
          <w:highlight w:val="none"/>
          <w:u w:val="single"/>
        </w:rPr>
        <w:t xml:space="preserve">   </w:t>
      </w:r>
      <w:r>
        <w:rPr>
          <w:rFonts w:ascii="宋体" w:hAnsi="宋体" w:cs="宋体"/>
          <w:color w:val="auto"/>
          <w:sz w:val="24"/>
          <w:highlight w:val="none"/>
        </w:rPr>
        <w:t>%</w:t>
      </w:r>
      <w:r>
        <w:rPr>
          <w:rFonts w:hint="eastAsia" w:ascii="宋体" w:hAnsi="宋体" w:cs="宋体"/>
          <w:color w:val="auto"/>
          <w:sz w:val="24"/>
          <w:highlight w:val="none"/>
          <w:u w:val="single"/>
        </w:rPr>
        <w:t>【</w:t>
      </w:r>
      <w:r>
        <w:rPr>
          <w:rFonts w:ascii="宋体" w:hAnsi="宋体" w:cs="宋体"/>
          <w:color w:val="auto"/>
          <w:sz w:val="24"/>
          <w:highlight w:val="none"/>
          <w:u w:val="single"/>
        </w:rPr>
        <w:t>累计付款(含已支付的绿色施工安全防护措施费)至合同价款</w:t>
      </w:r>
      <w:r>
        <w:rPr>
          <w:rFonts w:hint="eastAsia" w:ascii="宋体" w:hAnsi="宋体" w:cs="宋体"/>
          <w:color w:val="auto"/>
          <w:sz w:val="24"/>
          <w:highlight w:val="none"/>
          <w:u w:val="single"/>
        </w:rPr>
        <w:t>若有暂定金</w:t>
      </w:r>
      <w:r>
        <w:rPr>
          <w:rFonts w:ascii="宋体" w:hAnsi="宋体" w:cs="宋体"/>
          <w:color w:val="auto"/>
          <w:sz w:val="24"/>
          <w:highlight w:val="none"/>
          <w:u w:val="single"/>
        </w:rPr>
        <w:t>(含暂列金额和暂估价)扣除未计量部分暂定金(含暂列金额和暂估价)后的55%</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5F775818">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2）工程完工，并通过初验后支付合同价款30%</w:t>
      </w:r>
      <w:r>
        <w:rPr>
          <w:rFonts w:hint="eastAsia" w:ascii="宋体" w:hAnsi="宋体" w:cs="宋体"/>
          <w:color w:val="auto"/>
          <w:sz w:val="24"/>
          <w:highlight w:val="none"/>
          <w:u w:val="single"/>
        </w:rPr>
        <w:t>【</w:t>
      </w:r>
      <w:r>
        <w:rPr>
          <w:rFonts w:ascii="宋体" w:hAnsi="宋体" w:cs="宋体"/>
          <w:color w:val="auto"/>
          <w:sz w:val="24"/>
          <w:highlight w:val="none"/>
          <w:u w:val="single"/>
        </w:rPr>
        <w:t>累计付款(含绿色施工安全防护措施费）至合同价款</w:t>
      </w:r>
      <w:r>
        <w:rPr>
          <w:rFonts w:hint="eastAsia" w:ascii="宋体" w:hAnsi="宋体" w:cs="宋体"/>
          <w:color w:val="auto"/>
          <w:sz w:val="24"/>
          <w:highlight w:val="none"/>
          <w:u w:val="single"/>
        </w:rPr>
        <w:t>若有暂定金</w:t>
      </w:r>
      <w:r>
        <w:rPr>
          <w:rFonts w:ascii="宋体" w:hAnsi="宋体" w:cs="宋体"/>
          <w:color w:val="auto"/>
          <w:sz w:val="24"/>
          <w:highlight w:val="none"/>
          <w:u w:val="single"/>
        </w:rPr>
        <w:t>(含暂列金额和暂估价)扣除未计量部分暂定金(含暂列金额和暂估价)后的85%</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34B86D03">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3）工程通过验收并经广州开发区财政局审定施工结算后支付工程款</w:t>
      </w:r>
      <w:r>
        <w:rPr>
          <w:rFonts w:ascii="宋体" w:hAnsi="宋体" w:cs="宋体"/>
          <w:color w:val="auto"/>
          <w:sz w:val="24"/>
          <w:highlight w:val="none"/>
          <w:u w:val="single"/>
        </w:rPr>
        <w:t>(</w:t>
      </w:r>
      <w:r>
        <w:rPr>
          <w:rFonts w:hint="eastAsia" w:ascii="宋体" w:hAnsi="宋体" w:cs="宋体"/>
          <w:color w:val="auto"/>
          <w:sz w:val="24"/>
          <w:highlight w:val="none"/>
          <w:u w:val="single"/>
        </w:rPr>
        <w:t>含绿色施工安全防护措施费）</w:t>
      </w:r>
      <w:r>
        <w:rPr>
          <w:rFonts w:hint="eastAsia" w:ascii="宋体" w:hAnsi="宋体" w:cs="宋体"/>
          <w:color w:val="auto"/>
          <w:sz w:val="24"/>
          <w:highlight w:val="none"/>
        </w:rPr>
        <w:t>至结算价的</w:t>
      </w:r>
      <w:r>
        <w:rPr>
          <w:rFonts w:ascii="宋体" w:hAnsi="宋体" w:cs="宋体"/>
          <w:color w:val="auto"/>
          <w:sz w:val="24"/>
          <w:highlight w:val="none"/>
        </w:rPr>
        <w:t>97%，工程质量要求达到</w:t>
      </w:r>
      <w:r>
        <w:rPr>
          <w:rFonts w:ascii="宋体" w:hAnsi="宋体" w:cs="宋体"/>
          <w:color w:val="auto"/>
          <w:sz w:val="24"/>
          <w:highlight w:val="none"/>
        </w:rPr>
        <w:t>“</w:t>
      </w:r>
      <w:r>
        <w:rPr>
          <w:rFonts w:ascii="宋体" w:hAnsi="宋体" w:cs="宋体"/>
          <w:color w:val="auto"/>
          <w:sz w:val="24"/>
          <w:highlight w:val="none"/>
          <w:u w:val="single"/>
        </w:rPr>
        <w:t xml:space="preserve"> （按投标</w:t>
      </w:r>
      <w:r>
        <w:rPr>
          <w:rFonts w:hint="eastAsia" w:ascii="宋体" w:hAnsi="宋体" w:cs="宋体"/>
          <w:color w:val="auto"/>
          <w:sz w:val="24"/>
          <w:highlight w:val="none"/>
          <w:u w:val="single"/>
        </w:rPr>
        <w:t>文件承诺填写）</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rPr>
        <w:t>的质量标准而支付此款项时尚未获得相关称号的，暂按未达到质量要求暂扣相应违约金，获得相关称号后再行支付给承包人；工程结算价款额度的</w:t>
      </w:r>
      <w:r>
        <w:rPr>
          <w:rFonts w:ascii="宋体" w:hAnsi="宋体" w:cs="宋体"/>
          <w:color w:val="auto"/>
          <w:sz w:val="24"/>
          <w:highlight w:val="none"/>
        </w:rPr>
        <w:t>3%作为保修金，待缺陷责任期结束后结清（不计利息）。</w:t>
      </w:r>
    </w:p>
    <w:p w14:paraId="051F66DD">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上述所有款项均在广州开发区财政局审定该专项资金并拨款到位后支付</w:t>
      </w:r>
      <w:r>
        <w:rPr>
          <w:rFonts w:hint="eastAsia" w:ascii="宋体" w:hAnsi="宋体" w:cs="宋体"/>
          <w:color w:val="auto"/>
          <w:sz w:val="24"/>
          <w:highlight w:val="none"/>
        </w:rPr>
        <w:t>，每期需支付的工程进度款×工人工资比例为该期工人工资进度款，支付至工人工资专用账户。</w:t>
      </w:r>
      <w:r>
        <w:rPr>
          <w:rFonts w:hint="eastAsia" w:ascii="宋体" w:hAnsi="宋体" w:cs="宋体"/>
          <w:color w:val="auto"/>
          <w:sz w:val="24"/>
          <w:highlight w:val="none"/>
        </w:rPr>
        <w:t>办理工程款财政请款手续的时间不计入付款期限。</w:t>
      </w:r>
    </w:p>
    <w:p w14:paraId="077EF569">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26.1.2按月度支付工程款（进度款）：</w:t>
      </w:r>
    </w:p>
    <w:p w14:paraId="1FA3939F">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承包人每月上报完成工程量报表，经监理审核及发包人确认后，发包人按经审定月度完成工程量的</w:t>
      </w:r>
      <w:r>
        <w:rPr>
          <w:rFonts w:ascii="宋体" w:hAnsi="宋体" w:cs="宋体"/>
          <w:color w:val="auto"/>
          <w:sz w:val="24"/>
          <w:highlight w:val="none"/>
        </w:rPr>
        <w:t>85%支付工程进度款。</w:t>
      </w:r>
    </w:p>
    <w:p w14:paraId="7A9824FD">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从本工程发生的第一次进度款支付起，发包人每次按审定月度完成工程量的</w:t>
      </w:r>
      <w:r>
        <w:rPr>
          <w:rFonts w:ascii="宋体" w:hAnsi="宋体" w:cs="宋体"/>
          <w:color w:val="auto"/>
          <w:sz w:val="24"/>
          <w:highlight w:val="none"/>
        </w:rPr>
        <w:t>85%中之50%扣回预付款，每次按审定月度完成工程量的85%扣除应扣回的预付款后支付承包人当次的工程进度款，直至预付款全部扣回完毕止。预付款扣回完毕后，发包人按审定月度完成工程量的85%支付工程进度款；工程完工，累计支付工程款</w:t>
      </w:r>
      <w:r>
        <w:rPr>
          <w:rFonts w:hint="eastAsia" w:ascii="宋体" w:hAnsi="宋体" w:cs="宋体"/>
          <w:color w:val="auto"/>
          <w:sz w:val="24"/>
          <w:highlight w:val="none"/>
          <w:u w:val="single"/>
        </w:rPr>
        <w:t>（含绿色施工安全防护措施费）</w:t>
      </w:r>
      <w:r>
        <w:rPr>
          <w:rFonts w:hint="eastAsia" w:ascii="宋体" w:hAnsi="宋体" w:cs="宋体"/>
          <w:color w:val="auto"/>
          <w:sz w:val="24"/>
          <w:highlight w:val="none"/>
        </w:rPr>
        <w:t>不超过</w:t>
      </w:r>
      <w:r>
        <w:rPr>
          <w:rFonts w:hint="eastAsia" w:ascii="宋体" w:hAnsi="宋体" w:cs="宋体"/>
          <w:color w:val="auto"/>
          <w:sz w:val="24"/>
          <w:highlight w:val="none"/>
        </w:rPr>
        <w:t>合同价扣除若有暂定金</w:t>
      </w:r>
      <w:r>
        <w:rPr>
          <w:rFonts w:hint="eastAsia" w:ascii="宋体" w:hAnsi="宋体" w:cs="宋体"/>
          <w:color w:val="auto"/>
          <w:sz w:val="24"/>
          <w:highlight w:val="none"/>
          <w:u w:val="single"/>
        </w:rPr>
        <w:t>（含暂列金额及暂估价）</w:t>
      </w:r>
      <w:r>
        <w:rPr>
          <w:rFonts w:hint="eastAsia" w:ascii="宋体" w:hAnsi="宋体" w:cs="宋体"/>
          <w:color w:val="auto"/>
          <w:sz w:val="24"/>
          <w:highlight w:val="none"/>
        </w:rPr>
        <w:t>则扣除未计量部分暂定金后的</w:t>
      </w:r>
      <w:r>
        <w:rPr>
          <w:rFonts w:ascii="宋体" w:hAnsi="宋体" w:cs="宋体"/>
          <w:color w:val="auto"/>
          <w:sz w:val="24"/>
          <w:highlight w:val="none"/>
        </w:rPr>
        <w:t>85%。</w:t>
      </w:r>
    </w:p>
    <w:p w14:paraId="6B541533">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工程通过验收并经广州开发区财政局审定施工结算后支付工程款</w:t>
      </w:r>
      <w:r>
        <w:rPr>
          <w:rFonts w:hint="eastAsia" w:ascii="宋体" w:hAnsi="宋体" w:cs="宋体"/>
          <w:color w:val="auto"/>
          <w:sz w:val="24"/>
          <w:highlight w:val="none"/>
          <w:u w:val="single"/>
        </w:rPr>
        <w:t>（</w:t>
      </w:r>
      <w:r>
        <w:rPr>
          <w:rFonts w:hint="eastAsia" w:ascii="宋体" w:hAnsi="宋体" w:cs="宋体"/>
          <w:color w:val="auto"/>
          <w:sz w:val="24"/>
          <w:highlight w:val="none"/>
          <w:u w:val="single"/>
        </w:rPr>
        <w:t>含绿色施工安全防护措施费</w:t>
      </w:r>
      <w:r>
        <w:rPr>
          <w:rFonts w:hint="eastAsia" w:ascii="宋体" w:hAnsi="宋体" w:cs="宋体"/>
          <w:color w:val="auto"/>
          <w:sz w:val="24"/>
          <w:highlight w:val="none"/>
          <w:u w:val="single"/>
        </w:rPr>
        <w:t>）</w:t>
      </w:r>
      <w:r>
        <w:rPr>
          <w:rFonts w:hint="eastAsia" w:ascii="宋体" w:hAnsi="宋体" w:cs="宋体"/>
          <w:color w:val="auto"/>
          <w:sz w:val="24"/>
          <w:highlight w:val="none"/>
        </w:rPr>
        <w:t>至结算价的</w:t>
      </w:r>
      <w:r>
        <w:rPr>
          <w:rFonts w:ascii="宋体" w:hAnsi="宋体" w:cs="宋体"/>
          <w:color w:val="auto"/>
          <w:sz w:val="24"/>
          <w:highlight w:val="none"/>
        </w:rPr>
        <w:t>97%，□工程质量要求达到</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（按投标文件承诺填写）</w:t>
      </w:r>
      <w:r>
        <w:rPr>
          <w:rFonts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z w:val="24"/>
          <w:highlight w:val="none"/>
        </w:rPr>
        <w:t>的质量标准而支付此款项时尚未获得相关称号的，暂按未达到质量要求暂扣相应违约金，获得相关称号后再行支付给承包人；工程结算价款额度的</w:t>
      </w:r>
      <w:r>
        <w:rPr>
          <w:rFonts w:ascii="宋体" w:hAnsi="宋体" w:cs="宋体"/>
          <w:color w:val="auto"/>
          <w:sz w:val="24"/>
          <w:highlight w:val="none"/>
        </w:rPr>
        <w:t>3%作为保修金，待缺陷责任期期结束后结清（不计利息）。</w:t>
      </w:r>
    </w:p>
    <w:p w14:paraId="11B88B27">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上述所有款项均在广州开发区财政局审定该专项资金并拨款到位后支付</w:t>
      </w:r>
      <w:r>
        <w:rPr>
          <w:rFonts w:hint="eastAsia" w:ascii="宋体" w:hAnsi="宋体" w:cs="宋体"/>
          <w:color w:val="auto"/>
          <w:sz w:val="24"/>
          <w:highlight w:val="none"/>
        </w:rPr>
        <w:t>，每期需支付的工程进度款×工人工资比例为该期工人工资进度款，支付至工人工资专用账户。办理工程款财政请款手续的时间不计入付款期限。</w:t>
      </w:r>
    </w:p>
    <w:p w14:paraId="1D6F954D">
      <w:pPr>
        <w:adjustRightInd w:val="0"/>
        <w:snapToGrid w:val="0"/>
        <w:spacing w:line="440" w:lineRule="exact"/>
        <w:ind w:right="11" w:firstLine="420" w:firstLineChars="175"/>
        <w:rPr>
          <w:rFonts w:ascii="宋体" w:hAnsi="宋体" w:cs="宋体"/>
          <w:color w:val="auto"/>
          <w:sz w:val="24"/>
          <w:highlight w:val="none"/>
        </w:rPr>
      </w:pPr>
      <w:r>
        <w:rPr>
          <w:rFonts w:ascii="宋体" w:hAnsi="宋体" w:cs="宋体"/>
          <w:color w:val="auto"/>
          <w:sz w:val="24"/>
          <w:highlight w:val="none"/>
        </w:rPr>
        <w:t>26.2所有因变更、签证及价格调整等原因所调整增加的工程价款均应由承包人按广州开发区、黄埔区及建设业主相关规定程序，报监理初审，并经发包人审批同意后，按审定金额另行签订补充协议支付，或在工程结算中一并支付。</w:t>
      </w:r>
    </w:p>
    <w:p w14:paraId="4AFEBFFD">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26.4工程价款的支付条件：</w:t>
      </w:r>
    </w:p>
    <w:p w14:paraId="50195DF3">
      <w:pPr>
        <w:snapToGrid w:val="0"/>
        <w:spacing w:line="440" w:lineRule="exact"/>
        <w:ind w:firstLine="480"/>
        <w:rPr>
          <w:rFonts w:ascii="宋体" w:hAnsi="宋体" w:cs="宋体"/>
          <w:snapToGrid w:val="0"/>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1）支付预付款：</w:t>
      </w:r>
      <w:r>
        <w:rPr>
          <w:rFonts w:hint="eastAsia" w:ascii="宋体" w:hAnsi="宋体" w:cs="宋体"/>
          <w:color w:val="auto"/>
          <w:sz w:val="24"/>
          <w:highlight w:val="none"/>
          <w:u w:val="single"/>
        </w:rPr>
        <w:t>承包人已与发包人签订工程施工合同，承包人承诺的项目管理人员、机械设备到位。已生效的履约担保已按发包人要求准时提交发包人，工程已经监理工程师批准动工，该工程财政拨款已到位。如工程因用地、拆迁等原因导致不能全面开工，则预付款的支付将按开工部分的工程量占总工程量的比例做相应调整</w:t>
      </w:r>
      <w:r>
        <w:rPr>
          <w:rFonts w:hint="eastAsia" w:ascii="宋体" w:hAnsi="宋体" w:cs="宋体"/>
          <w:snapToGrid w:val="0"/>
          <w:color w:val="auto"/>
          <w:sz w:val="24"/>
          <w:highlight w:val="none"/>
          <w:u w:val="single"/>
        </w:rPr>
        <w:t>。</w:t>
      </w:r>
    </w:p>
    <w:p w14:paraId="19F32DCB">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2）支付工程款（进度款）：</w:t>
      </w:r>
      <w:r>
        <w:rPr>
          <w:rFonts w:hint="eastAsia" w:ascii="宋体" w:hAnsi="宋体" w:cs="宋体"/>
          <w:color w:val="auto"/>
          <w:sz w:val="24"/>
          <w:highlight w:val="none"/>
          <w:u w:val="single"/>
        </w:rPr>
        <w:t>承包人必须及时向监理工程师提供其完成工作量的计量支付汇总报表和相应的分项工程计量支付报表。完成的全部分项工程数量均需有监理工程师的签认手续，计算依据和相关的质量合格证明资料，需通过测量确定数量的必须附有完整的测量资料且有监理工程师的签认。</w:t>
      </w:r>
    </w:p>
    <w:p w14:paraId="49B6B13F">
      <w:pPr>
        <w:pStyle w:val="243"/>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26.5</w:t>
      </w:r>
      <w:r>
        <w:rPr>
          <w:rFonts w:hint="eastAsia" w:ascii="宋体" w:hAnsi="宋体" w:cs="宋体"/>
          <w:color w:val="auto"/>
          <w:sz w:val="24"/>
          <w:highlight w:val="none"/>
          <w:u w:val="single"/>
        </w:rPr>
        <w:t>绿色施工安全防护措施费</w:t>
      </w:r>
      <w:r>
        <w:rPr>
          <w:rFonts w:hint="eastAsia" w:ascii="宋体" w:hAnsi="宋体" w:cs="宋体"/>
          <w:color w:val="auto"/>
          <w:sz w:val="24"/>
          <w:highlight w:val="none"/>
        </w:rPr>
        <w:t>支付的支付条件：</w:t>
      </w:r>
    </w:p>
    <w:p w14:paraId="0731DF48">
      <w:pPr>
        <w:pStyle w:val="243"/>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绿色施工安全防护措施费</w:t>
      </w:r>
      <w:r>
        <w:rPr>
          <w:rFonts w:hint="eastAsia" w:ascii="宋体" w:hAnsi="宋体" w:cs="宋体"/>
          <w:color w:val="auto"/>
          <w:sz w:val="24"/>
          <w:highlight w:val="none"/>
        </w:rPr>
        <w:t>按在工程投标报价中的</w:t>
      </w:r>
      <w:r>
        <w:rPr>
          <w:rFonts w:hint="eastAsia" w:ascii="宋体" w:hAnsi="宋体" w:cs="宋体"/>
          <w:color w:val="auto"/>
          <w:sz w:val="24"/>
          <w:highlight w:val="none"/>
          <w:u w:val="single"/>
        </w:rPr>
        <w:t>绿色施工安全防护措施费</w:t>
      </w:r>
      <w:r>
        <w:rPr>
          <w:rFonts w:hint="eastAsia" w:ascii="宋体" w:hAnsi="宋体" w:cs="宋体"/>
          <w:color w:val="auto"/>
          <w:sz w:val="24"/>
          <w:highlight w:val="none"/>
        </w:rPr>
        <w:t>用计取，专款专用，并从本施工合同价款中提取（</w:t>
      </w:r>
      <w:r>
        <w:rPr>
          <w:rFonts w:hint="eastAsia" w:ascii="宋体" w:hAnsi="宋体" w:cs="宋体"/>
          <w:color w:val="auto"/>
          <w:sz w:val="24"/>
          <w:highlight w:val="none"/>
          <w:u w:val="single"/>
        </w:rPr>
        <w:t>绿色施工安全防护措施费</w:t>
      </w:r>
      <w:r>
        <w:rPr>
          <w:rFonts w:hint="eastAsia" w:ascii="宋体" w:hAnsi="宋体" w:cs="宋体"/>
          <w:color w:val="auto"/>
          <w:sz w:val="24"/>
          <w:highlight w:val="none"/>
        </w:rPr>
        <w:t>已包含在本工程中标价即施工合同价中）。该费用根据</w:t>
      </w:r>
      <w:r>
        <w:rPr>
          <w:rFonts w:hint="eastAsia" w:ascii="宋体" w:hAnsi="宋体" w:cs="宋体"/>
          <w:color w:val="auto"/>
          <w:sz w:val="24"/>
          <w:highlight w:val="none"/>
        </w:rPr>
        <w:t>《广州开发区财政投资建设项目管理中心建设项目绿色施工安全防护措施费支付管理实施细则（2024年修订）》</w:t>
      </w:r>
      <w:r>
        <w:rPr>
          <w:rFonts w:hint="eastAsia" w:ascii="宋体" w:hAnsi="宋体" w:cs="宋体"/>
          <w:color w:val="auto"/>
          <w:sz w:val="24"/>
          <w:highlight w:val="none"/>
        </w:rPr>
        <w:t>（穗开建管〔2024〕47号）及“穗建筑【2008】967号”文及“穗建筑【2018】981号”规定，分阶段支付</w:t>
      </w:r>
      <w:r>
        <w:rPr>
          <w:rFonts w:hint="eastAsia" w:ascii="宋体" w:hAnsi="宋体" w:cs="宋体"/>
          <w:color w:val="auto"/>
          <w:sz w:val="24"/>
          <w:highlight w:val="none"/>
          <w:u w:val="single"/>
        </w:rPr>
        <w:t>绿色施工安全防护措施费</w:t>
      </w:r>
      <w:r>
        <w:rPr>
          <w:rFonts w:hint="eastAsia" w:ascii="宋体" w:hAnsi="宋体" w:cs="宋体"/>
          <w:color w:val="auto"/>
          <w:sz w:val="24"/>
          <w:highlight w:val="none"/>
        </w:rPr>
        <w:t>：</w:t>
      </w:r>
    </w:p>
    <w:p w14:paraId="249BC07F">
      <w:pPr>
        <w:spacing w:line="440" w:lineRule="exact"/>
        <w:rPr>
          <w:rFonts w:ascii="宋体" w:hAnsi="宋体" w:cs="宋体"/>
          <w:color w:val="auto"/>
          <w:sz w:val="24"/>
          <w:highlight w:val="none"/>
        </w:rPr>
      </w:pPr>
      <w:r>
        <w:rPr>
          <w:rFonts w:ascii="宋体" w:hAnsi="宋体" w:cs="宋体"/>
          <w:color w:val="auto"/>
          <w:sz w:val="24"/>
          <w:highlight w:val="none"/>
        </w:rPr>
        <w:t xml:space="preserve">  </w:t>
      </w:r>
      <w:r>
        <w:rPr>
          <w:rFonts w:ascii="宋体" w:hAnsi="宋体" w:cs="宋体"/>
          <w:color w:val="auto"/>
          <w:sz w:val="24"/>
          <w:highlight w:val="none"/>
        </w:rPr>
        <w:t xml:space="preserve">  1</w:t>
      </w:r>
      <w:r>
        <w:rPr>
          <w:rFonts w:hint="eastAsia" w:ascii="宋体" w:hAnsi="宋体" w:cs="宋体"/>
          <w:color w:val="auto"/>
          <w:sz w:val="24"/>
          <w:highlight w:val="none"/>
        </w:rPr>
        <w:t>、</w:t>
      </w:r>
      <w:r>
        <w:rPr>
          <w:rFonts w:hint="eastAsia" w:ascii="宋体" w:hAnsi="宋体" w:eastAsia="宋体" w:cs="宋体"/>
          <w:color w:val="auto"/>
          <w:sz w:val="24"/>
          <w:highlight w:val="none"/>
        </w:rPr>
        <w:t>工程项目开工日一个月内，由</w:t>
      </w:r>
      <w:r>
        <w:rPr>
          <w:rFonts w:hint="eastAsia" w:ascii="宋体" w:hAnsi="宋体" w:cs="宋体"/>
          <w:color w:val="auto"/>
          <w:sz w:val="24"/>
          <w:highlight w:val="none"/>
        </w:rPr>
        <w:t>承包人</w:t>
      </w:r>
      <w:r>
        <w:rPr>
          <w:rFonts w:hint="eastAsia" w:ascii="宋体" w:hAnsi="宋体" w:eastAsia="宋体" w:cs="宋体"/>
          <w:color w:val="auto"/>
          <w:sz w:val="24"/>
          <w:highlight w:val="none"/>
        </w:rPr>
        <w:t>主动向</w:t>
      </w:r>
      <w:r>
        <w:rPr>
          <w:rFonts w:hint="eastAsia" w:ascii="宋体" w:hAnsi="宋体" w:cs="宋体"/>
          <w:color w:val="auto"/>
          <w:sz w:val="24"/>
          <w:highlight w:val="none"/>
        </w:rPr>
        <w:t>发包人</w:t>
      </w:r>
      <w:r>
        <w:rPr>
          <w:rFonts w:hint="eastAsia" w:ascii="宋体" w:hAnsi="宋体" w:eastAsia="宋体" w:cs="宋体"/>
          <w:color w:val="auto"/>
          <w:sz w:val="24"/>
          <w:highlight w:val="none"/>
        </w:rPr>
        <w:t>提出申请</w:t>
      </w:r>
      <w:r>
        <w:rPr>
          <w:rFonts w:hint="eastAsia" w:ascii="宋体" w:hAnsi="宋体" w:cs="宋体"/>
          <w:color w:val="auto"/>
          <w:sz w:val="24"/>
          <w:highlight w:val="none"/>
        </w:rPr>
        <w:t>，预付绿色施工安全防护措施费的</w:t>
      </w:r>
      <w:r>
        <w:rPr>
          <w:rFonts w:ascii="宋体" w:hAnsi="宋体" w:cs="宋体"/>
          <w:color w:val="auto"/>
          <w:sz w:val="24"/>
          <w:highlight w:val="none"/>
        </w:rPr>
        <w:t>50%</w:t>
      </w:r>
      <w:r>
        <w:rPr>
          <w:rFonts w:hint="eastAsia" w:ascii="宋体" w:hAnsi="宋体" w:cs="宋体"/>
          <w:color w:val="auto"/>
          <w:sz w:val="24"/>
          <w:highlight w:val="none"/>
        </w:rPr>
        <w:t>。</w:t>
      </w:r>
    </w:p>
    <w:p w14:paraId="674E08F4">
      <w:pPr>
        <w:spacing w:line="440" w:lineRule="exact"/>
        <w:rPr>
          <w:rFonts w:ascii="宋体" w:hAnsi="宋体" w:cs="宋体"/>
          <w:color w:val="auto"/>
          <w:sz w:val="24"/>
          <w:highlight w:val="none"/>
        </w:rPr>
      </w:pPr>
      <w:r>
        <w:rPr>
          <w:rFonts w:ascii="宋体" w:hAnsi="宋体" w:cs="宋体"/>
          <w:color w:val="auto"/>
          <w:sz w:val="24"/>
          <w:highlight w:val="none"/>
        </w:rPr>
        <w:t xml:space="preserve">    2</w:t>
      </w:r>
      <w:r>
        <w:rPr>
          <w:rFonts w:hint="eastAsia" w:ascii="宋体" w:hAnsi="宋体" w:cs="宋体"/>
          <w:color w:val="auto"/>
          <w:sz w:val="24"/>
          <w:highlight w:val="none"/>
        </w:rPr>
        <w:t>、第一次现场验收合格后可以申请绿色施工安全防护措施费的40%。申请需提供区建管中心出具的《检查记录表》，且评定等级为合格或以上。</w:t>
      </w:r>
    </w:p>
    <w:p w14:paraId="578D174D">
      <w:pPr>
        <w:spacing w:line="440" w:lineRule="exact"/>
        <w:ind w:firstLine="480"/>
        <w:rPr>
          <w:rFonts w:ascii="宋体" w:hAnsi="宋体" w:cs="宋体"/>
          <w:color w:val="auto"/>
          <w:sz w:val="24"/>
          <w:highlight w:val="none"/>
        </w:rPr>
      </w:pPr>
      <w:r>
        <w:rPr>
          <w:rFonts w:ascii="宋体" w:hAnsi="宋体" w:cs="宋体"/>
          <w:color w:val="auto"/>
          <w:sz w:val="24"/>
          <w:highlight w:val="none"/>
        </w:rPr>
        <w:t>3</w:t>
      </w:r>
      <w:r>
        <w:rPr>
          <w:rFonts w:hint="eastAsia" w:ascii="宋体" w:hAnsi="宋体" w:cs="宋体"/>
          <w:color w:val="auto"/>
          <w:sz w:val="24"/>
          <w:highlight w:val="none"/>
        </w:rPr>
        <w:t>、第二次现场验收合格后可以申请绿色施工安全防护措施费的10%。申请需提供区质监站出具的《建设工程施工安全评价书》且评定等级为合格或以上。</w:t>
      </w:r>
    </w:p>
    <w:p w14:paraId="7F409DB5">
      <w:pPr>
        <w:spacing w:line="440" w:lineRule="exact"/>
        <w:ind w:firstLine="480"/>
        <w:rPr>
          <w:rFonts w:ascii="宋体" w:hAnsi="宋体" w:cs="宋体"/>
          <w:color w:val="auto"/>
          <w:sz w:val="24"/>
          <w:highlight w:val="none"/>
        </w:rPr>
      </w:pPr>
      <w:r>
        <w:rPr>
          <w:rFonts w:hint="eastAsia" w:ascii="宋体" w:hAnsi="宋体" w:eastAsia="宋体" w:cs="宋体"/>
          <w:color w:val="auto"/>
          <w:sz w:val="24"/>
          <w:highlight w:val="none"/>
          <w:u w:val="single"/>
        </w:rPr>
        <w:t>如存在特殊情况的，</w:t>
      </w:r>
      <w:r>
        <w:rPr>
          <w:rFonts w:hint="eastAsia" w:ascii="宋体" w:hAnsi="宋体" w:cs="宋体"/>
          <w:color w:val="auto"/>
          <w:sz w:val="24"/>
          <w:highlight w:val="none"/>
          <w:u w:val="single"/>
        </w:rPr>
        <w:t>绿色施工安全防护措施费</w:t>
      </w:r>
      <w:r>
        <w:rPr>
          <w:rFonts w:hint="eastAsia" w:ascii="宋体" w:hAnsi="宋体" w:cs="宋体"/>
          <w:color w:val="auto"/>
          <w:sz w:val="24"/>
          <w:highlight w:val="none"/>
        </w:rPr>
        <w:t>具体支付方式及条件以《广州开发区财政投资建设项目管理中心建设项目绿色施工安全防护措施费支付管理实施细则（2024年修订）》</w:t>
      </w:r>
      <w:r>
        <w:rPr>
          <w:rFonts w:hint="eastAsia" w:ascii="宋体" w:hAnsi="宋体" w:cs="宋体"/>
          <w:color w:val="auto"/>
          <w:sz w:val="24"/>
          <w:highlight w:val="none"/>
        </w:rPr>
        <w:t>（穗开建管〔2024〕47号）</w:t>
      </w:r>
      <w:r>
        <w:rPr>
          <w:rFonts w:hint="eastAsia" w:ascii="宋体" w:hAnsi="宋体" w:cs="宋体"/>
          <w:color w:val="auto"/>
          <w:sz w:val="24"/>
          <w:highlight w:val="none"/>
        </w:rPr>
        <w:t>为准。</w:t>
      </w:r>
    </w:p>
    <w:p w14:paraId="135D03FC">
      <w:pPr>
        <w:pStyle w:val="263"/>
        <w:spacing w:line="440" w:lineRule="exact"/>
        <w:ind w:firstLine="480" w:firstLineChars="200"/>
        <w:outlineLvl w:val="1"/>
        <w:rPr>
          <w:rFonts w:ascii="宋体" w:hAnsi="宋体" w:cs="宋体"/>
          <w:color w:val="auto"/>
          <w:sz w:val="24"/>
          <w:szCs w:val="24"/>
          <w:highlight w:val="none"/>
        </w:rPr>
      </w:pPr>
      <w:r>
        <w:rPr>
          <w:rFonts w:ascii="宋体" w:hAnsi="宋体" w:cs="宋体"/>
          <w:color w:val="auto"/>
          <w:sz w:val="24"/>
          <w:szCs w:val="24"/>
          <w:highlight w:val="none"/>
        </w:rPr>
        <w:t>26.6</w:t>
      </w:r>
      <w:r>
        <w:rPr>
          <w:rFonts w:hint="eastAsia" w:ascii="宋体" w:hAnsi="宋体" w:cs="宋体"/>
          <w:color w:val="auto"/>
          <w:sz w:val="24"/>
          <w:szCs w:val="24"/>
          <w:highlight w:val="none"/>
        </w:rPr>
        <w:t>根据广州市环境保护局《关于开展建筑施工扬尘排污费征收工作的通知》（穗环〔2015〕114号）及广州开发区建设和环境保护局《关于开展建筑施工扬尘排污费征收工作的通知》（穗开环〔2015〕20号）规定，本工程需向环保部门交纳建筑施工扬尘排污费，该费用由环保部门根据《广州市建筑施工扬尘排放量核算办法》和《排污费征收标准及计算方法》核定。根据环保部门开具的《排放污染物与排污费缴纳金额核定表》，超标及落后产能部分由承包人承担，其余部分由发包人承担。缴纳方式如下：由承包人以发包人名义先行垫付资金向环保部门缴纳，并在10个工作日内凭缴费凭证就除超标及落后产能外的费用向发包人提交报销申请，逾期未提出申请视为放弃相关权利。</w:t>
      </w:r>
    </w:p>
    <w:p w14:paraId="0D970C22">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七、材料设备供应</w:t>
      </w:r>
    </w:p>
    <w:p w14:paraId="1A370D8A">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27</w:t>
      </w:r>
      <w:r>
        <w:rPr>
          <w:rFonts w:hint="eastAsia" w:ascii="宋体" w:hAnsi="宋体" w:cs="宋体"/>
          <w:b/>
          <w:color w:val="auto"/>
          <w:sz w:val="24"/>
          <w:highlight w:val="none"/>
        </w:rPr>
        <w:t>、发包人供应材料设备</w:t>
      </w:r>
    </w:p>
    <w:p w14:paraId="46C36F67">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27.4 </w:t>
      </w:r>
      <w:r>
        <w:rPr>
          <w:rFonts w:hint="eastAsia" w:ascii="宋体" w:hAnsi="宋体" w:cs="宋体"/>
          <w:color w:val="auto"/>
          <w:sz w:val="24"/>
          <w:highlight w:val="none"/>
        </w:rPr>
        <w:t>发包人供应的材料设备与一览表不符时，双方约定发包人承担责任如下：</w:t>
      </w:r>
    </w:p>
    <w:p w14:paraId="24AAB20B">
      <w:pPr>
        <w:snapToGrid w:val="0"/>
        <w:spacing w:line="440" w:lineRule="exact"/>
        <w:ind w:left="397"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材料设备单价与一览表不符：</w:t>
      </w:r>
      <w:r>
        <w:rPr>
          <w:rFonts w:ascii="宋体" w:hAnsi="宋体" w:cs="宋体"/>
          <w:color w:val="auto"/>
          <w:sz w:val="24"/>
          <w:highlight w:val="none"/>
          <w:u w:val="single"/>
        </w:rPr>
        <mc:AlternateContent>
          <mc:Choice Requires="wps">
            <w:drawing>
              <wp:anchor distT="0" distB="0" distL="114300" distR="114300" simplePos="0" relativeHeight="251666432" behindDoc="0" locked="0" layoutInCell="0" allowOverlap="1">
                <wp:simplePos x="0" y="0"/>
                <wp:positionH relativeFrom="column">
                  <wp:posOffset>3556000</wp:posOffset>
                </wp:positionH>
                <wp:positionV relativeFrom="paragraph">
                  <wp:posOffset>0</wp:posOffset>
                </wp:positionV>
                <wp:extent cx="635" cy="0"/>
                <wp:effectExtent l="0" t="4445" r="0" b="5080"/>
                <wp:wrapNone/>
                <wp:docPr id="19" name="直线 6"/>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线 6" o:spid="_x0000_s1026" o:spt="20" style="position:absolute;left:0pt;margin-left:280pt;margin-top:0pt;height:0pt;width:0.05pt;z-index:251666432;mso-width-relative:page;mso-height-relative:page;" filled="f" stroked="t" coordsize="21600,21600" o:allowincell="f" o:gfxdata="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85eQQ0wAAAAUBAAAPAAAA&#10;AAAAAAEAIAAAACIAAABkcnMvZG93bnJldi54bWxQSwECFAAUAAAACACHTuJAmDvnKuEBAADaAwAA&#10;DgAAAAAAAAABACAAAAAiAQAAZHJzL2Uyb0RvYy54bWxQSwUGAAAAAAYABgBZAQAAdQUAAAAA&#10;">
                <v:fill on="f" focussize="0,0"/>
                <v:stroke color="#000000" joinstyle="round"/>
                <v:imagedata o:title=""/>
                <o:lock v:ext="edit" aspectratio="f"/>
              </v:line>
            </w:pict>
          </mc:Fallback>
        </mc:AlternateConten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575796F3">
      <w:pPr>
        <w:snapToGrid w:val="0"/>
        <w:spacing w:line="440" w:lineRule="exact"/>
        <w:ind w:left="397" w:firstLine="397"/>
        <w:rPr>
          <w:rFonts w:ascii="宋体" w:hAnsi="宋体" w:cs="宋体"/>
          <w:color w:val="auto"/>
          <w:sz w:val="24"/>
          <w:highlight w:val="none"/>
          <w:u w:val="singl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材料设备的品种、规格、型号、质量等级与一览表不符：</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7F8699A4">
      <w:pPr>
        <w:snapToGrid w:val="0"/>
        <w:spacing w:line="440" w:lineRule="exact"/>
        <w:ind w:left="397"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承包人可代为调剂串换的材料：</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59D69D72">
      <w:pPr>
        <w:snapToGrid w:val="0"/>
        <w:spacing w:line="440" w:lineRule="exact"/>
        <w:ind w:left="397"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到货地点与一览表不符：</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4EE59CFE">
      <w:pPr>
        <w:snapToGrid w:val="0"/>
        <w:spacing w:line="440" w:lineRule="exact"/>
        <w:ind w:left="397"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）供应数量与一览表不符：</w:t>
      </w:r>
      <w:r>
        <w:rPr>
          <w:rFonts w:ascii="宋体" w:hAnsi="宋体" w:cs="宋体"/>
          <w:color w:val="auto"/>
          <w:sz w:val="24"/>
          <w:highlight w:val="none"/>
          <w:u w:val="single"/>
        </w:rPr>
        <w:t xml:space="preserve">           /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02055C02">
      <w:pPr>
        <w:snapToGrid w:val="0"/>
        <w:spacing w:line="440" w:lineRule="exact"/>
        <w:ind w:left="397"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）到货时间与一览表不符；</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6FA4011C">
      <w:pPr>
        <w:tabs>
          <w:tab w:val="left" w:pos="700"/>
        </w:tabs>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27.6 </w:t>
      </w:r>
      <w:r>
        <w:rPr>
          <w:rFonts w:hint="eastAsia" w:ascii="宋体" w:hAnsi="宋体" w:cs="宋体"/>
          <w:color w:val="auto"/>
          <w:sz w:val="24"/>
          <w:highlight w:val="none"/>
        </w:rPr>
        <w:t>发包人供应材料设备的结算方法：</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w:t>
      </w:r>
    </w:p>
    <w:p w14:paraId="31E89D45">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28</w:t>
      </w:r>
      <w:r>
        <w:rPr>
          <w:rFonts w:hint="eastAsia" w:ascii="宋体" w:hAnsi="宋体" w:cs="宋体"/>
          <w:b/>
          <w:color w:val="auto"/>
          <w:sz w:val="24"/>
          <w:highlight w:val="none"/>
        </w:rPr>
        <w:t>、承包人采购材料设备</w:t>
      </w:r>
    </w:p>
    <w:p w14:paraId="6CA38A98">
      <w:pPr>
        <w:spacing w:line="440" w:lineRule="exact"/>
        <w:ind w:firstLine="410" w:firstLineChars="171"/>
        <w:rPr>
          <w:rFonts w:ascii="宋体" w:hAnsi="宋体" w:cs="宋体"/>
          <w:color w:val="auto"/>
          <w:sz w:val="24"/>
          <w:highlight w:val="none"/>
          <w:u w:val="single"/>
        </w:rPr>
      </w:pPr>
      <w:r>
        <w:rPr>
          <w:rFonts w:ascii="宋体" w:hAnsi="宋体" w:cs="宋体"/>
          <w:color w:val="auto"/>
          <w:sz w:val="24"/>
          <w:highlight w:val="none"/>
        </w:rPr>
        <w:t xml:space="preserve">28.1 </w:t>
      </w:r>
      <w:r>
        <w:rPr>
          <w:rFonts w:hint="eastAsia" w:ascii="宋体" w:hAnsi="宋体" w:cs="宋体"/>
          <w:color w:val="auto"/>
          <w:sz w:val="24"/>
          <w:highlight w:val="none"/>
        </w:rPr>
        <w:t>承包人采购材料设备的约定：</w:t>
      </w:r>
      <w:r>
        <w:rPr>
          <w:rFonts w:hint="eastAsia" w:ascii="宋体" w:hAnsi="宋体" w:cs="宋体"/>
          <w:color w:val="auto"/>
          <w:sz w:val="24"/>
          <w:highlight w:val="none"/>
          <w:u w:val="single"/>
        </w:rPr>
        <w:t>由承包人负责采购材料设备的，按招标文件规定和本合同专用条款第</w:t>
      </w:r>
      <w:r>
        <w:rPr>
          <w:rFonts w:ascii="宋体" w:hAnsi="宋体" w:cs="宋体"/>
          <w:color w:val="auto"/>
          <w:sz w:val="24"/>
          <w:highlight w:val="none"/>
          <w:u w:val="single"/>
        </w:rPr>
        <w:t>47.28</w:t>
      </w:r>
      <w:r>
        <w:rPr>
          <w:rFonts w:hint="eastAsia" w:ascii="宋体" w:hAnsi="宋体" w:cs="宋体"/>
          <w:color w:val="auto"/>
          <w:sz w:val="24"/>
          <w:highlight w:val="none"/>
          <w:u w:val="single"/>
        </w:rPr>
        <w:t>条约定、工程设计的有关标准并以符合相关行政主管部门颁发的环保标准或要求进行采购，对材料设备质量负责。承包人应将各项材料设备的供货人及品种、规格、数量和供货时间等报送监理人审批，并向监理人提交其负责提供材料设备的合格证明和质量证明文件，满足合同约定的质量标准，承包人在材料设备到货前</w:t>
      </w:r>
      <w:r>
        <w:rPr>
          <w:rFonts w:ascii="宋体" w:hAnsi="宋体" w:cs="宋体"/>
          <w:color w:val="auto"/>
          <w:sz w:val="24"/>
          <w:highlight w:val="none"/>
          <w:u w:val="single"/>
        </w:rPr>
        <w:t>24</w:t>
      </w:r>
      <w:r>
        <w:rPr>
          <w:rFonts w:hint="eastAsia" w:ascii="宋体" w:hAnsi="宋体" w:cs="宋体"/>
          <w:color w:val="auto"/>
          <w:sz w:val="24"/>
          <w:highlight w:val="none"/>
          <w:u w:val="single"/>
        </w:rPr>
        <w:t>小时通知工程师清点。</w:t>
      </w:r>
    </w:p>
    <w:p w14:paraId="25801ABC">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28.2</w:t>
      </w:r>
      <w:r>
        <w:rPr>
          <w:rFonts w:hint="eastAsia" w:ascii="宋体" w:hAnsi="宋体" w:cs="宋体"/>
          <w:color w:val="auto"/>
          <w:sz w:val="24"/>
          <w:highlight w:val="none"/>
          <w:u w:val="single"/>
        </w:rPr>
        <w:t>对承包人提供的材料和设备，承包人应会同监理人、发包人进行检验和交货验收，查验材料合格证明和产品合格证书，并按合同约定和监理人或发包人的指示，进行材料的抽样检验和工程设备的检验检测，检验检测结果提交监理人。不合格的不得使用，该部分检验或试验费用由承包人承担。</w:t>
      </w:r>
    </w:p>
    <w:p w14:paraId="6DA4AD39">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rPr>
        <w:t>28.3</w:t>
      </w:r>
      <w:r>
        <w:rPr>
          <w:rFonts w:hint="eastAsia" w:ascii="宋体" w:hAnsi="宋体" w:cs="宋体"/>
          <w:color w:val="auto"/>
          <w:sz w:val="24"/>
          <w:highlight w:val="none"/>
          <w:u w:val="single"/>
        </w:rPr>
        <w:t>所有材料、设备报价必须报监理、业主同意后方可使用。</w:t>
      </w:r>
    </w:p>
    <w:p w14:paraId="374B5D5A">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八、工程变更</w:t>
      </w:r>
    </w:p>
    <w:p w14:paraId="66D9FCE9">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29、工程设计变更</w:t>
      </w:r>
    </w:p>
    <w:p w14:paraId="132F22AD">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29.4</w:t>
      </w:r>
      <w:r>
        <w:rPr>
          <w:rFonts w:hint="eastAsia" w:ascii="宋体" w:hAnsi="宋体" w:cs="宋体"/>
          <w:color w:val="auto"/>
          <w:sz w:val="24"/>
          <w:highlight w:val="none"/>
          <w:u w:val="single"/>
        </w:rPr>
        <w:t>开工前，发包人组织承包人、监理单位、设计单位对施工图纸进行会审。</w:t>
      </w:r>
    </w:p>
    <w:p w14:paraId="52A78881">
      <w:pPr>
        <w:snapToGrid w:val="0"/>
        <w:spacing w:line="440" w:lineRule="exact"/>
        <w:ind w:firstLine="397"/>
        <w:rPr>
          <w:rFonts w:ascii="宋体" w:hAnsi="宋体" w:cs="宋体"/>
          <w:color w:val="auto"/>
          <w:sz w:val="24"/>
          <w:highlight w:val="none"/>
          <w:u w:val="single"/>
        </w:rPr>
      </w:pPr>
      <w:r>
        <w:rPr>
          <w:rFonts w:hint="eastAsia" w:ascii="宋体" w:hAnsi="宋体" w:cs="宋体"/>
          <w:color w:val="auto"/>
          <w:sz w:val="24"/>
          <w:highlight w:val="none"/>
          <w:u w:val="single"/>
        </w:rPr>
        <w:t>同时，如实施工程变更，承包人应以书面形式通知发包人和监理工程师，经监理工程师审查并报发包人同意后，由发包人与设计单位商定修改或变更设计方案进行实施。</w:t>
      </w:r>
    </w:p>
    <w:p w14:paraId="39DA082B">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29.5</w:t>
      </w:r>
      <w:r>
        <w:rPr>
          <w:rFonts w:hint="eastAsia" w:ascii="宋体" w:hAnsi="宋体" w:cs="宋体"/>
          <w:color w:val="auto"/>
          <w:sz w:val="24"/>
          <w:highlight w:val="none"/>
          <w:u w:val="single"/>
        </w:rPr>
        <w:t>变更应由监理工程师发出变更指令，没有监理工程师的指令，承包人不得进行上述变更。</w:t>
      </w:r>
    </w:p>
    <w:p w14:paraId="5FDDD8A5">
      <w:pPr>
        <w:snapToGrid w:val="0"/>
        <w:spacing w:line="440" w:lineRule="exact"/>
        <w:ind w:firstLine="480"/>
        <w:rPr>
          <w:rFonts w:ascii="宋体" w:hAnsi="宋体" w:cs="宋体"/>
          <w:color w:val="auto"/>
          <w:sz w:val="24"/>
          <w:highlight w:val="none"/>
        </w:rPr>
      </w:pPr>
      <w:r>
        <w:rPr>
          <w:rFonts w:ascii="宋体" w:hAnsi="宋体" w:cs="宋体"/>
          <w:color w:val="auto"/>
          <w:sz w:val="24"/>
          <w:highlight w:val="none"/>
        </w:rPr>
        <w:t>29.6</w:t>
      </w:r>
      <w:r>
        <w:rPr>
          <w:rFonts w:hint="eastAsia" w:ascii="宋体" w:hAnsi="宋体" w:cs="宋体"/>
          <w:color w:val="auto"/>
          <w:sz w:val="24"/>
          <w:highlight w:val="none"/>
          <w:u w:val="single"/>
        </w:rPr>
        <w:t>按施工图纸实施使得工程量少于施工合同工程量清单中已确定或有规定的数量的，则该项工程量减少不需要任何指令。</w:t>
      </w:r>
    </w:p>
    <w:p w14:paraId="5F444171">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29.7</w:t>
      </w:r>
      <w:r>
        <w:rPr>
          <w:rFonts w:hint="eastAsia" w:ascii="宋体" w:hAnsi="宋体" w:cs="宋体"/>
          <w:color w:val="auto"/>
          <w:sz w:val="24"/>
          <w:highlight w:val="none"/>
          <w:u w:val="single"/>
        </w:rPr>
        <w:t>所有涉及工期和工程量的变更均应获得发包人书面批准才能生效。</w:t>
      </w:r>
    </w:p>
    <w:p w14:paraId="4E88CE48">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 xml:space="preserve">29.8 </w:t>
      </w:r>
      <w:r>
        <w:rPr>
          <w:rFonts w:hint="eastAsia" w:ascii="宋体" w:hAnsi="宋体" w:cs="宋体"/>
          <w:color w:val="auto"/>
          <w:sz w:val="24"/>
          <w:highlight w:val="none"/>
          <w:u w:val="single"/>
        </w:rPr>
        <w:t>当发包人提出变更通知，承包人认为产生了增加费用，承包人应在发包人提出通知要求后</w:t>
      </w:r>
      <w:r>
        <w:rPr>
          <w:rFonts w:ascii="宋体" w:hAnsi="宋体" w:cs="宋体"/>
          <w:color w:val="auto"/>
          <w:sz w:val="24"/>
          <w:highlight w:val="none"/>
          <w:u w:val="single"/>
        </w:rPr>
        <w:t>3-7天（时间视变更大小而定）内向发包人提交增加费用报告，报告内应说明变更原因、增加费用金额、增加费用计算书，若承包人不在规定的时间内提供增加费用报告，该类变更所涉及的增加费用视为包括在合同价款中。发包人提出变更通知的时间是指承包人收取变更通知时进行登记交接的时间。</w:t>
      </w:r>
    </w:p>
    <w:p w14:paraId="1A8AFA79">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29.9</w:t>
      </w:r>
      <w:r>
        <w:rPr>
          <w:rFonts w:hint="eastAsia" w:ascii="宋体" w:hAnsi="宋体" w:cs="宋体"/>
          <w:color w:val="auto"/>
          <w:sz w:val="24"/>
          <w:highlight w:val="none"/>
          <w:u w:val="single"/>
        </w:rPr>
        <w:t>工程变更申报程序按</w:t>
      </w:r>
      <w:r>
        <w:rPr>
          <w:rFonts w:hint="eastAsia" w:ascii="宋体" w:hAnsi="宋体" w:cs="宋体"/>
          <w:color w:val="auto"/>
          <w:sz w:val="24"/>
          <w:highlight w:val="none"/>
          <w:u w:val="single"/>
        </w:rPr>
        <w:t>广州开发区、黄埔区以及建设业主的有关规定执行。</w:t>
      </w:r>
    </w:p>
    <w:p w14:paraId="7897186C">
      <w:pPr>
        <w:widowControl/>
        <w:spacing w:line="440" w:lineRule="exact"/>
        <w:ind w:firstLine="480" w:firstLineChars="200"/>
        <w:jc w:val="left"/>
        <w:rPr>
          <w:rFonts w:ascii="宋体" w:hAnsi="宋体" w:cs="宋体"/>
          <w:color w:val="auto"/>
          <w:sz w:val="24"/>
          <w:highlight w:val="none"/>
          <w:u w:val="single"/>
        </w:rPr>
      </w:pPr>
      <w:r>
        <w:rPr>
          <w:rFonts w:ascii="宋体" w:hAnsi="宋体" w:cs="宋体"/>
          <w:color w:val="auto"/>
          <w:sz w:val="24"/>
          <w:highlight w:val="none"/>
        </w:rPr>
        <w:t>29.10</w:t>
      </w:r>
      <w:r>
        <w:rPr>
          <w:rFonts w:ascii="宋体" w:hAnsi="宋体" w:cs="宋体"/>
          <w:color w:val="auto"/>
          <w:sz w:val="24"/>
          <w:highlight w:val="none"/>
          <w:u w:val="single"/>
        </w:rPr>
        <w:t>工程实施过程中发包人有权对承包内容和范围进行调整，如实际工程量相对施工图纸及施工合同工程量发生变化，承包人不得有任何异议，且承包人不得以任何理由要求发包人补偿任何费用（承包人要充分考虑最不利因素影响）。涉及本合同约定的合同价款调整的，按相关约定处理。</w:t>
      </w:r>
    </w:p>
    <w:p w14:paraId="387B50A9">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30、其它变更</w:t>
      </w:r>
    </w:p>
    <w:p w14:paraId="372DA822">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30.1工程现场签证：</w:t>
      </w:r>
      <w:r>
        <w:rPr>
          <w:rFonts w:hint="eastAsia" w:ascii="宋体" w:hAnsi="宋体" w:cs="宋体"/>
          <w:color w:val="auto"/>
          <w:sz w:val="24"/>
          <w:highlight w:val="none"/>
          <w:u w:val="single"/>
        </w:rPr>
        <w:t>工程现场签证是指施工生产活动中用以证实在施工中遇到的某些特殊情况的一种书证明资料，一般指按承发包合同约定，由承发包双方代表就施工过程中涉及合同价款之外的责任事件所作的签认证明。</w:t>
      </w:r>
    </w:p>
    <w:p w14:paraId="4B3FBD79">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u w:val="single"/>
        </w:rPr>
        <w:t>承包人需对施工图纸进行会审，如需对工程量清单错漏进行</w:t>
      </w:r>
      <w:r>
        <w:rPr>
          <w:rFonts w:hint="eastAsia" w:ascii="宋体" w:hAnsi="宋体" w:cs="宋体"/>
          <w:color w:val="auto"/>
          <w:sz w:val="24"/>
          <w:highlight w:val="none"/>
          <w:u w:val="single"/>
        </w:rPr>
        <w:t>确认</w:t>
      </w:r>
      <w:r>
        <w:rPr>
          <w:rFonts w:hint="eastAsia" w:ascii="宋体" w:hAnsi="宋体" w:cs="宋体"/>
          <w:color w:val="auto"/>
          <w:sz w:val="24"/>
          <w:highlight w:val="none"/>
          <w:u w:val="single"/>
        </w:rPr>
        <w:t>，承包人需在前四分之一工期阶段内且最长不得超过中标通知书发出之日起</w:t>
      </w:r>
      <w:r>
        <w:rPr>
          <w:rFonts w:ascii="宋体" w:hAnsi="宋体" w:cs="宋体"/>
          <w:color w:val="auto"/>
          <w:sz w:val="24"/>
          <w:highlight w:val="none"/>
          <w:u w:val="single"/>
        </w:rPr>
        <w:t>6个月内向发包人提出，</w:t>
      </w:r>
      <w:r>
        <w:rPr>
          <w:rFonts w:hint="eastAsia" w:ascii="宋体" w:hAnsi="宋体" w:cs="宋体"/>
          <w:color w:val="auto"/>
          <w:sz w:val="24"/>
          <w:highlight w:val="none"/>
          <w:u w:val="single"/>
        </w:rPr>
        <w:t>并按《广州开发区财政投资建设项目管理中心工程量清单错漏申报管理办法（2024年）》（穗开建管〔2024〕54</w:t>
      </w:r>
      <w:r>
        <w:rPr>
          <w:rFonts w:hint="eastAsia" w:ascii="宋体" w:hAnsi="宋体" w:cs="宋体"/>
          <w:color w:val="auto"/>
          <w:sz w:val="24"/>
          <w:highlight w:val="none"/>
          <w:u w:val="single"/>
        </w:rPr>
        <w:t>号）</w:t>
      </w:r>
      <w:r>
        <w:rPr>
          <w:rFonts w:hint="eastAsia" w:ascii="宋体" w:hAnsi="宋体" w:cs="宋体"/>
          <w:color w:val="auto"/>
          <w:sz w:val="24"/>
          <w:highlight w:val="none"/>
          <w:u w:val="single"/>
        </w:rPr>
        <w:t>办理申报手续，</w:t>
      </w:r>
      <w:r>
        <w:rPr>
          <w:rFonts w:hint="eastAsia" w:ascii="宋体" w:hAnsi="宋体" w:cs="宋体"/>
          <w:color w:val="auto"/>
          <w:sz w:val="24"/>
          <w:highlight w:val="none"/>
          <w:u w:val="single"/>
        </w:rPr>
        <w:t>同时需配合发包人的复核工作，双方对复核结果盖章签名后方可作为最终结算依据；如因特殊原因，承包人无法在规定时间内申报的，经</w:t>
      </w:r>
      <w:r>
        <w:rPr>
          <w:rFonts w:hint="eastAsia" w:ascii="宋体" w:hAnsi="宋体" w:cs="宋体"/>
          <w:color w:val="auto"/>
          <w:sz w:val="24"/>
          <w:highlight w:val="none"/>
          <w:u w:val="single"/>
        </w:rPr>
        <w:t>发包人同意</w:t>
      </w:r>
      <w:r>
        <w:rPr>
          <w:rFonts w:hint="eastAsia" w:ascii="宋体" w:hAnsi="宋体" w:cs="宋体"/>
          <w:color w:val="auto"/>
          <w:sz w:val="24"/>
          <w:highlight w:val="none"/>
          <w:u w:val="single"/>
        </w:rPr>
        <w:t>后方可申报。</w:t>
      </w:r>
      <w:r>
        <w:rPr>
          <w:rFonts w:hint="eastAsia" w:ascii="宋体" w:hAnsi="宋体" w:cs="宋体"/>
          <w:color w:val="auto"/>
          <w:sz w:val="24"/>
          <w:highlight w:val="none"/>
          <w:u w:val="single"/>
        </w:rPr>
        <w:t>承包人未按上述规定进行申报的，发包人对应申报而未办理申报手续的漏量漏项不予确认。</w:t>
      </w:r>
    </w:p>
    <w:p w14:paraId="41AF0CE6">
      <w:pPr>
        <w:snapToGrid w:val="0"/>
        <w:spacing w:line="440" w:lineRule="exact"/>
        <w:ind w:firstLine="397"/>
        <w:rPr>
          <w:rFonts w:ascii="宋体" w:hAnsi="宋体" w:eastAsia="宋体" w:cs="宋体"/>
          <w:color w:val="auto"/>
          <w:sz w:val="24"/>
          <w:highlight w:val="none"/>
        </w:rPr>
      </w:pPr>
      <w:r>
        <w:rPr>
          <w:rFonts w:ascii="宋体" w:hAnsi="宋体" w:cs="宋体"/>
          <w:color w:val="auto"/>
          <w:sz w:val="24"/>
          <w:highlight w:val="none"/>
        </w:rPr>
        <w:t>30.2</w:t>
      </w: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签证的计价：按招标文件及合同中关于工程变更的计价有关规定执行。</w:t>
      </w:r>
    </w:p>
    <w:p w14:paraId="26F17178">
      <w:pPr>
        <w:snapToGrid w:val="0"/>
        <w:spacing w:line="440" w:lineRule="exact"/>
        <w:ind w:firstLine="420"/>
        <w:rPr>
          <w:rFonts w:ascii="宋体" w:hAnsi="宋体" w:cs="宋体"/>
          <w:color w:val="auto"/>
          <w:sz w:val="24"/>
          <w:highlight w:val="none"/>
          <w:u w:val="single"/>
        </w:rPr>
      </w:pPr>
      <w:r>
        <w:rPr>
          <w:rFonts w:ascii="宋体" w:hAnsi="宋体" w:cs="宋体"/>
          <w:color w:val="auto"/>
          <w:sz w:val="24"/>
          <w:highlight w:val="none"/>
        </w:rPr>
        <w:t>30.3签证实施前所需的施工方案：</w:t>
      </w:r>
      <w:r>
        <w:rPr>
          <w:rFonts w:hint="eastAsia" w:ascii="宋体" w:hAnsi="宋体" w:cs="宋体"/>
          <w:color w:val="auto"/>
          <w:sz w:val="24"/>
          <w:highlight w:val="none"/>
          <w:u w:val="single"/>
        </w:rPr>
        <w:t>若签证事件发生时，需使用没有被监理工程师批准过的施工方案，则必须将该施工方案提前报监理工程师和发包人批准，经批准后才能实施，否则发包人将按最经济的施工方案对该签证进行计价。</w:t>
      </w:r>
    </w:p>
    <w:p w14:paraId="12908337">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30.4</w:t>
      </w:r>
      <w:r>
        <w:rPr>
          <w:rFonts w:hint="eastAsia" w:ascii="宋体" w:hAnsi="宋体" w:cs="宋体"/>
          <w:color w:val="auto"/>
          <w:sz w:val="24"/>
          <w:highlight w:val="none"/>
          <w:u w:val="single"/>
        </w:rPr>
        <w:t>工程现场签证申报程序按广州开发区、黄埔区以及建设业主的有关规定执行。</w:t>
      </w:r>
    </w:p>
    <w:p w14:paraId="6DE5012A">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31、确定变更价款</w:t>
      </w:r>
    </w:p>
    <w:p w14:paraId="0482FB68">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31.1承包人在工程变更确定后14天内，提出变更工程价款的报告，经工程师确认后调整合同价款。</w:t>
      </w:r>
      <w:r>
        <w:rPr>
          <w:rFonts w:hint="eastAsia" w:ascii="宋体" w:hAnsi="宋体" w:cs="宋体"/>
          <w:color w:val="auto"/>
          <w:sz w:val="24"/>
          <w:highlight w:val="none"/>
          <w:u w:val="single"/>
        </w:rPr>
        <w:t>变更合同价款确定原则按本合同相关约定执行。</w:t>
      </w:r>
    </w:p>
    <w:p w14:paraId="0341659A">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31.3</w:t>
      </w:r>
      <w:r>
        <w:rPr>
          <w:rFonts w:hint="eastAsia" w:ascii="宋体" w:hAnsi="宋体" w:cs="宋体"/>
          <w:color w:val="auto"/>
          <w:sz w:val="24"/>
          <w:highlight w:val="none"/>
          <w:u w:val="single"/>
        </w:rPr>
        <w:t>所有变更工程价款的报告必须按规定程序报发包人审核确认。</w:t>
      </w:r>
    </w:p>
    <w:p w14:paraId="50C6D70A">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31.5</w:t>
      </w:r>
      <w:r>
        <w:rPr>
          <w:rFonts w:hint="eastAsia" w:ascii="宋体" w:hAnsi="宋体" w:cs="宋体"/>
          <w:color w:val="auto"/>
          <w:sz w:val="24"/>
          <w:highlight w:val="none"/>
          <w:u w:val="single"/>
        </w:rPr>
        <w:t>工程变更价款的支付按本合同相关约定支付。</w:t>
      </w:r>
    </w:p>
    <w:p w14:paraId="29CB5E79">
      <w:pPr>
        <w:snapToGrid w:val="0"/>
        <w:spacing w:line="440" w:lineRule="exact"/>
        <w:ind w:firstLine="360" w:firstLineChars="150"/>
        <w:rPr>
          <w:rFonts w:ascii="宋体" w:hAnsi="宋体" w:cs="宋体"/>
          <w:color w:val="auto"/>
          <w:sz w:val="24"/>
          <w:highlight w:val="none"/>
        </w:rPr>
      </w:pPr>
      <w:r>
        <w:rPr>
          <w:rFonts w:ascii="宋体" w:hAnsi="宋体" w:cs="宋体"/>
          <w:color w:val="auto"/>
          <w:sz w:val="24"/>
          <w:highlight w:val="none"/>
        </w:rPr>
        <w:t xml:space="preserve">31.7 </w:t>
      </w:r>
      <w:r>
        <w:rPr>
          <w:rFonts w:hint="eastAsia" w:ascii="宋体" w:hAnsi="宋体" w:cs="宋体"/>
          <w:color w:val="auto"/>
          <w:sz w:val="24"/>
          <w:highlight w:val="none"/>
          <w:u w:val="single"/>
        </w:rPr>
        <w:t>发生上述规定的变更后，承包人在收到发包人变更通知的</w:t>
      </w:r>
      <w:r>
        <w:rPr>
          <w:rFonts w:ascii="宋体" w:hAnsi="宋体" w:cs="宋体"/>
          <w:color w:val="auto"/>
          <w:sz w:val="24"/>
          <w:highlight w:val="none"/>
          <w:u w:val="single"/>
        </w:rPr>
        <w:t>7天内按合同文件规定的计价方式内容编出变更工程建议送交监理单位。</w:t>
      </w:r>
    </w:p>
    <w:p w14:paraId="69AAABD2">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31.8</w:t>
      </w:r>
      <w:r>
        <w:rPr>
          <w:rFonts w:hint="eastAsia" w:ascii="宋体" w:hAnsi="宋体" w:cs="宋体"/>
          <w:color w:val="auto"/>
          <w:sz w:val="24"/>
          <w:highlight w:val="none"/>
          <w:u w:val="single"/>
        </w:rPr>
        <w:t>在工程变更价款计算时，承包人应按招标文件相关规定编制变更工程的预算，提供变更依据及详细的计算资料，报监理单位和发包人批准。</w:t>
      </w:r>
    </w:p>
    <w:p w14:paraId="24BC6A54">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31.9</w:t>
      </w:r>
      <w:r>
        <w:rPr>
          <w:rFonts w:hint="eastAsia" w:ascii="宋体" w:hAnsi="宋体" w:cs="宋体"/>
          <w:color w:val="auto"/>
          <w:sz w:val="24"/>
          <w:highlight w:val="none"/>
          <w:u w:val="single"/>
        </w:rPr>
        <w:t>工程变更、签证申报程序</w:t>
      </w:r>
      <w:r>
        <w:rPr>
          <w:rFonts w:hint="eastAsia" w:ascii="宋体" w:hAnsi="宋体" w:cs="宋体"/>
          <w:color w:val="auto"/>
          <w:sz w:val="24"/>
          <w:highlight w:val="none"/>
          <w:u w:val="single"/>
        </w:rPr>
        <w:t>按广州开发区、黄埔区以及建设业主的有关规定执行。</w:t>
      </w:r>
    </w:p>
    <w:p w14:paraId="4C01988D">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九、竣工验收与结算</w:t>
      </w:r>
    </w:p>
    <w:p w14:paraId="330D0CA2">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32</w:t>
      </w:r>
      <w:r>
        <w:rPr>
          <w:rFonts w:hint="eastAsia" w:ascii="宋体" w:hAnsi="宋体" w:cs="宋体"/>
          <w:b/>
          <w:color w:val="auto"/>
          <w:sz w:val="24"/>
          <w:highlight w:val="none"/>
        </w:rPr>
        <w:t>、竣工验收</w:t>
      </w:r>
    </w:p>
    <w:p w14:paraId="47DA1749">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 xml:space="preserve">32.1 </w:t>
      </w:r>
      <w:r>
        <w:rPr>
          <w:rFonts w:hint="eastAsia" w:ascii="宋体" w:hAnsi="宋体" w:cs="宋体"/>
          <w:color w:val="auto"/>
          <w:sz w:val="24"/>
          <w:highlight w:val="none"/>
        </w:rPr>
        <w:t>承包人提供竣工图纸的约定：</w:t>
      </w:r>
      <w:r>
        <w:rPr>
          <w:rFonts w:hint="eastAsia" w:ascii="宋体" w:hAnsi="宋体" w:cs="宋体"/>
          <w:color w:val="auto"/>
          <w:sz w:val="24"/>
          <w:highlight w:val="none"/>
          <w:u w:val="single"/>
        </w:rPr>
        <w:t>承包人工程竣工资料必须按照国家及广州市、开发区有关工程竣工资料档案管理的要求进行整理归档。承包人在工程竣工验收合格后四十五个日历天内，向建设单位提供符合要求按规格编制成册的工程竣工图及有关的技术档案资料一式伍份。</w:t>
      </w:r>
    </w:p>
    <w:p w14:paraId="74D3C207">
      <w:pPr>
        <w:snapToGrid w:val="0"/>
        <w:spacing w:line="440" w:lineRule="exact"/>
        <w:ind w:firstLine="480"/>
        <w:rPr>
          <w:rFonts w:ascii="宋体" w:hAnsi="宋体" w:cs="宋体"/>
          <w:color w:val="auto"/>
          <w:sz w:val="24"/>
          <w:highlight w:val="none"/>
          <w:u w:val="single"/>
        </w:rPr>
      </w:pPr>
      <w:r>
        <w:rPr>
          <w:rFonts w:ascii="宋体" w:hAnsi="宋体" w:cs="宋体"/>
          <w:color w:val="auto"/>
          <w:sz w:val="24"/>
          <w:highlight w:val="none"/>
        </w:rPr>
        <w:t xml:space="preserve">32.6 </w:t>
      </w:r>
      <w:r>
        <w:rPr>
          <w:rFonts w:hint="eastAsia" w:ascii="宋体" w:hAnsi="宋体" w:cs="宋体"/>
          <w:color w:val="auto"/>
          <w:sz w:val="24"/>
          <w:highlight w:val="none"/>
        </w:rPr>
        <w:t>中间交工工程的范围和竣工时间：</w:t>
      </w:r>
      <w:r>
        <w:rPr>
          <w:rFonts w:ascii="宋体" w:hAnsi="宋体" w:cs="宋体"/>
          <w:color w:val="auto"/>
          <w:sz w:val="24"/>
          <w:highlight w:val="none"/>
          <w:u w:val="single"/>
        </w:rPr>
        <w:t xml:space="preserve">      /     </w:t>
      </w:r>
    </w:p>
    <w:p w14:paraId="7AD83C91">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33、竣工结算</w:t>
      </w:r>
    </w:p>
    <w:p w14:paraId="46443B99">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承发包双方一致同意不适用</w:t>
      </w:r>
      <w:r>
        <w:rPr>
          <w:rFonts w:hint="eastAsia" w:ascii="宋体" w:hAnsi="宋体" w:cs="宋体"/>
          <w:color w:val="auto"/>
          <w:sz w:val="24"/>
          <w:highlight w:val="none"/>
          <w:u w:val="single"/>
        </w:rPr>
        <w:t>通用条款</w:t>
      </w:r>
      <w:r>
        <w:rPr>
          <w:rFonts w:ascii="宋体" w:hAnsi="宋体" w:cs="宋体"/>
          <w:color w:val="auto"/>
          <w:sz w:val="24"/>
          <w:highlight w:val="none"/>
          <w:u w:val="single"/>
        </w:rPr>
        <w:t>33.2款、33.3款、33.4款</w:t>
      </w:r>
      <w:r>
        <w:rPr>
          <w:rFonts w:hint="eastAsia" w:ascii="宋体" w:hAnsi="宋体" w:cs="宋体"/>
          <w:color w:val="auto"/>
          <w:sz w:val="24"/>
          <w:highlight w:val="none"/>
        </w:rPr>
        <w:t>。</w:t>
      </w:r>
    </w:p>
    <w:p w14:paraId="2AE2AF45">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竣工结算办法：</w:t>
      </w:r>
      <w:r>
        <w:rPr>
          <w:rFonts w:hint="eastAsia" w:ascii="宋体" w:hAnsi="宋体" w:cs="宋体"/>
          <w:color w:val="auto"/>
          <w:sz w:val="24"/>
          <w:highlight w:val="none"/>
          <w:u w:val="single"/>
        </w:rPr>
        <w:t>所有工程量（含暂定工程量的结算）的结算均以广州开发区财政局审定的金额为准。工程竣工后，承包人编制本工程的结算书送监理单位审核，经监理单位审核后送发包人复审，按规定送广州开发区财政局审核，并以区财政局审定本工程的结算为准</w:t>
      </w:r>
      <w:r>
        <w:rPr>
          <w:rFonts w:hint="eastAsia" w:ascii="宋体" w:hAnsi="宋体" w:cs="宋体"/>
          <w:color w:val="auto"/>
          <w:sz w:val="24"/>
          <w:highlight w:val="none"/>
        </w:rPr>
        <w:t>。</w:t>
      </w:r>
    </w:p>
    <w:p w14:paraId="308666B7">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竣工结算提交时间：</w:t>
      </w:r>
      <w:r>
        <w:rPr>
          <w:rFonts w:hint="eastAsia" w:ascii="宋体" w:hAnsi="宋体" w:cs="宋体"/>
          <w:color w:val="auto"/>
          <w:sz w:val="24"/>
          <w:highlight w:val="none"/>
          <w:u w:val="single"/>
        </w:rPr>
        <w:t>承包人须按《广州开发区财政投资建设项目管理中心施工类合同结算编审指引（2024年修订稿）》（穗开建管【2024】65号）及区有关规定编制及办理建设项目工程结算</w:t>
      </w:r>
      <w:r>
        <w:rPr>
          <w:rFonts w:hint="eastAsia" w:ascii="宋体" w:hAnsi="宋体" w:cs="宋体"/>
          <w:color w:val="auto"/>
          <w:sz w:val="24"/>
          <w:highlight w:val="none"/>
        </w:rPr>
        <w:t>。</w:t>
      </w:r>
    </w:p>
    <w:p w14:paraId="6FAA8D91">
      <w:pPr>
        <w:pStyle w:val="262"/>
        <w:spacing w:line="440" w:lineRule="exact"/>
        <w:ind w:firstLine="481"/>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承包人未按前款规定的期限和内容编制及办理建设项目工程结算（非承包人原因无法办理工程结算的情况除外），经发包人或代建单位或监理人书面通知之日起</w:t>
      </w:r>
      <w:r>
        <w:rPr>
          <w:rFonts w:ascii="宋体" w:hAnsi="宋体" w:cs="宋体"/>
          <w:color w:val="auto"/>
          <w:sz w:val="24"/>
          <w:szCs w:val="24"/>
          <w:highlight w:val="none"/>
          <w:u w:val="single"/>
        </w:rPr>
        <w:t>2个月内（最长期限不得超过6个月）仍未提交编制及办理建设项目工程结算的相关文件的，监理人和发包人有权根据发包人已有资料进行审核，并报区财政局审定，区财政局审定的竣工结算合同总价视同是经承包人认可的工程竣工结算合同总价。</w:t>
      </w:r>
    </w:p>
    <w:p w14:paraId="58A64C6F">
      <w:pPr>
        <w:pStyle w:val="262"/>
        <w:spacing w:line="440" w:lineRule="exact"/>
        <w:ind w:firstLine="240" w:firstLineChars="1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（4）承包人应实事求是报审项目投资，编制项目竣工结算报告，如提交的施工合同结算，经财政评审后核减率超过10%的，超出部分产生的中介评审费用由承包人负担，在结算审核中予以扣除。</w:t>
      </w:r>
    </w:p>
    <w:p w14:paraId="4B397801">
      <w:pPr>
        <w:snapToGrid w:val="0"/>
        <w:spacing w:line="440" w:lineRule="exact"/>
        <w:ind w:firstLine="397"/>
        <w:rPr>
          <w:rFonts w:ascii="宋体" w:hAnsi="宋体" w:cs="宋体"/>
          <w:color w:val="auto"/>
          <w:sz w:val="24"/>
          <w:highlight w:val="none"/>
          <w:u w:val="single"/>
        </w:rPr>
      </w:pPr>
    </w:p>
    <w:p w14:paraId="4426BC57">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十、违约、索赔和争议</w:t>
      </w:r>
    </w:p>
    <w:p w14:paraId="51EC2CD3">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35</w:t>
      </w:r>
      <w:r>
        <w:rPr>
          <w:rFonts w:hint="eastAsia" w:ascii="宋体" w:hAnsi="宋体" w:cs="宋体"/>
          <w:b/>
          <w:color w:val="auto"/>
          <w:sz w:val="24"/>
          <w:highlight w:val="none"/>
        </w:rPr>
        <w:t>、违约</w:t>
      </w:r>
    </w:p>
    <w:p w14:paraId="17798F0D">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35.1</w:t>
      </w:r>
      <w:r>
        <w:rPr>
          <w:rFonts w:hint="eastAsia" w:ascii="宋体" w:hAnsi="宋体" w:cs="宋体"/>
          <w:color w:val="auto"/>
          <w:sz w:val="24"/>
          <w:highlight w:val="none"/>
        </w:rPr>
        <w:t>本合同中关于发包人违约的具体责任如下：</w:t>
      </w:r>
    </w:p>
    <w:p w14:paraId="00D5B21E">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本合同通用条款第</w:t>
      </w:r>
      <w:r>
        <w:rPr>
          <w:rFonts w:ascii="宋体" w:hAnsi="宋体" w:cs="宋体"/>
          <w:color w:val="auto"/>
          <w:sz w:val="24"/>
          <w:highlight w:val="none"/>
        </w:rPr>
        <w:t>35.1条约定发包人违约应承担的责任：</w:t>
      </w:r>
      <w:r>
        <w:rPr>
          <w:rFonts w:hint="eastAsia" w:ascii="宋体" w:hAnsi="宋体" w:cs="宋体"/>
          <w:color w:val="auto"/>
          <w:sz w:val="24"/>
          <w:highlight w:val="none"/>
          <w:u w:val="single"/>
        </w:rPr>
        <w:t>顺延工期，但不作费用赔偿</w:t>
      </w:r>
      <w:r>
        <w:rPr>
          <w:rFonts w:hint="eastAsia" w:ascii="宋体" w:hAnsi="宋体" w:cs="宋体"/>
          <w:color w:val="auto"/>
          <w:sz w:val="24"/>
          <w:highlight w:val="none"/>
        </w:rPr>
        <w:t>。</w:t>
      </w:r>
    </w:p>
    <w:p w14:paraId="69DE0B6E">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双方约定的发包人其他违约责任：</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3AB57C09">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35.2 </w:t>
      </w:r>
      <w:r>
        <w:rPr>
          <w:rFonts w:hint="eastAsia" w:ascii="宋体" w:hAnsi="宋体" w:cs="宋体"/>
          <w:color w:val="auto"/>
          <w:sz w:val="24"/>
          <w:highlight w:val="none"/>
        </w:rPr>
        <w:t>本合同中关于承包人违约的具体责任如下：</w:t>
      </w:r>
    </w:p>
    <w:p w14:paraId="4AACED9A">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35.2.1工期延误的违约责任</w:t>
      </w:r>
    </w:p>
    <w:p w14:paraId="6C81FEA3">
      <w:pPr>
        <w:spacing w:line="440" w:lineRule="exact"/>
        <w:ind w:firstLine="56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1）承包人未按发包人或监理单位开工令要求时间开工的，每迟延开工1天，应向发包人支付违约金5000元；迟延开工超过20天的，发包人有权根据实际情况单方面解除合同。</w:t>
      </w:r>
    </w:p>
    <w:p w14:paraId="0804D8B2">
      <w:pPr>
        <w:spacing w:line="440" w:lineRule="exact"/>
        <w:ind w:firstLine="567"/>
        <w:rPr>
          <w:rFonts w:ascii="宋体" w:hAnsi="宋体" w:cs="宋体"/>
          <w:color w:val="auto"/>
          <w:sz w:val="24"/>
          <w:highlight w:val="none"/>
        </w:rPr>
      </w:pPr>
      <w:r>
        <w:rPr>
          <w:rFonts w:ascii="宋体" w:hAnsi="宋体" w:cs="宋体"/>
          <w:color w:val="auto"/>
          <w:sz w:val="24"/>
          <w:highlight w:val="none"/>
        </w:rPr>
        <w:t>(2）因承包人的原因造成工期延误，其中属节点工期延误，从延误的第一天起，每天支付违约金5000元，如在下一个节点赶回工期，可免除上述违约金。属总工期延误，从总工期延误的第一天起，每天支付违约金20000元。</w:t>
      </w:r>
      <w:r>
        <w:rPr>
          <w:rFonts w:hint="eastAsia" w:ascii="宋体" w:hAnsi="宋体" w:cs="宋体"/>
          <w:color w:val="auto"/>
          <w:sz w:val="24"/>
          <w:highlight w:val="none"/>
        </w:rPr>
        <w:t>延误工期超过</w:t>
      </w:r>
      <w:r>
        <w:rPr>
          <w:rFonts w:ascii="宋体" w:hAnsi="宋体" w:cs="宋体"/>
          <w:color w:val="auto"/>
          <w:sz w:val="24"/>
          <w:highlight w:val="none"/>
        </w:rPr>
        <w:t>20天的，发包人可视情况终止合同。</w:t>
      </w:r>
    </w:p>
    <w:p w14:paraId="15E45494">
      <w:pPr>
        <w:spacing w:line="440" w:lineRule="exact"/>
        <w:ind w:firstLine="567"/>
        <w:rPr>
          <w:rFonts w:ascii="宋体" w:hAnsi="宋体" w:cs="宋体"/>
          <w:color w:val="auto"/>
          <w:sz w:val="24"/>
          <w:highlight w:val="none"/>
        </w:rPr>
      </w:pPr>
      <w:r>
        <w:rPr>
          <w:rFonts w:ascii="宋体" w:hAnsi="宋体" w:cs="宋体"/>
          <w:color w:val="auto"/>
          <w:sz w:val="24"/>
          <w:highlight w:val="none"/>
        </w:rPr>
        <w:t>(3）承包人必须按期完成主要工序的施工任务，若属承包人原因逾期达10天未完成主要节点的施工任务时，除按第（2）项约定承担违约责任外，发包人可要求撤换项目负责人，承包人应予以执行，并在总工期不调整的前提下自行消化节点工期的延误。逾期20天未完成主要节点的施工任务时，属承包人进度严重违约行为，发包人可单方面终止合同，将承包人作不良纪录报区建设行政主管备案。并由承包人承担相应的进度严重违约责任。</w:t>
      </w:r>
    </w:p>
    <w:p w14:paraId="08C4C928">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(4）承包人承担的进度严重违约责任为：</w:t>
      </w:r>
    </w:p>
    <w:p w14:paraId="4208B770">
      <w:pPr>
        <w:spacing w:line="440" w:lineRule="exact"/>
        <w:ind w:firstLine="567"/>
        <w:rPr>
          <w:rFonts w:ascii="宋体" w:hAnsi="宋体" w:cs="宋体"/>
          <w:color w:val="auto"/>
          <w:sz w:val="24"/>
          <w:highlight w:val="none"/>
        </w:rPr>
      </w:pPr>
      <w:r>
        <w:rPr>
          <w:rFonts w:hint="eastAsia" w:ascii="宋体" w:hAnsi="宋体" w:cs="宋体"/>
          <w:color w:val="auto"/>
          <w:sz w:val="24"/>
          <w:highlight w:val="none"/>
        </w:rPr>
        <w:t>如果承包人出现进度严重违约事件，则须无条件接受发包人终止合同，并在接到终止合同通知书之日起</w:t>
      </w:r>
      <w:r>
        <w:rPr>
          <w:rFonts w:ascii="宋体" w:hAnsi="宋体" w:cs="宋体"/>
          <w:color w:val="auto"/>
          <w:sz w:val="24"/>
          <w:highlight w:val="none"/>
        </w:rPr>
        <w:t>5个日历天内（发包人应予以配合），在监理工程师的监督下退场完毕。退场完毕后由监理工程师出具《退出完结证明书》，并据此进行相关结算。承包人按履约担保金额支付违约金。给发包人造成的损失超过履约担保金额的部分，承包人还应承担赔偿责任。</w:t>
      </w:r>
    </w:p>
    <w:p w14:paraId="21A7897A">
      <w:pPr>
        <w:spacing w:line="440" w:lineRule="exact"/>
        <w:ind w:firstLine="567"/>
        <w:rPr>
          <w:rFonts w:ascii="宋体" w:hAnsi="宋体" w:cs="宋体"/>
          <w:color w:val="auto"/>
          <w:sz w:val="24"/>
          <w:highlight w:val="none"/>
        </w:rPr>
      </w:pPr>
      <w:r>
        <w:rPr>
          <w:rFonts w:ascii="宋体" w:hAnsi="宋体" w:cs="宋体"/>
          <w:color w:val="auto"/>
          <w:sz w:val="24"/>
          <w:highlight w:val="none"/>
        </w:rPr>
        <w:t xml:space="preserve"> (5）工程施工过程中（竣工验收前），承包人必须按发包人、监理人的要求及时为专业工程（电信、电力管线、电力走廊、煤气、道路绿化、路灯、交通设施等）提供工作面及为专业工程穿插施工所需各项配合工作给予方便，承包人应在施工方案中充分考虑专业工程穿插施工所需的穿插工作面及工期，由于承包人未能给予专业工程穿插施工，造成总施工工期的延误，施工工期不予顺延，承包人承担由于工期延误所产生的损失。因承包人原因造成其他专业工程工期延误的，从延误其他专业工程工期第一天起，每延误一天，承包人支付5000元违约金。</w:t>
      </w:r>
    </w:p>
    <w:p w14:paraId="78B61834">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snapToGrid w:val="0"/>
          <w:color w:val="auto"/>
          <w:kern w:val="0"/>
          <w:sz w:val="24"/>
          <w:highlight w:val="none"/>
        </w:rPr>
        <w:t>（</w:t>
      </w:r>
      <w:r>
        <w:rPr>
          <w:rFonts w:ascii="宋体" w:hAnsi="宋体" w:cs="宋体"/>
          <w:snapToGrid w:val="0"/>
          <w:color w:val="auto"/>
          <w:kern w:val="0"/>
          <w:sz w:val="24"/>
          <w:highlight w:val="none"/>
        </w:rPr>
        <w:t>6）承包人违反合同专用条款的约定和发包人的规定，逾期完成竣工档案的整理、移交、送审备案工作的，每逾期1天，承包人支付违约金5000元。</w:t>
      </w:r>
    </w:p>
    <w:p w14:paraId="4B9D8C5E">
      <w:pPr>
        <w:adjustRightInd w:val="0"/>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35.2.2</w:t>
      </w:r>
      <w:r>
        <w:rPr>
          <w:rFonts w:hint="eastAsia" w:ascii="宋体" w:hAnsi="宋体" w:cs="宋体"/>
          <w:color w:val="auto"/>
          <w:sz w:val="24"/>
          <w:highlight w:val="none"/>
        </w:rPr>
        <w:t>安全、文明施工要求及违约处理</w:t>
      </w:r>
    </w:p>
    <w:p w14:paraId="7820BD27">
      <w:pPr>
        <w:snapToGrid w:val="0"/>
        <w:spacing w:line="440" w:lineRule="exact"/>
        <w:ind w:firstLine="397"/>
        <w:rPr>
          <w:rFonts w:ascii="微软雅黑" w:hAnsi="微软雅黑" w:eastAsia="微软雅黑" w:cs="微软雅黑"/>
          <w:b/>
          <w:bCs/>
          <w:color w:val="auto"/>
          <w:szCs w:val="21"/>
          <w:highlight w:val="none"/>
          <w:shd w:val="clear" w:color="auto" w:fill="DDEEEE"/>
        </w:rPr>
      </w:pPr>
      <w:r>
        <w:rPr>
          <w:rFonts w:hint="eastAsia" w:ascii="宋体" w:hAnsi="宋体" w:eastAsia="宋体" w:cs="宋体"/>
          <w:color w:val="auto"/>
          <w:sz w:val="24"/>
          <w:highlight w:val="none"/>
        </w:rPr>
        <w:t>（1）承包人必须按本合同的约定编制施工组织设计（施工方案、</w:t>
      </w:r>
      <w:r>
        <w:rPr>
          <w:rFonts w:hint="eastAsia" w:ascii="宋体" w:hAnsi="宋体" w:eastAsia="宋体" w:cs="宋体"/>
          <w:b/>
          <w:bCs/>
          <w:color w:val="auto"/>
          <w:sz w:val="24"/>
          <w:highlight w:val="none"/>
          <w:u w:val="single"/>
        </w:rPr>
        <w:t>危险性较大工程专项施工方案</w:t>
      </w:r>
      <w:r>
        <w:rPr>
          <w:rFonts w:hint="eastAsia" w:ascii="宋体" w:hAnsi="宋体" w:eastAsia="宋体" w:cs="宋体"/>
          <w:color w:val="auto"/>
          <w:sz w:val="24"/>
          <w:highlight w:val="none"/>
        </w:rPr>
        <w:t>、包括安全文明施工措施），经过监理人和发包人审核确认后按其施工，不得随意更改。如果根据实际情况确需修改，则需经工程师及发包人审批同意。如果未经工程师及发包人审批同意而擅自更改施工组织设计（施工方案，</w:t>
      </w:r>
      <w:r>
        <w:rPr>
          <w:rFonts w:hint="eastAsia" w:ascii="宋体" w:hAnsi="宋体" w:eastAsia="宋体" w:cs="宋体"/>
          <w:b/>
          <w:bCs/>
          <w:color w:val="auto"/>
          <w:sz w:val="24"/>
          <w:highlight w:val="none"/>
          <w:u w:val="single"/>
        </w:rPr>
        <w:t>危险性较大工程专项施工方案</w:t>
      </w:r>
      <w:r>
        <w:rPr>
          <w:rFonts w:hint="eastAsia" w:ascii="宋体" w:hAnsi="宋体" w:eastAsia="宋体" w:cs="宋体"/>
          <w:color w:val="auto"/>
          <w:sz w:val="24"/>
          <w:highlight w:val="none"/>
        </w:rPr>
        <w:t>、包括安全文明施工措施）或不按照施工组织设计（施工方案，</w:t>
      </w:r>
      <w:r>
        <w:rPr>
          <w:rFonts w:hint="eastAsia" w:ascii="宋体" w:hAnsi="宋体" w:eastAsia="宋体" w:cs="宋体"/>
          <w:b/>
          <w:bCs/>
          <w:color w:val="auto"/>
          <w:sz w:val="24"/>
          <w:highlight w:val="none"/>
          <w:u w:val="single"/>
        </w:rPr>
        <w:t>危险性较大工程专项施工方案</w:t>
      </w:r>
      <w:r>
        <w:rPr>
          <w:rFonts w:hint="eastAsia" w:ascii="宋体" w:hAnsi="宋体" w:eastAsia="宋体" w:cs="宋体"/>
          <w:color w:val="auto"/>
          <w:sz w:val="24"/>
          <w:highlight w:val="none"/>
        </w:rPr>
        <w:t>、包括安全文明施工措施）施工，则发包人将扣减更改部分的造价（该造价按广东省相关综合定额和取费标准计算，不下浮）；同时，每擅自更改一次，承包人需支付10000元人民币违约金给发包人。</w:t>
      </w:r>
    </w:p>
    <w:p w14:paraId="438ADDA6">
      <w:pPr>
        <w:adjustRightInd w:val="0"/>
        <w:spacing w:line="440" w:lineRule="exact"/>
        <w:ind w:right="11" w:firstLine="480" w:firstLineChars="200"/>
        <w:rPr>
          <w:rFonts w:ascii="宋体" w:hAnsi="宋体" w:cs="宋体"/>
          <w:color w:val="auto"/>
          <w:sz w:val="24"/>
          <w:highlight w:val="none"/>
        </w:rPr>
      </w:pPr>
      <w:r>
        <w:rPr>
          <w:rFonts w:ascii="宋体" w:hAnsi="宋体" w:cs="宋体"/>
          <w:color w:val="auto"/>
          <w:sz w:val="24"/>
          <w:highlight w:val="none"/>
        </w:rPr>
        <w:t>(2）承包人应严格遵守国家、省、市及开发区有关防火、爆破和施工安全以及文明施工、深夜施工、环卫和城市管理等规定，建立规章制度和防护措施，并组织施工。在相关部门的检查中，承包人施工场地被评为不合格工地或被通报批评或者被新闻媒体曝光的，每发生一次，承包人支付10000元违约金，如发包人因此被相关部门处罚的，罚金由承包人承担。</w:t>
      </w:r>
    </w:p>
    <w:p w14:paraId="2C37B120">
      <w:pPr>
        <w:snapToGrid w:val="0"/>
        <w:spacing w:line="44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如果承包人未按招投标文件及本合同要求做好安全、文明施工相关措施，经监理工程师或发包人检查发现的，每发现一次，承包人支付5000元违约金，并按发包人或监理单位要求限期整改，未在限期内完成整改的，每延期一天，承包人支付10000元违约金。</w:t>
      </w:r>
    </w:p>
    <w:p w14:paraId="1821D10F">
      <w:pPr>
        <w:adjustRightInd w:val="0"/>
        <w:spacing w:line="440" w:lineRule="exact"/>
        <w:ind w:firstLine="480" w:firstLineChars="200"/>
        <w:rPr>
          <w:rFonts w:ascii="宋体" w:hAnsi="宋体" w:cs="宋体"/>
          <w:snapToGrid w:val="0"/>
          <w:color w:val="auto"/>
          <w:kern w:val="0"/>
          <w:sz w:val="24"/>
          <w:highlight w:val="none"/>
        </w:rPr>
      </w:pPr>
      <w:r>
        <w:rPr>
          <w:rFonts w:ascii="宋体" w:hAnsi="宋体" w:cs="宋体"/>
          <w:color w:val="auto"/>
          <w:sz w:val="24"/>
          <w:highlight w:val="none"/>
        </w:rPr>
        <w:t>(4）在施工过程中发生安全事故的，除按照国家、省、市规定进行处理外。若导致人员伤亡的，承包人按下列办法支付违约金：如发生死亡事故，死亡1人，支付20万元；死亡2人，支付40万元；死亡3人或以上，支付80万元。如发生重伤事故，重伤1人，支付10万元；重伤2人，支付20万元；重伤3人或以上，支付40万元。因承包人原因发生一般安全事故，未造成人员伤亡或造成人员轻伤及轻微财产损失的，每发生一次，承包人支付违约金5000元。</w:t>
      </w:r>
    </w:p>
    <w:p w14:paraId="0C4A0611">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在本工程余泥渣土清运施工和建筑垃圾排放运输时，承包人必须严格执行《广州市建筑废弃物管理条例（</w:t>
      </w:r>
      <w:r>
        <w:rPr>
          <w:rFonts w:ascii="宋体" w:hAnsi="宋体" w:cs="宋体"/>
          <w:color w:val="auto"/>
          <w:sz w:val="24"/>
          <w:highlight w:val="none"/>
        </w:rPr>
        <w:t>2015年修正本）》</w:t>
      </w:r>
      <w:r>
        <w:rPr>
          <w:rFonts w:hint="eastAsia" w:ascii="宋体" w:hAnsi="宋体" w:cs="宋体"/>
          <w:color w:val="auto"/>
          <w:sz w:val="24"/>
          <w:highlight w:val="none"/>
        </w:rPr>
        <w:t>、《广州市市容环境卫生管理规定》、《广州市建设工程现场文明施工管理办法》《关于加强施工现场余泥渣土排放管理工作的通知》（穗建筑【</w:t>
      </w:r>
      <w:r>
        <w:rPr>
          <w:rFonts w:ascii="宋体" w:hAnsi="宋体" w:cs="宋体"/>
          <w:color w:val="auto"/>
          <w:sz w:val="24"/>
          <w:highlight w:val="none"/>
        </w:rPr>
        <w:t>2008】60号）等广州市、黄埔区相关管理规定的标准和要求，保证落实“一不准进，三不准出”规定，办齐排放有关证照，雇请有合格准运证车辆和具备资质的运输企业，设立专职人员管理余泥渣土、建筑垃圾的运输工作，并对分包单位依法排放余泥渣土、建筑垃圾进行监管。承包人因违反本款约定所造成的一切责任后果全部由承包人承担。经发包人或相关部门检查发现承包人未执行本款约定的，每发现一次，承包人支付5000元违约金。同时，发包人将根据承包人违反余泥渣土运输管理有关规定而造成的不良后果的严重程度，上报区建设行政主管部门进行处理。</w:t>
      </w:r>
    </w:p>
    <w:p w14:paraId="3D0EBD8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6）经发包人或监理单位抽查发现承包人违反合同专用条款的约定，其技术管理人员或施工作业人员没有佩带平安卡的，承包人按每人次1000元的标准向发包人支付违约金并立即改正。</w:t>
      </w:r>
    </w:p>
    <w:p w14:paraId="6B3581C9">
      <w:pPr>
        <w:adjustRightInd w:val="0"/>
        <w:snapToGrid w:val="0"/>
        <w:spacing w:line="440" w:lineRule="exact"/>
        <w:ind w:right="11" w:firstLine="480" w:firstLineChars="200"/>
        <w:rPr>
          <w:rFonts w:ascii="宋体" w:hAnsi="宋体" w:cs="宋体"/>
          <w:color w:val="auto"/>
          <w:sz w:val="24"/>
          <w:highlight w:val="none"/>
        </w:rPr>
      </w:pPr>
      <w:r>
        <w:rPr>
          <w:rFonts w:ascii="宋体" w:hAnsi="宋体" w:cs="宋体"/>
          <w:color w:val="auto"/>
          <w:sz w:val="24"/>
          <w:highlight w:val="none"/>
        </w:rPr>
        <w:t>35.2.3</w:t>
      </w:r>
      <w:r>
        <w:rPr>
          <w:rFonts w:hint="eastAsia" w:ascii="宋体" w:hAnsi="宋体" w:cs="宋体"/>
          <w:color w:val="auto"/>
          <w:sz w:val="24"/>
          <w:highlight w:val="none"/>
        </w:rPr>
        <w:t>工程质量方面的违约责任</w:t>
      </w:r>
    </w:p>
    <w:p w14:paraId="4B49C8E6">
      <w:pPr>
        <w:numPr>
          <w:ilvl w:val="0"/>
          <w:numId w:val="15"/>
        </w:num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必须保证用于本合同工程所有的材料设备的品牌、型号、规格、质量等符合本合同及招投标文件的要求，严禁假冒伪劣产品，严禁以次充好，严禁未经发包人批准即以其他产品（包括承包人的产品）顶替本合同及招投标文件中规定的产品。承包人在施工中偷工减料、使用不合格的建筑材料、建筑构配件或设备、不按照工程设计图纸、施工技术标准施工，或者未对建筑材料、建筑构配件、设备、商品混凝土进行检验，或者未对涉及结构安全的试块、试件以及有关材料取样送检的，应负责无偿修理或返工，并应支付合同价款百分之二的违约金给发包人。</w:t>
      </w:r>
    </w:p>
    <w:p w14:paraId="798A6B88">
      <w:pPr>
        <w:pStyle w:val="30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 xml:space="preserve">2）工程质量标准要求达到“广东省建筑工程优质奖”的质量标准而未达到的：如达到了“广州市优良样板工程”的质量标准的，承包人需按本合同工程中可申报评优部分工程结算价的0.3%承担违约金；未达到 </w:t>
      </w:r>
      <w:r>
        <w:rPr>
          <w:rFonts w:hint="eastAsia" w:ascii="宋体" w:hAnsi="宋体" w:cs="宋体"/>
          <w:color w:val="auto"/>
          <w:sz w:val="24"/>
          <w:highlight w:val="none"/>
        </w:rPr>
        <w:t>“广州市优良样板工程”的质量标准的，承包人需按本合同工程中可申报评优部分工程结算价的</w:t>
      </w:r>
      <w:r>
        <w:rPr>
          <w:rFonts w:ascii="宋体" w:hAnsi="宋体" w:cs="宋体"/>
          <w:color w:val="auto"/>
          <w:sz w:val="24"/>
          <w:highlight w:val="none"/>
        </w:rPr>
        <w:t>1.5%承担违约金。</w:t>
      </w:r>
    </w:p>
    <w:p w14:paraId="43D55FEA">
      <w:pPr>
        <w:pStyle w:val="30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工程质量标准要求达到“广州市优良样板工程”的质量标准而未达到的，承包人需按本合同工程中可申报评优部分工程结算价的</w:t>
      </w:r>
      <w:r>
        <w:rPr>
          <w:rFonts w:ascii="宋体" w:hAnsi="宋体" w:cs="宋体"/>
          <w:color w:val="auto"/>
          <w:sz w:val="24"/>
          <w:highlight w:val="none"/>
        </w:rPr>
        <w:t>1.2%承担违约金。</w:t>
      </w:r>
    </w:p>
    <w:p w14:paraId="0ED1E8A8">
      <w:pPr>
        <w:pStyle w:val="308"/>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上述违约金由发包人直接从工程结算款中扣减。因非承包人原因导致本工程未能达到要求的工程质量标准的除外。</w:t>
      </w:r>
    </w:p>
    <w:p w14:paraId="54FAC645">
      <w:pPr>
        <w:spacing w:line="440" w:lineRule="exact"/>
        <w:ind w:firstLine="410" w:firstLineChars="171"/>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承包人在缺陷责任期内，未能对工程接收证书所列的缺陷清单的内容或缺陷责任期内发生的缺陷进行修复，而又拒绝按监理人指示再进行修复，发包人可委托其他单位修复，所需费用由承包人承担，发包人可在工程质量保修金中抵扣，保修金不足抵扣的，由承包人另行支付。</w:t>
      </w:r>
    </w:p>
    <w:p w14:paraId="1D248029">
      <w:pPr>
        <w:snapToGrid w:val="0"/>
        <w:spacing w:line="440" w:lineRule="exact"/>
        <w:ind w:firstLine="48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4）对施工质量问题存在争议，应请国家认可的第三方机构出具检测报告，检测费用由责任方承担。</w:t>
      </w:r>
    </w:p>
    <w:p w14:paraId="0E0955C4">
      <w:pPr>
        <w:adjustRightInd w:val="0"/>
        <w:spacing w:line="440" w:lineRule="exact"/>
        <w:ind w:right="11" w:firstLine="480" w:firstLineChars="200"/>
        <w:rPr>
          <w:rFonts w:ascii="宋体" w:hAnsi="宋体" w:cs="宋体"/>
          <w:color w:val="auto"/>
          <w:sz w:val="24"/>
          <w:highlight w:val="none"/>
        </w:rPr>
      </w:pPr>
      <w:r>
        <w:rPr>
          <w:rFonts w:ascii="宋体" w:hAnsi="宋体" w:cs="宋体"/>
          <w:color w:val="auto"/>
          <w:sz w:val="24"/>
          <w:highlight w:val="none"/>
        </w:rPr>
        <w:t>35.2.4关于第三方质量安全评估的违约责任：</w:t>
      </w:r>
    </w:p>
    <w:p w14:paraId="27BC4BBF">
      <w:pPr>
        <w:adjustRightInd w:val="0"/>
        <w:spacing w:line="440" w:lineRule="exact"/>
        <w:ind w:right="11" w:firstLine="480" w:firstLineChars="200"/>
        <w:rPr>
          <w:rFonts w:ascii="宋体" w:hAnsi="宋体" w:cs="宋体"/>
          <w:color w:val="auto"/>
          <w:sz w:val="24"/>
          <w:highlight w:val="none"/>
        </w:rPr>
      </w:pPr>
      <w:r>
        <w:rPr>
          <w:rFonts w:hint="eastAsia" w:ascii="宋体" w:hAnsi="宋体" w:cs="宋体"/>
          <w:color w:val="auto"/>
          <w:sz w:val="24"/>
          <w:highlight w:val="none"/>
        </w:rPr>
        <w:t>承包人应严格遵守中心制定的建设工程第三方质量安全评估服务相关管理办法，配合完成第三方质量安全评估工作。根据每次评估结果，经评估确定为一般违约情况的，承包人每次应支付</w:t>
      </w:r>
      <w:r>
        <w:rPr>
          <w:rFonts w:ascii="宋体" w:hAnsi="宋体" w:cs="宋体"/>
          <w:color w:val="auto"/>
          <w:sz w:val="24"/>
          <w:highlight w:val="none"/>
        </w:rPr>
        <w:t>10000元违约金给发包人；经评估确定为严重违约情况的，承包人每次应支付50000元违约金给发包人。</w:t>
      </w:r>
    </w:p>
    <w:p w14:paraId="04190E22">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35.2.5</w:t>
      </w:r>
      <w:r>
        <w:rPr>
          <w:rFonts w:hint="eastAsia" w:ascii="宋体" w:hAnsi="宋体" w:cs="宋体"/>
          <w:color w:val="auto"/>
          <w:sz w:val="24"/>
          <w:highlight w:val="none"/>
        </w:rPr>
        <w:t>关于农民工工资支付的违约责任</w:t>
      </w:r>
    </w:p>
    <w:p w14:paraId="6AA761DD">
      <w:pPr>
        <w:adjustRightInd w:val="0"/>
        <w:spacing w:line="440" w:lineRule="exact"/>
        <w:ind w:right="11" w:firstLine="480" w:firstLineChars="200"/>
        <w:rPr>
          <w:rFonts w:ascii="宋体" w:hAnsi="宋体" w:cs="宋体"/>
          <w:color w:val="auto"/>
          <w:sz w:val="24"/>
          <w:highlight w:val="none"/>
        </w:rPr>
      </w:pPr>
      <w:r>
        <w:rPr>
          <w:rFonts w:hint="eastAsia" w:ascii="宋体" w:hAnsi="宋体" w:cs="宋体"/>
          <w:color w:val="auto"/>
          <w:sz w:val="24"/>
          <w:highlight w:val="none"/>
        </w:rPr>
        <w:t>承包人拖欠农民工工资（含代发的分包单位工人工资），被农民工投诉属实的，承包人必须在</w:t>
      </w:r>
      <w:r>
        <w:rPr>
          <w:rFonts w:ascii="宋体" w:hAnsi="宋体" w:cs="宋体"/>
          <w:color w:val="auto"/>
          <w:sz w:val="24"/>
          <w:highlight w:val="none"/>
        </w:rPr>
        <w:t>3天内发放拖欠的款项。若继续拖延被投诉2次及以上，经查实，承包人除应立即支付拖欠款项外，还应支付10000违约金给发包人。因承包人拖欠农民工工资，导致农民工采取停工、集聚围阻发包人办公地点甚至政府办公部门等过激行动的，承包人应支付50000元违约金，并立即采取切实有效措施予以整改；拒不采取切实有效措施整改的，或整改效果不明显的，发包人可用承包人工程款垫付。若承包人在本工程内发生无故拖欠农民工工资现象，将被作不良记录，上报区建设行政主管部门。</w:t>
      </w:r>
    </w:p>
    <w:p w14:paraId="23393C95">
      <w:pPr>
        <w:pStyle w:val="261"/>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35.2.6</w:t>
      </w:r>
      <w:r>
        <w:rPr>
          <w:rFonts w:hint="eastAsia" w:ascii="宋体" w:hAnsi="宋体" w:cs="宋体"/>
          <w:color w:val="auto"/>
          <w:sz w:val="24"/>
          <w:highlight w:val="none"/>
        </w:rPr>
        <w:t>项目管理机构人员、机械设备、劳动力到位方面的违约责任：</w:t>
      </w:r>
    </w:p>
    <w:p w14:paraId="6B39567D">
      <w:pPr>
        <w:pStyle w:val="261"/>
        <w:numPr>
          <w:ilvl w:val="0"/>
          <w:numId w:val="16"/>
        </w:num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承包人必须保证投标文件中确定的项目负责人及其项目技术负责人、主要施工管理人员能及时地、始终地参与本工程施工管理，在未征得发包人书面同意之前不得更换。如未征得发包人书面同意，擅自更换项目负责人或项目技术负责人的，承包人每更换一人次，需支付</w:t>
      </w:r>
      <w:r>
        <w:rPr>
          <w:rFonts w:ascii="宋体" w:hAnsi="宋体" w:cs="宋体"/>
          <w:color w:val="auto"/>
          <w:sz w:val="24"/>
          <w:highlight w:val="none"/>
        </w:rPr>
        <w:t>50000元违约金给发包人，擅自更换主要施工管理人员的，每更换一人次，承包人需支付30000元违约金给发包人。但征得发包人书面同意更换或因发包人按本协议要求更换仍需支付违约金，具体为：更换项目负责人或项目技术负责人的，承包人每更换一人次，需支付30000元违约金给发包人，更换主要施工管理人员的，每更换一人次，承包人需支付10000元违约金给发包人</w:t>
      </w:r>
      <w:r>
        <w:rPr>
          <w:rFonts w:hint="eastAsia" w:ascii="宋体" w:hAnsi="宋体" w:cs="宋体"/>
          <w:color w:val="auto"/>
          <w:sz w:val="24"/>
          <w:highlight w:val="none"/>
        </w:rPr>
        <w:t>。</w:t>
      </w:r>
    </w:p>
    <w:p w14:paraId="60794E7A">
      <w:pPr>
        <w:pStyle w:val="261"/>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rPr>
        <w:t>如果承包人未按投标文件中的《拟投入本工程施工的主要机械设备配备表》投入机械设备，经监理工程师或发包人代表检查发现的，将书面告知限期整改，未在限期内完成整改的，每延期一天，承包人需支付</w:t>
      </w:r>
      <w:r>
        <w:rPr>
          <w:rFonts w:ascii="宋体" w:hAnsi="宋体" w:cs="宋体"/>
          <w:color w:val="auto"/>
          <w:sz w:val="24"/>
          <w:highlight w:val="none"/>
        </w:rPr>
        <w:t>10000元违约金给发包人。且承包人应按照本合同相关约定投入相应比例的新能源工程车，否则发包人有权要求其限期整改，逾期不整改的，每缺少提供一台，承包人支付违约金20000元/台。</w:t>
      </w:r>
    </w:p>
    <w:p w14:paraId="4676E68C">
      <w:pPr>
        <w:pStyle w:val="261"/>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3）如果承包人未投标文件中的人力投入计划投入人力，经监理工程师和发包人代表检查发现的，每发现一次，承包人支付10000元违约金给发包人。</w:t>
      </w:r>
    </w:p>
    <w:p w14:paraId="5854A945">
      <w:pPr>
        <w:pStyle w:val="261"/>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4）如果检查发现承包人超过三次未按承诺投入的人力、机械、物力组织施工，发包人将作为不良纪录报区建设行政主管部门备案。如果检查发现承包人没有按施工组织设计的进度安排推进工程建设，使主要工序的工期延误超过10天，没有按发包人的意见撤换现场负责人；或者按发包人的意见撤换现场负责人后，仍然无法有效控制工程进度，承包人除需按本条第（1）项支付违约金外，发包人将发出书面警告，警告发出后15天内，主要工序的工期延误仍然超过10天，发包人将作为不良纪录报区建设行政主管部门备案。对此，承包人不得有异议。</w:t>
      </w:r>
    </w:p>
    <w:p w14:paraId="55F0ACD8">
      <w:pPr>
        <w:pStyle w:val="261"/>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5）承包人的项目负责人、技术负责人、安全负责人、质量负责人、防火负责人等必须常驻施工现场，且须无条件参加每周的工地例会以及发包人书面通知的其它会议，如有缺席，则每人每缺席一次，承包人需支付5000元人民币违约金。</w:t>
      </w:r>
    </w:p>
    <w:p w14:paraId="2647E68C">
      <w:pPr>
        <w:spacing w:line="440" w:lineRule="exact"/>
        <w:rPr>
          <w:rFonts w:ascii="宋体" w:hAnsi="宋体" w:cs="宋体"/>
          <w:color w:val="auto"/>
          <w:sz w:val="24"/>
          <w:highlight w:val="none"/>
        </w:rPr>
      </w:pPr>
      <w:r>
        <w:rPr>
          <w:rFonts w:ascii="宋体" w:hAnsi="宋体" w:cs="宋体"/>
          <w:color w:val="auto"/>
          <w:sz w:val="24"/>
          <w:highlight w:val="none"/>
        </w:rPr>
        <w:t xml:space="preserve">    35.2.7</w:t>
      </w:r>
      <w:r>
        <w:rPr>
          <w:rFonts w:hint="eastAsia" w:ascii="宋体" w:hAnsi="宋体" w:cs="宋体"/>
          <w:color w:val="auto"/>
          <w:sz w:val="24"/>
          <w:highlight w:val="none"/>
        </w:rPr>
        <w:t>工程转包违约责任</w:t>
      </w:r>
    </w:p>
    <w:p w14:paraId="1CABE32B">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在本工程中有转包、转让、出借资质证书或者以其他方式允许他人以本企业的名义承揽工程的，发包人将解除合同，承包人按合同价的10%承担违约金。因此导致发包人损失超出违约金的部分，承包人应负责赔偿。</w:t>
      </w:r>
    </w:p>
    <w:p w14:paraId="5481FBEF">
      <w:pPr>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合同约定的工程项目承包人不得转包，必须分包的少量子项工程和专业工程，承包人应按招标文件、投标文件要求向小微企业工程分包（分包意向协议约定小微企业的合同份额占到合同总金额</w:t>
      </w:r>
      <w:r>
        <w:rPr>
          <w:rFonts w:ascii="宋体" w:hAnsi="宋体" w:cs="宋体"/>
          <w:color w:val="auto"/>
          <w:sz w:val="24"/>
          <w:highlight w:val="none"/>
          <w:u w:val="single"/>
        </w:rPr>
        <w:t>30%以上的</w:t>
      </w:r>
      <w:r>
        <w:rPr>
          <w:rFonts w:hint="eastAsia" w:ascii="宋体" w:hAnsi="宋体" w:cs="宋体"/>
          <w:color w:val="auto"/>
          <w:sz w:val="24"/>
          <w:highlight w:val="none"/>
          <w:u w:val="single"/>
        </w:rPr>
        <w:t>）。并事先需取得监理人、发包人的审查同意后方可进场施工。否则，发包人有权单方面终止合同，并令其立即退场，工程项目另行处理，承包人还应按履约担保金额支付违约金，发包人的损失超过履约担保金额的部分，承包人还应承担赔偿责任。发包人有权将承包人列入黑名单，拒绝承包人在一年内参与发包人后续项目投标，且发包人将上报建设主管部门，对承包人违法行为进行处罚。</w:t>
      </w:r>
    </w:p>
    <w:p w14:paraId="6E473FB8">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35.2.8</w:t>
      </w:r>
      <w:r>
        <w:rPr>
          <w:rFonts w:hint="eastAsia" w:ascii="宋体" w:hAnsi="宋体" w:cs="宋体"/>
          <w:color w:val="auto"/>
          <w:sz w:val="24"/>
          <w:highlight w:val="none"/>
        </w:rPr>
        <w:t>解除合同的违约责任</w:t>
      </w:r>
    </w:p>
    <w:p w14:paraId="74F12AD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35.2.8.1</w:t>
      </w:r>
      <w:r>
        <w:rPr>
          <w:rFonts w:hint="eastAsia" w:ascii="宋体" w:hAnsi="宋体" w:cs="宋体"/>
          <w:color w:val="auto"/>
          <w:sz w:val="24"/>
          <w:highlight w:val="none"/>
        </w:rPr>
        <w:t>因承包人严重违约，发包人单方面解除合同或承包人违约擅自解除合同的，承包人应向发包人支付本合同价款</w:t>
      </w:r>
      <w:r>
        <w:rPr>
          <w:rFonts w:ascii="宋体" w:hAnsi="宋体" w:cs="宋体"/>
          <w:color w:val="auto"/>
          <w:sz w:val="24"/>
          <w:highlight w:val="none"/>
        </w:rPr>
        <w:t>10%</w:t>
      </w:r>
      <w:r>
        <w:rPr>
          <w:rFonts w:hint="eastAsia" w:ascii="宋体" w:hAnsi="宋体" w:cs="宋体"/>
          <w:color w:val="auto"/>
          <w:sz w:val="24"/>
          <w:highlight w:val="none"/>
        </w:rPr>
        <w:t>的违约金，因解除合同导致发包人的损失超过违约金的部分，承包人还应承担赔偿责任。合同解除后，承包人应妥善做好已完工程和已购材料、设备的保护和移交工作。发包人可派员进驻施工场地，另行组织人员或委托其他承包人施工。发包人因继续完成该工程的需要，有权扣留使用承包人在现场的材料、设备和临时设施，也可要求承包人自行将自有机械设备和人员撤出施工场地，但发包人的这一行为不免除承包人应承担的违约责任，也不影响发包人根据合同约定享有的索赔权利。</w:t>
      </w:r>
    </w:p>
    <w:p w14:paraId="2A4B418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35.2.8.2</w:t>
      </w:r>
      <w:r>
        <w:rPr>
          <w:rFonts w:hint="eastAsia" w:ascii="宋体" w:hAnsi="宋体" w:cs="宋体"/>
          <w:color w:val="auto"/>
          <w:sz w:val="24"/>
          <w:highlight w:val="none"/>
        </w:rPr>
        <w:t>不适用通用条款</w:t>
      </w:r>
      <w:r>
        <w:rPr>
          <w:rFonts w:ascii="宋体" w:hAnsi="宋体" w:cs="宋体"/>
          <w:color w:val="auto"/>
          <w:sz w:val="24"/>
          <w:highlight w:val="none"/>
        </w:rPr>
        <w:t>44.6</w:t>
      </w:r>
      <w:r>
        <w:rPr>
          <w:rFonts w:hint="eastAsia" w:ascii="宋体" w:hAnsi="宋体" w:cs="宋体"/>
          <w:color w:val="auto"/>
          <w:sz w:val="24"/>
          <w:highlight w:val="none"/>
        </w:rPr>
        <w:t>条的约定。</w:t>
      </w:r>
    </w:p>
    <w:p w14:paraId="20863DB9">
      <w:pPr>
        <w:pStyle w:val="311"/>
        <w:tabs>
          <w:tab w:val="left" w:pos="8280"/>
        </w:tabs>
        <w:spacing w:line="440" w:lineRule="exact"/>
        <w:ind w:right="28" w:firstLine="480" w:firstLineChars="200"/>
        <w:rPr>
          <w:rFonts w:ascii="宋体" w:hAnsi="宋体" w:cs="宋体"/>
          <w:bCs/>
          <w:snapToGrid w:val="0"/>
          <w:color w:val="auto"/>
          <w:kern w:val="0"/>
          <w:sz w:val="24"/>
          <w:highlight w:val="none"/>
        </w:rPr>
      </w:pPr>
      <w:r>
        <w:rPr>
          <w:rFonts w:ascii="宋体" w:hAnsi="宋体" w:cs="宋体"/>
          <w:bCs/>
          <w:snapToGrid w:val="0"/>
          <w:color w:val="auto"/>
          <w:kern w:val="0"/>
          <w:sz w:val="24"/>
          <w:highlight w:val="none"/>
        </w:rPr>
        <w:t>35.2.9</w:t>
      </w:r>
      <w:r>
        <w:rPr>
          <w:rFonts w:hint="eastAsia" w:ascii="宋体" w:hAnsi="宋体" w:cs="宋体"/>
          <w:bCs/>
          <w:snapToGrid w:val="0"/>
          <w:color w:val="auto"/>
          <w:kern w:val="0"/>
          <w:sz w:val="24"/>
          <w:highlight w:val="none"/>
        </w:rPr>
        <w:t>办理结算的违约责任：</w:t>
      </w:r>
    </w:p>
    <w:p w14:paraId="46410751">
      <w:pPr>
        <w:pStyle w:val="311"/>
        <w:tabs>
          <w:tab w:val="left" w:pos="8280"/>
        </w:tabs>
        <w:spacing w:line="440" w:lineRule="exact"/>
        <w:ind w:right="28" w:firstLine="480" w:firstLineChars="200"/>
        <w:rPr>
          <w:rFonts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承包人不执行</w:t>
      </w:r>
      <w:r>
        <w:rPr>
          <w:rFonts w:hint="eastAsia" w:ascii="宋体" w:hAnsi="宋体" w:cs="宋体"/>
          <w:color w:val="auto"/>
          <w:sz w:val="24"/>
          <w:highlight w:val="none"/>
          <w:u w:val="single"/>
        </w:rPr>
        <w:t>《广州开发区财政投资建设项目管理中心施工类合同结算编审指引（2024年修订稿）》（穗开建管【2024】65号）</w:t>
      </w:r>
      <w:r>
        <w:rPr>
          <w:rFonts w:hint="eastAsia" w:ascii="宋体" w:hAnsi="宋体" w:cs="宋体"/>
          <w:bCs/>
          <w:snapToGrid w:val="0"/>
          <w:color w:val="auto"/>
          <w:kern w:val="0"/>
          <w:sz w:val="24"/>
          <w:highlight w:val="none"/>
        </w:rPr>
        <w:t>有关规定的，须按该指引有关规定承担违约责任。</w:t>
      </w:r>
    </w:p>
    <w:p w14:paraId="7C3BEE03">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35.2.10 除上述违约责任外，因承包人履行本合同不符合约定或相关规定，发包人可根据实际情况，给予承包人通报批评及作不良记录等处罚措施；情节严重的，可报请上级行政主管部门给予相应处罚。</w:t>
      </w:r>
    </w:p>
    <w:p w14:paraId="2BD2E19C">
      <w:pPr>
        <w:adjustRightInd w:val="0"/>
        <w:snapToGrid w:val="0"/>
        <w:spacing w:line="440" w:lineRule="exact"/>
        <w:ind w:firstLine="480" w:firstLineChars="200"/>
        <w:outlineLvl w:val="3"/>
        <w:rPr>
          <w:rFonts w:ascii="宋体" w:hAnsi="宋体" w:cs="宋体"/>
          <w:color w:val="auto"/>
          <w:sz w:val="24"/>
          <w:highlight w:val="none"/>
        </w:rPr>
      </w:pPr>
      <w:r>
        <w:rPr>
          <w:rFonts w:ascii="宋体" w:hAnsi="宋体" w:cs="宋体"/>
          <w:color w:val="auto"/>
          <w:sz w:val="24"/>
          <w:highlight w:val="none"/>
        </w:rPr>
        <w:t>35.2.11</w:t>
      </w:r>
      <w:r>
        <w:rPr>
          <w:rFonts w:hint="eastAsia" w:ascii="宋体" w:hAnsi="宋体" w:cs="宋体"/>
          <w:color w:val="auto"/>
          <w:sz w:val="24"/>
          <w:highlight w:val="none"/>
        </w:rPr>
        <w:t>承包人违约责任的认定方式、送达程序及违约金的处理</w:t>
      </w:r>
    </w:p>
    <w:p w14:paraId="3EE373EB">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1）认定方式：以发包人发出的通知、通报、会议纪要等书面文件确定的内容为准。</w:t>
      </w:r>
    </w:p>
    <w:p w14:paraId="355029C8">
      <w:pPr>
        <w:adjustRightInd w:val="0"/>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2）送达程序：发包人以下列方式之一将书面违约处理决定送达承包人：</w:t>
      </w:r>
    </w:p>
    <w:p w14:paraId="1A0A6916">
      <w:pPr>
        <w:adjustRightInd w:val="0"/>
        <w:snapToGrid w:val="0"/>
        <w:spacing w:line="440" w:lineRule="exact"/>
        <w:ind w:firstLine="720" w:firstLineChars="300"/>
        <w:rPr>
          <w:rFonts w:ascii="宋体" w:hAnsi="宋体" w:cs="宋体"/>
          <w:color w:val="auto"/>
          <w:sz w:val="24"/>
          <w:highlight w:val="none"/>
        </w:rPr>
      </w:pPr>
      <w:r>
        <w:rPr>
          <w:rFonts w:ascii="宋体" w:hAnsi="宋体" w:cs="宋体"/>
          <w:color w:val="auto"/>
          <w:sz w:val="24"/>
          <w:highlight w:val="none"/>
        </w:rPr>
        <w:t>1）承包人现场管理机构工作人员签收。</w:t>
      </w:r>
    </w:p>
    <w:p w14:paraId="484D1E84">
      <w:pPr>
        <w:adjustRightInd w:val="0"/>
        <w:snapToGrid w:val="0"/>
        <w:spacing w:line="440" w:lineRule="exact"/>
        <w:ind w:firstLine="720" w:firstLineChars="300"/>
        <w:rPr>
          <w:rFonts w:ascii="宋体" w:hAnsi="宋体" w:cs="宋体"/>
          <w:color w:val="auto"/>
          <w:sz w:val="24"/>
          <w:highlight w:val="none"/>
        </w:rPr>
      </w:pPr>
      <w:r>
        <w:rPr>
          <w:rFonts w:ascii="宋体" w:hAnsi="宋体" w:cs="宋体"/>
          <w:color w:val="auto"/>
          <w:sz w:val="24"/>
          <w:highlight w:val="none"/>
        </w:rPr>
        <w:t>2）承包人其他工作人员签收。</w:t>
      </w:r>
    </w:p>
    <w:p w14:paraId="5580F254">
      <w:pPr>
        <w:adjustRightInd w:val="0"/>
        <w:snapToGrid w:val="0"/>
        <w:spacing w:line="440" w:lineRule="exact"/>
        <w:ind w:firstLine="720" w:firstLineChars="300"/>
        <w:rPr>
          <w:rFonts w:ascii="宋体" w:hAnsi="宋体" w:cs="宋体"/>
          <w:color w:val="auto"/>
          <w:sz w:val="24"/>
          <w:highlight w:val="none"/>
        </w:rPr>
      </w:pPr>
      <w:r>
        <w:rPr>
          <w:rFonts w:ascii="宋体" w:hAnsi="宋体" w:cs="宋体"/>
          <w:color w:val="auto"/>
          <w:sz w:val="24"/>
          <w:highlight w:val="none"/>
        </w:rPr>
        <w:t>3）发包人邮寄送达。</w:t>
      </w:r>
    </w:p>
    <w:p w14:paraId="524F2CC4">
      <w:pPr>
        <w:adjustRightInd w:val="0"/>
        <w:snapToGrid w:val="0"/>
        <w:spacing w:line="440" w:lineRule="exact"/>
        <w:ind w:firstLine="480" w:firstLineChars="200"/>
        <w:outlineLvl w:val="3"/>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发包人以书面形式作出的违约处理决定一经送达承包人立即生效。承包人如有足够证据证明不应由其承担违约责任的，应在收到违约处理决定后3天内以书面形式向发包人提出异议并附上有关证据。发包人在收到承包人的异议后15个工作日内审核完毕且作出书面决定并通知承包人。在异议审核期间，承包人须正常施工，不得以审核未确定为由拖延或者中止工程施工。</w:t>
      </w:r>
    </w:p>
    <w:p w14:paraId="42C902D1">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37</w:t>
      </w:r>
      <w:r>
        <w:rPr>
          <w:rFonts w:hint="eastAsia" w:ascii="宋体" w:hAnsi="宋体" w:cs="宋体"/>
          <w:b/>
          <w:color w:val="auto"/>
          <w:sz w:val="24"/>
          <w:highlight w:val="none"/>
        </w:rPr>
        <w:t>、争议</w:t>
      </w:r>
    </w:p>
    <w:p w14:paraId="7170C31B">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37.1 </w:t>
      </w:r>
      <w:r>
        <w:rPr>
          <w:rFonts w:hint="eastAsia" w:ascii="宋体" w:hAnsi="宋体" w:cs="宋体"/>
          <w:color w:val="auto"/>
          <w:sz w:val="24"/>
          <w:highlight w:val="none"/>
        </w:rPr>
        <w:t>双方约定，在履行合同过程中产生争议时：</w:t>
      </w:r>
    </w:p>
    <w:p w14:paraId="28DA5D4C">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）由双方协商解决；</w:t>
      </w:r>
    </w:p>
    <w:p w14:paraId="3DF11450">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）协商不成的，向</w:t>
      </w:r>
      <w:r>
        <w:rPr>
          <w:rFonts w:ascii="宋体" w:hAnsi="宋体" w:cs="宋体"/>
          <w:color w:val="auto"/>
          <w:sz w:val="24"/>
          <w:highlight w:val="none"/>
          <w:u w:val="single"/>
        </w:rPr>
        <w:t xml:space="preserve"> 工程所在地 </w:t>
      </w:r>
      <w:r>
        <w:rPr>
          <w:rFonts w:hint="eastAsia" w:ascii="宋体" w:hAnsi="宋体" w:cs="宋体"/>
          <w:color w:val="auto"/>
          <w:sz w:val="24"/>
          <w:highlight w:val="none"/>
        </w:rPr>
        <w:t>人民法院提起诉讼。</w:t>
      </w:r>
    </w:p>
    <w:p w14:paraId="0124D632">
      <w:pPr>
        <w:snapToGrid w:val="0"/>
        <w:spacing w:line="440" w:lineRule="exact"/>
        <w:ind w:firstLine="397"/>
        <w:rPr>
          <w:rFonts w:ascii="宋体" w:hAnsi="宋体" w:cs="宋体"/>
          <w:b/>
          <w:color w:val="auto"/>
          <w:sz w:val="24"/>
          <w:highlight w:val="none"/>
        </w:rPr>
      </w:pPr>
      <w:r>
        <w:rPr>
          <w:rFonts w:hint="eastAsia" w:ascii="宋体" w:hAnsi="宋体" w:cs="宋体"/>
          <w:b/>
          <w:color w:val="auto"/>
          <w:sz w:val="24"/>
          <w:highlight w:val="none"/>
        </w:rPr>
        <w:t>十一、其他</w:t>
      </w:r>
    </w:p>
    <w:p w14:paraId="5C92E79A">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38</w:t>
      </w:r>
      <w:r>
        <w:rPr>
          <w:rFonts w:hint="eastAsia" w:ascii="宋体" w:hAnsi="宋体" w:cs="宋体"/>
          <w:b/>
          <w:color w:val="auto"/>
          <w:sz w:val="24"/>
          <w:highlight w:val="none"/>
        </w:rPr>
        <w:t>、工程分包</w:t>
      </w:r>
    </w:p>
    <w:p w14:paraId="1C9A58E9">
      <w:pPr>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 xml:space="preserve">38.1（1）本工程发包人同意承包人分包的工程：非主体非关键工程。承包人发包专业工程或劳务作业以及专业分包单位发包劳务作业的，应将拟分包专业工程或劳务作业的内容、数量、分包单位的资质、信誉、施工能力等情况形成书面报告，经监理单位审核通过，报发包人审批同意后实施，否则不得分包。 劳务分包必须严格执行广州市相关规定，禁止分包劳务给无资质单位或个人。在发包人同意承包人进行劳务分包的情况下，劳务分包单位须与向政府相关部门备案的劳务分包的单位一致，不得私自变更劳务分包单位。 </w:t>
      </w:r>
    </w:p>
    <w:p w14:paraId="359E6CBB">
      <w:pPr>
        <w:numPr>
          <w:ilvl w:val="0"/>
          <w:numId w:val="16"/>
        </w:numPr>
        <w:snapToGrid w:val="0"/>
        <w:spacing w:line="440" w:lineRule="exact"/>
        <w:ind w:firstLine="397"/>
        <w:rPr>
          <w:rFonts w:ascii="宋体" w:hAnsi="宋体" w:eastAsia="宋体" w:cs="宋体"/>
          <w:color w:val="auto"/>
          <w:szCs w:val="21"/>
          <w:highlight w:val="none"/>
        </w:rPr>
      </w:pPr>
      <w:r>
        <w:rPr>
          <w:rFonts w:hint="eastAsia" w:ascii="宋体" w:hAnsi="宋体" w:eastAsia="宋体" w:cs="宋体"/>
          <w:color w:val="auto"/>
          <w:szCs w:val="21"/>
          <w:highlight w:val="none"/>
        </w:rPr>
        <w:t>承包人向一家或者多家小微施工企业分包的合同份额为合同总金额   %（其中：向 XXXX公司分包工程本合同金额占比为   %、向 XXXX公司分包工程本合同金额占比为   %...）（按《中小企业声明函》执行）。经查实，该分包企业若不具备承接分包工作任务相应资质的，承包人需另行分包给具备承接分包工作任务资质的小微企业，分包给小微企业的总分包合同（含专业工程分包和劳务分包）金额占比不得低于《中小企业声明函》执行,且发包人予以承包人中标价的千分之五的处罚，并限制其一定期限内参与招标人后续项目投标。（本条适用于承包人为大中型企业，且其投标出具《中小企业声明函》，并享受中小企业扶持政策，否则签订合同做删除）承包人需建立分包管理台账，定期报监理、发包人审核和检查。</w:t>
      </w:r>
    </w:p>
    <w:p w14:paraId="65357A0A">
      <w:pPr>
        <w:snapToGrid w:val="0"/>
        <w:spacing w:line="440" w:lineRule="exact"/>
        <w:ind w:left="397"/>
        <w:rPr>
          <w:rFonts w:ascii="宋体" w:hAnsi="宋体" w:eastAsia="宋体" w:cs="宋体"/>
          <w:color w:val="auto"/>
          <w:sz w:val="24"/>
          <w:highlight w:val="none"/>
        </w:rPr>
      </w:pPr>
      <w:r>
        <w:rPr>
          <w:rFonts w:hint="eastAsia" w:ascii="宋体" w:hAnsi="宋体" w:eastAsia="宋体" w:cs="宋体"/>
          <w:color w:val="auto"/>
          <w:sz w:val="24"/>
          <w:highlight w:val="none"/>
        </w:rPr>
        <w:t>（3）承包人和分包单位应当采用国家制定的施工分包合同示范文本，依法签订分包合同，明确各自的安全生产方面的权利、义务。承包人与分包单位签订的分包合同中应明确工人工资比例及支付期限，款项支付严格按照《保障中小企业款项支付条例》执行。施工总承包单位应将分包合同分别报建设、监理单位备存。 若承包人违反以上条款，承包人应按总监理工程师或者发包人的指令限期改正。承包人拒不改正或未及时完成整改的，发包人有权视情节要求承包人承担一般违约责任或严重违约责任，同时前述违约情形与承包人履约评价考核挂钩。发包人可根据实际情况，给予承包人通报批评、拒绝其一段时期投标等处罚措施；情节严重的，可报请上级行政主管部门给予相应处罚。</w:t>
      </w:r>
    </w:p>
    <w:p w14:paraId="61AE0122">
      <w:pPr>
        <w:snapToGrid w:val="0"/>
        <w:spacing w:line="440" w:lineRule="exact"/>
        <w:rPr>
          <w:rFonts w:ascii="宋体" w:hAnsi="宋体" w:cs="宋体"/>
          <w:b/>
          <w:color w:val="auto"/>
          <w:sz w:val="24"/>
          <w:highlight w:val="none"/>
        </w:rPr>
      </w:pPr>
      <w:r>
        <w:rPr>
          <w:rFonts w:ascii="宋体" w:hAnsi="宋体" w:cs="宋体"/>
          <w:b/>
          <w:color w:val="auto"/>
          <w:sz w:val="24"/>
          <w:highlight w:val="none"/>
        </w:rPr>
        <w:t>39</w:t>
      </w:r>
      <w:r>
        <w:rPr>
          <w:rFonts w:hint="eastAsia" w:ascii="宋体" w:hAnsi="宋体" w:cs="宋体"/>
          <w:b/>
          <w:color w:val="auto"/>
          <w:sz w:val="24"/>
          <w:highlight w:val="none"/>
        </w:rPr>
        <w:t>、不可抗力</w:t>
      </w:r>
    </w:p>
    <w:p w14:paraId="3FEBB8E7">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39.1 </w:t>
      </w:r>
      <w:r>
        <w:rPr>
          <w:rFonts w:hint="eastAsia" w:ascii="宋体" w:hAnsi="宋体" w:cs="宋体"/>
          <w:color w:val="auto"/>
          <w:sz w:val="24"/>
          <w:highlight w:val="none"/>
        </w:rPr>
        <w:t>双方关于不可抗力的约定：</w:t>
      </w:r>
      <w:r>
        <w:rPr>
          <w:rFonts w:ascii="宋体" w:hAnsi="宋体" w:cs="宋体"/>
          <w:color w:val="auto"/>
          <w:sz w:val="24"/>
          <w:highlight w:val="none"/>
        </w:rPr>
        <w:t xml:space="preserve"> </w:t>
      </w:r>
      <w:r>
        <w:rPr>
          <w:rFonts w:hint="eastAsia" w:ascii="宋体" w:hAnsi="宋体" w:cs="宋体"/>
          <w:color w:val="auto"/>
          <w:sz w:val="24"/>
          <w:highlight w:val="none"/>
        </w:rPr>
        <w:t>按本合同通用条款执行。自然灾害的范围及其认定方式，按下述约定执行：</w:t>
      </w:r>
    </w:p>
    <w:p w14:paraId="3EDD411E">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异常天气：仅指50年一遇以上（含50年）的洪水、10级（含本数）以上台风，因异常天气袭击工地为确保安全而停工的，承包人应于台风、洪水天气结束之日起七日内，向当地气象部门索取工程所在地台风、暴雨天气资料或报告（含气象实况及对此分析的内容），连同施工日志、现场照片办理证据保全公证，方可认定为是不可抗力。</w:t>
      </w:r>
    </w:p>
    <w:p w14:paraId="0D8142D8">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2）里氏5级（含本数）以上地震。</w:t>
      </w:r>
    </w:p>
    <w:p w14:paraId="1888CA24">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39.3双方关于不可抗力事件导致的</w:t>
      </w:r>
      <w:r>
        <w:rPr>
          <w:rFonts w:hint="eastAsia" w:ascii="宋体" w:hAnsi="宋体" w:cs="宋体"/>
          <w:color w:val="auto"/>
          <w:sz w:val="24"/>
          <w:highlight w:val="none"/>
          <w:u w:val="single"/>
        </w:rPr>
        <w:t>费用承担按本专用条款</w:t>
      </w:r>
      <w:r>
        <w:rPr>
          <w:rFonts w:ascii="宋体" w:hAnsi="宋体" w:cs="宋体"/>
          <w:color w:val="auto"/>
          <w:sz w:val="24"/>
          <w:highlight w:val="none"/>
          <w:u w:val="single"/>
        </w:rPr>
        <w:t>12.3款约定执行。</w:t>
      </w:r>
    </w:p>
    <w:p w14:paraId="25201D6D">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40</w:t>
      </w:r>
      <w:r>
        <w:rPr>
          <w:rFonts w:hint="eastAsia" w:ascii="宋体" w:hAnsi="宋体" w:cs="宋体"/>
          <w:b/>
          <w:color w:val="auto"/>
          <w:sz w:val="24"/>
          <w:highlight w:val="none"/>
        </w:rPr>
        <w:t>、保险</w:t>
      </w:r>
    </w:p>
    <w:p w14:paraId="7A4AE52F">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40.2承包人对其运至施工场地内用于工程的材料和待安装设备办理保险并支付保险费用。</w:t>
      </w:r>
    </w:p>
    <w:p w14:paraId="2446DDB5">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40.6 </w:t>
      </w:r>
      <w:r>
        <w:rPr>
          <w:rFonts w:hint="eastAsia" w:ascii="宋体" w:hAnsi="宋体" w:cs="宋体"/>
          <w:color w:val="auto"/>
          <w:sz w:val="24"/>
          <w:highlight w:val="none"/>
        </w:rPr>
        <w:t>本工程</w:t>
      </w:r>
      <w:r>
        <w:rPr>
          <w:rFonts w:hint="eastAsia" w:ascii="宋体" w:hAnsi="宋体" w:cs="宋体"/>
          <w:color w:val="auto"/>
          <w:sz w:val="24"/>
          <w:highlight w:val="none"/>
        </w:rPr>
        <w:t>双方约定投保内容如下</w:t>
      </w:r>
    </w:p>
    <w:p w14:paraId="369711DA">
      <w:pPr>
        <w:tabs>
          <w:tab w:val="left" w:pos="960"/>
          <w:tab w:val="left" w:pos="1080"/>
        </w:tabs>
        <w:snapToGrid w:val="0"/>
        <w:spacing w:line="440" w:lineRule="exact"/>
        <w:ind w:left="397" w:firstLine="397"/>
        <w:rPr>
          <w:rFonts w:ascii="宋体" w:hAnsi="宋体" w:cs="宋体"/>
          <w:color w:val="auto"/>
          <w:sz w:val="24"/>
          <w:highlight w:val="none"/>
          <w:u w:val="single"/>
        </w:rPr>
      </w:pPr>
      <w:r>
        <w:rPr>
          <w:rFonts w:hint="eastAsia" w:ascii="宋体" w:hAnsi="宋体" w:cs="宋体"/>
          <w:color w:val="auto"/>
          <w:sz w:val="24"/>
          <w:highlight w:val="none"/>
        </w:rPr>
        <w:t>（一）发包人投保内容：</w:t>
      </w:r>
      <w:r>
        <w:rPr>
          <w:rFonts w:hint="eastAsia" w:ascii="宋体" w:hAnsi="宋体" w:cs="宋体"/>
          <w:color w:val="auto"/>
          <w:sz w:val="24"/>
          <w:highlight w:val="none"/>
          <w:u w:val="single"/>
        </w:rPr>
        <w:t>按广州市建设项目劳动保险相关规定投保</w:t>
      </w:r>
      <w:r>
        <w:rPr>
          <w:rFonts w:hint="eastAsia" w:ascii="宋体" w:hAnsi="宋体" w:cs="宋体"/>
          <w:color w:val="auto"/>
          <w:sz w:val="24"/>
          <w:highlight w:val="none"/>
        </w:rPr>
        <w:t>。</w:t>
      </w:r>
    </w:p>
    <w:p w14:paraId="708AC292">
      <w:pPr>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发包人委托承包人办理的保险事项：</w:t>
      </w:r>
      <w:r>
        <w:rPr>
          <w:rFonts w:ascii="宋体" w:hAnsi="宋体" w:cs="宋体"/>
          <w:color w:val="auto"/>
          <w:sz w:val="24"/>
          <w:highlight w:val="none"/>
          <w:u w:val="single"/>
        </w:rPr>
        <w:t xml:space="preserve">       /           </w:t>
      </w:r>
      <w:r>
        <w:rPr>
          <w:rFonts w:hint="eastAsia" w:ascii="宋体" w:hAnsi="宋体" w:cs="宋体"/>
          <w:color w:val="auto"/>
          <w:sz w:val="24"/>
          <w:highlight w:val="none"/>
        </w:rPr>
        <w:t>。</w:t>
      </w:r>
    </w:p>
    <w:p w14:paraId="067888D2">
      <w:pPr>
        <w:tabs>
          <w:tab w:val="left" w:pos="960"/>
          <w:tab w:val="left" w:pos="1080"/>
        </w:tabs>
        <w:snapToGrid w:val="0"/>
        <w:spacing w:line="440" w:lineRule="exact"/>
        <w:ind w:left="397" w:firstLine="397"/>
        <w:rPr>
          <w:rFonts w:ascii="宋体" w:hAnsi="宋体" w:cs="宋体"/>
          <w:color w:val="auto"/>
          <w:sz w:val="24"/>
          <w:highlight w:val="none"/>
          <w:u w:val="single"/>
        </w:rPr>
      </w:pPr>
      <w:r>
        <w:rPr>
          <w:rFonts w:hint="eastAsia" w:ascii="宋体" w:hAnsi="宋体" w:cs="宋体"/>
          <w:color w:val="auto"/>
          <w:sz w:val="24"/>
          <w:highlight w:val="none"/>
        </w:rPr>
        <w:t>（二）承包人投保内容：</w:t>
      </w:r>
      <w:r>
        <w:rPr>
          <w:rFonts w:hint="eastAsia" w:ascii="宋体" w:hAnsi="宋体" w:cs="宋体"/>
          <w:color w:val="auto"/>
          <w:sz w:val="24"/>
          <w:highlight w:val="none"/>
          <w:u w:val="single"/>
        </w:rPr>
        <w:t>开工前承包人应当投保安全生产责任保险，且该保险保障场所应包含本项目，合同价视作已含该项费用。承包人未按规定购买安全生产责任保险，发包人可视严重程度拒绝该单位一定时期内参与后续工程投标。</w:t>
      </w:r>
    </w:p>
    <w:p w14:paraId="44D4F1B2">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41</w:t>
      </w:r>
      <w:r>
        <w:rPr>
          <w:rFonts w:hint="eastAsia" w:ascii="宋体" w:hAnsi="宋体" w:cs="宋体"/>
          <w:b/>
          <w:color w:val="auto"/>
          <w:sz w:val="24"/>
          <w:highlight w:val="none"/>
        </w:rPr>
        <w:t>、担保</w:t>
      </w:r>
    </w:p>
    <w:p w14:paraId="55834732">
      <w:pPr>
        <w:snapToGrid w:val="0"/>
        <w:spacing w:line="440" w:lineRule="exact"/>
        <w:ind w:firstLine="397"/>
        <w:rPr>
          <w:rFonts w:ascii="宋体" w:hAnsi="宋体" w:cs="宋体"/>
          <w:color w:val="auto"/>
          <w:sz w:val="24"/>
          <w:highlight w:val="none"/>
        </w:rPr>
      </w:pPr>
      <w:r>
        <w:rPr>
          <w:rFonts w:ascii="宋体" w:hAnsi="宋体" w:cs="宋体"/>
          <w:color w:val="auto"/>
          <w:sz w:val="24"/>
          <w:highlight w:val="none"/>
        </w:rPr>
        <w:t xml:space="preserve">41.1 </w:t>
      </w:r>
      <w:r>
        <w:rPr>
          <w:rFonts w:hint="eastAsia" w:ascii="宋体" w:hAnsi="宋体" w:cs="宋体"/>
          <w:color w:val="auto"/>
          <w:sz w:val="24"/>
          <w:highlight w:val="none"/>
        </w:rPr>
        <w:t>本工程双方约定担保事项如下：</w:t>
      </w:r>
    </w:p>
    <w:p w14:paraId="6D12A169">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1）发包人向承包人提供支付担保，担保方式为：支付担保保函。</w:t>
      </w:r>
    </w:p>
    <w:p w14:paraId="7187E891">
      <w:pPr>
        <w:snapToGrid w:val="0"/>
        <w:spacing w:line="440" w:lineRule="exact"/>
        <w:ind w:firstLine="397"/>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2）承包人按如下方式向发包人提供履约担保：</w:t>
      </w:r>
    </w:p>
    <w:p w14:paraId="281B0E37">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①</w:t>
      </w:r>
      <w:r>
        <w:rPr>
          <w:rFonts w:ascii="宋体" w:hAnsi="宋体" w:cs="宋体"/>
          <w:color w:val="auto"/>
          <w:sz w:val="24"/>
          <w:highlight w:val="none"/>
        </w:rPr>
        <w:t xml:space="preserve"> </w:t>
      </w:r>
      <w:r>
        <w:rPr>
          <w:rFonts w:hint="eastAsia" w:ascii="宋体" w:hAnsi="宋体" w:cs="宋体"/>
          <w:color w:val="auto"/>
          <w:sz w:val="24"/>
          <w:highlight w:val="none"/>
        </w:rPr>
        <w:t>履约担保：承包人向发包人提交担保金额为中标价</w:t>
      </w:r>
      <w:r>
        <w:rPr>
          <w:rFonts w:ascii="宋体" w:hAnsi="宋体" w:cs="宋体"/>
          <w:color w:val="auto"/>
          <w:sz w:val="24"/>
          <w:highlight w:val="none"/>
        </w:rPr>
        <w:t xml:space="preserve">10%的履约担保，担保形式执行《关于规范招投标领域工程建设保证金收取有关工作的通知》（粤发改法规函〔2022〕1178 </w:t>
      </w:r>
      <w:r>
        <w:rPr>
          <w:rFonts w:hint="eastAsia" w:ascii="宋体" w:hAnsi="宋体" w:cs="宋体"/>
          <w:color w:val="auto"/>
          <w:sz w:val="24"/>
          <w:highlight w:val="none"/>
        </w:rPr>
        <w:t>号）规定。担保到期但工程尚未验收的，承包人应自觉办理担保延期手续，确保担保期限不出现空缺，否则，发包人不予支付工程款。</w:t>
      </w:r>
    </w:p>
    <w:p w14:paraId="0CEAE0DB">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首次办理履约担保，如合同工期低于</w:t>
      </w:r>
      <w:r>
        <w:rPr>
          <w:rFonts w:ascii="宋体" w:hAnsi="宋体" w:cs="宋体"/>
          <w:color w:val="auto"/>
          <w:sz w:val="24"/>
          <w:highlight w:val="none"/>
        </w:rPr>
        <w:t xml:space="preserve">1 </w:t>
      </w:r>
      <w:r>
        <w:rPr>
          <w:rFonts w:hint="eastAsia" w:ascii="宋体" w:hAnsi="宋体" w:cs="宋体"/>
          <w:color w:val="auto"/>
          <w:sz w:val="24"/>
          <w:highlight w:val="none"/>
        </w:rPr>
        <w:t>年的，担保期限可按合同工期，如合同工期高于</w:t>
      </w:r>
      <w:r>
        <w:rPr>
          <w:rFonts w:ascii="宋体" w:hAnsi="宋体" w:cs="宋体"/>
          <w:color w:val="auto"/>
          <w:sz w:val="24"/>
          <w:highlight w:val="none"/>
        </w:rPr>
        <w:t xml:space="preserve">1年的，担保期限不低于1 </w:t>
      </w:r>
      <w:r>
        <w:rPr>
          <w:rFonts w:hint="eastAsia" w:ascii="宋体" w:hAnsi="宋体" w:cs="宋体"/>
          <w:color w:val="auto"/>
          <w:sz w:val="24"/>
          <w:highlight w:val="none"/>
        </w:rPr>
        <w:t>年。</w:t>
      </w:r>
    </w:p>
    <w:p w14:paraId="268A5FBD">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履约担保办理延期手续时，若项目的完成工程量不足一半，担保金额按中标价的</w:t>
      </w:r>
      <w:r>
        <w:rPr>
          <w:rFonts w:ascii="宋体" w:hAnsi="宋体" w:cs="宋体"/>
          <w:color w:val="auto"/>
          <w:sz w:val="24"/>
          <w:highlight w:val="none"/>
        </w:rPr>
        <w:t>10%；若项目的完成工程量超过一半，担保金额可按中标价的5%；其他特殊情况需调整的，需报发包人审议同意。</w:t>
      </w:r>
    </w:p>
    <w:p w14:paraId="3DDA232F">
      <w:pPr>
        <w:snapToGrid w:val="0"/>
        <w:spacing w:line="44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履约担保的管理和格式按《广州开发区财政投资建设项目管理中心建设工程履约担保管理细则（2025修订版）》执行。</w:t>
      </w:r>
    </w:p>
    <w:p w14:paraId="1F1DD15A">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②</w:t>
      </w:r>
      <w:r>
        <w:rPr>
          <w:rFonts w:ascii="宋体" w:hAnsi="宋体" w:cs="宋体"/>
          <w:color w:val="auto"/>
          <w:sz w:val="24"/>
          <w:highlight w:val="none"/>
        </w:rPr>
        <w:t xml:space="preserve"> </w:t>
      </w:r>
      <w:r>
        <w:rPr>
          <w:rFonts w:hint="eastAsia" w:ascii="宋体" w:hAnsi="宋体" w:cs="宋体"/>
          <w:color w:val="auto"/>
          <w:sz w:val="24"/>
          <w:highlight w:val="none"/>
        </w:rPr>
        <w:t>履约担保的返还方式：在工程竣工验收合格后返还承包人。</w:t>
      </w:r>
    </w:p>
    <w:p w14:paraId="06EA1B46">
      <w:pPr>
        <w:snapToGrid w:val="0"/>
        <w:spacing w:line="440" w:lineRule="exact"/>
        <w:ind w:firstLine="516" w:firstLineChars="215"/>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3）承包人提交的履约担保是对本合同约定的承包人的全部义务（包括但不限于承包人违约后应支付的违约金和赔偿金）的担保，承包人的任何一次不履行或不完全履行合同义务的行为，发包人均有权提出索赔。</w:t>
      </w:r>
    </w:p>
    <w:p w14:paraId="3C9B9FC0">
      <w:pPr>
        <w:snapToGrid w:val="0"/>
        <w:spacing w:line="440" w:lineRule="exact"/>
        <w:ind w:firstLine="397"/>
        <w:rPr>
          <w:rFonts w:ascii="宋体" w:hAnsi="宋体" w:cs="宋体"/>
          <w:b/>
          <w:color w:val="auto"/>
          <w:sz w:val="24"/>
          <w:highlight w:val="none"/>
        </w:rPr>
      </w:pPr>
      <w:r>
        <w:rPr>
          <w:rFonts w:ascii="宋体" w:hAnsi="宋体" w:cs="宋体"/>
          <w:b/>
          <w:color w:val="auto"/>
          <w:sz w:val="24"/>
          <w:highlight w:val="none"/>
        </w:rPr>
        <w:t>46</w:t>
      </w:r>
      <w:r>
        <w:rPr>
          <w:rFonts w:hint="eastAsia" w:ascii="宋体" w:hAnsi="宋体" w:cs="宋体"/>
          <w:b/>
          <w:color w:val="auto"/>
          <w:sz w:val="24"/>
          <w:highlight w:val="none"/>
        </w:rPr>
        <w:t>、合同份数</w:t>
      </w:r>
    </w:p>
    <w:p w14:paraId="64053798">
      <w:pPr>
        <w:snapToGrid w:val="0"/>
        <w:spacing w:line="440" w:lineRule="exact"/>
        <w:ind w:firstLine="397"/>
        <w:rPr>
          <w:rFonts w:ascii="宋体" w:hAnsi="宋体" w:cs="宋体"/>
          <w:color w:val="auto"/>
          <w:sz w:val="24"/>
          <w:highlight w:val="none"/>
          <w:u w:val="single"/>
        </w:rPr>
      </w:pPr>
      <w:r>
        <w:rPr>
          <w:rFonts w:ascii="宋体" w:hAnsi="宋体" w:cs="宋体"/>
          <w:color w:val="auto"/>
          <w:sz w:val="24"/>
          <w:highlight w:val="none"/>
        </w:rPr>
        <w:t xml:space="preserve">46.1 </w:t>
      </w:r>
      <w:r>
        <w:rPr>
          <w:rFonts w:hint="eastAsia" w:ascii="宋体" w:hAnsi="宋体" w:cs="宋体"/>
          <w:color w:val="auto"/>
          <w:sz w:val="24"/>
          <w:highlight w:val="none"/>
        </w:rPr>
        <w:t>双方约定合同正副本份数：</w:t>
      </w:r>
      <w:r>
        <w:rPr>
          <w:rFonts w:hint="eastAsia" w:ascii="宋体" w:hAnsi="宋体" w:cs="宋体"/>
          <w:color w:val="auto"/>
          <w:sz w:val="24"/>
          <w:highlight w:val="none"/>
          <w:u w:val="single"/>
        </w:rPr>
        <w:t>共十份，正本一式二份，发包人承包人各执一份；副本共八份，发包人四份，承包人四份（含监理人一份）</w:t>
      </w:r>
      <w:r>
        <w:rPr>
          <w:rFonts w:hint="eastAsia" w:ascii="宋体" w:hAnsi="宋体" w:cs="宋体"/>
          <w:color w:val="auto"/>
          <w:sz w:val="24"/>
          <w:highlight w:val="none"/>
        </w:rPr>
        <w:t>。</w:t>
      </w:r>
    </w:p>
    <w:p w14:paraId="2B87BB4C">
      <w:pPr>
        <w:spacing w:line="440" w:lineRule="exact"/>
        <w:ind w:firstLine="397"/>
        <w:rPr>
          <w:rFonts w:ascii="宋体" w:hAnsi="宋体" w:cs="宋体"/>
          <w:b/>
          <w:color w:val="auto"/>
          <w:sz w:val="24"/>
          <w:highlight w:val="none"/>
        </w:rPr>
      </w:pPr>
      <w:r>
        <w:rPr>
          <w:rFonts w:ascii="宋体" w:hAnsi="宋体" w:cs="宋体"/>
          <w:b/>
          <w:color w:val="auto"/>
          <w:sz w:val="24"/>
          <w:highlight w:val="none"/>
        </w:rPr>
        <w:t>47</w:t>
      </w:r>
      <w:r>
        <w:rPr>
          <w:rFonts w:hint="eastAsia" w:ascii="宋体" w:hAnsi="宋体" w:cs="宋体"/>
          <w:b/>
          <w:color w:val="auto"/>
          <w:sz w:val="24"/>
          <w:highlight w:val="none"/>
        </w:rPr>
        <w:t>、补充条款</w:t>
      </w:r>
    </w:p>
    <w:p w14:paraId="76D97907">
      <w:pPr>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安全、文明、科学、规范的施工要求</w:t>
      </w:r>
      <w:r>
        <w:rPr>
          <w:rFonts w:hint="eastAsia" w:ascii="宋体" w:hAnsi="宋体" w:eastAsia="宋体" w:cs="宋体"/>
          <w:color w:val="auto"/>
          <w:sz w:val="24"/>
          <w:highlight w:val="none"/>
        </w:rPr>
        <w:t>）</w:t>
      </w:r>
    </w:p>
    <w:p w14:paraId="444608E5">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w:t>
      </w:r>
      <w:r>
        <w:rPr>
          <w:rFonts w:hint="eastAsia" w:ascii="宋体" w:hAnsi="宋体" w:cs="宋体"/>
          <w:color w:val="auto"/>
          <w:sz w:val="24"/>
          <w:highlight w:val="none"/>
        </w:rPr>
        <w:t>承包人在开工前，必须按照广州市、开发区有关要求办理好相应的施工手续方可开工。</w:t>
      </w:r>
    </w:p>
    <w:p w14:paraId="1B11A94B">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w:t>
      </w:r>
      <w:r>
        <w:rPr>
          <w:rFonts w:hint="eastAsia" w:ascii="宋体" w:hAnsi="宋体" w:cs="宋体"/>
          <w:color w:val="auto"/>
          <w:sz w:val="24"/>
          <w:highlight w:val="none"/>
        </w:rPr>
        <w:t>施工范围的具体位置及可交付承包人施工安排的用地范围，由承包人根据现场勘察情况报发包人同意确定，建筑轴线控制基点由承包人联系规划局提供。</w:t>
      </w:r>
    </w:p>
    <w:p w14:paraId="4392A38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w:t>
      </w:r>
      <w:r>
        <w:rPr>
          <w:rFonts w:hint="eastAsia" w:ascii="宋体" w:hAnsi="宋体" w:cs="宋体"/>
          <w:color w:val="auto"/>
          <w:sz w:val="24"/>
          <w:highlight w:val="none"/>
        </w:rPr>
        <w:t>承包人必须保证在收到中标通知书后五天内进场作好施工准备，十五天内提交有关开工报告、施工组织设计、主要材料厂家、材料品牌的选择报验，完成本工程所需的相关工作（如配合比试验、土工试验、场地原地面标高测量、导线放线及复测工作、水准点加密、现场临时设施建设等工作），经监理工程师批准开工或下达开工令后正式施工。</w:t>
      </w:r>
    </w:p>
    <w:p w14:paraId="6AF9FB11">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w:t>
      </w:r>
      <w:r>
        <w:rPr>
          <w:rFonts w:hint="eastAsia" w:ascii="宋体" w:hAnsi="宋体" w:cs="宋体"/>
          <w:color w:val="auto"/>
          <w:sz w:val="24"/>
          <w:highlight w:val="none"/>
        </w:rPr>
        <w:t>承包人在施工期间要确保工程外场地清洁及道路畅通，如须使用他方道路，则还必须负责养护、保洁责任，否则责任自负。施工和警示标志明显，因施工造成人身损害和财产损失的，由承包人承担责任。</w:t>
      </w:r>
    </w:p>
    <w:p w14:paraId="0B5C4115">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47.5</w:t>
      </w:r>
      <w:r>
        <w:rPr>
          <w:rFonts w:hint="eastAsia" w:ascii="宋体" w:hAnsi="宋体" w:cs="宋体"/>
          <w:color w:val="auto"/>
          <w:sz w:val="24"/>
          <w:highlight w:val="none"/>
        </w:rPr>
        <w:t>承包人必须考虑安全、环保等因素在局部施工范围进行围蔽施工，现场围蔽不符合国家有关安全措施及技术要求的，不得开展施工作业，由此造成的工期延长，由承包人自己负责，当作延误工期处理。</w:t>
      </w:r>
    </w:p>
    <w:p w14:paraId="0960A440">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47.6</w:t>
      </w:r>
      <w:r>
        <w:rPr>
          <w:rFonts w:hint="eastAsia" w:ascii="宋体" w:hAnsi="宋体" w:cs="宋体"/>
          <w:color w:val="auto"/>
          <w:sz w:val="24"/>
          <w:highlight w:val="none"/>
        </w:rPr>
        <w:t>承包人应注意对现有的道路、供水管、排水管、绿化、路灯、电力与通讯设施等进行保护，如因承包人原因损坏，承包人应无条件修复，由此引起的任何安全事故由承包人负责，并承担由此产生的一切费用。若承包人不能按要求修复的，则由发包人委托其它单位修复，费用从承包人工程款中扣付。</w:t>
      </w:r>
    </w:p>
    <w:p w14:paraId="7884E3AB">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47.7</w:t>
      </w:r>
      <w:r>
        <w:rPr>
          <w:rFonts w:hint="eastAsia" w:ascii="宋体" w:hAnsi="宋体" w:cs="宋体"/>
          <w:color w:val="auto"/>
          <w:sz w:val="24"/>
          <w:highlight w:val="none"/>
        </w:rPr>
        <w:t>场内土方开挖时，承包人向发包人书面申请，并按发包人的书面批复进行调配平衡，不得任意处置，多余土方由承包人自行安排外运，竣工退场时必须清理施工现场，并达到发包人要求；若承包人未及时外运，则由发包人另行委托其他单位外运，所需费用从承包人工程款中扣付。</w:t>
      </w:r>
    </w:p>
    <w:p w14:paraId="009093FB">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47.8</w:t>
      </w:r>
      <w:r>
        <w:rPr>
          <w:rFonts w:hint="eastAsia" w:ascii="宋体" w:hAnsi="宋体" w:cs="宋体"/>
          <w:color w:val="auto"/>
          <w:sz w:val="24"/>
          <w:highlight w:val="none"/>
        </w:rPr>
        <w:t>若遇阻碍施工需拆迁的旧建（构）筑物、地下孤石等障碍物，由承包人负责清障，所需清障费用经监理、发包人现场签证调整。</w:t>
      </w:r>
    </w:p>
    <w:p w14:paraId="227D4A1B">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47.9</w:t>
      </w:r>
      <w:r>
        <w:rPr>
          <w:rFonts w:hint="eastAsia" w:ascii="宋体" w:hAnsi="宋体" w:cs="宋体"/>
          <w:color w:val="auto"/>
          <w:sz w:val="24"/>
          <w:highlight w:val="none"/>
        </w:rPr>
        <w:t>在工程完成初验及工程实物移交给发包人或开发区有关的接收单位或部门后一个月内，承包人必须拆除本工程全部的施工临时设施，做到工完场清；否则，发包人有权安排清拆，由此所发生的一切费用在承包人的结算工程款中扣除。</w:t>
      </w:r>
    </w:p>
    <w:p w14:paraId="4A2D34F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47.10双方根据国家有关规定，结合具体工程约定质量缺陷责任期如下：</w:t>
      </w:r>
    </w:p>
    <w:p w14:paraId="4437EEBD">
      <w:pPr>
        <w:pStyle w:val="261"/>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1、基础设施工程，房屋建筑的地基基础工程和主体结构工程为2年；</w:t>
      </w:r>
    </w:p>
    <w:p w14:paraId="457CE454">
      <w:pPr>
        <w:pStyle w:val="261"/>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2、屋面防水工程、有防水要求的卫生间、房间和外墙面的防渗漏为 2年；</w:t>
      </w:r>
    </w:p>
    <w:p w14:paraId="28CB5980">
      <w:pPr>
        <w:pStyle w:val="261"/>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 xml:space="preserve">3、电气管线、给排水管道、设备安装工程为 2 </w:t>
      </w:r>
      <w:r>
        <w:rPr>
          <w:rFonts w:hint="eastAsia" w:ascii="宋体" w:hAnsi="宋体" w:cs="宋体"/>
          <w:color w:val="auto"/>
          <w:sz w:val="24"/>
          <w:highlight w:val="none"/>
        </w:rPr>
        <w:t>年；</w:t>
      </w:r>
    </w:p>
    <w:p w14:paraId="24DB4A87">
      <w:pPr>
        <w:pStyle w:val="261"/>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 xml:space="preserve">4、供热及供冷为 2 </w:t>
      </w:r>
      <w:r>
        <w:rPr>
          <w:rFonts w:hint="eastAsia" w:ascii="宋体" w:hAnsi="宋体" w:cs="宋体"/>
          <w:color w:val="auto"/>
          <w:sz w:val="24"/>
          <w:highlight w:val="none"/>
        </w:rPr>
        <w:t>个采暖期及供冷期；</w:t>
      </w:r>
    </w:p>
    <w:p w14:paraId="52CEB576">
      <w:pPr>
        <w:pStyle w:val="261"/>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 xml:space="preserve">5、装饰装修工程为 2 </w:t>
      </w:r>
      <w:r>
        <w:rPr>
          <w:rFonts w:hint="eastAsia" w:ascii="宋体" w:hAnsi="宋体" w:cs="宋体"/>
          <w:color w:val="auto"/>
          <w:sz w:val="24"/>
          <w:highlight w:val="none"/>
        </w:rPr>
        <w:t>年；</w:t>
      </w:r>
    </w:p>
    <w:p w14:paraId="40CA9BC0">
      <w:pPr>
        <w:pStyle w:val="261"/>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6、室外的上下水和小区道路等市政公用工程为 2 年；</w:t>
      </w:r>
    </w:p>
    <w:p w14:paraId="5922BD6F">
      <w:pPr>
        <w:pStyle w:val="261"/>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7、</w:t>
      </w:r>
      <w:r>
        <w:rPr>
          <w:rFonts w:hint="eastAsia" w:ascii="宋体" w:hAnsi="宋体" w:cs="宋体"/>
          <w:color w:val="auto"/>
          <w:sz w:val="24"/>
          <w:highlight w:val="none"/>
        </w:rPr>
        <w:t>在本项目建成投入使用的前两年内，需对钢结构的节点、杆件应力集中部位、支座等受力关键部位进行应力、应变监控（监测方案由双方确定）。</w:t>
      </w:r>
    </w:p>
    <w:p w14:paraId="171E2FE4">
      <w:pPr>
        <w:pStyle w:val="261"/>
        <w:snapToGrid w:val="0"/>
        <w:spacing w:line="440" w:lineRule="exact"/>
        <w:ind w:firstLine="578" w:firstLineChars="241"/>
        <w:rPr>
          <w:rFonts w:ascii="宋体" w:hAnsi="宋体" w:cs="宋体"/>
          <w:color w:val="auto"/>
          <w:sz w:val="24"/>
          <w:highlight w:val="none"/>
        </w:rPr>
      </w:pPr>
      <w:r>
        <w:rPr>
          <w:rFonts w:ascii="宋体" w:hAnsi="宋体" w:cs="宋体"/>
          <w:color w:val="auto"/>
          <w:sz w:val="24"/>
          <w:highlight w:val="none"/>
        </w:rPr>
        <w:t xml:space="preserve">8、园林建筑工程为 1 </w:t>
      </w:r>
      <w:r>
        <w:rPr>
          <w:rFonts w:hint="eastAsia" w:ascii="宋体" w:hAnsi="宋体" w:cs="宋体"/>
          <w:color w:val="auto"/>
          <w:sz w:val="24"/>
          <w:highlight w:val="none"/>
        </w:rPr>
        <w:t>年，喷淋工程为</w:t>
      </w:r>
      <w:r>
        <w:rPr>
          <w:rFonts w:ascii="宋体" w:hAnsi="宋体" w:cs="宋体"/>
          <w:color w:val="auto"/>
          <w:sz w:val="24"/>
          <w:highlight w:val="none"/>
        </w:rPr>
        <w:t xml:space="preserve"> 2 </w:t>
      </w:r>
      <w:r>
        <w:rPr>
          <w:rFonts w:hint="eastAsia" w:ascii="宋体" w:hAnsi="宋体" w:cs="宋体"/>
          <w:color w:val="auto"/>
          <w:sz w:val="24"/>
          <w:highlight w:val="none"/>
        </w:rPr>
        <w:t>年，胸径</w:t>
      </w:r>
      <w:r>
        <w:rPr>
          <w:rFonts w:ascii="宋体" w:hAnsi="宋体" w:cs="宋体"/>
          <w:color w:val="auto"/>
          <w:sz w:val="24"/>
          <w:highlight w:val="none"/>
        </w:rPr>
        <w:t xml:space="preserve">15cm以内（含15cm）的苗木养护期为 3 </w:t>
      </w:r>
      <w:r>
        <w:rPr>
          <w:rFonts w:hint="eastAsia" w:ascii="宋体" w:hAnsi="宋体" w:cs="宋体"/>
          <w:color w:val="auto"/>
          <w:sz w:val="24"/>
          <w:highlight w:val="none"/>
        </w:rPr>
        <w:t>个月，胸径</w:t>
      </w:r>
      <w:r>
        <w:rPr>
          <w:rFonts w:ascii="宋体" w:hAnsi="宋体" w:cs="宋体"/>
          <w:color w:val="auto"/>
          <w:sz w:val="24"/>
          <w:highlight w:val="none"/>
        </w:rPr>
        <w:t xml:space="preserve">15cm以上的苗木养护期为 1 </w:t>
      </w:r>
      <w:r>
        <w:rPr>
          <w:rFonts w:hint="eastAsia" w:ascii="宋体" w:hAnsi="宋体" w:cs="宋体"/>
          <w:color w:val="auto"/>
          <w:sz w:val="24"/>
          <w:highlight w:val="none"/>
        </w:rPr>
        <w:t>年。</w:t>
      </w:r>
    </w:p>
    <w:p w14:paraId="1EB2160D">
      <w:pPr>
        <w:pStyle w:val="261"/>
        <w:snapToGrid w:val="0"/>
        <w:spacing w:line="440" w:lineRule="exact"/>
        <w:ind w:firstLine="578" w:firstLineChars="241"/>
        <w:rPr>
          <w:rFonts w:ascii="宋体" w:hAnsi="宋体" w:cs="宋体"/>
          <w:color w:val="auto"/>
          <w:sz w:val="24"/>
          <w:highlight w:val="none"/>
        </w:rPr>
      </w:pPr>
      <w:r>
        <w:rPr>
          <w:rFonts w:hint="eastAsia" w:ascii="宋体" w:hAnsi="宋体" w:cs="宋体"/>
          <w:color w:val="auto"/>
          <w:sz w:val="24"/>
          <w:highlight w:val="none"/>
        </w:rPr>
        <w:t>除上述专业工程外其它工程的质量缺陷责任期按相关规定或经双方另行协商确定。</w:t>
      </w:r>
    </w:p>
    <w:p w14:paraId="0574A8CB">
      <w:pPr>
        <w:pStyle w:val="261"/>
        <w:snapToGrid w:val="0"/>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工程质量缺陷责任期从自广州开发区管委会或其相关职能部门批准的提前移交之日或工程竣工验收合格之日起（以先发生日期为准）计算（广州开发区、黄埔区对工程竣工验收有相关规定的，按该规定执行）。缺陷责任期内，由承包人原因造成的缺陷，承包人应负责维修，并承担鉴定及维修费用。如承包人不维修也不承担费用，发包人可按合同约定扣除质量保修金，并由承包人承担违约责任。承包人维修并承担相应费用后，不免除对工程的一般损失赔偿责任。</w:t>
      </w:r>
    </w:p>
    <w:p w14:paraId="51FF6AD6">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47.11</w:t>
      </w:r>
      <w:r>
        <w:rPr>
          <w:rFonts w:hint="eastAsia" w:ascii="宋体" w:hAnsi="宋体" w:cs="宋体"/>
          <w:color w:val="auto"/>
          <w:sz w:val="24"/>
          <w:highlight w:val="none"/>
        </w:rPr>
        <w:t>本工程的保修期按本合同《工程质量保修责任书》规定的保修期限实行。在保修期内因施工质量而造成返修，其费用由承包人负责。工程质量按房建工程现行验评标准组织验收认定。</w:t>
      </w:r>
    </w:p>
    <w:p w14:paraId="4FDFA287">
      <w:pPr>
        <w:spacing w:line="440" w:lineRule="exact"/>
        <w:ind w:firstLine="480" w:firstLineChars="200"/>
        <w:rPr>
          <w:rFonts w:ascii="宋体" w:hAnsi="宋体" w:cs="宋体"/>
          <w:color w:val="auto"/>
          <w:sz w:val="24"/>
          <w:highlight w:val="none"/>
          <w:u w:val="single"/>
        </w:rPr>
      </w:pPr>
      <w:r>
        <w:rPr>
          <w:rFonts w:ascii="宋体" w:hAnsi="宋体" w:cs="宋体"/>
          <w:color w:val="auto"/>
          <w:sz w:val="24"/>
          <w:highlight w:val="none"/>
        </w:rPr>
        <w:t>47.12施工现场生活区应设置信息公示栏，每月10日前将上月作业工人考勤和工资结算和支付信息在信息公示栏进行公示，公示期不少于5天。</w:t>
      </w:r>
    </w:p>
    <w:p w14:paraId="1E8074DE">
      <w:pPr>
        <w:spacing w:line="440" w:lineRule="exact"/>
        <w:ind w:firstLine="480" w:firstLineChars="200"/>
        <w:rPr>
          <w:rFonts w:ascii="宋体" w:hAnsi="宋体" w:eastAsia="宋体" w:cs="宋体"/>
          <w:color w:val="auto"/>
          <w:sz w:val="24"/>
          <w:highlight w:val="none"/>
          <w:u w:val="singl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农民工佣工要求</w:t>
      </w:r>
      <w:r>
        <w:rPr>
          <w:rFonts w:hint="eastAsia" w:ascii="宋体" w:hAnsi="宋体" w:eastAsia="宋体" w:cs="宋体"/>
          <w:color w:val="auto"/>
          <w:sz w:val="24"/>
          <w:highlight w:val="none"/>
        </w:rPr>
        <w:t>）</w:t>
      </w:r>
    </w:p>
    <w:p w14:paraId="53BB194A">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47.13</w:t>
      </w:r>
      <w:r>
        <w:rPr>
          <w:rFonts w:hint="eastAsia" w:ascii="宋体" w:hAnsi="宋体" w:cs="宋体"/>
          <w:color w:val="auto"/>
          <w:sz w:val="24"/>
          <w:highlight w:val="none"/>
        </w:rPr>
        <w:t>承包人必须按照穗开规『</w:t>
      </w:r>
      <w:r>
        <w:rPr>
          <w:rFonts w:ascii="宋体" w:hAnsi="宋体" w:cs="宋体"/>
          <w:color w:val="auto"/>
          <w:sz w:val="24"/>
          <w:highlight w:val="none"/>
        </w:rPr>
        <w:t>2004』58号文的有关要求及规定优先使用广州开发区的农民工。</w:t>
      </w:r>
    </w:p>
    <w:p w14:paraId="53EDBC12">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47.14</w:t>
      </w:r>
      <w:r>
        <w:rPr>
          <w:rFonts w:hint="eastAsia" w:ascii="宋体" w:hAnsi="宋体" w:cs="宋体"/>
          <w:color w:val="auto"/>
          <w:sz w:val="24"/>
          <w:highlight w:val="none"/>
        </w:rPr>
        <w:t>承包人必须严格执行穗开纪</w:t>
      </w:r>
      <w:r>
        <w:rPr>
          <w:rFonts w:ascii="宋体" w:hAnsi="宋体" w:cs="宋体"/>
          <w:color w:val="auto"/>
          <w:sz w:val="24"/>
          <w:highlight w:val="none"/>
        </w:rPr>
        <w:t>[2005]10号文的规定和要求，在本工程施工中使用劳工时，一律由承包人签订用工合同，建立工资直接支付制度，承包人每月按时发放劳工工资，自觉接受发包人和主管部门的监督，不论何种原因决不拖欠或克扣劳工工资。否则，可由员工代表知会有关部门，或拨打投诉电话。承包人必须将上述内容在本工程开工的十日内向全体员工张榜公开。如承包人违约，发包人有权解除合同，并追究承包人由此给发包人造成的一切损失。</w:t>
      </w:r>
    </w:p>
    <w:p w14:paraId="0B9B4A69">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47.15</w:t>
      </w:r>
      <w:r>
        <w:rPr>
          <w:rFonts w:hint="eastAsia" w:ascii="宋体" w:hAnsi="宋体" w:cs="宋体"/>
          <w:color w:val="auto"/>
          <w:sz w:val="24"/>
          <w:highlight w:val="none"/>
        </w:rPr>
        <w:t>承包人必须严格执行广州市黄埔区人民政府办公室《关于贯彻实施国家劳动部、建设部</w:t>
      </w:r>
      <w:r>
        <w:rPr>
          <w:rFonts w:ascii="宋体" w:hAnsi="宋体" w:cs="宋体"/>
          <w:color w:val="auto"/>
          <w:sz w:val="24"/>
          <w:highlight w:val="none"/>
        </w:rPr>
        <w:t>&lt;</w:t>
      </w:r>
      <w:r>
        <w:rPr>
          <w:rFonts w:hint="eastAsia" w:ascii="宋体" w:hAnsi="宋体" w:cs="宋体"/>
          <w:color w:val="auto"/>
          <w:sz w:val="24"/>
          <w:highlight w:val="none"/>
        </w:rPr>
        <w:t>建设领域农民工工资支付管理暂行办法</w:t>
      </w:r>
      <w:r>
        <w:rPr>
          <w:rFonts w:ascii="宋体" w:hAnsi="宋体" w:cs="宋体"/>
          <w:color w:val="auto"/>
          <w:sz w:val="24"/>
          <w:highlight w:val="none"/>
        </w:rPr>
        <w:t>&gt;</w:t>
      </w:r>
      <w:r>
        <w:rPr>
          <w:rFonts w:hint="eastAsia" w:ascii="宋体" w:hAnsi="宋体" w:cs="宋体"/>
          <w:color w:val="auto"/>
          <w:sz w:val="24"/>
          <w:highlight w:val="none"/>
        </w:rPr>
        <w:t>的若干意见》（穗萝府办</w:t>
      </w:r>
      <w:r>
        <w:rPr>
          <w:rFonts w:ascii="宋体" w:hAnsi="宋体" w:cs="宋体"/>
          <w:color w:val="auto"/>
          <w:sz w:val="24"/>
          <w:highlight w:val="none"/>
        </w:rPr>
        <w:t>[2005]21号）的有关规定（包括但不限于）：必须向区劳动保障部门申报用工人数、工资支付制度、工程规模等情况；必须定期参加区劳动保障部门在区建设领域建立和推行的劳动管理培训；本工程开工前，按有关规定向区劳动保障部门缴付农民工工资支付保障金，并在本工程施工合同履行过程中确保此保障金额度符合区劳动保障部门的规定。</w:t>
      </w:r>
    </w:p>
    <w:p w14:paraId="3326F9CB">
      <w:pPr>
        <w:spacing w:line="440" w:lineRule="exact"/>
        <w:ind w:firstLine="480" w:firstLineChars="200"/>
        <w:rPr>
          <w:rFonts w:ascii="宋体" w:hAnsi="宋体" w:cs="宋体"/>
          <w:b/>
          <w:color w:val="auto"/>
          <w:sz w:val="24"/>
          <w:highlight w:val="none"/>
        </w:rPr>
      </w:pPr>
      <w:r>
        <w:rPr>
          <w:rFonts w:ascii="宋体" w:hAnsi="宋体" w:cs="宋体"/>
          <w:color w:val="auto"/>
          <w:sz w:val="24"/>
          <w:highlight w:val="none"/>
        </w:rPr>
        <w:t>47.16</w:t>
      </w:r>
      <w:r>
        <w:rPr>
          <w:rFonts w:hint="eastAsia" w:ascii="宋体" w:hAnsi="宋体" w:cs="宋体"/>
          <w:color w:val="auto"/>
          <w:sz w:val="24"/>
          <w:highlight w:val="none"/>
        </w:rPr>
        <w:t>若承包人在本工程内发生无故拖欠农民工工资现象，将被作不良记录，上报区建设主管部门。若承包人转包或者违法分包造成拖欠工人工资的，除上报区建设行政主管部门外，还将提请省建设行业主管部门禁止在广东省行政区域范围内承包工程。</w:t>
      </w:r>
    </w:p>
    <w:p w14:paraId="16C82B5C">
      <w:pPr>
        <w:spacing w:line="440" w:lineRule="exact"/>
        <w:ind w:firstLine="480" w:firstLineChars="200"/>
        <w:rPr>
          <w:rFonts w:ascii="宋体" w:hAnsi="宋体" w:eastAsia="宋体" w:cs="宋体"/>
          <w:b/>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color w:val="auto"/>
          <w:sz w:val="24"/>
          <w:highlight w:val="none"/>
        </w:rPr>
        <w:t>项目管理机构人员、机械设备、劳动力到位方面的要求</w:t>
      </w:r>
      <w:r>
        <w:rPr>
          <w:rFonts w:hint="eastAsia" w:ascii="宋体" w:hAnsi="宋体" w:eastAsia="宋体" w:cs="宋体"/>
          <w:color w:val="auto"/>
          <w:sz w:val="24"/>
          <w:highlight w:val="none"/>
        </w:rPr>
        <w:t>）</w:t>
      </w:r>
    </w:p>
    <w:p w14:paraId="73F8A33B">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47.17</w:t>
      </w:r>
      <w:r>
        <w:rPr>
          <w:rFonts w:hint="eastAsia" w:ascii="宋体" w:hAnsi="宋体" w:cs="宋体"/>
          <w:color w:val="auto"/>
          <w:sz w:val="24"/>
          <w:highlight w:val="none"/>
        </w:rPr>
        <w:t>合同签订后，项目负责人、项目班子主要成员不到位，则工程师不签发开工令，工期不顺延。施工中班子主要成员离开工地应向工程师请假，经批准后才能离开，擅自离开工地，工程师将发出停工令，待人员回到岗位后才批准复工，由此产生的工期和经济损失由承包人自负，造成发包人和建设管理方损失的，发包人和建设管理方保留索赔的权利。</w:t>
      </w:r>
    </w:p>
    <w:p w14:paraId="2EF076A1">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47.18</w:t>
      </w:r>
      <w:r>
        <w:rPr>
          <w:rFonts w:hint="eastAsia" w:ascii="宋体" w:hAnsi="宋体" w:cs="宋体"/>
          <w:color w:val="auto"/>
          <w:sz w:val="24"/>
          <w:highlight w:val="none"/>
        </w:rPr>
        <w:t>尽管承包人已按投标文件附表中所列的数量派遣了各类管理人员，但若监理工程师经论证认为这些人员仍不足以适应现场施工的需要且不能保证工程质量时，监理工程师有权要求承包人继续增派或雇佣这类人员，并书面通知承包人和抄送发包人。承包人在接到上述通知后应立即执行监理工程师的上述指示，不得无故拖延。</w:t>
      </w:r>
    </w:p>
    <w:p w14:paraId="36B1F8CA">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47.19</w:t>
      </w:r>
      <w:r>
        <w:rPr>
          <w:rFonts w:hint="eastAsia" w:ascii="宋体" w:hAnsi="宋体" w:cs="宋体"/>
          <w:color w:val="auto"/>
          <w:sz w:val="24"/>
          <w:highlight w:val="none"/>
        </w:rPr>
        <w:t>现场施工时，施工员（技术员）不在施工现场不得施工，否则发包人可随时要求停工，工期延误由承包人负责。</w:t>
      </w:r>
    </w:p>
    <w:p w14:paraId="3CBDDD84">
      <w:pPr>
        <w:snapToGrid w:val="0"/>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47.20</w:t>
      </w:r>
      <w:r>
        <w:rPr>
          <w:rFonts w:hint="eastAsia" w:ascii="宋体" w:hAnsi="宋体" w:cs="宋体"/>
          <w:color w:val="auto"/>
          <w:sz w:val="24"/>
          <w:highlight w:val="none"/>
        </w:rPr>
        <w:t>承包人派往现场的管理人员若因不负责任、或玩忽职守、或严重失职等给发包人造成经济损失，承包人承担相应的经济责任和连带法律责任。</w:t>
      </w:r>
    </w:p>
    <w:p w14:paraId="3F13A6B7">
      <w:pPr>
        <w:snapToGrid w:val="0"/>
        <w:spacing w:line="440" w:lineRule="exact"/>
        <w:ind w:firstLine="482" w:firstLineChars="200"/>
        <w:rPr>
          <w:rFonts w:ascii="宋体" w:hAnsi="宋体" w:eastAsia="宋体" w:cs="宋体"/>
          <w:color w:val="auto"/>
          <w:sz w:val="24"/>
          <w:highlight w:val="none"/>
        </w:rPr>
      </w:pPr>
      <w:r>
        <w:rPr>
          <w:rFonts w:hint="eastAsia" w:ascii="宋体" w:hAnsi="宋体" w:eastAsia="宋体" w:cs="宋体"/>
          <w:b/>
          <w:color w:val="auto"/>
          <w:sz w:val="24"/>
          <w:highlight w:val="none"/>
        </w:rPr>
        <w:t>（投标报价及造价承包和变更结算方式的要求</w:t>
      </w:r>
      <w:r>
        <w:rPr>
          <w:rFonts w:hint="eastAsia" w:ascii="宋体" w:hAnsi="宋体" w:eastAsia="宋体" w:cs="宋体"/>
          <w:color w:val="auto"/>
          <w:sz w:val="24"/>
          <w:highlight w:val="none"/>
        </w:rPr>
        <w:t>）</w:t>
      </w:r>
    </w:p>
    <w:p w14:paraId="7ADC775E">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47.21</w:t>
      </w:r>
      <w:r>
        <w:rPr>
          <w:rFonts w:hint="eastAsia" w:ascii="宋体" w:hAnsi="宋体" w:cs="宋体"/>
          <w:color w:val="auto"/>
          <w:sz w:val="24"/>
          <w:highlight w:val="none"/>
        </w:rPr>
        <w:t>工程量清单报价中有关问题的说明：</w:t>
      </w:r>
    </w:p>
    <w:p w14:paraId="5759BB44">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（1）投标时</w:t>
      </w:r>
      <w:r>
        <w:rPr>
          <w:rFonts w:ascii="宋体" w:hAnsi="宋体" w:cs="宋体"/>
          <w:color w:val="auto"/>
          <w:sz w:val="24"/>
          <w:highlight w:val="none"/>
        </w:rPr>
        <w:t>,土方的弃运距离暂按15km内考虑，超过15km按15km计算，</w:t>
      </w:r>
      <w:r>
        <w:rPr>
          <w:rFonts w:hint="eastAsia" w:ascii="宋体" w:hAnsi="宋体" w:cs="宋体"/>
          <w:color w:val="auto"/>
          <w:sz w:val="24"/>
          <w:highlight w:val="none"/>
        </w:rPr>
        <w:t>结算时按招标人确认的实际运距计算</w:t>
      </w:r>
      <w:r>
        <w:rPr>
          <w:rFonts w:ascii="宋体" w:hAnsi="宋体" w:cs="宋体"/>
          <w:color w:val="auto"/>
          <w:sz w:val="24"/>
          <w:highlight w:val="none"/>
        </w:rPr>
        <w:t>,实际运距超过15公里时，按15公里包干,弃运的土方单价按定额计算。</w:t>
      </w:r>
    </w:p>
    <w:p w14:paraId="53750748">
      <w:pPr>
        <w:spacing w:line="440" w:lineRule="exact"/>
        <w:ind w:firstLine="422" w:firstLineChars="200"/>
        <w:rPr>
          <w:rFonts w:ascii="宋体" w:hAnsi="宋体" w:cs="宋体"/>
          <w:color w:val="auto"/>
          <w:sz w:val="24"/>
          <w:highlight w:val="none"/>
        </w:rPr>
      </w:pPr>
      <w:r>
        <w:rPr>
          <w:rFonts w:hint="eastAsia" w:ascii="宋体" w:hAnsi="宋体" w:cs="宋体"/>
          <w:b/>
          <w:color w:val="auto"/>
          <w:szCs w:val="21"/>
          <w:highlight w:val="none"/>
          <w:u w:val="single"/>
        </w:rPr>
        <w:t>（2）</w:t>
      </w:r>
      <w:r>
        <w:rPr>
          <w:rFonts w:hint="eastAsia" w:ascii="宋体" w:hAnsi="宋体" w:cs="宋体"/>
          <w:b/>
          <w:color w:val="auto"/>
          <w:szCs w:val="21"/>
          <w:highlight w:val="none"/>
          <w:u w:val="single"/>
        </w:rPr>
        <w:t>工程量清单中措施项目清单费计价表中的绿色施工安全防护措施费执行《广东省住房和城乡建设厅关于印发&lt;广东省建设工程计价依据（2018)&gt;的通知》（穗建市〔2019〕6号）文，绿色施工安全防护措施费按发包人公布的本工程招标控制价中的绿色施工安全防护措施费计取，作为非竞争费用，在投标报价中单列，不参与投标竞价，该费用从工程施工中标价中提取，专款专用。</w:t>
      </w:r>
    </w:p>
    <w:p w14:paraId="13DE5F59">
      <w:pPr>
        <w:spacing w:line="440" w:lineRule="exact"/>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47.22</w:t>
      </w:r>
      <w:r>
        <w:rPr>
          <w:rFonts w:hint="eastAsia" w:ascii="宋体" w:hAnsi="宋体" w:eastAsia="宋体" w:cs="宋体"/>
          <w:color w:val="auto"/>
          <w:sz w:val="24"/>
          <w:highlight w:val="none"/>
        </w:rPr>
        <w:t>本工程承包人通过现场考察，提出具体施工方案，无论在工程施工期间或是在质量保修期内，若因施工而引起的一切索赔、赔偿、诉讼费用和其他开支，由承包人承担全部责任。该项费用在措施项目费中设有独立单项项目，该费用包干（施工围蔽费用除外）使用，且承包人不得以任何理由要求发包人另行增加该部分费用（承包人要充分考虑最不利因素影响而采用的施工方案所需的费用）。</w:t>
      </w:r>
    </w:p>
    <w:p w14:paraId="695984A8">
      <w:pPr>
        <w:spacing w:line="440" w:lineRule="exact"/>
        <w:ind w:firstLine="480" w:firstLineChars="200"/>
        <w:rPr>
          <w:rFonts w:ascii="宋体" w:hAnsi="宋体" w:cs="宋体"/>
          <w:color w:val="auto"/>
          <w:sz w:val="24"/>
          <w:highlight w:val="none"/>
          <w:u w:val="single"/>
        </w:rPr>
      </w:pPr>
      <w:r>
        <w:rPr>
          <w:rFonts w:ascii="宋体" w:hAnsi="宋体" w:eastAsia="宋体" w:cs="宋体"/>
          <w:color w:val="auto"/>
          <w:sz w:val="24"/>
          <w:highlight w:val="none"/>
        </w:rPr>
        <w:t>47.23</w:t>
      </w:r>
      <w:r>
        <w:rPr>
          <w:rFonts w:hint="eastAsia" w:ascii="宋体" w:hAnsi="宋体" w:eastAsia="宋体" w:cs="宋体"/>
          <w:color w:val="auto"/>
          <w:sz w:val="24"/>
          <w:highlight w:val="none"/>
        </w:rPr>
        <w:t>承包人应结合本工程招标内容对现场进行充分的调查，充分考虑工程招标内容及施工组织方案，承包单位应与相关管理部门（如铁路管理部门）协商，取得同意协调，按要求完成工程招标内容，工程及相关费用包含在合同价中，不另行计费。如果承包人不及时按要求完成，发包人可以另行委托实施，发包人按实际发生的费用在工程款中扣除，承包人不得有任何异议。</w:t>
      </w:r>
    </w:p>
    <w:p w14:paraId="5E6800C0">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47.24</w:t>
      </w:r>
      <w:r>
        <w:rPr>
          <w:rFonts w:hint="eastAsia" w:ascii="宋体" w:hAnsi="宋体" w:cs="宋体"/>
          <w:color w:val="auto"/>
          <w:sz w:val="24"/>
          <w:highlight w:val="none"/>
        </w:rPr>
        <w:t>承包人应根据区相关主管部门批复的水土保持实施方案及相关规定完成本工程的水土保持工作，承担防止水土流失职责，相关费用包含在合同价中，不另行计费。如果承包人不及时按要求完成上述工作，发包人可以另行委托实施，发包人按实际发生的费用在工程款中扣除，承包人不得有任何异议。</w:t>
      </w:r>
    </w:p>
    <w:p w14:paraId="1CC3600B">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47.25</w:t>
      </w:r>
      <w:r>
        <w:rPr>
          <w:rFonts w:hint="eastAsia" w:ascii="宋体" w:hAnsi="宋体" w:cs="宋体"/>
          <w:color w:val="auto"/>
          <w:sz w:val="24"/>
          <w:highlight w:val="none"/>
        </w:rPr>
        <w:t>承包人应使用绿色生产达标企业生产的混凝土，若不遵守承诺，自愿按不履行合同约定处理。</w:t>
      </w:r>
    </w:p>
    <w:p w14:paraId="7177574B">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47.26</w:t>
      </w:r>
      <w:r>
        <w:rPr>
          <w:rFonts w:hint="eastAsia" w:ascii="宋体" w:hAnsi="宋体" w:cs="宋体"/>
          <w:color w:val="auto"/>
          <w:sz w:val="24"/>
          <w:highlight w:val="none"/>
        </w:rPr>
        <w:t>承包人应按有关规定协助发包人完成公共排水设施竣工图纸备案工作。</w:t>
      </w:r>
    </w:p>
    <w:p w14:paraId="45FFD298">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47.27</w:t>
      </w:r>
      <w:r>
        <w:rPr>
          <w:rFonts w:hint="eastAsia" w:ascii="宋体" w:hAnsi="宋体" w:cs="宋体"/>
          <w:color w:val="auto"/>
          <w:sz w:val="24"/>
          <w:highlight w:val="none"/>
        </w:rPr>
        <w:t>在整个合同执行期间发包人如发现有不合理投标报价的，发包人有权按有关规定和合同约定进行调整，并将书面通知承包人，并以此作为结算依据。</w:t>
      </w:r>
    </w:p>
    <w:p w14:paraId="10DAF0C1">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47.28</w:t>
      </w:r>
      <w:r>
        <w:rPr>
          <w:rFonts w:ascii="宋体" w:hAnsi="宋体" w:cs="宋体"/>
          <w:color w:val="auto"/>
          <w:sz w:val="24"/>
          <w:highlight w:val="none"/>
        </w:rPr>
        <w:t>本工程采用的主要材料推荐选用招标文件附件《参考品牌》的品牌、厂家或选用相当于该档次和质量（或以上）的产品</w:t>
      </w:r>
      <w:r>
        <w:rPr>
          <w:rFonts w:ascii="宋体" w:hAnsi="宋体" w:cs="宋体"/>
          <w:color w:val="auto"/>
          <w:sz w:val="24"/>
          <w:highlight w:val="none"/>
        </w:rPr>
        <w:t>。所有材料品牌选择均须报发包人、监理工程师确认，且经检验合格后方能使用。</w:t>
      </w:r>
    </w:p>
    <w:p w14:paraId="5F4D4986">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47.29</w:t>
      </w:r>
      <w:r>
        <w:rPr>
          <w:rFonts w:hint="eastAsia" w:ascii="宋体" w:hAnsi="宋体" w:cs="宋体"/>
          <w:color w:val="auto"/>
          <w:sz w:val="24"/>
          <w:highlight w:val="none"/>
        </w:rPr>
        <w:t>在本工程实施过程中，若与其他工程发生重叠情况或因征地拆迁问题而无法实施的工程，发包人有权取消重叠部分及无法实施部分的工程量，并按照减少的工程量扣除相应的工程款，承包人不得有异议。另外，由于前述原因造成的工程损失，发包人不予赔偿。</w:t>
      </w:r>
    </w:p>
    <w:p w14:paraId="178F8B45">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47.30</w:t>
      </w:r>
      <w:r>
        <w:rPr>
          <w:rFonts w:hint="eastAsia" w:ascii="宋体" w:hAnsi="宋体" w:cs="宋体"/>
          <w:color w:val="auto"/>
          <w:sz w:val="24"/>
          <w:highlight w:val="none"/>
        </w:rPr>
        <w:t>在承包人严重违约、不可抗力或政府政策性调整情况下或根据工程实施实际情况，发包人可对本合同承包范围和承包内容进行调整，发包人对承包人的损失不予补偿（本合同其他条款约定可进行造价调整的除外）。</w:t>
      </w:r>
    </w:p>
    <w:p w14:paraId="0F94386B">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47.31</w:t>
      </w:r>
      <w:r>
        <w:rPr>
          <w:rFonts w:hint="eastAsia" w:ascii="宋体" w:hAnsi="宋体" w:cs="宋体"/>
          <w:color w:val="auto"/>
          <w:sz w:val="24"/>
          <w:highlight w:val="none"/>
        </w:rPr>
        <w:t>承包人须按照发包人与监理人签订的委托监理合同接受监理人的全过程监理。</w:t>
      </w:r>
    </w:p>
    <w:p w14:paraId="106DE7E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47.32</w:t>
      </w:r>
      <w:r>
        <w:rPr>
          <w:rFonts w:hint="eastAsia" w:ascii="宋体" w:hAnsi="宋体" w:cs="宋体"/>
          <w:color w:val="auto"/>
          <w:sz w:val="24"/>
          <w:highlight w:val="none"/>
        </w:rPr>
        <w:t>如广州开发区、黄埔区对工程竣工验收及备案有相关规定，则本合同执行该规定。</w:t>
      </w:r>
    </w:p>
    <w:p w14:paraId="348D1C7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47.33</w:t>
      </w:r>
      <w:r>
        <w:rPr>
          <w:rFonts w:hint="eastAsia" w:ascii="宋体" w:hAnsi="宋体" w:cs="宋体"/>
          <w:color w:val="auto"/>
          <w:sz w:val="24"/>
          <w:highlight w:val="none"/>
        </w:rPr>
        <w:t>如果审计机关依法对本工程实施审计，发包人、承包人及监理单位应积极配合。</w:t>
      </w:r>
    </w:p>
    <w:p w14:paraId="6ED3CBE4">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47.34</w:t>
      </w:r>
      <w:r>
        <w:rPr>
          <w:rFonts w:hint="eastAsia" w:ascii="宋体" w:hAnsi="宋体" w:cs="宋体"/>
          <w:color w:val="auto"/>
          <w:sz w:val="24"/>
          <w:highlight w:val="none"/>
        </w:rPr>
        <w:t>本合同在实施过程中所发生的文件来往，双方不得拒绝签收。如果发生类似事件，发文一方可以监理工程师签收为准，视为送达。</w:t>
      </w:r>
    </w:p>
    <w:p w14:paraId="701CF044">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47.35</w:t>
      </w:r>
      <w:r>
        <w:rPr>
          <w:rFonts w:hint="eastAsia" w:ascii="宋体" w:hAnsi="宋体" w:cs="宋体"/>
          <w:color w:val="auto"/>
          <w:sz w:val="24"/>
          <w:highlight w:val="none"/>
        </w:rPr>
        <w:t>关于现场文件送达后的时效约定：如果涉及到安全、质量、工期（或进度）、经济、技术方案等的报审文件，在发往现场项目部的同时，抄送一份给对方公司，按约定的时效执行；如果属于一般性文件，就直接发往对方现场项目部，项目部如果在约定的时效内未作答复，发文一方再追加一份给对方公司并重新约定答复时效，如果对方公司仍然没有答复，则按重新约定的时效执行。</w:t>
      </w:r>
    </w:p>
    <w:p w14:paraId="5F80574D">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47.36</w:t>
      </w:r>
      <w:r>
        <w:rPr>
          <w:rFonts w:hint="eastAsia" w:ascii="宋体" w:hAnsi="宋体" w:cs="宋体"/>
          <w:color w:val="auto"/>
          <w:sz w:val="24"/>
          <w:highlight w:val="none"/>
        </w:rPr>
        <w:t>在本合同实施过程中所发生的违约金、罚款、扣款等费用，经监理工程师核实并通知承包人后直接作为财务扣款依据（无需承包人签认或同意），可由发包人在履约担保中主张或在工程款中扣除，承包人对此无异议。</w:t>
      </w:r>
    </w:p>
    <w:p w14:paraId="3A00B6D2">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47.37</w:t>
      </w:r>
      <w:r>
        <w:rPr>
          <w:rFonts w:hint="eastAsia" w:ascii="宋体" w:hAnsi="宋体" w:cs="宋体"/>
          <w:color w:val="auto"/>
          <w:sz w:val="24"/>
          <w:highlight w:val="none"/>
        </w:rPr>
        <w:t>承包人施工过程中不得侵犯他人的专利权或者其他合法权益，否则由承包人承担相关责任，并保证不因该侵权行为影响工程建设。</w:t>
      </w:r>
    </w:p>
    <w:p w14:paraId="01486FDF">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47.38</w:t>
      </w:r>
      <w:r>
        <w:rPr>
          <w:rFonts w:hint="eastAsia" w:ascii="宋体" w:hAnsi="宋体" w:cs="宋体"/>
          <w:color w:val="auto"/>
          <w:sz w:val="24"/>
          <w:highlight w:val="none"/>
        </w:rPr>
        <w:t>承包人与发包人签订合同时所提供的开户银行名称及帐号不得擅自变更，如需变更必须征得发包人的书面同意，否则发包人有权停止工程款的拨付，所造成的一切后果由承包人承担。</w:t>
      </w:r>
    </w:p>
    <w:p w14:paraId="28C7D457">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47.39</w:t>
      </w:r>
      <w:r>
        <w:rPr>
          <w:rFonts w:hint="eastAsia" w:ascii="宋体" w:hAnsi="宋体" w:cs="宋体"/>
          <w:color w:val="auto"/>
          <w:sz w:val="24"/>
          <w:highlight w:val="none"/>
        </w:rPr>
        <w:t>如发包人为本工程的代建单位，则本工程建设业主同时享有本合同项下属发包人的权利，并且合同中约定需发包人审批的事项，必须经建设业主审批同意后方可实施。</w:t>
      </w:r>
    </w:p>
    <w:p w14:paraId="0AFD81D2">
      <w:pPr>
        <w:spacing w:line="440" w:lineRule="exact"/>
        <w:ind w:firstLine="360" w:firstLineChars="150"/>
        <w:rPr>
          <w:rFonts w:ascii="宋体" w:hAnsi="宋体" w:cs="宋体"/>
          <w:color w:val="auto"/>
          <w:sz w:val="24"/>
          <w:highlight w:val="none"/>
        </w:rPr>
      </w:pPr>
      <w:r>
        <w:rPr>
          <w:rFonts w:ascii="宋体" w:hAnsi="宋体" w:cs="宋体"/>
          <w:color w:val="auto"/>
          <w:sz w:val="24"/>
          <w:highlight w:val="none"/>
        </w:rPr>
        <w:t>47.40</w:t>
      </w:r>
      <w:r>
        <w:rPr>
          <w:rFonts w:hint="eastAsia" w:ascii="宋体" w:hAnsi="宋体" w:cs="宋体"/>
          <w:color w:val="auto"/>
          <w:sz w:val="24"/>
          <w:highlight w:val="none"/>
        </w:rPr>
        <w:t>《广州开发区财政投资建设项目管理中心绿化景观工程计量管理办法》将作为合同附件，各相关单位须遵照执行。</w:t>
      </w:r>
      <w:r>
        <w:rPr>
          <w:rFonts w:ascii="宋体" w:hAnsi="宋体" w:cs="宋体"/>
          <w:color w:val="auto"/>
          <w:sz w:val="24"/>
          <w:highlight w:val="none"/>
        </w:rPr>
        <w:t xml:space="preserve"> (</w:t>
      </w:r>
      <w:r>
        <w:rPr>
          <w:rFonts w:hint="eastAsia" w:ascii="宋体" w:hAnsi="宋体" w:cs="宋体"/>
          <w:color w:val="auto"/>
          <w:sz w:val="24"/>
          <w:highlight w:val="none"/>
        </w:rPr>
        <w:t>该条款适用于绿化施工工程</w:t>
      </w:r>
      <w:r>
        <w:rPr>
          <w:rFonts w:ascii="宋体" w:hAnsi="宋体" w:cs="宋体"/>
          <w:color w:val="auto"/>
          <w:sz w:val="24"/>
          <w:highlight w:val="none"/>
        </w:rPr>
        <w:t>)</w:t>
      </w:r>
    </w:p>
    <w:p w14:paraId="7A94021D">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47.41</w:t>
      </w:r>
      <w:r>
        <w:rPr>
          <w:rFonts w:hint="eastAsia" w:ascii="宋体" w:hAnsi="宋体" w:cs="宋体"/>
          <w:color w:val="auto"/>
          <w:sz w:val="24"/>
          <w:highlight w:val="none"/>
        </w:rPr>
        <w:t>工程获得国家、省级、市级所发奖项的，可给予通报表彰，但不给予任何物质奖励。</w:t>
      </w:r>
    </w:p>
    <w:p w14:paraId="61B9C66A">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47.42</w:t>
      </w:r>
      <w:r>
        <w:rPr>
          <w:rFonts w:hint="eastAsia" w:ascii="宋体" w:hAnsi="宋体" w:cs="宋体"/>
          <w:color w:val="auto"/>
          <w:sz w:val="24"/>
          <w:highlight w:val="none"/>
        </w:rPr>
        <w:t>如本合同需缴纳合同印花税，承包人需在有关税务部门规定期限及结清本合同费用前，代缴按规定属发包人缴纳的部分，代缴后发包人按代缴金额实报实销。承包人未按规定期限代缴印花税的，因此产生的滞纳金由承包人承担。</w:t>
      </w:r>
    </w:p>
    <w:p w14:paraId="2E33FDCA">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47.43</w:t>
      </w:r>
      <w:r>
        <w:rPr>
          <w:rFonts w:hint="eastAsia" w:ascii="宋体" w:hAnsi="宋体" w:cs="宋体"/>
          <w:color w:val="auto"/>
          <w:sz w:val="24"/>
          <w:highlight w:val="none"/>
        </w:rPr>
        <w:t>如承包人为联合体的，</w:t>
      </w:r>
      <w:r>
        <w:rPr>
          <w:rFonts w:hint="eastAsia" w:ascii="宋体" w:hAnsi="宋体" w:cs="宋体"/>
          <w:color w:val="auto"/>
          <w:sz w:val="24"/>
          <w:highlight w:val="none"/>
        </w:rPr>
        <w:t>本合同由联合体的主办方负责签订。并由联合体主办方负责开具合同价款全额发票、收取合同款项，联合体主办方收取合同款项后由联合体各方自行分配相应款项，或由联合体各方负责开具其对应价款的全额发票，具体分配事宜与发包人无关。</w:t>
      </w:r>
    </w:p>
    <w:p w14:paraId="61B0A033">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47.44</w:t>
      </w:r>
      <w:r>
        <w:rPr>
          <w:rFonts w:hint="eastAsia" w:ascii="宋体" w:hAnsi="宋体" w:cs="宋体"/>
          <w:color w:val="auto"/>
          <w:sz w:val="24"/>
          <w:highlight w:val="none"/>
        </w:rPr>
        <w:t>如承包人及承包人的项目负责人存在因与工程项目施工相关的车辆运输而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经发包人核实，发包人有权终止合同。</w:t>
      </w:r>
    </w:p>
    <w:p w14:paraId="30582C30">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47.45</w:t>
      </w:r>
      <w:r>
        <w:rPr>
          <w:rFonts w:hint="eastAsia" w:ascii="宋体" w:hAnsi="宋体" w:cs="宋体"/>
          <w:color w:val="auto"/>
          <w:sz w:val="24"/>
          <w:highlight w:val="none"/>
        </w:rPr>
        <w:t>如承包人将工程施工过程中产生的土石方、建筑垃圾及施工过程中使用的建筑材料、设备等的运输委托给被最高人民法院在“信用中国”网站或各级信用信息共享平台中列入失信被执行人名单或被交通运输行政主管部门在“信用交通”网站列入严重违法超限超载运输失信当事人名单或被工商行政管理机关在全国企业信用信息公示系统中列入严重违法失信企业名单或被黄埔区、广州开发区公安、城管、住建、交通、水务、规自等部门列入黑名单、不良行为记录（处罚有效期内）的单位或个体经营者运输的，经发包人核实，发包人有权终止合同。</w:t>
      </w:r>
    </w:p>
    <w:p w14:paraId="08566FA4">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47.46开工前中标人应当投保安全生产责任保险，且该保险保障场所应包含中标项目。投标人的投标报价视为包含该项目费用。中标人未按规定购买安全生产责任保险，招标人可视严重程度拒绝该单位一定时期内参与后续工程投标。</w:t>
      </w:r>
    </w:p>
    <w:p w14:paraId="660CC8E2">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47.47 </w:t>
      </w:r>
      <w:r>
        <w:rPr>
          <w:rFonts w:hint="eastAsia" w:ascii="宋体" w:hAnsi="宋体" w:cs="宋体"/>
          <w:color w:val="auto"/>
          <w:sz w:val="24"/>
          <w:highlight w:val="none"/>
        </w:rPr>
        <w:t>如承包人存在出让投标资格、与其他单位围标串标、行贿、在投标文件中提供虚假材料、少放或不放业绩、奖项等客观评审资料减少自身竞争力、拖欠农民工工资、将中标工程转包或者违法分包等行为的，发包人将拒绝承包人在一年内参与后续招标项目的投标。</w:t>
      </w:r>
    </w:p>
    <w:p w14:paraId="4FDA4531">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47.48</w:t>
      </w:r>
      <w:r>
        <w:rPr>
          <w:rFonts w:hint="eastAsia" w:ascii="宋体" w:hAnsi="宋体" w:cs="宋体"/>
          <w:color w:val="auto"/>
          <w:sz w:val="24"/>
          <w:highlight w:val="none"/>
        </w:rPr>
        <w:t>承包人在施工过程中应严格执行《城市绿化条例》、《广东省城市绿化条例》、《广州市绿化条例》、《广州市城市树木保护管理规定（试行）》（穗林业园林规字〔</w:t>
      </w:r>
      <w:r>
        <w:rPr>
          <w:rFonts w:ascii="宋体" w:hAnsi="宋体" w:cs="宋体"/>
          <w:color w:val="auto"/>
          <w:sz w:val="24"/>
          <w:highlight w:val="none"/>
        </w:rPr>
        <w:t>2022〕1号）等法规规定。不得破坏树木和树木立地生境，不得随意更改树木根颈处的地形标高。对可能影响绿地使用功能或树木正常生长的，应采取避让和保护措施。涉及树木周边环境施工时，承包人应对可能受损的树木采取保护措施，包括设立保护区域、使用保护物料包裹树干、设置临时支撑、定期检查树木健康状况等。工程建设应符合相关规划和标准，保证树木的生长空间。相关费用包含在合同价中，不另行计费。如果承包人不及时按要求完成，发包人可以另行委托实施，发包人按实际发生的费用在工程款中扣除，承包人不得有任何异议。</w:t>
      </w:r>
    </w:p>
    <w:p w14:paraId="049A36AA">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47.49 </w:t>
      </w:r>
      <w:r>
        <w:rPr>
          <w:rFonts w:hint="eastAsia" w:ascii="宋体" w:hAnsi="宋体" w:cs="宋体"/>
          <w:color w:val="auto"/>
          <w:sz w:val="24"/>
          <w:highlight w:val="none"/>
        </w:rPr>
        <w:t>承包人应严格保护古树名木、古树后续资源、行道树、大树等树木，禁止擅自砍伐树木，禁止擅自迁移树木。如承包人未经批准擅自砍伐树木、损害绿化、损害树木及绿化保护设施的，发包人将上报绿化行政主管部门，视情节轻重给予相应处罚，构成犯罪的将依法移交相关机关追究刑事责任。</w:t>
      </w:r>
    </w:p>
    <w:p w14:paraId="207375F4">
      <w:pPr>
        <w:spacing w:line="440" w:lineRule="exact"/>
        <w:ind w:firstLine="480" w:firstLineChars="200"/>
        <w:rPr>
          <w:rFonts w:ascii="宋体" w:hAnsi="宋体" w:cs="宋体"/>
          <w:color w:val="auto"/>
          <w:sz w:val="24"/>
          <w:highlight w:val="none"/>
        </w:rPr>
      </w:pPr>
      <w:r>
        <w:rPr>
          <w:rFonts w:ascii="宋体" w:hAnsi="宋体" w:cs="宋体"/>
          <w:color w:val="auto"/>
          <w:sz w:val="24"/>
          <w:highlight w:val="none"/>
        </w:rPr>
        <w:t>47.50 承包人应切实遵守《中华人民共和国文物保护法》、《中华人民共和国文物保护法实施条例》、《广州市文物保护规定》等文物保护相关法律、法规规定，在工程施工前，协助发包人按规定履行文物保护相关审批手续，及配合相关单位完成考古调查、勘探相关工作。不得因施工发生损毁文物的情况。承包人应加强对其施工队伍及分包单位（如有）关于文物保护相关法律、法规的宣传教育，保证施工全过程不违反文物保护相关规定。如因承包人原因发生未履行文物考古调查、勘探等前置工作擅自开工建设的，由承包人承担全部法律责任，发包人将上报文物行政主管部门，视情节轻重给予相应处罚，构成犯罪的将依法移交相关机关追究刑事责任。</w:t>
      </w:r>
    </w:p>
    <w:p w14:paraId="536541E2">
      <w:pPr>
        <w:spacing w:line="520" w:lineRule="exact"/>
        <w:ind w:firstLine="544" w:firstLineChars="227"/>
        <w:rPr>
          <w:rFonts w:ascii="宋体" w:hAnsi="宋体"/>
          <w:b/>
          <w:color w:val="auto"/>
          <w:sz w:val="24"/>
          <w:highlight w:val="none"/>
        </w:rPr>
      </w:pPr>
      <w:r>
        <w:rPr>
          <w:rFonts w:ascii="宋体" w:hAnsi="宋体" w:cs="宋体"/>
          <w:color w:val="auto"/>
          <w:sz w:val="24"/>
          <w:highlight w:val="none"/>
        </w:rPr>
        <w:t>47.51 未尽事宜，经双方友好协商解决。</w:t>
      </w:r>
    </w:p>
    <w:p w14:paraId="2A800E06">
      <w:pPr>
        <w:numPr>
          <w:ilvl w:val="0"/>
          <w:numId w:val="17"/>
        </w:numPr>
        <w:jc w:val="center"/>
        <w:rPr>
          <w:rFonts w:ascii="宋体" w:hAnsi="宋体" w:cs="宋体"/>
          <w:b/>
          <w:bCs/>
          <w:color w:val="auto"/>
          <w:sz w:val="28"/>
          <w:szCs w:val="28"/>
          <w:highlight w:val="none"/>
        </w:rPr>
      </w:pPr>
      <w:r>
        <w:rPr>
          <w:color w:val="auto"/>
          <w:highlight w:val="none"/>
        </w:rPr>
        <w:br w:type="page"/>
      </w:r>
      <w:r>
        <w:rPr>
          <w:rFonts w:hint="eastAsia" w:ascii="宋体" w:hAnsi="宋体" w:cs="宋体"/>
          <w:b/>
          <w:color w:val="auto"/>
          <w:sz w:val="28"/>
          <w:szCs w:val="28"/>
          <w:highlight w:val="none"/>
        </w:rPr>
        <w:t xml:space="preserve"> </w:t>
      </w:r>
      <w:r>
        <w:rPr>
          <w:rFonts w:hint="eastAsia" w:ascii="宋体" w:hAnsi="宋体" w:cs="宋体"/>
          <w:b/>
          <w:bCs/>
          <w:color w:val="auto"/>
          <w:sz w:val="28"/>
          <w:szCs w:val="28"/>
          <w:highlight w:val="none"/>
        </w:rPr>
        <w:t>绿化种植专篇</w:t>
      </w:r>
    </w:p>
    <w:p w14:paraId="104C01B0">
      <w:pPr>
        <w:spacing w:line="440" w:lineRule="exact"/>
        <w:jc w:val="center"/>
        <w:rPr>
          <w:rFonts w:ascii="宋体" w:hAnsi="宋体" w:cs="宋体"/>
          <w:color w:val="auto"/>
          <w:sz w:val="24"/>
          <w:highlight w:val="none"/>
        </w:rPr>
      </w:pPr>
      <w:r>
        <w:rPr>
          <w:rFonts w:hint="eastAsia" w:ascii="宋体" w:hAnsi="宋体" w:cs="宋体"/>
          <w:color w:val="auto"/>
          <w:sz w:val="24"/>
          <w:highlight w:val="none"/>
        </w:rPr>
        <w:t>（本专篇</w:t>
      </w:r>
      <w:r>
        <w:rPr>
          <w:rFonts w:hint="eastAsia" w:ascii="宋体" w:hAnsi="宋体" w:cs="宋体"/>
          <w:color w:val="auto"/>
          <w:sz w:val="24"/>
          <w:highlight w:val="none"/>
        </w:rPr>
        <w:t>适用于绿化建设项目、房建及道路配套绿化项目</w:t>
      </w:r>
      <w:r>
        <w:rPr>
          <w:rFonts w:hint="eastAsia" w:ascii="宋体" w:hAnsi="宋体" w:cs="宋体"/>
          <w:color w:val="auto"/>
          <w:sz w:val="24"/>
          <w:highlight w:val="none"/>
        </w:rPr>
        <w:t>。）</w:t>
      </w:r>
    </w:p>
    <w:p w14:paraId="1B6667FC">
      <w:pPr>
        <w:spacing w:line="440" w:lineRule="exact"/>
        <w:rPr>
          <w:rFonts w:ascii="宋体" w:hAnsi="宋体" w:cs="宋体"/>
          <w:color w:val="auto"/>
          <w:sz w:val="24"/>
          <w:highlight w:val="none"/>
        </w:rPr>
      </w:pPr>
    </w:p>
    <w:p w14:paraId="7315A6A9">
      <w:pPr>
        <w:spacing w:line="440" w:lineRule="exact"/>
        <w:rPr>
          <w:rFonts w:ascii="宋体" w:hAnsi="宋体" w:cs="宋体"/>
          <w:color w:val="auto"/>
          <w:sz w:val="24"/>
          <w:highlight w:val="none"/>
        </w:rPr>
      </w:pPr>
      <w:r>
        <w:rPr>
          <w:rFonts w:hint="eastAsia" w:ascii="宋体" w:hAnsi="宋体" w:cs="宋体"/>
          <w:color w:val="auto"/>
          <w:sz w:val="24"/>
          <w:highlight w:val="none"/>
        </w:rPr>
        <w:t>发包人（甲方）：</w:t>
      </w:r>
      <w:r>
        <w:rPr>
          <w:rFonts w:hint="eastAsia" w:ascii="宋体" w:hAnsi="宋体" w:cs="宋体"/>
          <w:color w:val="auto"/>
          <w:sz w:val="24"/>
          <w:highlight w:val="none"/>
          <w:u w:val="single"/>
        </w:rPr>
        <w:t>广州开发区财政投资建设项目管理中心</w:t>
      </w:r>
    </w:p>
    <w:p w14:paraId="0E8F3A64">
      <w:pPr>
        <w:spacing w:line="440" w:lineRule="exact"/>
        <w:rPr>
          <w:rFonts w:ascii="宋体" w:hAnsi="宋体" w:cs="宋体"/>
          <w:color w:val="auto"/>
          <w:sz w:val="24"/>
          <w:highlight w:val="none"/>
        </w:rPr>
      </w:pPr>
      <w:r>
        <w:rPr>
          <w:rFonts w:hint="eastAsia" w:ascii="宋体" w:hAnsi="宋体" w:cs="宋体"/>
          <w:color w:val="auto"/>
          <w:sz w:val="24"/>
          <w:highlight w:val="none"/>
        </w:rPr>
        <w:t>承包人（乙方）：</w:t>
      </w:r>
      <w:r>
        <w:rPr>
          <w:rFonts w:hint="eastAsia" w:ascii="宋体" w:hAnsi="宋体" w:cs="宋体"/>
          <w:color w:val="auto"/>
          <w:sz w:val="24"/>
          <w:highlight w:val="none"/>
          <w:u w:val="single"/>
        </w:rPr>
        <w:t xml:space="preserve">                    </w:t>
      </w:r>
    </w:p>
    <w:p w14:paraId="4746FB65">
      <w:pPr>
        <w:spacing w:line="4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为提高绿化苗木选取和种植苗木质量，加强科学绿化建设和管理，提升</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项目绿化种植和养护管理标准，制订本项目绿化种植专篇。</w:t>
      </w:r>
    </w:p>
    <w:p w14:paraId="349FE74C">
      <w:pPr>
        <w:spacing w:line="44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一、绿化种植、养护内容及范围</w:t>
      </w:r>
    </w:p>
    <w:p w14:paraId="67371B6E">
      <w:pPr>
        <w:spacing w:line="44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1、本项目绿化工程范围：</w:t>
      </w:r>
      <w:r>
        <w:rPr>
          <w:rFonts w:hint="eastAsia" w:ascii="宋体" w:hAnsi="宋体" w:cs="宋体"/>
          <w:color w:val="auto"/>
          <w:kern w:val="0"/>
          <w:sz w:val="24"/>
          <w:highlight w:val="none"/>
          <w:u w:val="single"/>
        </w:rPr>
        <w:t xml:space="preserve"> </w:t>
      </w:r>
      <w:r>
        <w:rPr>
          <w:rFonts w:hint="eastAsia" w:ascii="宋体" w:hAnsi="宋体" w:cs="宋体"/>
          <w:color w:val="auto"/>
          <w:sz w:val="24"/>
          <w:highlight w:val="none"/>
          <w:u w:val="single"/>
        </w:rPr>
        <w:t>本项目施工合同约定的承包范围内的全部绿化工程内容</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368E2C7">
      <w:pPr>
        <w:pStyle w:val="35"/>
        <w:spacing w:line="440" w:lineRule="exact"/>
        <w:rPr>
          <w:rFonts w:ascii="宋体" w:hAnsi="宋体" w:cs="宋体"/>
          <w:color w:val="auto"/>
          <w:sz w:val="24"/>
          <w:highlight w:val="none"/>
        </w:rPr>
      </w:pPr>
      <w:r>
        <w:rPr>
          <w:rFonts w:hint="eastAsia" w:ascii="宋体" w:hAnsi="宋体" w:cs="宋体"/>
          <w:color w:val="auto"/>
          <w:kern w:val="0"/>
          <w:sz w:val="24"/>
          <w:highlight w:val="none"/>
        </w:rPr>
        <w:t xml:space="preserve">    </w:t>
      </w:r>
      <w:r>
        <w:rPr>
          <w:rFonts w:ascii="宋体" w:hAnsi="宋体" w:cs="宋体"/>
          <w:color w:val="auto"/>
          <w:kern w:val="0"/>
          <w:sz w:val="24"/>
          <w:highlight w:val="none"/>
        </w:rPr>
        <w:t>2</w:t>
      </w:r>
      <w:r>
        <w:rPr>
          <w:rFonts w:hint="eastAsia" w:ascii="宋体" w:hAnsi="宋体" w:cs="宋体"/>
          <w:color w:val="auto"/>
          <w:kern w:val="0"/>
          <w:sz w:val="24"/>
          <w:highlight w:val="none"/>
        </w:rPr>
        <w:t>、</w:t>
      </w:r>
      <w:r>
        <w:rPr>
          <w:rFonts w:hint="eastAsia" w:ascii="宋体" w:hAnsi="宋体" w:eastAsia="宋体" w:cs="宋体"/>
          <w:color w:val="auto"/>
          <w:kern w:val="0"/>
          <w:sz w:val="24"/>
          <w:highlight w:val="none"/>
        </w:rPr>
        <w:t>本项目苗木供应清单，详见招标工程量清单。</w:t>
      </w:r>
    </w:p>
    <w:p w14:paraId="58F8C357">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二、质量要求</w:t>
      </w:r>
    </w:p>
    <w:p w14:paraId="0F79077D">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要求符合国家、省、市园林绿化规程、检评标准、相关要求及行业标准，包括但不限于以下： </w:t>
      </w:r>
    </w:p>
    <w:p w14:paraId="4EC29652">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1、 相关法律法规与政策文件</w:t>
      </w:r>
    </w:p>
    <w:p w14:paraId="61FC5FF7">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（1）《城市绿化条例》（2017 年修订）；</w:t>
      </w:r>
    </w:p>
    <w:p w14:paraId="1D85F3E5">
      <w:pPr>
        <w:pStyle w:val="86"/>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（2）《广东省城市绿化条例》（2022 年修订）</w:t>
      </w:r>
    </w:p>
    <w:p w14:paraId="155157B9">
      <w:pPr>
        <w:pStyle w:val="86"/>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（3）《广州市绿化条例》（2022 年修订）</w:t>
      </w:r>
    </w:p>
    <w:p w14:paraId="1F7AE0E1">
      <w:pPr>
        <w:pStyle w:val="86"/>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（4）《国务院办公厅关于科学绿化的指导意见》（国办发〔2021〕19 号）</w:t>
      </w:r>
    </w:p>
    <w:p w14:paraId="23F1AE30">
      <w:pPr>
        <w:pStyle w:val="86"/>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（5）《中共广东省委关于深入推进绿美广东生态建设的决定》（2022 年 12 月 8 日中国共产党广东省第十三届委员会第二次全体会议通过）</w:t>
      </w:r>
    </w:p>
    <w:p w14:paraId="34A36FB1">
      <w:pPr>
        <w:pStyle w:val="86"/>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（6）《广东省人民政府办公厅关于科学绿化的实施意见》（粤府办〔2021〕48 号）</w:t>
      </w:r>
    </w:p>
    <w:p w14:paraId="1F2A2A60">
      <w:pPr>
        <w:pStyle w:val="86"/>
        <w:spacing w:line="440" w:lineRule="exact"/>
        <w:ind w:firstLine="0" w:firstLineChars="0"/>
        <w:rPr>
          <w:rFonts w:ascii="宋体" w:hAnsi="宋体" w:cs="宋体"/>
          <w:color w:val="auto"/>
          <w:sz w:val="24"/>
          <w:highlight w:val="none"/>
        </w:rPr>
      </w:pPr>
      <w:r>
        <w:rPr>
          <w:rFonts w:hint="eastAsia" w:ascii="宋体" w:hAnsi="宋体" w:cs="宋体"/>
          <w:color w:val="auto"/>
          <w:sz w:val="24"/>
          <w:highlight w:val="none"/>
        </w:rPr>
        <w:t>（7）中共广州市委办公厅 广州市人民政府办公厅印发《广州市关于科学绿化的实施意见》的通知（穗办〔2021〕11号）</w:t>
      </w:r>
    </w:p>
    <w:p w14:paraId="0E2A1BD7">
      <w:pPr>
        <w:pStyle w:val="86"/>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（8）《广州市林业和园林局关于印发广州市树木修剪技术指引（试行）的通知》（穗林业园林通〔2021〕153 号）</w:t>
      </w:r>
    </w:p>
    <w:p w14:paraId="17E479C1">
      <w:pPr>
        <w:pStyle w:val="86"/>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（9）《广州市林业和园林局关于规范提升全市树木支撑的通知》（穗林业园林通〔2019〕100 号）</w:t>
      </w:r>
    </w:p>
    <w:p w14:paraId="5BCDB527">
      <w:pPr>
        <w:pStyle w:val="86"/>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（10）黄埔区住房和城乡建设局 广州开发区建设和交通局关于印发《</w:t>
      </w:r>
      <w:r>
        <w:rPr>
          <w:rFonts w:hint="eastAsia" w:ascii="宋体" w:hAnsi="宋体" w:cs="宋体"/>
          <w:color w:val="auto"/>
          <w:sz w:val="24"/>
          <w:highlight w:val="none"/>
        </w:rPr>
        <w:t>黄埔区绿化苗木选用及种植技术指引（1.0版）</w:t>
      </w:r>
      <w:r>
        <w:rPr>
          <w:rFonts w:hint="eastAsia" w:ascii="宋体" w:hAnsi="宋体" w:cs="宋体"/>
          <w:color w:val="auto"/>
          <w:sz w:val="24"/>
          <w:highlight w:val="none"/>
        </w:rPr>
        <w:t>》《</w:t>
      </w:r>
      <w:r>
        <w:rPr>
          <w:rFonts w:hint="eastAsia" w:ascii="宋体" w:hAnsi="宋体" w:cs="宋体"/>
          <w:color w:val="auto"/>
          <w:sz w:val="24"/>
          <w:highlight w:val="none"/>
        </w:rPr>
        <w:t>黄埔区园林绿化养护技术指引（1.0版）</w:t>
      </w:r>
      <w:r>
        <w:rPr>
          <w:rFonts w:hint="eastAsia" w:ascii="宋体" w:hAnsi="宋体" w:cs="宋体"/>
          <w:color w:val="auto"/>
          <w:sz w:val="24"/>
          <w:highlight w:val="none"/>
        </w:rPr>
        <w:t>》的通知（穗埔建〔2023〕93 号）</w:t>
      </w:r>
    </w:p>
    <w:p w14:paraId="071499FB">
      <w:pPr>
        <w:pStyle w:val="86"/>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（11） 《黄埔区住房和城乡建设局 广州开发区建设和交通局关于加强科学绿化工作的提醒函》（穗埔建函[2023]2767号）</w:t>
      </w:r>
    </w:p>
    <w:p w14:paraId="25945C29">
      <w:pPr>
        <w:spacing w:line="440" w:lineRule="exact"/>
        <w:jc w:val="left"/>
        <w:rPr>
          <w:rFonts w:ascii="宋体" w:hAnsi="宋体" w:cs="宋体"/>
          <w:b/>
          <w:bCs/>
          <w:color w:val="auto"/>
          <w:sz w:val="24"/>
          <w:highlight w:val="none"/>
        </w:rPr>
      </w:pPr>
      <w:r>
        <w:rPr>
          <w:rFonts w:hint="eastAsia" w:ascii="宋体" w:hAnsi="宋体" w:cs="宋体"/>
          <w:b/>
          <w:bCs/>
          <w:color w:val="auto"/>
          <w:sz w:val="24"/>
          <w:highlight w:val="none"/>
        </w:rPr>
        <w:t>2、 相关标准规范</w:t>
      </w:r>
    </w:p>
    <w:p w14:paraId="28FE9BBB">
      <w:pPr>
        <w:spacing w:line="440" w:lineRule="exact"/>
        <w:jc w:val="left"/>
        <w:rPr>
          <w:rFonts w:ascii="宋体" w:hAnsi="宋体" w:cs="宋体"/>
          <w:color w:val="auto"/>
          <w:sz w:val="24"/>
          <w:highlight w:val="none"/>
        </w:rPr>
      </w:pPr>
      <w:r>
        <w:rPr>
          <w:rFonts w:hint="eastAsia" w:ascii="宋体" w:hAnsi="宋体" w:cs="宋体"/>
          <w:color w:val="auto"/>
          <w:sz w:val="24"/>
          <w:highlight w:val="none"/>
        </w:rPr>
        <w:t>（1）《园林绿化工程项目规范》（GB55014-2021）；</w:t>
      </w:r>
    </w:p>
    <w:p w14:paraId="63DF6533">
      <w:pPr>
        <w:spacing w:line="440" w:lineRule="exact"/>
        <w:jc w:val="left"/>
        <w:rPr>
          <w:rFonts w:ascii="宋体" w:hAnsi="宋体" w:cs="宋体"/>
          <w:color w:val="auto"/>
          <w:sz w:val="24"/>
          <w:highlight w:val="none"/>
        </w:rPr>
      </w:pPr>
      <w:r>
        <w:rPr>
          <w:rFonts w:hint="eastAsia" w:ascii="宋体" w:hAnsi="宋体" w:cs="宋体"/>
          <w:color w:val="auto"/>
          <w:sz w:val="24"/>
          <w:highlight w:val="none"/>
        </w:rPr>
        <w:t>（2）《城市园林绿化评价标准》GBT 50563-2010；</w:t>
      </w:r>
    </w:p>
    <w:p w14:paraId="72C947FE">
      <w:pPr>
        <w:spacing w:line="440" w:lineRule="exact"/>
        <w:jc w:val="left"/>
        <w:rPr>
          <w:rFonts w:ascii="宋体" w:hAnsi="宋体" w:cs="宋体"/>
          <w:color w:val="auto"/>
          <w:sz w:val="24"/>
          <w:highlight w:val="none"/>
        </w:rPr>
      </w:pPr>
      <w:r>
        <w:rPr>
          <w:rFonts w:hint="eastAsia" w:ascii="宋体" w:hAnsi="宋体" w:cs="宋体"/>
          <w:color w:val="auto"/>
          <w:sz w:val="24"/>
          <w:highlight w:val="none"/>
        </w:rPr>
        <w:t>（3）《城市绿地草坪建植与管理技术规程》GBT 19535.2-2004；</w:t>
      </w:r>
    </w:p>
    <w:p w14:paraId="1EDAD56B">
      <w:pPr>
        <w:spacing w:line="440" w:lineRule="exact"/>
        <w:jc w:val="left"/>
        <w:rPr>
          <w:rFonts w:ascii="宋体" w:hAnsi="宋体" w:cs="宋体"/>
          <w:color w:val="auto"/>
          <w:sz w:val="24"/>
          <w:highlight w:val="none"/>
        </w:rPr>
      </w:pPr>
      <w:r>
        <w:rPr>
          <w:rFonts w:hint="eastAsia" w:ascii="宋体" w:hAnsi="宋体" w:cs="宋体"/>
          <w:color w:val="auto"/>
          <w:sz w:val="24"/>
          <w:highlight w:val="none"/>
        </w:rPr>
        <w:t>（4）《城市园林绿化评价标准》[附条文说明]GB/T 50563-2010</w:t>
      </w:r>
    </w:p>
    <w:p w14:paraId="30ACA52A">
      <w:pPr>
        <w:spacing w:line="440" w:lineRule="exact"/>
        <w:jc w:val="left"/>
        <w:rPr>
          <w:rFonts w:ascii="宋体" w:hAnsi="宋体" w:cs="宋体"/>
          <w:color w:val="auto"/>
          <w:sz w:val="24"/>
          <w:highlight w:val="none"/>
        </w:rPr>
      </w:pPr>
      <w:r>
        <w:rPr>
          <w:rFonts w:hint="eastAsia" w:ascii="宋体" w:hAnsi="宋体" w:cs="宋体"/>
          <w:color w:val="auto"/>
          <w:sz w:val="24"/>
          <w:highlight w:val="none"/>
        </w:rPr>
        <w:t>（5）《地表水环境质量标准》GB 3838-2002</w:t>
      </w:r>
    </w:p>
    <w:p w14:paraId="1215B4A2">
      <w:pPr>
        <w:spacing w:line="440" w:lineRule="exact"/>
        <w:jc w:val="left"/>
        <w:rPr>
          <w:rFonts w:ascii="宋体" w:hAnsi="宋体" w:cs="宋体"/>
          <w:color w:val="auto"/>
          <w:sz w:val="24"/>
          <w:highlight w:val="none"/>
        </w:rPr>
      </w:pPr>
      <w:r>
        <w:rPr>
          <w:rFonts w:hint="eastAsia" w:ascii="宋体" w:hAnsi="宋体" w:cs="宋体"/>
          <w:color w:val="auto"/>
          <w:sz w:val="24"/>
          <w:highlight w:val="none"/>
        </w:rPr>
        <w:t>（6）《园林树木安全性评价技术规范》DB4401/T17—2019 ；</w:t>
      </w:r>
    </w:p>
    <w:p w14:paraId="4900096D">
      <w:pPr>
        <w:spacing w:line="440" w:lineRule="exact"/>
        <w:jc w:val="left"/>
        <w:rPr>
          <w:rFonts w:ascii="宋体" w:hAnsi="宋体" w:cs="宋体"/>
          <w:color w:val="auto"/>
          <w:sz w:val="24"/>
          <w:highlight w:val="none"/>
        </w:rPr>
      </w:pPr>
      <w:r>
        <w:rPr>
          <w:rFonts w:hint="eastAsia" w:ascii="宋体" w:hAnsi="宋体" w:cs="宋体"/>
          <w:color w:val="auto"/>
          <w:sz w:val="24"/>
          <w:highlight w:val="none"/>
        </w:rPr>
        <w:t>（7）《广东城市绿化工程施工和验收规范》DBBT581-2009 ；</w:t>
      </w:r>
    </w:p>
    <w:p w14:paraId="67A6655C">
      <w:pPr>
        <w:spacing w:line="440" w:lineRule="exact"/>
        <w:jc w:val="left"/>
        <w:rPr>
          <w:rFonts w:ascii="宋体" w:hAnsi="宋体" w:cs="宋体"/>
          <w:color w:val="auto"/>
          <w:sz w:val="24"/>
          <w:highlight w:val="none"/>
        </w:rPr>
      </w:pPr>
      <w:r>
        <w:rPr>
          <w:rFonts w:hint="eastAsia" w:ascii="宋体" w:hAnsi="宋体" w:cs="宋体"/>
          <w:color w:val="auto"/>
          <w:sz w:val="24"/>
          <w:highlight w:val="none"/>
        </w:rPr>
        <w:t>（8）《城市园林绿化工程施工及验收规范》DB11/T 212-2017；</w:t>
      </w:r>
    </w:p>
    <w:p w14:paraId="09EBE393">
      <w:pPr>
        <w:spacing w:line="440" w:lineRule="exact"/>
        <w:jc w:val="left"/>
        <w:rPr>
          <w:rFonts w:ascii="宋体" w:hAnsi="宋体" w:cs="宋体"/>
          <w:color w:val="auto"/>
          <w:sz w:val="24"/>
          <w:highlight w:val="none"/>
        </w:rPr>
      </w:pPr>
      <w:r>
        <w:rPr>
          <w:rFonts w:hint="eastAsia" w:ascii="宋体" w:hAnsi="宋体" w:cs="宋体"/>
          <w:color w:val="auto"/>
          <w:sz w:val="24"/>
          <w:highlight w:val="none"/>
        </w:rPr>
        <w:t>（9）《城市园林绿化用苗-木本苗木分级》DB440300/T 28—2006。</w:t>
      </w:r>
    </w:p>
    <w:p w14:paraId="618B106F">
      <w:pPr>
        <w:spacing w:line="440" w:lineRule="exact"/>
        <w:jc w:val="left"/>
        <w:rPr>
          <w:rFonts w:ascii="宋体" w:hAnsi="宋体" w:cs="宋体"/>
          <w:color w:val="auto"/>
          <w:sz w:val="24"/>
          <w:highlight w:val="none"/>
        </w:rPr>
      </w:pPr>
      <w:r>
        <w:rPr>
          <w:rFonts w:hint="eastAsia" w:ascii="宋体" w:hAnsi="宋体" w:cs="宋体"/>
          <w:color w:val="auto"/>
          <w:sz w:val="24"/>
          <w:highlight w:val="none"/>
        </w:rPr>
        <w:t>（10）《城市绿化和园林绿地用植物材料-木本苗》CJT 24-1999；</w:t>
      </w:r>
    </w:p>
    <w:p w14:paraId="139DB423">
      <w:pPr>
        <w:spacing w:line="440" w:lineRule="exact"/>
        <w:jc w:val="left"/>
        <w:rPr>
          <w:rFonts w:ascii="宋体" w:hAnsi="宋体" w:cs="宋体"/>
          <w:color w:val="auto"/>
          <w:sz w:val="24"/>
          <w:highlight w:val="none"/>
        </w:rPr>
      </w:pPr>
      <w:r>
        <w:rPr>
          <w:rFonts w:hint="eastAsia" w:ascii="宋体" w:hAnsi="宋体" w:cs="宋体"/>
          <w:color w:val="auto"/>
          <w:sz w:val="24"/>
          <w:highlight w:val="none"/>
        </w:rPr>
        <w:t>（11）《城市绿化和园林绿地用植物材料- 球根花卉种球》CJT</w:t>
      </w:r>
    </w:p>
    <w:p w14:paraId="51934288">
      <w:pPr>
        <w:spacing w:line="440" w:lineRule="exact"/>
        <w:jc w:val="left"/>
        <w:rPr>
          <w:rFonts w:ascii="宋体" w:hAnsi="宋体" w:cs="宋体"/>
          <w:color w:val="auto"/>
          <w:sz w:val="24"/>
          <w:highlight w:val="none"/>
        </w:rPr>
      </w:pPr>
      <w:r>
        <w:rPr>
          <w:rFonts w:hint="eastAsia" w:ascii="宋体" w:hAnsi="宋体" w:cs="宋体"/>
          <w:color w:val="auto"/>
          <w:sz w:val="24"/>
          <w:highlight w:val="none"/>
        </w:rPr>
        <w:t>135-2001 ；</w:t>
      </w:r>
    </w:p>
    <w:p w14:paraId="63581745">
      <w:pPr>
        <w:spacing w:line="440" w:lineRule="exact"/>
        <w:jc w:val="left"/>
        <w:rPr>
          <w:rFonts w:ascii="宋体" w:hAnsi="宋体" w:cs="宋体"/>
          <w:color w:val="auto"/>
          <w:sz w:val="24"/>
          <w:highlight w:val="none"/>
        </w:rPr>
      </w:pPr>
      <w:r>
        <w:rPr>
          <w:rFonts w:hint="eastAsia" w:ascii="宋体" w:hAnsi="宋体" w:cs="宋体"/>
          <w:color w:val="auto"/>
          <w:sz w:val="24"/>
          <w:highlight w:val="none"/>
        </w:rPr>
        <w:t>（12）《绿化种植土壤》CJ/T340-2016；</w:t>
      </w:r>
    </w:p>
    <w:p w14:paraId="0C0D0B23">
      <w:pPr>
        <w:spacing w:line="440" w:lineRule="exact"/>
        <w:jc w:val="left"/>
        <w:rPr>
          <w:rFonts w:ascii="宋体" w:hAnsi="宋体" w:cs="宋体"/>
          <w:color w:val="auto"/>
          <w:sz w:val="24"/>
          <w:highlight w:val="none"/>
        </w:rPr>
      </w:pPr>
      <w:r>
        <w:rPr>
          <w:rFonts w:hint="eastAsia" w:ascii="宋体" w:hAnsi="宋体" w:cs="宋体"/>
          <w:color w:val="auto"/>
          <w:sz w:val="24"/>
          <w:highlight w:val="none"/>
        </w:rPr>
        <w:t>（13）《园林植物筛选通用技术要求》CJT 512-2017；</w:t>
      </w:r>
    </w:p>
    <w:p w14:paraId="76584F08">
      <w:pPr>
        <w:spacing w:line="440" w:lineRule="exact"/>
        <w:jc w:val="left"/>
        <w:rPr>
          <w:rFonts w:ascii="宋体" w:hAnsi="宋体" w:cs="宋体"/>
          <w:color w:val="auto"/>
          <w:sz w:val="24"/>
          <w:highlight w:val="none"/>
        </w:rPr>
      </w:pPr>
      <w:r>
        <w:rPr>
          <w:rFonts w:hint="eastAsia" w:ascii="宋体" w:hAnsi="宋体" w:cs="宋体"/>
          <w:color w:val="auto"/>
          <w:sz w:val="24"/>
          <w:highlight w:val="none"/>
        </w:rPr>
        <w:t>（14）《城市主要绿化竹种苗木等级》LYT 2345-2014；</w:t>
      </w:r>
    </w:p>
    <w:p w14:paraId="29742C7B">
      <w:pPr>
        <w:spacing w:line="440" w:lineRule="exact"/>
        <w:jc w:val="left"/>
        <w:rPr>
          <w:rFonts w:ascii="宋体" w:hAnsi="宋体" w:cs="宋体"/>
          <w:color w:val="auto"/>
          <w:sz w:val="24"/>
          <w:highlight w:val="none"/>
        </w:rPr>
      </w:pPr>
      <w:r>
        <w:rPr>
          <w:rFonts w:hint="eastAsia" w:ascii="宋体" w:hAnsi="宋体" w:cs="宋体"/>
          <w:color w:val="auto"/>
          <w:sz w:val="24"/>
          <w:highlight w:val="none"/>
        </w:rPr>
        <w:t>（15）《绿化全冠苗木栽植技术规程》LYT 2632-2016；</w:t>
      </w:r>
    </w:p>
    <w:p w14:paraId="4E1D1402">
      <w:pPr>
        <w:spacing w:line="440" w:lineRule="exact"/>
        <w:jc w:val="left"/>
        <w:rPr>
          <w:rFonts w:ascii="宋体" w:hAnsi="宋体" w:cs="宋体"/>
          <w:color w:val="auto"/>
          <w:sz w:val="24"/>
          <w:highlight w:val="none"/>
        </w:rPr>
      </w:pPr>
      <w:r>
        <w:rPr>
          <w:rFonts w:hint="eastAsia" w:ascii="宋体" w:hAnsi="宋体" w:cs="宋体"/>
          <w:color w:val="auto"/>
          <w:sz w:val="24"/>
          <w:highlight w:val="none"/>
        </w:rPr>
        <w:t>（16）《森林植物检疫技术规程》</w:t>
      </w:r>
    </w:p>
    <w:p w14:paraId="194A9B73">
      <w:pPr>
        <w:spacing w:line="440" w:lineRule="exact"/>
        <w:jc w:val="left"/>
        <w:rPr>
          <w:rFonts w:ascii="宋体" w:hAnsi="宋体" w:cs="宋体"/>
          <w:color w:val="auto"/>
          <w:sz w:val="24"/>
          <w:highlight w:val="none"/>
        </w:rPr>
      </w:pPr>
      <w:r>
        <w:rPr>
          <w:rFonts w:hint="eastAsia" w:ascii="宋体" w:hAnsi="宋体" w:cs="宋体"/>
          <w:color w:val="auto"/>
          <w:sz w:val="24"/>
          <w:highlight w:val="none"/>
        </w:rPr>
        <w:t>（17）《广州市主要乡土和适生植物名录》</w:t>
      </w:r>
    </w:p>
    <w:p w14:paraId="53FFCDAB">
      <w:pPr>
        <w:spacing w:line="440" w:lineRule="exact"/>
        <w:jc w:val="left"/>
        <w:rPr>
          <w:rFonts w:ascii="宋体" w:hAnsi="宋体" w:cs="宋体"/>
          <w:color w:val="auto"/>
          <w:sz w:val="24"/>
          <w:highlight w:val="none"/>
        </w:rPr>
      </w:pPr>
      <w:r>
        <w:rPr>
          <w:rFonts w:hint="eastAsia" w:ascii="宋体" w:hAnsi="宋体" w:cs="宋体"/>
          <w:color w:val="auto"/>
          <w:sz w:val="24"/>
          <w:highlight w:val="none"/>
        </w:rPr>
        <w:t>（18）《城市道路绿化规划与设计规范》</w:t>
      </w:r>
    </w:p>
    <w:p w14:paraId="53F774E0">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三、绿化种植、养护要求</w:t>
      </w:r>
    </w:p>
    <w:p w14:paraId="5954475A">
      <w:pPr>
        <w:numPr>
          <w:ilvl w:val="0"/>
          <w:numId w:val="18"/>
        </w:numPr>
        <w:spacing w:line="440" w:lineRule="exact"/>
        <w:ind w:firstLine="549" w:firstLineChars="228"/>
        <w:rPr>
          <w:rFonts w:ascii="宋体" w:hAnsi="宋体" w:cs="宋体"/>
          <w:b/>
          <w:bCs/>
          <w:color w:val="auto"/>
          <w:sz w:val="24"/>
          <w:highlight w:val="none"/>
        </w:rPr>
      </w:pPr>
      <w:r>
        <w:rPr>
          <w:rFonts w:hint="eastAsia" w:ascii="宋体" w:hAnsi="宋体" w:cs="宋体"/>
          <w:b/>
          <w:bCs/>
          <w:color w:val="auto"/>
          <w:sz w:val="24"/>
          <w:highlight w:val="none"/>
        </w:rPr>
        <w:t xml:space="preserve">绿化苗木选用和种植过程要求 </w:t>
      </w:r>
    </w:p>
    <w:p w14:paraId="677CDA56">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承包人应严格按照本项目《苗木供应清单》要求选用苗木，执行《黄埔区绿化苗木选用及种植技术指引（1.0版）》，加强对绿化种植全过程的监管监控，严格把控好绿化苗木品质，精细化深翻整理绿地，因地制宜塑造地形，保证土质营养成分及酸碱度，高标准高质量开挖种植穴，严格控制种植穴的尺寸，确保做到深挖浅埋的要求，规范绿化苗木选苗、起苗、包扎、修剪，做足做全绿化苗木运输保护措施，标准化进行绿化种植、淋水、支撑、挂牌等工作，提高绿化种植成活率，促进绿化苗木健康茁壮成长，并在规定时间内整理好苗木种植资料。项目中使用的苗木，应来自珠三角地区正规苗圃场生产培育苗木，不应使用古树名木或从森林中移栽的大树。因改造而需迁移的树木应通过有效截枝、控根等技术措施进行迁地抚育，达到种植标准后，方可作为大规格苗木重新应用于园林绿化中。</w:t>
      </w:r>
    </w:p>
    <w:p w14:paraId="13BC7A66">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2、绿化养护技术及时间要求</w:t>
      </w:r>
    </w:p>
    <w:p w14:paraId="4A352ADA">
      <w:pPr>
        <w:pStyle w:val="2"/>
        <w:spacing w:line="440" w:lineRule="exact"/>
        <w:ind w:left="0" w:leftChars="0" w:firstLine="560"/>
        <w:rPr>
          <w:rFonts w:ascii="宋体" w:hAnsi="宋体" w:cs="宋体"/>
          <w:color w:val="auto"/>
          <w:sz w:val="24"/>
          <w:highlight w:val="none"/>
        </w:rPr>
      </w:pPr>
      <w:r>
        <w:rPr>
          <w:rFonts w:ascii="宋体" w:hAnsi="宋体" w:cs="宋体"/>
          <w:color w:val="auto"/>
          <w:sz w:val="24"/>
          <w:highlight w:val="none"/>
        </w:rPr>
        <w:t>承包人应认真学习并执行《黄埔区园林绿化养护技术指引（1.0版）》的具体要求，规范项目中绿化灌溉、施肥、修剪、病虫害综合防治、日常养护管理工作。</w:t>
      </w:r>
    </w:p>
    <w:p w14:paraId="7453724F">
      <w:pPr>
        <w:snapToGrid w:val="0"/>
        <w:spacing w:line="440" w:lineRule="exact"/>
        <w:ind w:firstLine="581" w:firstLineChars="241"/>
        <w:rPr>
          <w:rFonts w:ascii="宋体" w:hAnsi="宋体" w:cs="宋体"/>
          <w:color w:val="auto"/>
          <w:sz w:val="24"/>
          <w:highlight w:val="none"/>
        </w:rPr>
      </w:pPr>
      <w:r>
        <w:rPr>
          <w:rFonts w:hint="eastAsia" w:ascii="宋体" w:hAnsi="宋体" w:cs="宋体"/>
          <w:b/>
          <w:bCs/>
          <w:color w:val="auto"/>
          <w:sz w:val="24"/>
          <w:highlight w:val="none"/>
        </w:rPr>
        <w:t>养护期：</w:t>
      </w:r>
      <w:r>
        <w:rPr>
          <w:rFonts w:hint="eastAsia" w:ascii="宋体" w:hAnsi="宋体"/>
          <w:color w:val="auto"/>
          <w:sz w:val="24"/>
          <w:highlight w:val="none"/>
        </w:rPr>
        <w:t>胸径</w:t>
      </w:r>
      <w:r>
        <w:rPr>
          <w:rFonts w:ascii="宋体" w:hAnsi="宋体"/>
          <w:color w:val="auto"/>
          <w:sz w:val="24"/>
          <w:highlight w:val="none"/>
        </w:rPr>
        <w:t>15cm</w:t>
      </w:r>
      <w:r>
        <w:rPr>
          <w:rFonts w:hint="eastAsia" w:ascii="宋体" w:hAnsi="宋体"/>
          <w:color w:val="auto"/>
          <w:sz w:val="24"/>
          <w:highlight w:val="none"/>
        </w:rPr>
        <w:t>以内（含</w:t>
      </w:r>
      <w:r>
        <w:rPr>
          <w:rFonts w:ascii="宋体" w:hAnsi="宋体"/>
          <w:color w:val="auto"/>
          <w:sz w:val="24"/>
          <w:highlight w:val="none"/>
        </w:rPr>
        <w:t>15cm</w:t>
      </w:r>
      <w:r>
        <w:rPr>
          <w:rFonts w:hint="eastAsia" w:ascii="宋体" w:hAnsi="宋体"/>
          <w:color w:val="auto"/>
          <w:sz w:val="24"/>
          <w:highlight w:val="none"/>
        </w:rPr>
        <w:t>）的苗木养护期为</w:t>
      </w:r>
      <w:r>
        <w:rPr>
          <w:rFonts w:hint="eastAsia" w:ascii="宋体" w:hAnsi="宋体" w:cs="宋体"/>
          <w:color w:val="auto"/>
          <w:sz w:val="24"/>
          <w:highlight w:val="none"/>
        </w:rPr>
        <w:t>自本项目绿化工程通过竣工验收之日起</w:t>
      </w:r>
      <w:r>
        <w:rPr>
          <w:rFonts w:ascii="宋体" w:hAnsi="宋体"/>
          <w:color w:val="auto"/>
          <w:sz w:val="24"/>
          <w:highlight w:val="none"/>
          <w:u w:val="single"/>
        </w:rPr>
        <w:t xml:space="preserve"> 3</w:t>
      </w:r>
      <w:r>
        <w:rPr>
          <w:rFonts w:hint="eastAsia" w:ascii="宋体" w:hAnsi="宋体"/>
          <w:color w:val="auto"/>
          <w:sz w:val="24"/>
          <w:highlight w:val="none"/>
          <w:u w:val="single"/>
        </w:rPr>
        <w:t xml:space="preserve"> </w:t>
      </w:r>
      <w:r>
        <w:rPr>
          <w:rFonts w:hint="eastAsia" w:ascii="宋体" w:hAnsi="宋体"/>
          <w:color w:val="auto"/>
          <w:sz w:val="24"/>
          <w:highlight w:val="none"/>
        </w:rPr>
        <w:t>个月，胸径</w:t>
      </w:r>
      <w:r>
        <w:rPr>
          <w:rFonts w:ascii="宋体" w:hAnsi="宋体"/>
          <w:color w:val="auto"/>
          <w:sz w:val="24"/>
          <w:highlight w:val="none"/>
        </w:rPr>
        <w:t>15cm</w:t>
      </w:r>
      <w:r>
        <w:rPr>
          <w:rFonts w:hint="eastAsia" w:ascii="宋体" w:hAnsi="宋体"/>
          <w:color w:val="auto"/>
          <w:sz w:val="24"/>
          <w:highlight w:val="none"/>
        </w:rPr>
        <w:t>以上的苗木养护期为</w:t>
      </w:r>
      <w:r>
        <w:rPr>
          <w:rFonts w:hint="eastAsia" w:ascii="宋体" w:hAnsi="宋体" w:cs="宋体"/>
          <w:color w:val="auto"/>
          <w:sz w:val="24"/>
          <w:highlight w:val="none"/>
        </w:rPr>
        <w:t>自本项目绿化工程通过竣工验收之日起</w:t>
      </w:r>
      <w:r>
        <w:rPr>
          <w:rFonts w:ascii="宋体" w:hAnsi="宋体"/>
          <w:color w:val="auto"/>
          <w:sz w:val="24"/>
          <w:highlight w:val="none"/>
          <w:u w:val="single"/>
        </w:rPr>
        <w:t xml:space="preserve"> 1</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45B65E55">
      <w:pPr>
        <w:spacing w:line="44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养护期内，承包人需负责项目中绿化灌溉、施肥、修剪、病虫害综合防治、日常养护管理工作，及时更换不符合清单要求的苗木，提高绿化种植成活率，确保绿化移交时符合</w:t>
      </w:r>
      <w:r>
        <w:rPr>
          <w:rFonts w:hint="eastAsia" w:ascii="宋体" w:hAnsi="宋体" w:cs="宋体"/>
          <w:color w:val="auto"/>
          <w:sz w:val="24"/>
          <w:highlight w:val="none"/>
        </w:rPr>
        <w:t>《</w:t>
      </w:r>
      <w:r>
        <w:rPr>
          <w:rFonts w:hint="eastAsia" w:ascii="宋体" w:hAnsi="宋体" w:cs="宋体"/>
          <w:color w:val="auto"/>
          <w:sz w:val="24"/>
          <w:highlight w:val="none"/>
        </w:rPr>
        <w:t>黄埔区绿化苗木选用及种植技术指引（1.0版）》《黄埔区园林绿化养护技术指引（1.0版）》及发包人要求。</w:t>
      </w:r>
    </w:p>
    <w:p w14:paraId="2C2F9424">
      <w:pPr>
        <w:spacing w:line="44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四、责任与义务</w:t>
      </w:r>
    </w:p>
    <w:p w14:paraId="305937EA">
      <w:pPr>
        <w:spacing w:line="440" w:lineRule="exact"/>
        <w:jc w:val="left"/>
        <w:rPr>
          <w:rFonts w:ascii="宋体" w:hAnsi="宋体" w:cs="宋体"/>
          <w:color w:val="auto"/>
          <w:sz w:val="24"/>
          <w:highlight w:val="none"/>
        </w:rPr>
      </w:pPr>
      <w:r>
        <w:rPr>
          <w:rFonts w:hint="eastAsia" w:ascii="宋体" w:hAnsi="宋体" w:cs="宋体"/>
          <w:color w:val="auto"/>
          <w:sz w:val="24"/>
          <w:highlight w:val="none"/>
        </w:rPr>
        <w:t>1、承包人应严格按照本项目《苗木供应清单》执行苗木选用、种植和养护工作。如经发包人</w:t>
      </w:r>
      <w:r>
        <w:rPr>
          <w:rFonts w:hint="eastAsia" w:ascii="宋体" w:hAnsi="宋体" w:cs="宋体"/>
          <w:color w:val="auto"/>
          <w:kern w:val="0"/>
          <w:sz w:val="24"/>
          <w:highlight w:val="none"/>
        </w:rPr>
        <w:t>或本项目监理单位</w:t>
      </w:r>
      <w:r>
        <w:rPr>
          <w:rFonts w:hint="eastAsia" w:ascii="宋体" w:hAnsi="宋体" w:cs="宋体"/>
          <w:color w:val="auto"/>
          <w:sz w:val="24"/>
          <w:highlight w:val="none"/>
        </w:rPr>
        <w:t>巡查发现苗木不符合清单要求的，应按照发包人或者监理单位的要求及时更换；</w:t>
      </w:r>
      <w:r>
        <w:rPr>
          <w:rFonts w:hint="eastAsia" w:ascii="宋体" w:hAnsi="宋体" w:cs="宋体"/>
          <w:color w:val="auto"/>
          <w:sz w:val="24"/>
          <w:highlight w:val="none"/>
        </w:rPr>
        <w:t>每逾期一天，由发包人扣减绿化工程造价的万分之一作为违约金。</w:t>
      </w:r>
      <w:r>
        <w:rPr>
          <w:rFonts w:hint="eastAsia" w:ascii="宋体" w:hAnsi="宋体" w:cs="宋体"/>
          <w:color w:val="auto"/>
          <w:sz w:val="24"/>
          <w:highlight w:val="none"/>
        </w:rPr>
        <w:t>同时，发包人有权另行委托其他服务单位实施整改，以保证按时按质按量完成整改，</w:t>
      </w:r>
      <w:r>
        <w:rPr>
          <w:rFonts w:hint="eastAsia" w:ascii="宋体" w:hAnsi="宋体" w:cs="宋体"/>
          <w:color w:val="auto"/>
          <w:sz w:val="24"/>
          <w:highlight w:val="none"/>
        </w:rPr>
        <w:t>所需费用从承包人工程款中全额扣除。</w:t>
      </w:r>
    </w:p>
    <w:p w14:paraId="5346ECAC">
      <w:pPr>
        <w:spacing w:line="440" w:lineRule="exact"/>
        <w:jc w:val="left"/>
        <w:rPr>
          <w:rFonts w:ascii="宋体" w:hAnsi="宋体" w:cs="宋体"/>
          <w:color w:val="auto"/>
          <w:sz w:val="24"/>
          <w:highlight w:val="none"/>
        </w:rPr>
      </w:pPr>
      <w:r>
        <w:rPr>
          <w:rFonts w:hint="eastAsia" w:ascii="宋体" w:hAnsi="宋体" w:cs="宋体"/>
          <w:color w:val="auto"/>
          <w:sz w:val="24"/>
          <w:highlight w:val="none"/>
        </w:rPr>
        <w:t>2、承包人应规范苗木种植过程及绿化灌溉、施肥、修剪、病虫害综合防治、日常养护管理等工作，发包人应不定期对承包人绿化种植成效进行抽查、加强对绿化种植全过程的监管监控，如承包人绿化种植效果达不到项目要求，发包人有权要求其限期整改。</w:t>
      </w:r>
      <w:r>
        <w:rPr>
          <w:rFonts w:hint="eastAsia" w:ascii="宋体" w:hAnsi="宋体" w:cs="宋体"/>
          <w:color w:val="auto"/>
          <w:sz w:val="24"/>
          <w:highlight w:val="none"/>
        </w:rPr>
        <w:t>每逾期一天，由发包人扣减绿化工程造价的万分之一作为违约金。</w:t>
      </w:r>
      <w:r>
        <w:rPr>
          <w:rFonts w:hint="eastAsia" w:ascii="宋体" w:hAnsi="宋体" w:cs="宋体"/>
          <w:color w:val="auto"/>
          <w:sz w:val="24"/>
          <w:highlight w:val="none"/>
        </w:rPr>
        <w:t>同时，发包人有权另行委托其他服务单位实施整改，以保证按时按质按量完成整改，</w:t>
      </w:r>
      <w:r>
        <w:rPr>
          <w:rFonts w:hint="eastAsia" w:ascii="宋体" w:hAnsi="宋体" w:cs="宋体"/>
          <w:color w:val="auto"/>
          <w:sz w:val="24"/>
          <w:highlight w:val="none"/>
        </w:rPr>
        <w:t>所需费用从承包人工程款中全额扣除。</w:t>
      </w:r>
    </w:p>
    <w:p w14:paraId="3170D8AC">
      <w:pPr>
        <w:pStyle w:val="86"/>
        <w:spacing w:line="440" w:lineRule="exact"/>
        <w:ind w:firstLine="241"/>
        <w:rPr>
          <w:rFonts w:ascii="宋体" w:hAnsi="宋体" w:cs="宋体"/>
          <w:b/>
          <w:bCs/>
          <w:color w:val="auto"/>
          <w:sz w:val="24"/>
          <w:highlight w:val="none"/>
        </w:rPr>
      </w:pPr>
      <w:r>
        <w:rPr>
          <w:rFonts w:hint="eastAsia" w:ascii="宋体" w:hAnsi="宋体" w:cs="宋体"/>
          <w:b/>
          <w:bCs/>
          <w:color w:val="auto"/>
          <w:sz w:val="24"/>
          <w:highlight w:val="none"/>
        </w:rPr>
        <w:t>五、其它</w:t>
      </w:r>
    </w:p>
    <w:p w14:paraId="02D9DE2D">
      <w:pPr>
        <w:pStyle w:val="86"/>
        <w:spacing w:line="440" w:lineRule="exact"/>
        <w:ind w:firstLine="240"/>
        <w:rPr>
          <w:rFonts w:ascii="宋体" w:hAnsi="宋体" w:cs="宋体"/>
          <w:color w:val="auto"/>
          <w:sz w:val="24"/>
          <w:highlight w:val="none"/>
        </w:rPr>
      </w:pPr>
      <w:r>
        <w:rPr>
          <w:rFonts w:hint="eastAsia" w:ascii="宋体" w:hAnsi="宋体" w:cs="宋体"/>
          <w:color w:val="auto"/>
          <w:sz w:val="24"/>
          <w:highlight w:val="none"/>
        </w:rPr>
        <w:t>本专篇是为规范本项目绿化工程种植、养护工作制定，未提及的内容均按施工合同专用条款的约定执行。</w:t>
      </w:r>
    </w:p>
    <w:p w14:paraId="1E593B2F">
      <w:pPr>
        <w:rPr>
          <w:color w:val="auto"/>
          <w:sz w:val="24"/>
          <w:highlight w:val="none"/>
        </w:rPr>
      </w:pPr>
    </w:p>
    <w:p w14:paraId="46D2D73B">
      <w:pPr>
        <w:numPr>
          <w:ilvl w:val="0"/>
          <w:numId w:val="17"/>
        </w:numPr>
        <w:spacing w:line="440" w:lineRule="exact"/>
        <w:jc w:val="center"/>
        <w:rPr>
          <w:rFonts w:ascii="宋体" w:hAnsi="宋体"/>
          <w:color w:val="auto"/>
          <w:sz w:val="28"/>
          <w:szCs w:val="28"/>
          <w:highlight w:val="none"/>
        </w:rPr>
      </w:pPr>
      <w:r>
        <w:rPr>
          <w:rFonts w:ascii="宋体" w:hAnsi="宋体"/>
          <w:b/>
          <w:color w:val="auto"/>
          <w:sz w:val="28"/>
          <w:szCs w:val="28"/>
          <w:highlight w:val="none"/>
        </w:rPr>
        <w:t xml:space="preserve"> </w:t>
      </w:r>
      <w:r>
        <w:rPr>
          <w:rFonts w:hint="eastAsia" w:ascii="宋体" w:hAnsi="宋体"/>
          <w:b/>
          <w:color w:val="auto"/>
          <w:sz w:val="28"/>
          <w:szCs w:val="28"/>
          <w:highlight w:val="none"/>
        </w:rPr>
        <w:t>工程质量保修责任书</w:t>
      </w:r>
    </w:p>
    <w:p w14:paraId="4CE84BE9">
      <w:pPr>
        <w:numPr>
          <w:ilvl w:val="255"/>
          <w:numId w:val="0"/>
        </w:numPr>
        <w:spacing w:line="440" w:lineRule="exact"/>
        <w:jc w:val="center"/>
        <w:rPr>
          <w:rStyle w:val="285"/>
          <w:color w:val="auto"/>
          <w:sz w:val="32"/>
          <w:szCs w:val="32"/>
          <w:highlight w:val="none"/>
        </w:rPr>
      </w:pPr>
    </w:p>
    <w:p w14:paraId="2D5C3669">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发包人：</w:t>
      </w:r>
      <w:r>
        <w:rPr>
          <w:rFonts w:hint="eastAsia" w:ascii="方正大标宋简体" w:hAnsi="仿宋" w:eastAsia="方正大标宋简体"/>
          <w:color w:val="auto"/>
          <w:sz w:val="24"/>
          <w:highlight w:val="none"/>
          <w:u w:val="single"/>
        </w:rPr>
        <w:t>广州开发区财政投资建设项目管理中心</w:t>
      </w:r>
    </w:p>
    <w:p w14:paraId="1420C924">
      <w:pPr>
        <w:spacing w:line="440" w:lineRule="exact"/>
        <w:ind w:firstLine="480" w:firstLineChars="200"/>
        <w:rPr>
          <w:rFonts w:ascii="宋体" w:hAnsi="宋体"/>
          <w:snapToGrid w:val="0"/>
          <w:color w:val="auto"/>
          <w:kern w:val="0"/>
          <w:sz w:val="24"/>
          <w:highlight w:val="none"/>
          <w:u w:val="single"/>
        </w:rPr>
      </w:pPr>
      <w:r>
        <w:rPr>
          <w:rFonts w:hint="eastAsia" w:ascii="宋体" w:hAnsi="宋体"/>
          <w:snapToGrid w:val="0"/>
          <w:color w:val="auto"/>
          <w:kern w:val="0"/>
          <w:sz w:val="24"/>
          <w:highlight w:val="none"/>
        </w:rPr>
        <w:t>承包人：</w:t>
      </w:r>
      <w:r>
        <w:rPr>
          <w:rFonts w:hint="eastAsia" w:ascii="宋体" w:hAnsi="宋体"/>
          <w:color w:val="auto"/>
          <w:sz w:val="24"/>
          <w:highlight w:val="none"/>
          <w:u w:val="single"/>
        </w:rPr>
        <w:t xml:space="preserve">                       </w:t>
      </w:r>
    </w:p>
    <w:p w14:paraId="403DA0A3">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发包人、承包人根据《中华人民共和国建筑法》、《建设工程质量管理条例》和《房屋建筑工程质量保修办法》等相关规定，经协商一致，对</w:t>
      </w:r>
      <w:r>
        <w:rPr>
          <w:rFonts w:hint="eastAsia" w:ascii="宋体" w:hAnsi="宋体"/>
          <w:snapToGrid w:val="0"/>
          <w:color w:val="auto"/>
          <w:kern w:val="0"/>
          <w:sz w:val="24"/>
          <w:highlight w:val="none"/>
          <w:u w:val="single"/>
        </w:rPr>
        <w:t xml:space="preserve">            </w:t>
      </w:r>
      <w:r>
        <w:rPr>
          <w:rFonts w:hint="eastAsia" w:ascii="宋体" w:hAnsi="宋体"/>
          <w:snapToGrid w:val="0"/>
          <w:color w:val="auto"/>
          <w:kern w:val="0"/>
          <w:sz w:val="24"/>
          <w:highlight w:val="none"/>
        </w:rPr>
        <w:t>建设项目工程项目</w:t>
      </w:r>
      <w:r>
        <w:rPr>
          <w:rFonts w:hint="eastAsia" w:ascii="宋体" w:hAnsi="宋体"/>
          <w:snapToGrid w:val="0"/>
          <w:color w:val="auto"/>
          <w:kern w:val="0"/>
          <w:sz w:val="24"/>
          <w:highlight w:val="none"/>
        </w:rPr>
        <w:t>签订工程质量保修书。</w:t>
      </w:r>
    </w:p>
    <w:p w14:paraId="1BA500FE">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一、工程质量保修范围和内容</w:t>
      </w:r>
    </w:p>
    <w:p w14:paraId="17277844">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1、承包人在质量保修期内，按照有关法律、法规、规章的管理规定和双方约定，承担本工程质量保修责任。</w:t>
      </w:r>
    </w:p>
    <w:p w14:paraId="3EF2F672">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2、质量保修范围本工程施工合同约定的工程内容。</w:t>
      </w:r>
    </w:p>
    <w:p w14:paraId="47E2718E">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二、质量保修期</w:t>
      </w:r>
    </w:p>
    <w:p w14:paraId="5FD63A41">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双方根据《建设工程质量管理条例》、《房屋建筑工程质量保修办法》（建设部第80号令）的有关规定及设计要求，约定本工程质量保修期如下：</w:t>
      </w:r>
    </w:p>
    <w:p w14:paraId="6245FBAD">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1、地基基础工程和主体结构工程为设计文件规定的该工程的合理使用年限；</w:t>
      </w:r>
    </w:p>
    <w:p w14:paraId="4F9438BF">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2、屋面防水工程、有防水要求的卫生间、房间和外墙面的防渗漏为</w:t>
      </w:r>
      <w:r>
        <w:rPr>
          <w:rFonts w:hint="eastAsia" w:ascii="宋体" w:hAnsi="宋体"/>
          <w:snapToGrid w:val="0"/>
          <w:color w:val="auto"/>
          <w:kern w:val="0"/>
          <w:sz w:val="24"/>
          <w:highlight w:val="none"/>
          <w:u w:val="single"/>
        </w:rPr>
        <w:t xml:space="preserve"> 5 </w:t>
      </w:r>
      <w:r>
        <w:rPr>
          <w:rFonts w:hint="eastAsia" w:ascii="宋体" w:hAnsi="宋体"/>
          <w:snapToGrid w:val="0"/>
          <w:color w:val="auto"/>
          <w:kern w:val="0"/>
          <w:sz w:val="24"/>
          <w:highlight w:val="none"/>
        </w:rPr>
        <w:t>年；</w:t>
      </w:r>
    </w:p>
    <w:p w14:paraId="751815C7">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3、电气管线、给排水管道、设备安装工程为</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14:paraId="2046D8AC">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4、供热及供冷为</w:t>
      </w:r>
      <w:r>
        <w:rPr>
          <w:rFonts w:hint="eastAsia" w:ascii="宋体" w:hAnsi="宋体"/>
          <w:snapToGrid w:val="0"/>
          <w:color w:val="auto"/>
          <w:kern w:val="0"/>
          <w:sz w:val="24"/>
          <w:highlight w:val="none"/>
          <w:u w:val="single"/>
        </w:rPr>
        <w:t xml:space="preserve"> 2</w:t>
      </w:r>
      <w:r>
        <w:rPr>
          <w:rFonts w:hint="eastAsia" w:ascii="宋体" w:hAnsi="宋体"/>
          <w:snapToGrid w:val="0"/>
          <w:color w:val="auto"/>
          <w:kern w:val="0"/>
          <w:sz w:val="24"/>
          <w:highlight w:val="none"/>
        </w:rPr>
        <w:t>个采暖期及供冷期；</w:t>
      </w:r>
    </w:p>
    <w:p w14:paraId="10DCAC25">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5、装饰装修工程为</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14:paraId="4F55CDC8">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6、室外的上下水和小区道路等市政公用工程为 </w:t>
      </w:r>
      <w:r>
        <w:rPr>
          <w:rFonts w:hint="eastAsia" w:ascii="宋体" w:hAnsi="宋体"/>
          <w:snapToGrid w:val="0"/>
          <w:color w:val="auto"/>
          <w:kern w:val="0"/>
          <w:sz w:val="24"/>
          <w:highlight w:val="none"/>
          <w:u w:val="single"/>
        </w:rPr>
        <w:t xml:space="preserve"> 2 </w:t>
      </w:r>
      <w:r>
        <w:rPr>
          <w:rFonts w:hint="eastAsia" w:ascii="宋体" w:hAnsi="宋体"/>
          <w:snapToGrid w:val="0"/>
          <w:color w:val="auto"/>
          <w:kern w:val="0"/>
          <w:sz w:val="24"/>
          <w:highlight w:val="none"/>
        </w:rPr>
        <w:t>年；</w:t>
      </w:r>
    </w:p>
    <w:p w14:paraId="5E3F99AA">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7、在本项目建成投入使用的前两年内，需对钢结构的节点、杆件应力集中部位、支座等受力关键部位进行应力、应变监控（监测方案由双方确定）。</w:t>
      </w:r>
    </w:p>
    <w:p w14:paraId="11264CD7">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8、</w:t>
      </w:r>
      <w:r>
        <w:rPr>
          <w:rFonts w:hint="eastAsia" w:ascii="宋体" w:hAnsi="宋体"/>
          <w:color w:val="auto"/>
          <w:sz w:val="24"/>
          <w:highlight w:val="none"/>
        </w:rPr>
        <w:t>园林建筑工程为</w:t>
      </w:r>
      <w:r>
        <w:rPr>
          <w:rFonts w:ascii="宋体" w:hAnsi="宋体"/>
          <w:color w:val="auto"/>
          <w:sz w:val="24"/>
          <w:highlight w:val="none"/>
          <w:u w:val="single"/>
        </w:rPr>
        <w:t xml:space="preserve"> 1 </w:t>
      </w:r>
      <w:r>
        <w:rPr>
          <w:rFonts w:hint="eastAsia" w:ascii="宋体" w:hAnsi="宋体"/>
          <w:color w:val="auto"/>
          <w:sz w:val="24"/>
          <w:highlight w:val="none"/>
        </w:rPr>
        <w:t>年，喷淋工程为</w:t>
      </w:r>
      <w:r>
        <w:rPr>
          <w:rFonts w:ascii="宋体" w:hAnsi="宋体"/>
          <w:color w:val="auto"/>
          <w:sz w:val="24"/>
          <w:highlight w:val="none"/>
          <w:u w:val="single"/>
        </w:rPr>
        <w:t xml:space="preserve"> 2</w:t>
      </w:r>
      <w:r>
        <w:rPr>
          <w:rFonts w:hint="eastAsia" w:ascii="宋体" w:hAnsi="宋体"/>
          <w:color w:val="auto"/>
          <w:sz w:val="24"/>
          <w:highlight w:val="none"/>
          <w:u w:val="single"/>
        </w:rPr>
        <w:t xml:space="preserve"> </w:t>
      </w:r>
      <w:r>
        <w:rPr>
          <w:rFonts w:hint="eastAsia" w:ascii="宋体" w:hAnsi="宋体"/>
          <w:color w:val="auto"/>
          <w:sz w:val="24"/>
          <w:highlight w:val="none"/>
        </w:rPr>
        <w:t>年，胸径</w:t>
      </w:r>
      <w:r>
        <w:rPr>
          <w:rFonts w:ascii="宋体" w:hAnsi="宋体"/>
          <w:color w:val="auto"/>
          <w:sz w:val="24"/>
          <w:highlight w:val="none"/>
        </w:rPr>
        <w:t>15cm</w:t>
      </w:r>
      <w:r>
        <w:rPr>
          <w:rFonts w:hint="eastAsia" w:ascii="宋体" w:hAnsi="宋体"/>
          <w:color w:val="auto"/>
          <w:sz w:val="24"/>
          <w:highlight w:val="none"/>
        </w:rPr>
        <w:t>以内（含</w:t>
      </w:r>
      <w:r>
        <w:rPr>
          <w:rFonts w:ascii="宋体" w:hAnsi="宋体"/>
          <w:color w:val="auto"/>
          <w:sz w:val="24"/>
          <w:highlight w:val="none"/>
        </w:rPr>
        <w:t>15cm</w:t>
      </w:r>
      <w:r>
        <w:rPr>
          <w:rFonts w:hint="eastAsia" w:ascii="宋体" w:hAnsi="宋体"/>
          <w:color w:val="auto"/>
          <w:sz w:val="24"/>
          <w:highlight w:val="none"/>
        </w:rPr>
        <w:t>）的苗木养护期为</w:t>
      </w:r>
      <w:r>
        <w:rPr>
          <w:rFonts w:ascii="宋体" w:hAnsi="宋体"/>
          <w:color w:val="auto"/>
          <w:sz w:val="24"/>
          <w:highlight w:val="none"/>
          <w:u w:val="single"/>
        </w:rPr>
        <w:t xml:space="preserve"> 3</w:t>
      </w:r>
      <w:r>
        <w:rPr>
          <w:rFonts w:hint="eastAsia" w:ascii="宋体" w:hAnsi="宋体"/>
          <w:color w:val="auto"/>
          <w:sz w:val="24"/>
          <w:highlight w:val="none"/>
          <w:u w:val="single"/>
        </w:rPr>
        <w:t xml:space="preserve"> </w:t>
      </w:r>
      <w:r>
        <w:rPr>
          <w:rFonts w:hint="eastAsia" w:ascii="宋体" w:hAnsi="宋体"/>
          <w:color w:val="auto"/>
          <w:sz w:val="24"/>
          <w:highlight w:val="none"/>
        </w:rPr>
        <w:t>个月，胸径</w:t>
      </w:r>
      <w:r>
        <w:rPr>
          <w:rFonts w:ascii="宋体" w:hAnsi="宋体"/>
          <w:color w:val="auto"/>
          <w:sz w:val="24"/>
          <w:highlight w:val="none"/>
        </w:rPr>
        <w:t>15cm</w:t>
      </w:r>
      <w:r>
        <w:rPr>
          <w:rFonts w:hint="eastAsia" w:ascii="宋体" w:hAnsi="宋体"/>
          <w:color w:val="auto"/>
          <w:sz w:val="24"/>
          <w:highlight w:val="none"/>
        </w:rPr>
        <w:t>以上的苗木养护期为</w:t>
      </w:r>
      <w:r>
        <w:rPr>
          <w:rFonts w:ascii="宋体" w:hAnsi="宋体"/>
          <w:color w:val="auto"/>
          <w:sz w:val="24"/>
          <w:highlight w:val="none"/>
          <w:u w:val="single"/>
        </w:rPr>
        <w:t xml:space="preserve"> 1</w:t>
      </w:r>
      <w:r>
        <w:rPr>
          <w:rFonts w:hint="eastAsia" w:ascii="宋体" w:hAnsi="宋体"/>
          <w:color w:val="auto"/>
          <w:sz w:val="24"/>
          <w:highlight w:val="none"/>
          <w:u w:val="single"/>
        </w:rPr>
        <w:t xml:space="preserve"> </w:t>
      </w:r>
      <w:r>
        <w:rPr>
          <w:rFonts w:hint="eastAsia" w:ascii="宋体" w:hAnsi="宋体"/>
          <w:color w:val="auto"/>
          <w:sz w:val="24"/>
          <w:highlight w:val="none"/>
        </w:rPr>
        <w:t>年。</w:t>
      </w:r>
    </w:p>
    <w:p w14:paraId="06A2B6BA">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9、其他约定：按国家现行规范规程及相关标准和设计的有关要求执行。 </w:t>
      </w:r>
    </w:p>
    <w:p w14:paraId="32D96FF6">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质量保修期自广州开发区管委会或其相关职能部门批准的提前移交之日或工程竣工验收合格之日起（以先发生日期为准）计算（广州开发区、黄埔区对工程竣工验收有相关规定的，按该规定执行）。</w:t>
      </w:r>
    </w:p>
    <w:p w14:paraId="774618E4">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三、质量保修责任</w:t>
      </w:r>
    </w:p>
    <w:p w14:paraId="79116C1F">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1、属于保修范围、内容的项目，承包人应当在接到保修通知之日后7天内派人修理。承包人不在约定期限内派人修理，发包人委托他人修理。</w:t>
      </w:r>
    </w:p>
    <w:p w14:paraId="5A5152F9">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2、发生须紧急抢修事故的，承包人接到事故通知后，应当立即到达事故现场抢修。</w:t>
      </w:r>
    </w:p>
    <w:p w14:paraId="6CF1CB83">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14:paraId="357797E2">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（2）质量保修完成后，由发包人组织验收。</w:t>
      </w:r>
    </w:p>
    <w:p w14:paraId="53EED282">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四、保修费用</w:t>
      </w:r>
    </w:p>
    <w:p w14:paraId="08B02953">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保修费用及相关的损害赔偿费，由造成质量缺陷的责任方承担。</w:t>
      </w:r>
    </w:p>
    <w:p w14:paraId="368732E9">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五、其他</w:t>
      </w:r>
    </w:p>
    <w:p w14:paraId="07E851CA">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1、保修金的使用、约定和支付按施工合同的约定执行。</w:t>
      </w:r>
    </w:p>
    <w:p w14:paraId="02C18171">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2、发包人将保修金返还给承包人后，承包人仍须按《建设工程质量管理条例》及市政府有关部门规定承担保修责任。</w:t>
      </w:r>
    </w:p>
    <w:p w14:paraId="299FF614">
      <w:pPr>
        <w:spacing w:line="440" w:lineRule="exact"/>
        <w:ind w:firstLine="480" w:firstLineChars="200"/>
        <w:rPr>
          <w:rFonts w:ascii="宋体" w:hAnsi="宋体"/>
          <w:snapToGrid w:val="0"/>
          <w:color w:val="auto"/>
          <w:kern w:val="0"/>
          <w:sz w:val="24"/>
          <w:highlight w:val="none"/>
        </w:rPr>
      </w:pPr>
      <w:r>
        <w:rPr>
          <w:rFonts w:hint="eastAsia" w:ascii="宋体" w:hAnsi="宋体"/>
          <w:snapToGrid w:val="0"/>
          <w:color w:val="auto"/>
          <w:kern w:val="0"/>
          <w:sz w:val="24"/>
          <w:highlight w:val="none"/>
        </w:rPr>
        <w:t xml:space="preserve">3、本工程质量保修书由施工合同发包人、承包人双方共同签署，作为施工合同附件，其有效期限至保修期满。 </w:t>
      </w:r>
    </w:p>
    <w:p w14:paraId="7A3439FE">
      <w:pPr>
        <w:adjustRightInd w:val="0"/>
        <w:snapToGrid w:val="0"/>
        <w:spacing w:before="161" w:beforeLines="50" w:after="161" w:afterLines="50" w:line="440" w:lineRule="exact"/>
        <w:rPr>
          <w:rFonts w:ascii="宋体" w:hAnsi="宋体"/>
          <w:color w:val="auto"/>
          <w:sz w:val="24"/>
          <w:highlight w:val="none"/>
        </w:rPr>
      </w:pPr>
    </w:p>
    <w:p w14:paraId="2D111641">
      <w:pPr>
        <w:adjustRightInd w:val="0"/>
        <w:snapToGrid w:val="0"/>
        <w:spacing w:before="161" w:beforeLines="50" w:after="161" w:afterLines="50" w:line="440" w:lineRule="exact"/>
        <w:rPr>
          <w:rFonts w:ascii="宋体" w:hAnsi="宋体"/>
          <w:color w:val="auto"/>
          <w:sz w:val="24"/>
          <w:highlight w:val="none"/>
        </w:rPr>
      </w:pPr>
    </w:p>
    <w:tbl>
      <w:tblPr>
        <w:tblStyle w:val="88"/>
        <w:tblW w:w="0" w:type="auto"/>
        <w:tblInd w:w="431" w:type="dxa"/>
        <w:tblLayout w:type="fixed"/>
        <w:tblCellMar>
          <w:top w:w="0" w:type="dxa"/>
          <w:left w:w="108" w:type="dxa"/>
          <w:bottom w:w="0" w:type="dxa"/>
          <w:right w:w="108" w:type="dxa"/>
        </w:tblCellMar>
      </w:tblPr>
      <w:tblGrid>
        <w:gridCol w:w="1668"/>
        <w:gridCol w:w="2835"/>
        <w:gridCol w:w="1559"/>
        <w:gridCol w:w="2835"/>
      </w:tblGrid>
      <w:tr w14:paraId="45D3D260">
        <w:trPr>
          <w:trHeight w:val="857" w:hRule="atLeast"/>
        </w:trPr>
        <w:tc>
          <w:tcPr>
            <w:tcW w:w="1668" w:type="dxa"/>
            <w:vAlign w:val="center"/>
          </w:tcPr>
          <w:p w14:paraId="6FCD997A">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发</w:t>
            </w:r>
            <w:r>
              <w:rPr>
                <w:rFonts w:ascii="宋体" w:hAnsi="宋体" w:eastAsia="宋体"/>
                <w:color w:val="auto"/>
                <w:sz w:val="24"/>
                <w:highlight w:val="none"/>
              </w:rPr>
              <w:t xml:space="preserve">  </w:t>
            </w:r>
            <w:r>
              <w:rPr>
                <w:rFonts w:hint="eastAsia" w:ascii="宋体" w:hAnsi="宋体" w:eastAsia="宋体"/>
                <w:color w:val="auto"/>
                <w:sz w:val="24"/>
                <w:highlight w:val="none"/>
              </w:rPr>
              <w:t>包</w:t>
            </w:r>
            <w:r>
              <w:rPr>
                <w:rFonts w:ascii="宋体" w:hAnsi="宋体" w:eastAsia="宋体"/>
                <w:color w:val="auto"/>
                <w:sz w:val="24"/>
                <w:highlight w:val="none"/>
              </w:rPr>
              <w:t xml:space="preserve">  </w:t>
            </w:r>
            <w:r>
              <w:rPr>
                <w:rFonts w:hint="eastAsia" w:ascii="宋体" w:hAnsi="宋体" w:eastAsia="宋体"/>
                <w:color w:val="auto"/>
                <w:sz w:val="24"/>
                <w:highlight w:val="none"/>
              </w:rPr>
              <w:t>人：</w:t>
            </w:r>
          </w:p>
        </w:tc>
        <w:tc>
          <w:tcPr>
            <w:tcW w:w="2835" w:type="dxa"/>
            <w:vAlign w:val="center"/>
          </w:tcPr>
          <w:p w14:paraId="4E4B75E2">
            <w:pPr>
              <w:widowControl/>
              <w:wordWrap w:val="0"/>
              <w:topLinePunct/>
              <w:adjustRightInd w:val="0"/>
              <w:snapToGrid w:val="0"/>
              <w:spacing w:line="300" w:lineRule="exact"/>
              <w:rPr>
                <w:rFonts w:ascii="宋体" w:hAnsi="宋体" w:eastAsia="宋体"/>
                <w:color w:val="auto"/>
                <w:sz w:val="24"/>
                <w:highlight w:val="none"/>
              </w:rPr>
            </w:pPr>
            <w:r>
              <w:rPr>
                <w:rFonts w:hint="eastAsia" w:ascii="宋体" w:hAnsi="宋体" w:eastAsia="宋体"/>
                <w:color w:val="auto"/>
                <w:sz w:val="22"/>
                <w:highlight w:val="none"/>
              </w:rPr>
              <w:t>广州开发区财政投资建设项目管理中心</w:t>
            </w:r>
          </w:p>
        </w:tc>
        <w:tc>
          <w:tcPr>
            <w:tcW w:w="1559" w:type="dxa"/>
            <w:vAlign w:val="center"/>
          </w:tcPr>
          <w:p w14:paraId="03770921">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承</w:t>
            </w:r>
            <w:r>
              <w:rPr>
                <w:rFonts w:ascii="宋体" w:hAnsi="宋体" w:eastAsia="宋体"/>
                <w:color w:val="auto"/>
                <w:sz w:val="24"/>
                <w:highlight w:val="none"/>
              </w:rPr>
              <w:t xml:space="preserve">  </w:t>
            </w:r>
            <w:r>
              <w:rPr>
                <w:rFonts w:hint="eastAsia" w:ascii="宋体" w:hAnsi="宋体" w:eastAsia="宋体"/>
                <w:color w:val="auto"/>
                <w:sz w:val="24"/>
                <w:highlight w:val="none"/>
              </w:rPr>
              <w:t>包</w:t>
            </w:r>
            <w:r>
              <w:rPr>
                <w:rFonts w:ascii="宋体" w:hAnsi="宋体" w:eastAsia="宋体"/>
                <w:color w:val="auto"/>
                <w:sz w:val="24"/>
                <w:highlight w:val="none"/>
              </w:rPr>
              <w:t xml:space="preserve">  </w:t>
            </w:r>
            <w:r>
              <w:rPr>
                <w:rFonts w:hint="eastAsia" w:ascii="宋体" w:hAnsi="宋体" w:eastAsia="宋体"/>
                <w:color w:val="auto"/>
                <w:sz w:val="24"/>
                <w:highlight w:val="none"/>
              </w:rPr>
              <w:t>人：</w:t>
            </w:r>
          </w:p>
        </w:tc>
        <w:tc>
          <w:tcPr>
            <w:tcW w:w="2835" w:type="dxa"/>
            <w:vAlign w:val="center"/>
          </w:tcPr>
          <w:p w14:paraId="7141112A">
            <w:pPr>
              <w:widowControl/>
              <w:wordWrap w:val="0"/>
              <w:topLinePunct/>
              <w:adjustRightInd w:val="0"/>
              <w:snapToGrid w:val="0"/>
              <w:spacing w:line="300" w:lineRule="exact"/>
              <w:rPr>
                <w:rFonts w:ascii="宋体" w:hAnsi="宋体" w:eastAsia="宋体"/>
                <w:color w:val="auto"/>
                <w:sz w:val="22"/>
                <w:highlight w:val="none"/>
              </w:rPr>
            </w:pPr>
          </w:p>
        </w:tc>
      </w:tr>
      <w:tr w14:paraId="2944BA06">
        <w:tblPrEx>
          <w:tblCellMar>
            <w:top w:w="0" w:type="dxa"/>
            <w:left w:w="108" w:type="dxa"/>
            <w:bottom w:w="0" w:type="dxa"/>
            <w:right w:w="108" w:type="dxa"/>
          </w:tblCellMar>
        </w:tblPrEx>
        <w:trPr>
          <w:trHeight w:val="1021" w:hRule="atLeast"/>
        </w:trPr>
        <w:tc>
          <w:tcPr>
            <w:tcW w:w="1668" w:type="dxa"/>
            <w:vAlign w:val="center"/>
          </w:tcPr>
          <w:p w14:paraId="7F035DB8">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法定代表人：</w:t>
            </w:r>
          </w:p>
        </w:tc>
        <w:tc>
          <w:tcPr>
            <w:tcW w:w="2835" w:type="dxa"/>
            <w:vAlign w:val="center"/>
          </w:tcPr>
          <w:p w14:paraId="347AE346">
            <w:pPr>
              <w:widowControl/>
              <w:wordWrap w:val="0"/>
              <w:topLinePunct/>
              <w:adjustRightInd w:val="0"/>
              <w:snapToGrid w:val="0"/>
              <w:spacing w:line="480" w:lineRule="exact"/>
              <w:rPr>
                <w:rFonts w:ascii="宋体" w:hAnsi="宋体" w:eastAsia="宋体"/>
                <w:color w:val="auto"/>
                <w:sz w:val="24"/>
                <w:highlight w:val="none"/>
              </w:rPr>
            </w:pPr>
          </w:p>
        </w:tc>
        <w:tc>
          <w:tcPr>
            <w:tcW w:w="1559" w:type="dxa"/>
            <w:vAlign w:val="center"/>
          </w:tcPr>
          <w:p w14:paraId="46647FE3">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法定代表人：</w:t>
            </w:r>
          </w:p>
        </w:tc>
        <w:tc>
          <w:tcPr>
            <w:tcW w:w="2835" w:type="dxa"/>
            <w:vAlign w:val="center"/>
          </w:tcPr>
          <w:p w14:paraId="6685C71D">
            <w:pPr>
              <w:widowControl/>
              <w:wordWrap w:val="0"/>
              <w:topLinePunct/>
              <w:adjustRightInd w:val="0"/>
              <w:snapToGrid w:val="0"/>
              <w:spacing w:line="360" w:lineRule="exact"/>
              <w:rPr>
                <w:rFonts w:ascii="宋体" w:hAnsi="宋体" w:eastAsia="宋体"/>
                <w:color w:val="auto"/>
                <w:sz w:val="24"/>
                <w:highlight w:val="none"/>
              </w:rPr>
            </w:pPr>
          </w:p>
        </w:tc>
      </w:tr>
      <w:tr w14:paraId="14EE56B5">
        <w:tblPrEx>
          <w:tblCellMar>
            <w:top w:w="0" w:type="dxa"/>
            <w:left w:w="108" w:type="dxa"/>
            <w:bottom w:w="0" w:type="dxa"/>
            <w:right w:w="108" w:type="dxa"/>
          </w:tblCellMar>
        </w:tblPrEx>
        <w:trPr>
          <w:trHeight w:val="1021" w:hRule="atLeast"/>
        </w:trPr>
        <w:tc>
          <w:tcPr>
            <w:tcW w:w="1668" w:type="dxa"/>
            <w:vAlign w:val="center"/>
          </w:tcPr>
          <w:p w14:paraId="44D60A93">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委托代理人：</w:t>
            </w:r>
          </w:p>
        </w:tc>
        <w:tc>
          <w:tcPr>
            <w:tcW w:w="2835" w:type="dxa"/>
            <w:vAlign w:val="center"/>
          </w:tcPr>
          <w:p w14:paraId="302C391B">
            <w:pPr>
              <w:widowControl/>
              <w:wordWrap w:val="0"/>
              <w:topLinePunct/>
              <w:adjustRightInd w:val="0"/>
              <w:snapToGrid w:val="0"/>
              <w:spacing w:line="480" w:lineRule="exact"/>
              <w:rPr>
                <w:rFonts w:ascii="宋体" w:hAnsi="宋体" w:eastAsia="宋体"/>
                <w:color w:val="auto"/>
                <w:sz w:val="24"/>
                <w:highlight w:val="none"/>
              </w:rPr>
            </w:pPr>
          </w:p>
        </w:tc>
        <w:tc>
          <w:tcPr>
            <w:tcW w:w="1559" w:type="dxa"/>
            <w:vAlign w:val="center"/>
          </w:tcPr>
          <w:p w14:paraId="56C44137">
            <w:pPr>
              <w:widowControl/>
              <w:wordWrap w:val="0"/>
              <w:topLinePunct/>
              <w:adjustRightInd w:val="0"/>
              <w:snapToGrid w:val="0"/>
              <w:spacing w:line="480" w:lineRule="exact"/>
              <w:rPr>
                <w:rFonts w:ascii="宋体" w:hAnsi="宋体" w:eastAsia="宋体"/>
                <w:color w:val="auto"/>
                <w:sz w:val="24"/>
                <w:highlight w:val="none"/>
              </w:rPr>
            </w:pPr>
            <w:r>
              <w:rPr>
                <w:rFonts w:hint="eastAsia" w:ascii="宋体" w:hAnsi="宋体" w:eastAsia="宋体"/>
                <w:color w:val="auto"/>
                <w:sz w:val="24"/>
                <w:highlight w:val="none"/>
              </w:rPr>
              <w:t>委托代理人：</w:t>
            </w:r>
          </w:p>
        </w:tc>
        <w:tc>
          <w:tcPr>
            <w:tcW w:w="2835" w:type="dxa"/>
            <w:vAlign w:val="center"/>
          </w:tcPr>
          <w:p w14:paraId="52D65DC5">
            <w:pPr>
              <w:widowControl/>
              <w:wordWrap w:val="0"/>
              <w:topLinePunct/>
              <w:adjustRightInd w:val="0"/>
              <w:snapToGrid w:val="0"/>
              <w:spacing w:line="360" w:lineRule="exact"/>
              <w:rPr>
                <w:rFonts w:ascii="宋体" w:hAnsi="宋体" w:eastAsia="宋体"/>
                <w:color w:val="auto"/>
                <w:sz w:val="24"/>
                <w:highlight w:val="none"/>
              </w:rPr>
            </w:pPr>
          </w:p>
        </w:tc>
      </w:tr>
    </w:tbl>
    <w:p w14:paraId="25192984">
      <w:pPr>
        <w:pStyle w:val="264"/>
        <w:tabs>
          <w:tab w:val="left" w:pos="5460"/>
        </w:tabs>
        <w:adjustRightInd w:val="0"/>
        <w:snapToGrid w:val="0"/>
        <w:spacing w:line="360" w:lineRule="auto"/>
        <w:ind w:left="-2" w:leftChars="-1" w:right="11" w:firstLine="480" w:firstLineChars="200"/>
        <w:rPr>
          <w:rFonts w:ascii="宋体" w:hAnsi="宋体"/>
          <w:color w:val="auto"/>
          <w:sz w:val="24"/>
          <w:highlight w:val="none"/>
        </w:rPr>
      </w:pPr>
    </w:p>
    <w:p w14:paraId="3ADF7ED9">
      <w:pPr>
        <w:spacing w:line="440" w:lineRule="exact"/>
        <w:ind w:firstLine="397"/>
        <w:jc w:val="left"/>
        <w:rPr>
          <w:rFonts w:ascii="宋体" w:hAnsi="宋体" w:eastAsia="宋体"/>
          <w:color w:val="auto"/>
          <w:sz w:val="24"/>
          <w:highlight w:val="none"/>
        </w:rPr>
      </w:pPr>
    </w:p>
    <w:p w14:paraId="6F642DFD">
      <w:pPr>
        <w:tabs>
          <w:tab w:val="left" w:pos="5460"/>
        </w:tabs>
        <w:adjustRightInd w:val="0"/>
        <w:snapToGrid w:val="0"/>
        <w:spacing w:line="400" w:lineRule="exact"/>
        <w:ind w:left="-2" w:leftChars="-1" w:right="11" w:firstLine="480" w:firstLineChars="200"/>
        <w:rPr>
          <w:rFonts w:ascii="宋体" w:hAnsi="宋体" w:eastAsia="宋体" w:cs="宋体"/>
          <w:snapToGrid w:val="0"/>
          <w:color w:val="auto"/>
          <w:kern w:val="0"/>
          <w:sz w:val="24"/>
          <w:highlight w:val="none"/>
          <w:u w:val="single"/>
        </w:rPr>
      </w:pPr>
      <w:r>
        <w:rPr>
          <w:rFonts w:hint="eastAsia" w:ascii="宋体" w:hAnsi="宋体" w:eastAsia="宋体" w:cs="宋体"/>
          <w:snapToGrid w:val="0"/>
          <w:color w:val="auto"/>
          <w:kern w:val="0"/>
          <w:sz w:val="24"/>
          <w:highlight w:val="none"/>
        </w:rPr>
        <w:t>签订日期：</w:t>
      </w:r>
      <w:r>
        <w:rPr>
          <w:rFonts w:hint="eastAsia" w:ascii="宋体" w:hAnsi="宋体" w:cs="宋体"/>
          <w:snapToGrid w:val="0"/>
          <w:color w:val="auto"/>
          <w:kern w:val="0"/>
          <w:sz w:val="24"/>
          <w:highlight w:val="none"/>
          <w:u w:val="single"/>
        </w:rPr>
        <w:t xml:space="preserve">      年  </w:t>
      </w:r>
      <w:r>
        <w:rPr>
          <w:rFonts w:ascii="宋体" w:hAnsi="宋体" w:eastAsia="宋体" w:cs="宋体"/>
          <w:snapToGrid w:val="0"/>
          <w:color w:val="auto"/>
          <w:kern w:val="0"/>
          <w:sz w:val="24"/>
          <w:highlight w:val="none"/>
          <w:u w:val="single"/>
        </w:rPr>
        <w:t xml:space="preserve"> 月 </w:t>
      </w:r>
      <w:r>
        <w:rPr>
          <w:rFonts w:hint="eastAsia" w:ascii="宋体" w:hAnsi="宋体" w:cs="宋体"/>
          <w:snapToGrid w:val="0"/>
          <w:color w:val="auto"/>
          <w:kern w:val="0"/>
          <w:sz w:val="24"/>
          <w:highlight w:val="none"/>
          <w:u w:val="single"/>
        </w:rPr>
        <w:t xml:space="preserve">  </w:t>
      </w:r>
      <w:r>
        <w:rPr>
          <w:rFonts w:ascii="宋体" w:hAnsi="宋体" w:eastAsia="宋体" w:cs="宋体"/>
          <w:snapToGrid w:val="0"/>
          <w:color w:val="auto"/>
          <w:kern w:val="0"/>
          <w:sz w:val="24"/>
          <w:highlight w:val="none"/>
          <w:u w:val="single"/>
        </w:rPr>
        <w:t xml:space="preserve"> 日</w:t>
      </w:r>
    </w:p>
    <w:p w14:paraId="4386604B">
      <w:pPr>
        <w:spacing w:line="400" w:lineRule="exact"/>
        <w:ind w:firstLine="480" w:firstLineChars="200"/>
        <w:rPr>
          <w:rFonts w:ascii="宋体" w:hAnsi="宋体" w:eastAsia="宋体"/>
          <w:color w:val="auto"/>
          <w:sz w:val="24"/>
          <w:highlight w:val="none"/>
          <w:u w:val="single"/>
        </w:rPr>
      </w:pPr>
      <w:r>
        <w:rPr>
          <w:rFonts w:hint="eastAsia" w:ascii="宋体" w:hAnsi="宋体" w:eastAsia="宋体" w:cs="宋体"/>
          <w:snapToGrid w:val="0"/>
          <w:color w:val="auto"/>
          <w:kern w:val="0"/>
          <w:sz w:val="24"/>
          <w:highlight w:val="none"/>
        </w:rPr>
        <w:t>签订地点：</w:t>
      </w:r>
      <w:r>
        <w:rPr>
          <w:rFonts w:hint="eastAsia" w:ascii="宋体" w:hAnsi="宋体" w:eastAsia="宋体" w:cs="宋体"/>
          <w:snapToGrid w:val="0"/>
          <w:color w:val="auto"/>
          <w:kern w:val="0"/>
          <w:sz w:val="24"/>
          <w:highlight w:val="none"/>
          <w:u w:val="single"/>
        </w:rPr>
        <w:t>广州市黄埔区</w:t>
      </w:r>
    </w:p>
    <w:p w14:paraId="7263CB74">
      <w:pPr>
        <w:snapToGrid w:val="0"/>
        <w:spacing w:line="440" w:lineRule="exact"/>
        <w:rPr>
          <w:rFonts w:ascii="宋体" w:hAnsi="宋体"/>
          <w:color w:val="auto"/>
          <w:sz w:val="24"/>
          <w:highlight w:val="none"/>
        </w:rPr>
      </w:pPr>
    </w:p>
    <w:p w14:paraId="2FD1DAB6">
      <w:pPr>
        <w:pStyle w:val="264"/>
        <w:adjustRightInd w:val="0"/>
        <w:snapToGrid w:val="0"/>
        <w:spacing w:line="400" w:lineRule="exact"/>
        <w:rPr>
          <w:rFonts w:ascii="宋体" w:hAnsi="宋体"/>
          <w:b/>
          <w:bCs/>
          <w:color w:val="auto"/>
          <w:sz w:val="30"/>
          <w:szCs w:val="30"/>
          <w:highlight w:val="none"/>
        </w:rPr>
      </w:pPr>
    </w:p>
    <w:p w14:paraId="115FF794">
      <w:pPr>
        <w:pStyle w:val="264"/>
        <w:adjustRightInd w:val="0"/>
        <w:snapToGrid w:val="0"/>
        <w:spacing w:line="400" w:lineRule="exact"/>
        <w:rPr>
          <w:rFonts w:ascii="宋体" w:hAnsi="宋体"/>
          <w:b/>
          <w:bCs/>
          <w:color w:val="auto"/>
          <w:sz w:val="30"/>
          <w:szCs w:val="30"/>
          <w:highlight w:val="none"/>
        </w:rPr>
      </w:pPr>
    </w:p>
    <w:p w14:paraId="43B6267B">
      <w:pPr>
        <w:pStyle w:val="264"/>
        <w:adjustRightInd w:val="0"/>
        <w:snapToGrid w:val="0"/>
        <w:spacing w:line="400" w:lineRule="exact"/>
        <w:rPr>
          <w:rFonts w:ascii="宋体" w:hAnsi="宋体"/>
          <w:b/>
          <w:bCs/>
          <w:color w:val="auto"/>
          <w:sz w:val="30"/>
          <w:szCs w:val="30"/>
          <w:highlight w:val="none"/>
        </w:rPr>
      </w:pPr>
    </w:p>
    <w:p w14:paraId="6C041E8A">
      <w:pPr>
        <w:pStyle w:val="264"/>
        <w:adjustRightInd w:val="0"/>
        <w:snapToGrid w:val="0"/>
        <w:spacing w:line="400" w:lineRule="exact"/>
        <w:rPr>
          <w:rFonts w:ascii="宋体" w:hAnsi="宋体"/>
          <w:color w:val="auto"/>
          <w:sz w:val="24"/>
          <w:highlight w:val="none"/>
        </w:rPr>
      </w:pPr>
      <w:r>
        <w:rPr>
          <w:rFonts w:hint="eastAsia" w:ascii="宋体" w:hAnsi="宋体"/>
          <w:b/>
          <w:bCs/>
          <w:color w:val="auto"/>
          <w:sz w:val="30"/>
          <w:szCs w:val="30"/>
          <w:highlight w:val="none"/>
        </w:rPr>
        <w:t xml:space="preserve">附件1：            </w:t>
      </w:r>
      <w:r>
        <w:rPr>
          <w:rFonts w:hint="eastAsia" w:ascii="宋体" w:hAnsi="宋体"/>
          <w:color w:val="auto"/>
          <w:sz w:val="24"/>
          <w:highlight w:val="none"/>
        </w:rPr>
        <w:t xml:space="preserve">  </w:t>
      </w:r>
    </w:p>
    <w:p w14:paraId="7B9D814B">
      <w:pPr>
        <w:pStyle w:val="264"/>
        <w:adjustRightInd w:val="0"/>
        <w:snapToGrid w:val="0"/>
        <w:spacing w:line="400" w:lineRule="exact"/>
        <w:rPr>
          <w:rFonts w:ascii="宋体" w:hAnsi="宋体"/>
          <w:color w:val="auto"/>
          <w:sz w:val="24"/>
          <w:highlight w:val="none"/>
        </w:rPr>
      </w:pPr>
    </w:p>
    <w:p w14:paraId="7BD66AAD">
      <w:pPr>
        <w:pStyle w:val="264"/>
        <w:adjustRightInd w:val="0"/>
        <w:snapToGrid w:val="0"/>
        <w:spacing w:line="440" w:lineRule="exact"/>
        <w:jc w:val="center"/>
        <w:rPr>
          <w:rFonts w:ascii="宋体" w:hAnsi="宋体"/>
          <w:b/>
          <w:bCs/>
          <w:color w:val="auto"/>
          <w:sz w:val="36"/>
          <w:szCs w:val="30"/>
          <w:highlight w:val="none"/>
        </w:rPr>
      </w:pPr>
      <w:r>
        <w:rPr>
          <w:rFonts w:hint="eastAsia" w:ascii="宋体" w:hAnsi="宋体"/>
          <w:b/>
          <w:bCs/>
          <w:color w:val="auto"/>
          <w:sz w:val="36"/>
          <w:szCs w:val="30"/>
          <w:highlight w:val="none"/>
        </w:rPr>
        <w:t>工程建设项目廉政责任书</w:t>
      </w:r>
    </w:p>
    <w:p w14:paraId="6E11C1E0">
      <w:pPr>
        <w:pStyle w:val="265"/>
        <w:adjustRightInd w:val="0"/>
        <w:snapToGrid w:val="0"/>
        <w:spacing w:line="440" w:lineRule="exact"/>
        <w:ind w:firstLine="0"/>
        <w:rPr>
          <w:rFonts w:ascii="宋体" w:hAnsi="宋体"/>
          <w:snapToGrid w:val="0"/>
          <w:color w:val="auto"/>
          <w:kern w:val="0"/>
          <w:sz w:val="24"/>
          <w:highlight w:val="none"/>
        </w:rPr>
      </w:pPr>
    </w:p>
    <w:p w14:paraId="47F6BC51">
      <w:pPr>
        <w:pStyle w:val="264"/>
        <w:adjustRightInd w:val="0"/>
        <w:snapToGrid w:val="0"/>
        <w:spacing w:line="400" w:lineRule="exact"/>
        <w:ind w:left="495" w:hanging="495"/>
        <w:rPr>
          <w:rFonts w:ascii="宋体" w:hAnsi="宋体"/>
          <w:color w:val="auto"/>
          <w:sz w:val="24"/>
          <w:highlight w:val="none"/>
          <w:u w:val="single"/>
        </w:rPr>
      </w:pPr>
      <w:r>
        <w:rPr>
          <w:rFonts w:hint="eastAsia" w:ascii="宋体" w:hAnsi="宋体"/>
          <w:color w:val="auto"/>
          <w:sz w:val="24"/>
          <w:highlight w:val="none"/>
        </w:rPr>
        <w:t>工程项目名称：</w:t>
      </w:r>
      <w:r>
        <w:rPr>
          <w:rFonts w:hint="eastAsia" w:ascii="宋体" w:hAnsi="宋体"/>
          <w:color w:val="auto"/>
          <w:sz w:val="24"/>
          <w:highlight w:val="none"/>
          <w:u w:val="single"/>
        </w:rPr>
        <w:t xml:space="preserve">                                </w:t>
      </w:r>
    </w:p>
    <w:p w14:paraId="5991EFF5">
      <w:pPr>
        <w:pStyle w:val="264"/>
        <w:adjustRightInd w:val="0"/>
        <w:snapToGrid w:val="0"/>
        <w:spacing w:line="400" w:lineRule="exact"/>
        <w:ind w:left="495" w:hanging="495"/>
        <w:rPr>
          <w:rFonts w:ascii="宋体" w:hAnsi="宋体"/>
          <w:color w:val="auto"/>
          <w:sz w:val="24"/>
          <w:highlight w:val="none"/>
        </w:rPr>
      </w:pPr>
      <w:r>
        <w:rPr>
          <w:rFonts w:hint="eastAsia" w:ascii="宋体" w:hAnsi="宋体"/>
          <w:color w:val="auto"/>
          <w:sz w:val="24"/>
          <w:highlight w:val="none"/>
        </w:rPr>
        <w:t>工程项目地址：</w:t>
      </w:r>
      <w:r>
        <w:rPr>
          <w:rFonts w:hint="eastAsia" w:ascii="宋体" w:hAnsi="宋体"/>
          <w:color w:val="auto"/>
          <w:sz w:val="24"/>
          <w:highlight w:val="none"/>
          <w:u w:val="single"/>
        </w:rPr>
        <w:t xml:space="preserve">                                </w:t>
      </w:r>
    </w:p>
    <w:p w14:paraId="40290DCD">
      <w:pPr>
        <w:pStyle w:val="264"/>
        <w:adjustRightInd w:val="0"/>
        <w:snapToGrid w:val="0"/>
        <w:spacing w:line="400" w:lineRule="exact"/>
        <w:rPr>
          <w:rFonts w:ascii="宋体" w:hAnsi="宋体"/>
          <w:color w:val="auto"/>
          <w:sz w:val="24"/>
          <w:szCs w:val="24"/>
          <w:highlight w:val="none"/>
          <w:u w:val="single"/>
        </w:rPr>
      </w:pPr>
      <w:r>
        <w:rPr>
          <w:rFonts w:hint="eastAsia" w:ascii="宋体" w:hAnsi="宋体"/>
          <w:color w:val="auto"/>
          <w:sz w:val="24"/>
          <w:highlight w:val="none"/>
        </w:rPr>
        <w:t>甲        方：</w:t>
      </w:r>
      <w:r>
        <w:rPr>
          <w:rFonts w:hint="eastAsia" w:ascii="方正大标宋简体" w:hAnsi="仿宋" w:eastAsia="方正大标宋简体"/>
          <w:color w:val="auto"/>
          <w:sz w:val="24"/>
          <w:szCs w:val="24"/>
          <w:highlight w:val="none"/>
          <w:u w:val="single"/>
        </w:rPr>
        <w:t>广州开发区财政投资建设项目管理中心</w:t>
      </w:r>
    </w:p>
    <w:p w14:paraId="12192D7C">
      <w:pPr>
        <w:pStyle w:val="264"/>
        <w:adjustRightInd w:val="0"/>
        <w:snapToGrid w:val="0"/>
        <w:spacing w:line="400" w:lineRule="exact"/>
        <w:rPr>
          <w:rFonts w:ascii="宋体" w:hAnsi="宋体"/>
          <w:color w:val="auto"/>
          <w:sz w:val="24"/>
          <w:highlight w:val="none"/>
        </w:rPr>
      </w:pPr>
      <w:r>
        <w:rPr>
          <w:rFonts w:hint="eastAsia" w:ascii="宋体" w:hAnsi="宋体"/>
          <w:color w:val="auto"/>
          <w:sz w:val="24"/>
          <w:highlight w:val="none"/>
        </w:rPr>
        <w:t>乙        方：</w:t>
      </w:r>
      <w:r>
        <w:rPr>
          <w:rFonts w:hint="eastAsia" w:ascii="宋体" w:hAnsi="宋体"/>
          <w:color w:val="auto"/>
          <w:sz w:val="24"/>
          <w:highlight w:val="none"/>
          <w:u w:val="single"/>
        </w:rPr>
        <w:t xml:space="preserve">                                 </w:t>
      </w:r>
    </w:p>
    <w:p w14:paraId="5555542C">
      <w:pPr>
        <w:pStyle w:val="264"/>
        <w:adjustRightInd w:val="0"/>
        <w:snapToGrid w:val="0"/>
        <w:spacing w:line="400" w:lineRule="exact"/>
        <w:rPr>
          <w:rFonts w:ascii="宋体" w:hAnsi="宋体"/>
          <w:color w:val="auto"/>
          <w:sz w:val="24"/>
          <w:highlight w:val="none"/>
        </w:rPr>
      </w:pPr>
    </w:p>
    <w:p w14:paraId="3B5FA351">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为加强工程建设中的廉政建设，规范工程建设项目的各项活动，防止发生各种谋取不正当利益的违法违纪行为，保护国家、集体和当事人的合法权益，根据国家有关工程建设的法律法规和廉政建设责任制规定，特订立本廉政责任书。</w:t>
      </w:r>
    </w:p>
    <w:p w14:paraId="69D9C90F">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第一条  甲、乙双方的责任</w:t>
      </w:r>
    </w:p>
    <w:p w14:paraId="442C5691">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（一）应严格遵守国家关于市场准入、项目招标投标、</w:t>
      </w:r>
      <w:r>
        <w:rPr>
          <w:rFonts w:hint="eastAsia" w:ascii="宋体" w:hAnsi="宋体" w:cs="宋体"/>
          <w:color w:val="auto"/>
          <w:kern w:val="0"/>
          <w:sz w:val="24"/>
          <w:highlight w:val="none"/>
        </w:rPr>
        <w:t>工程建设和市场活动</w:t>
      </w:r>
      <w:r>
        <w:rPr>
          <w:rFonts w:hint="eastAsia" w:ascii="宋体" w:hAnsi="宋体" w:cs="宋体"/>
          <w:snapToGrid w:val="0"/>
          <w:color w:val="auto"/>
          <w:kern w:val="0"/>
          <w:sz w:val="24"/>
          <w:highlight w:val="none"/>
        </w:rPr>
        <w:t>等有关法律、法规、相关政策，以及廉政建设的各项规定。</w:t>
      </w:r>
    </w:p>
    <w:p w14:paraId="3AB22EA7">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（二）严格执行建设工程项目承发包合同文件，自觉按合同办事。</w:t>
      </w:r>
    </w:p>
    <w:p w14:paraId="013C07AB">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（三）业务活动必须坚持公开、公平、公正、诚信、透明的原则（除法律法规另有规定者外），不得为获取不正当的利益，损害国家、集体和对方利益，不得</w:t>
      </w:r>
      <w:r>
        <w:rPr>
          <w:rFonts w:hint="eastAsia" w:ascii="宋体" w:hAnsi="宋体" w:cs="宋体"/>
          <w:color w:val="auto"/>
          <w:kern w:val="0"/>
          <w:sz w:val="24"/>
          <w:highlight w:val="none"/>
        </w:rPr>
        <w:t>违反工程建设过程管理的规章制度。</w:t>
      </w:r>
    </w:p>
    <w:p w14:paraId="1B71C820">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（四）发现对方在业务活动中有违规、违纪、违法行为的，应及时提醒对方，情节严重的，应向其上级主管部门或纪检监察、司法等有关机关举报。</w:t>
      </w:r>
    </w:p>
    <w:p w14:paraId="3446F4B7">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第二条  甲方的责任</w:t>
      </w:r>
    </w:p>
    <w:p w14:paraId="723A3A9F">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甲方的领导和从事本建设工程项目的工作人员，在工程建设的事前、事中、事后应遵守以下规定：</w:t>
      </w:r>
    </w:p>
    <w:p w14:paraId="56C94115">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（一）不准向乙方和相关单位索要或接受回扣、礼金、有价证券、贵重物品和好处费、感谢费等。</w:t>
      </w:r>
    </w:p>
    <w:p w14:paraId="0E16A9CB">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（二）不准在乙方和相关单位报销任何应由甲方或个人支付的费用。</w:t>
      </w:r>
    </w:p>
    <w:p w14:paraId="4CCCA649">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（三）不准要求、暗示或接受乙方和相关单位为个人装修住房、婚丧嫁娶、配偶子女的工作安排以及出国（境）、旅游等提供方便。</w:t>
      </w:r>
    </w:p>
    <w:p w14:paraId="40C7F634">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（四）不准参加有可能影响公正执行公务的乙方及相关单位的宴请、健身、娱乐等活动。</w:t>
      </w:r>
    </w:p>
    <w:p w14:paraId="0485CB5E">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（五）不准向乙方介绍或为配偶、子女、亲属参与同甲方项目工程合同有关的设备、材料、工程分包、劳务等经济活动。不得以任何理由向乙方和相关单位推荐分包单位。</w:t>
      </w:r>
    </w:p>
    <w:p w14:paraId="305B7CC5">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b/>
          <w:snapToGrid w:val="0"/>
          <w:color w:val="auto"/>
          <w:kern w:val="0"/>
          <w:sz w:val="24"/>
          <w:highlight w:val="none"/>
        </w:rPr>
        <w:t>第三条  乙方的责任</w:t>
      </w:r>
    </w:p>
    <w:p w14:paraId="19071914">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应与甲方保持正常的业务交往，按照有关法律法规和程序开展业务工作，严格执行</w:t>
      </w:r>
      <w:r>
        <w:rPr>
          <w:rFonts w:hint="eastAsia" w:ascii="宋体" w:hAnsi="宋体" w:cs="宋体"/>
          <w:color w:val="auto"/>
          <w:kern w:val="0"/>
          <w:sz w:val="24"/>
          <w:highlight w:val="none"/>
        </w:rPr>
        <w:t>工程建设过程管理的有关方针、政策，尤其是强制性标准和规范</w:t>
      </w:r>
      <w:r>
        <w:rPr>
          <w:rFonts w:hint="eastAsia" w:ascii="宋体" w:hAnsi="宋体" w:cs="宋体"/>
          <w:snapToGrid w:val="0"/>
          <w:color w:val="auto"/>
          <w:kern w:val="0"/>
          <w:sz w:val="24"/>
          <w:highlight w:val="none"/>
        </w:rPr>
        <w:t>，并遵守以下规定：</w:t>
      </w:r>
    </w:p>
    <w:p w14:paraId="1317C54E">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（一）不准以任何理由向甲方、相关单位及其工作人员索要、接受或赠送礼金、有价证券、贵重物品及回扣、好处费、感谢费等。</w:t>
      </w:r>
    </w:p>
    <w:p w14:paraId="7F1674CD">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（二）不准以任何理由为甲方和相关单位报销应由对方或个人支付的费用。</w:t>
      </w:r>
    </w:p>
    <w:p w14:paraId="36F31894">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（三）不准接受或暗示为甲方、相关单位或个人装修住房、婚丧嫁娶、配偶子女的工作安排以及出国（境）、旅游等提供方便。</w:t>
      </w:r>
    </w:p>
    <w:p w14:paraId="4C57DDCA">
      <w:pPr>
        <w:adjustRightInd w:val="0"/>
        <w:snapToGrid w:val="0"/>
        <w:spacing w:line="400" w:lineRule="exact"/>
        <w:ind w:firstLine="482"/>
        <w:rPr>
          <w:rFonts w:ascii="宋体" w:hAnsi="宋体" w:cs="宋体"/>
          <w:snapToGrid w:val="0"/>
          <w:color w:val="auto"/>
          <w:kern w:val="0"/>
          <w:sz w:val="24"/>
          <w:highlight w:val="none"/>
        </w:rPr>
      </w:pPr>
      <w:r>
        <w:rPr>
          <w:rFonts w:hint="eastAsia" w:ascii="宋体" w:hAnsi="宋体" w:cs="宋体"/>
          <w:snapToGrid w:val="0"/>
          <w:color w:val="auto"/>
          <w:kern w:val="0"/>
          <w:sz w:val="24"/>
          <w:highlight w:val="none"/>
        </w:rPr>
        <w:t>（四）不准以任何理由为甲方、相关单位或个人组织有可能影响公正执行公务的宴请、健身、娱乐等活动。</w:t>
      </w:r>
    </w:p>
    <w:p w14:paraId="59307DCD">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b/>
          <w:snapToGrid w:val="0"/>
          <w:color w:val="auto"/>
          <w:kern w:val="0"/>
          <w:sz w:val="24"/>
          <w:highlight w:val="none"/>
        </w:rPr>
        <w:t>第四条  违约责任</w:t>
      </w:r>
    </w:p>
    <w:p w14:paraId="08D33562">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一）甲方工作人员有违反本廉政责任书第一、第二条责任行为的，按照管理权限，依据有关法律法规和规定给予党纪、政纪处分或组织处理；涉嫌犯罪的，移交司法机关追究刑事责任；给乙方单位造成经济损失的，应予以赔偿。</w:t>
      </w:r>
    </w:p>
    <w:p w14:paraId="70E7CF89">
      <w:pPr>
        <w:adjustRightInd w:val="0"/>
        <w:snapToGrid w:val="0"/>
        <w:spacing w:line="400" w:lineRule="exact"/>
        <w:ind w:firstLine="482"/>
        <w:rPr>
          <w:rFonts w:ascii="宋体" w:hAnsi="宋体" w:cs="宋体"/>
          <w:color w:val="auto"/>
          <w:kern w:val="0"/>
          <w:sz w:val="24"/>
          <w:highlight w:val="none"/>
        </w:rPr>
      </w:pPr>
      <w:r>
        <w:rPr>
          <w:rFonts w:hint="eastAsia" w:ascii="宋体" w:hAnsi="宋体" w:cs="宋体"/>
          <w:snapToGrid w:val="0"/>
          <w:color w:val="auto"/>
          <w:kern w:val="0"/>
          <w:sz w:val="24"/>
          <w:highlight w:val="none"/>
        </w:rPr>
        <w:t>（二）乙方工作人员有违反本廉政责任书第一、三条责任行为的，按照管理权限，依据有关法律法规和规定给予党纪、政纪处分或组织处理；涉嫌犯罪的，移交司法机关追究刑事责任；给甲方单位造成经济损失的，应予以赔偿。</w:t>
      </w:r>
    </w:p>
    <w:p w14:paraId="1F444DC7">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 xml:space="preserve">第五条  </w:t>
      </w:r>
      <w:r>
        <w:rPr>
          <w:rFonts w:hint="eastAsia" w:ascii="宋体" w:hAnsi="宋体" w:cs="宋体"/>
          <w:snapToGrid w:val="0"/>
          <w:color w:val="auto"/>
          <w:kern w:val="0"/>
          <w:sz w:val="24"/>
          <w:highlight w:val="none"/>
        </w:rPr>
        <w:t>本廉政责任书作为合同的附件，与合同具有同等法律效力。经双方签署后立即生效。</w:t>
      </w:r>
    </w:p>
    <w:p w14:paraId="2FCBF491">
      <w:pPr>
        <w:adjustRightInd w:val="0"/>
        <w:snapToGrid w:val="0"/>
        <w:spacing w:line="400" w:lineRule="exact"/>
        <w:ind w:firstLine="482"/>
        <w:rPr>
          <w:rFonts w:ascii="宋体" w:hAnsi="宋体" w:cs="宋体"/>
          <w:b/>
          <w:color w:val="auto"/>
          <w:kern w:val="0"/>
          <w:sz w:val="24"/>
          <w:highlight w:val="none"/>
        </w:rPr>
      </w:pPr>
      <w:r>
        <w:rPr>
          <w:rFonts w:hint="eastAsia" w:ascii="宋体" w:hAnsi="宋体" w:cs="宋体"/>
          <w:b/>
          <w:snapToGrid w:val="0"/>
          <w:color w:val="auto"/>
          <w:kern w:val="0"/>
          <w:sz w:val="24"/>
          <w:highlight w:val="none"/>
        </w:rPr>
        <w:t xml:space="preserve">第六条  </w:t>
      </w:r>
      <w:r>
        <w:rPr>
          <w:rFonts w:hint="eastAsia" w:ascii="宋体" w:hAnsi="宋体" w:cs="宋体"/>
          <w:snapToGrid w:val="0"/>
          <w:color w:val="auto"/>
          <w:kern w:val="0"/>
          <w:sz w:val="24"/>
          <w:highlight w:val="none"/>
        </w:rPr>
        <w:t>本廉政责任书的有效期与合同的有效期相同。</w:t>
      </w:r>
    </w:p>
    <w:p w14:paraId="3700986C">
      <w:pPr>
        <w:adjustRightInd w:val="0"/>
        <w:snapToGrid w:val="0"/>
        <w:spacing w:line="400" w:lineRule="exact"/>
        <w:rPr>
          <w:rFonts w:ascii="宋体" w:hAnsi="宋体" w:cs="宋体"/>
          <w:color w:val="auto"/>
          <w:kern w:val="0"/>
          <w:sz w:val="24"/>
          <w:highlight w:val="none"/>
        </w:rPr>
      </w:pPr>
      <w:r>
        <w:rPr>
          <w:rFonts w:hint="eastAsia" w:ascii="宋体" w:hAnsi="宋体" w:cs="宋体"/>
          <w:b/>
          <w:color w:val="auto"/>
          <w:kern w:val="0"/>
          <w:sz w:val="24"/>
          <w:highlight w:val="none"/>
        </w:rPr>
        <w:t xml:space="preserve">    </w:t>
      </w:r>
      <w:r>
        <w:rPr>
          <w:rFonts w:hint="eastAsia" w:ascii="宋体" w:hAnsi="宋体" w:cs="宋体"/>
          <w:b/>
          <w:snapToGrid w:val="0"/>
          <w:color w:val="auto"/>
          <w:kern w:val="0"/>
          <w:sz w:val="24"/>
          <w:highlight w:val="none"/>
        </w:rPr>
        <w:t xml:space="preserve">第七条  </w:t>
      </w:r>
      <w:r>
        <w:rPr>
          <w:rFonts w:hint="eastAsia" w:ascii="宋体" w:hAnsi="宋体" w:cs="宋体"/>
          <w:snapToGrid w:val="0"/>
          <w:color w:val="auto"/>
          <w:kern w:val="0"/>
          <w:sz w:val="24"/>
          <w:highlight w:val="none"/>
        </w:rPr>
        <w:t>本廉政责任书份数和合同份数一致</w:t>
      </w:r>
      <w:r>
        <w:rPr>
          <w:rFonts w:hint="eastAsia" w:ascii="宋体" w:hAnsi="宋体" w:cs="宋体"/>
          <w:bCs/>
          <w:color w:val="auto"/>
          <w:kern w:val="0"/>
          <w:sz w:val="24"/>
          <w:highlight w:val="none"/>
        </w:rPr>
        <w:t>。</w:t>
      </w:r>
    </w:p>
    <w:p w14:paraId="1E6CF198">
      <w:pPr>
        <w:adjustRightInd w:val="0"/>
        <w:snapToGrid w:val="0"/>
        <w:spacing w:line="440" w:lineRule="exact"/>
        <w:ind w:right="11"/>
        <w:rPr>
          <w:rFonts w:ascii="宋体" w:hAnsi="宋体" w:cs="宋体"/>
          <w:snapToGrid w:val="0"/>
          <w:color w:val="auto"/>
          <w:kern w:val="0"/>
          <w:sz w:val="24"/>
          <w:highlight w:val="none"/>
        </w:rPr>
      </w:pPr>
    </w:p>
    <w:p w14:paraId="2FA09E1E">
      <w:pPr>
        <w:adjustRightInd w:val="0"/>
        <w:snapToGrid w:val="0"/>
        <w:spacing w:line="440" w:lineRule="exact"/>
        <w:ind w:right="11"/>
        <w:rPr>
          <w:rFonts w:ascii="宋体" w:hAnsi="宋体" w:cs="宋体"/>
          <w:snapToGrid w:val="0"/>
          <w:color w:val="auto"/>
          <w:kern w:val="0"/>
          <w:sz w:val="24"/>
          <w:highlight w:val="none"/>
        </w:rPr>
      </w:pPr>
    </w:p>
    <w:tbl>
      <w:tblPr>
        <w:tblStyle w:val="88"/>
        <w:tblW w:w="0" w:type="auto"/>
        <w:tblInd w:w="431" w:type="dxa"/>
        <w:tblLayout w:type="fixed"/>
        <w:tblCellMar>
          <w:top w:w="0" w:type="dxa"/>
          <w:left w:w="108" w:type="dxa"/>
          <w:bottom w:w="0" w:type="dxa"/>
          <w:right w:w="108" w:type="dxa"/>
        </w:tblCellMar>
      </w:tblPr>
      <w:tblGrid>
        <w:gridCol w:w="1668"/>
        <w:gridCol w:w="2835"/>
        <w:gridCol w:w="1559"/>
        <w:gridCol w:w="2835"/>
      </w:tblGrid>
      <w:tr w14:paraId="79D0D838">
        <w:tblPrEx>
          <w:tblCellMar>
            <w:top w:w="0" w:type="dxa"/>
            <w:left w:w="108" w:type="dxa"/>
            <w:bottom w:w="0" w:type="dxa"/>
            <w:right w:w="108" w:type="dxa"/>
          </w:tblCellMar>
        </w:tblPrEx>
        <w:trPr>
          <w:trHeight w:val="857" w:hRule="atLeast"/>
        </w:trPr>
        <w:tc>
          <w:tcPr>
            <w:tcW w:w="1668" w:type="dxa"/>
            <w:vAlign w:val="center"/>
          </w:tcPr>
          <w:p w14:paraId="6AC78579">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发  包  人：</w:t>
            </w:r>
          </w:p>
        </w:tc>
        <w:tc>
          <w:tcPr>
            <w:tcW w:w="2835" w:type="dxa"/>
            <w:vAlign w:val="center"/>
          </w:tcPr>
          <w:p w14:paraId="6993DCCA">
            <w:pPr>
              <w:widowControl/>
              <w:wordWrap w:val="0"/>
              <w:topLinePunct/>
              <w:adjustRightInd w:val="0"/>
              <w:snapToGrid w:val="0"/>
              <w:spacing w:line="300" w:lineRule="exact"/>
              <w:rPr>
                <w:rFonts w:ascii="宋体" w:hAnsi="宋体"/>
                <w:color w:val="auto"/>
                <w:sz w:val="24"/>
                <w:highlight w:val="none"/>
              </w:rPr>
            </w:pPr>
            <w:r>
              <w:rPr>
                <w:rFonts w:hint="eastAsia" w:ascii="宋体" w:hAnsi="宋体"/>
                <w:color w:val="auto"/>
                <w:sz w:val="22"/>
                <w:highlight w:val="none"/>
              </w:rPr>
              <w:t>广州开发区财政投资建设项目管理中心</w:t>
            </w:r>
          </w:p>
        </w:tc>
        <w:tc>
          <w:tcPr>
            <w:tcW w:w="1559" w:type="dxa"/>
            <w:vAlign w:val="center"/>
          </w:tcPr>
          <w:p w14:paraId="5F7513F6">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承  包  人：</w:t>
            </w:r>
          </w:p>
        </w:tc>
        <w:tc>
          <w:tcPr>
            <w:tcW w:w="2835" w:type="dxa"/>
            <w:vAlign w:val="center"/>
          </w:tcPr>
          <w:p w14:paraId="57F805A5">
            <w:pPr>
              <w:widowControl/>
              <w:wordWrap w:val="0"/>
              <w:topLinePunct/>
              <w:adjustRightInd w:val="0"/>
              <w:snapToGrid w:val="0"/>
              <w:spacing w:line="300" w:lineRule="exact"/>
              <w:rPr>
                <w:rFonts w:ascii="宋体" w:hAnsi="宋体"/>
                <w:color w:val="auto"/>
                <w:sz w:val="22"/>
                <w:highlight w:val="none"/>
              </w:rPr>
            </w:pPr>
          </w:p>
        </w:tc>
      </w:tr>
      <w:tr w14:paraId="2E65487A">
        <w:tblPrEx>
          <w:tblCellMar>
            <w:top w:w="0" w:type="dxa"/>
            <w:left w:w="108" w:type="dxa"/>
            <w:bottom w:w="0" w:type="dxa"/>
            <w:right w:w="108" w:type="dxa"/>
          </w:tblCellMar>
        </w:tblPrEx>
        <w:trPr>
          <w:trHeight w:val="1021" w:hRule="atLeast"/>
        </w:trPr>
        <w:tc>
          <w:tcPr>
            <w:tcW w:w="1668" w:type="dxa"/>
            <w:vAlign w:val="center"/>
          </w:tcPr>
          <w:p w14:paraId="5D0F5947">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法定代表人：</w:t>
            </w:r>
          </w:p>
        </w:tc>
        <w:tc>
          <w:tcPr>
            <w:tcW w:w="2835" w:type="dxa"/>
            <w:vAlign w:val="center"/>
          </w:tcPr>
          <w:p w14:paraId="331CEFD1">
            <w:pPr>
              <w:widowControl/>
              <w:wordWrap w:val="0"/>
              <w:topLinePunct/>
              <w:adjustRightInd w:val="0"/>
              <w:snapToGrid w:val="0"/>
              <w:spacing w:line="480" w:lineRule="exact"/>
              <w:rPr>
                <w:rFonts w:ascii="宋体" w:hAnsi="宋体"/>
                <w:color w:val="auto"/>
                <w:sz w:val="24"/>
                <w:highlight w:val="none"/>
              </w:rPr>
            </w:pPr>
          </w:p>
        </w:tc>
        <w:tc>
          <w:tcPr>
            <w:tcW w:w="1559" w:type="dxa"/>
            <w:vAlign w:val="center"/>
          </w:tcPr>
          <w:p w14:paraId="7B0060AA">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法定代表人：</w:t>
            </w:r>
          </w:p>
        </w:tc>
        <w:tc>
          <w:tcPr>
            <w:tcW w:w="2835" w:type="dxa"/>
            <w:vAlign w:val="center"/>
          </w:tcPr>
          <w:p w14:paraId="0BFCC577">
            <w:pPr>
              <w:widowControl/>
              <w:wordWrap w:val="0"/>
              <w:topLinePunct/>
              <w:adjustRightInd w:val="0"/>
              <w:snapToGrid w:val="0"/>
              <w:spacing w:line="360" w:lineRule="exact"/>
              <w:rPr>
                <w:rFonts w:ascii="宋体" w:hAnsi="宋体"/>
                <w:color w:val="auto"/>
                <w:sz w:val="24"/>
                <w:highlight w:val="none"/>
              </w:rPr>
            </w:pPr>
          </w:p>
        </w:tc>
      </w:tr>
      <w:tr w14:paraId="50AE35C2">
        <w:tblPrEx>
          <w:tblCellMar>
            <w:top w:w="0" w:type="dxa"/>
            <w:left w:w="108" w:type="dxa"/>
            <w:bottom w:w="0" w:type="dxa"/>
            <w:right w:w="108" w:type="dxa"/>
          </w:tblCellMar>
        </w:tblPrEx>
        <w:trPr>
          <w:trHeight w:val="1021" w:hRule="atLeast"/>
        </w:trPr>
        <w:tc>
          <w:tcPr>
            <w:tcW w:w="1668" w:type="dxa"/>
            <w:vAlign w:val="center"/>
          </w:tcPr>
          <w:p w14:paraId="2A12F671">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委托代理人：</w:t>
            </w:r>
          </w:p>
        </w:tc>
        <w:tc>
          <w:tcPr>
            <w:tcW w:w="2835" w:type="dxa"/>
            <w:vAlign w:val="center"/>
          </w:tcPr>
          <w:p w14:paraId="2102DCCF">
            <w:pPr>
              <w:widowControl/>
              <w:wordWrap w:val="0"/>
              <w:topLinePunct/>
              <w:adjustRightInd w:val="0"/>
              <w:snapToGrid w:val="0"/>
              <w:spacing w:line="480" w:lineRule="exact"/>
              <w:rPr>
                <w:rFonts w:ascii="宋体" w:hAnsi="宋体"/>
                <w:color w:val="auto"/>
                <w:sz w:val="24"/>
                <w:highlight w:val="none"/>
              </w:rPr>
            </w:pPr>
          </w:p>
        </w:tc>
        <w:tc>
          <w:tcPr>
            <w:tcW w:w="1559" w:type="dxa"/>
            <w:vAlign w:val="center"/>
          </w:tcPr>
          <w:p w14:paraId="03035799">
            <w:pPr>
              <w:widowControl/>
              <w:wordWrap w:val="0"/>
              <w:topLinePunct/>
              <w:adjustRightInd w:val="0"/>
              <w:snapToGrid w:val="0"/>
              <w:spacing w:line="480" w:lineRule="exact"/>
              <w:rPr>
                <w:rFonts w:ascii="宋体" w:hAnsi="宋体"/>
                <w:color w:val="auto"/>
                <w:sz w:val="24"/>
                <w:highlight w:val="none"/>
              </w:rPr>
            </w:pPr>
            <w:r>
              <w:rPr>
                <w:rFonts w:hint="eastAsia" w:ascii="宋体" w:hAnsi="宋体"/>
                <w:color w:val="auto"/>
                <w:sz w:val="24"/>
                <w:highlight w:val="none"/>
              </w:rPr>
              <w:t>委托代理人：</w:t>
            </w:r>
          </w:p>
        </w:tc>
        <w:tc>
          <w:tcPr>
            <w:tcW w:w="2835" w:type="dxa"/>
            <w:vAlign w:val="center"/>
          </w:tcPr>
          <w:p w14:paraId="2D0899FD">
            <w:pPr>
              <w:widowControl/>
              <w:wordWrap w:val="0"/>
              <w:topLinePunct/>
              <w:adjustRightInd w:val="0"/>
              <w:snapToGrid w:val="0"/>
              <w:spacing w:line="360" w:lineRule="exact"/>
              <w:rPr>
                <w:rFonts w:ascii="宋体" w:hAnsi="宋体"/>
                <w:color w:val="auto"/>
                <w:sz w:val="24"/>
                <w:highlight w:val="none"/>
              </w:rPr>
            </w:pPr>
          </w:p>
        </w:tc>
      </w:tr>
    </w:tbl>
    <w:p w14:paraId="35FAA624">
      <w:pPr>
        <w:spacing w:line="440" w:lineRule="exact"/>
        <w:ind w:firstLine="397"/>
        <w:jc w:val="left"/>
        <w:rPr>
          <w:rFonts w:ascii="宋体" w:hAnsi="宋体" w:cs="宋体"/>
          <w:snapToGrid w:val="0"/>
          <w:color w:val="auto"/>
          <w:kern w:val="0"/>
          <w:sz w:val="24"/>
          <w:highlight w:val="none"/>
        </w:rPr>
      </w:pPr>
    </w:p>
    <w:p w14:paraId="3E775B6A">
      <w:pPr>
        <w:tabs>
          <w:tab w:val="left" w:pos="5460"/>
        </w:tabs>
        <w:adjustRightInd w:val="0"/>
        <w:snapToGrid w:val="0"/>
        <w:spacing w:line="460" w:lineRule="exact"/>
        <w:ind w:left="-2" w:leftChars="-1" w:right="11"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签订日期：</w:t>
      </w:r>
      <w:r>
        <w:rPr>
          <w:rFonts w:hint="eastAsia" w:ascii="宋体" w:hAnsi="宋体" w:cs="宋体"/>
          <w:snapToGrid w:val="0"/>
          <w:color w:val="auto"/>
          <w:kern w:val="0"/>
          <w:sz w:val="24"/>
          <w:highlight w:val="none"/>
          <w:u w:val="single"/>
        </w:rPr>
        <w:t xml:space="preserve">      年   月    日</w:t>
      </w:r>
    </w:p>
    <w:p w14:paraId="5D263FC8">
      <w:pPr>
        <w:spacing w:line="460" w:lineRule="exact"/>
        <w:ind w:firstLine="480" w:firstLineChars="200"/>
        <w:rPr>
          <w:rFonts w:ascii="宋体" w:hAnsi="宋体" w:cs="宋体"/>
          <w:snapToGrid w:val="0"/>
          <w:color w:val="auto"/>
          <w:kern w:val="0"/>
          <w:sz w:val="24"/>
          <w:highlight w:val="none"/>
          <w:u w:val="single"/>
        </w:rPr>
      </w:pPr>
      <w:r>
        <w:rPr>
          <w:rFonts w:hint="eastAsia" w:ascii="宋体" w:hAnsi="宋体" w:cs="宋体"/>
          <w:snapToGrid w:val="0"/>
          <w:color w:val="auto"/>
          <w:kern w:val="0"/>
          <w:sz w:val="24"/>
          <w:highlight w:val="none"/>
        </w:rPr>
        <w:t>签订地点：</w:t>
      </w:r>
      <w:r>
        <w:rPr>
          <w:rFonts w:hint="eastAsia" w:ascii="宋体" w:hAnsi="宋体" w:cs="宋体"/>
          <w:snapToGrid w:val="0"/>
          <w:color w:val="auto"/>
          <w:kern w:val="0"/>
          <w:sz w:val="24"/>
          <w:highlight w:val="none"/>
          <w:u w:val="single"/>
        </w:rPr>
        <w:t>广州市黄埔区</w:t>
      </w:r>
    </w:p>
    <w:p w14:paraId="4949B466">
      <w:pPr>
        <w:spacing w:line="460" w:lineRule="exact"/>
        <w:ind w:firstLine="480" w:firstLineChars="200"/>
        <w:rPr>
          <w:rFonts w:ascii="宋体" w:hAnsi="宋体" w:cs="宋体"/>
          <w:snapToGrid w:val="0"/>
          <w:color w:val="auto"/>
          <w:kern w:val="0"/>
          <w:sz w:val="24"/>
          <w:highlight w:val="none"/>
          <w:u w:val="single"/>
        </w:rPr>
      </w:pPr>
    </w:p>
    <w:p w14:paraId="4135F6AF">
      <w:pPr>
        <w:pStyle w:val="264"/>
        <w:spacing w:line="400" w:lineRule="exact"/>
        <w:rPr>
          <w:rFonts w:ascii="宋体" w:hAnsi="宋体"/>
          <w:color w:val="auto"/>
          <w:sz w:val="24"/>
          <w:highlight w:val="none"/>
        </w:rPr>
      </w:pPr>
      <w:r>
        <w:rPr>
          <w:rFonts w:hint="eastAsia" w:ascii="宋体" w:hAnsi="宋体"/>
          <w:color w:val="auto"/>
          <w:sz w:val="24"/>
          <w:highlight w:val="none"/>
        </w:rPr>
        <w:t>附件2：标函承诺书</w:t>
      </w:r>
    </w:p>
    <w:p w14:paraId="76CE1452">
      <w:pPr>
        <w:pStyle w:val="264"/>
        <w:spacing w:line="400" w:lineRule="exact"/>
        <w:rPr>
          <w:rFonts w:ascii="宋体" w:hAnsi="宋体"/>
          <w:color w:val="auto"/>
          <w:sz w:val="24"/>
          <w:highlight w:val="none"/>
        </w:rPr>
      </w:pPr>
      <w:r>
        <w:rPr>
          <w:rFonts w:hint="eastAsia" w:ascii="宋体" w:hAnsi="宋体"/>
          <w:color w:val="auto"/>
          <w:sz w:val="24"/>
          <w:highlight w:val="none"/>
        </w:rPr>
        <w:t>附件3：项目负责人驻场承诺书</w:t>
      </w:r>
    </w:p>
    <w:p w14:paraId="44171001">
      <w:pPr>
        <w:pStyle w:val="264"/>
        <w:spacing w:line="400" w:lineRule="exact"/>
        <w:rPr>
          <w:rFonts w:ascii="宋体" w:hAnsi="宋体"/>
          <w:color w:val="auto"/>
          <w:sz w:val="24"/>
          <w:highlight w:val="none"/>
        </w:rPr>
      </w:pPr>
      <w:r>
        <w:rPr>
          <w:rFonts w:hint="eastAsia" w:ascii="宋体" w:hAnsi="宋体"/>
          <w:color w:val="auto"/>
          <w:sz w:val="24"/>
          <w:highlight w:val="none"/>
        </w:rPr>
        <w:t>附件4：危险性较大的分部分项工程安全管理措施</w:t>
      </w:r>
    </w:p>
    <w:p w14:paraId="2F07463E">
      <w:pPr>
        <w:pStyle w:val="264"/>
        <w:spacing w:line="400" w:lineRule="exact"/>
        <w:rPr>
          <w:rFonts w:ascii="宋体" w:hAnsi="宋体"/>
          <w:color w:val="auto"/>
          <w:sz w:val="24"/>
          <w:highlight w:val="none"/>
        </w:rPr>
      </w:pPr>
      <w:r>
        <w:rPr>
          <w:rFonts w:hint="eastAsia" w:ascii="宋体" w:hAnsi="宋体"/>
          <w:color w:val="auto"/>
          <w:sz w:val="24"/>
          <w:highlight w:val="none"/>
        </w:rPr>
        <w:t>附件5：拟投入本工程的主要技术、经济和管理人员一览表</w:t>
      </w:r>
    </w:p>
    <w:p w14:paraId="21730A6C">
      <w:pPr>
        <w:pStyle w:val="264"/>
        <w:spacing w:line="400" w:lineRule="exact"/>
        <w:rPr>
          <w:rFonts w:ascii="宋体" w:hAnsi="宋体"/>
          <w:color w:val="auto"/>
          <w:sz w:val="24"/>
          <w:highlight w:val="none"/>
        </w:rPr>
      </w:pPr>
      <w:r>
        <w:rPr>
          <w:rFonts w:hint="eastAsia" w:ascii="宋体" w:hAnsi="宋体"/>
          <w:color w:val="auto"/>
          <w:sz w:val="24"/>
          <w:highlight w:val="none"/>
        </w:rPr>
        <w:t>附件:6：拟投入本工程施工的主要机械设备配备表</w:t>
      </w:r>
    </w:p>
    <w:p w14:paraId="6EEA8676">
      <w:pPr>
        <w:pStyle w:val="264"/>
        <w:spacing w:line="400" w:lineRule="exact"/>
        <w:rPr>
          <w:rFonts w:ascii="宋体" w:hAnsi="宋体"/>
          <w:color w:val="auto"/>
          <w:sz w:val="24"/>
          <w:highlight w:val="none"/>
        </w:rPr>
      </w:pPr>
      <w:r>
        <w:rPr>
          <w:rFonts w:hint="eastAsia" w:ascii="宋体" w:hAnsi="宋体"/>
          <w:color w:val="auto"/>
          <w:sz w:val="24"/>
          <w:highlight w:val="none"/>
        </w:rPr>
        <w:t>附件7：中小企业声明函（如有)</w:t>
      </w:r>
    </w:p>
    <w:p w14:paraId="1D0F9E3A">
      <w:pPr>
        <w:pStyle w:val="264"/>
        <w:spacing w:line="400" w:lineRule="exact"/>
        <w:rPr>
          <w:rFonts w:hAnsi="宋体" w:eastAsia="仿宋_GB2312"/>
          <w:color w:val="auto"/>
          <w:sz w:val="28"/>
          <w:szCs w:val="28"/>
          <w:highlight w:val="none"/>
        </w:rPr>
      </w:pPr>
      <w:r>
        <w:rPr>
          <w:rFonts w:hint="eastAsia" w:ascii="宋体" w:hAnsi="宋体"/>
          <w:color w:val="auto"/>
          <w:sz w:val="24"/>
          <w:highlight w:val="none"/>
        </w:rPr>
        <w:t>附件8：分包意向协议书(如有)</w:t>
      </w:r>
    </w:p>
    <w:p w14:paraId="72F7B33C">
      <w:pPr>
        <w:spacing w:line="460" w:lineRule="exact"/>
        <w:rPr>
          <w:rFonts w:ascii="宋体" w:hAnsi="宋体" w:eastAsia="宋体"/>
          <w:color w:val="auto"/>
          <w:sz w:val="24"/>
          <w:highlight w:val="none"/>
        </w:rPr>
      </w:pPr>
    </w:p>
    <w:p w14:paraId="6EFEF1AC">
      <w:pPr>
        <w:widowControl/>
        <w:jc w:val="left"/>
        <w:rPr>
          <w:color w:val="auto"/>
          <w:highlight w:val="none"/>
        </w:rPr>
      </w:pPr>
      <w:r>
        <w:rPr>
          <w:color w:val="auto"/>
          <w:highlight w:val="none"/>
        </w:rPr>
        <w:br w:type="page"/>
      </w:r>
    </w:p>
    <w:p w14:paraId="3C9395B9">
      <w:pPr>
        <w:rPr>
          <w:color w:val="auto"/>
          <w:highlight w:val="none"/>
        </w:rPr>
      </w:pPr>
    </w:p>
    <w:p w14:paraId="5034D9F1">
      <w:pPr>
        <w:pStyle w:val="4"/>
        <w:tabs>
          <w:tab w:val="left" w:pos="0"/>
        </w:tabs>
        <w:snapToGrid w:val="0"/>
        <w:spacing w:before="0" w:after="0"/>
        <w:jc w:val="center"/>
        <w:rPr>
          <w:rFonts w:ascii="宋体" w:hAnsi="宋体" w:eastAsia="宋体" w:cs="宋体"/>
          <w:bCs/>
          <w:color w:val="auto"/>
          <w:sz w:val="32"/>
          <w:szCs w:val="32"/>
          <w:highlight w:val="none"/>
        </w:rPr>
      </w:pPr>
      <w:bookmarkStart w:id="39" w:name="_Toc30083"/>
      <w:r>
        <w:rPr>
          <w:rFonts w:hint="eastAsia" w:ascii="宋体" w:hAnsi="宋体" w:eastAsia="宋体" w:cs="宋体"/>
          <w:bCs/>
          <w:color w:val="auto"/>
          <w:sz w:val="32"/>
          <w:szCs w:val="32"/>
          <w:highlight w:val="none"/>
        </w:rPr>
        <w:t>第四章</w:t>
      </w:r>
      <w:r>
        <w:rPr>
          <w:rFonts w:ascii="宋体" w:hAnsi="宋体" w:eastAsia="宋体" w:cs="宋体"/>
          <w:bCs/>
          <w:color w:val="auto"/>
          <w:sz w:val="32"/>
          <w:szCs w:val="32"/>
          <w:highlight w:val="none"/>
        </w:rPr>
        <w:t xml:space="preserve">  </w:t>
      </w:r>
      <w:r>
        <w:rPr>
          <w:rFonts w:hint="eastAsia" w:ascii="宋体" w:hAnsi="宋体" w:eastAsia="宋体" w:cs="宋体"/>
          <w:bCs/>
          <w:color w:val="auto"/>
          <w:sz w:val="32"/>
          <w:szCs w:val="32"/>
          <w:highlight w:val="none"/>
        </w:rPr>
        <w:t>投标文件格式</w:t>
      </w:r>
      <w:bookmarkEnd w:id="39"/>
    </w:p>
    <w:p w14:paraId="42FDA18D">
      <w:pPr>
        <w:autoSpaceDE w:val="0"/>
        <w:autoSpaceDN w:val="0"/>
        <w:adjustRightInd w:val="0"/>
        <w:snapToGrid w:val="0"/>
        <w:spacing w:line="360" w:lineRule="auto"/>
        <w:jc w:val="center"/>
        <w:rPr>
          <w:rFonts w:ascii="宋体" w:hAnsi="宋体" w:eastAsia="宋体" w:cs="宋体"/>
          <w:color w:val="auto"/>
          <w:sz w:val="32"/>
          <w:szCs w:val="32"/>
          <w:highlight w:val="none"/>
        </w:rPr>
      </w:pPr>
      <w:r>
        <w:rPr>
          <w:rFonts w:hint="eastAsia" w:ascii="宋体" w:hAnsi="宋体" w:eastAsia="宋体" w:cs="宋体"/>
          <w:color w:val="auto"/>
          <w:sz w:val="32"/>
          <w:szCs w:val="32"/>
          <w:highlight w:val="none"/>
        </w:rPr>
        <w:t>一、投标文件技术标部分（含资格审查文件）格式</w:t>
      </w:r>
    </w:p>
    <w:p w14:paraId="730CD7AD">
      <w:pPr>
        <w:topLinePunct/>
        <w:adjustRightInd w:val="0"/>
        <w:snapToGrid w:val="0"/>
        <w:spacing w:line="360" w:lineRule="auto"/>
        <w:jc w:val="left"/>
        <w:rPr>
          <w:rFonts w:ascii="宋体" w:hAnsi="宋体" w:eastAsia="宋体" w:cs="宋体"/>
          <w:color w:val="auto"/>
          <w:sz w:val="24"/>
          <w:highlight w:val="none"/>
        </w:rPr>
      </w:pPr>
      <w:bookmarkStart w:id="40" w:name="_Toc6493845"/>
    </w:p>
    <w:p w14:paraId="1930091C">
      <w:pPr>
        <w:widowControl/>
        <w:jc w:val="left"/>
        <w:rPr>
          <w:rFonts w:ascii="宋体" w:hAnsi="宋体" w:eastAsia="宋体" w:cs="宋体"/>
          <w:color w:val="auto"/>
          <w:sz w:val="24"/>
          <w:highlight w:val="none"/>
        </w:rPr>
      </w:pPr>
      <w:r>
        <w:rPr>
          <w:rFonts w:ascii="宋体" w:hAnsi="宋体" w:eastAsia="宋体" w:cs="宋体"/>
          <w:color w:val="auto"/>
          <w:sz w:val="24"/>
          <w:highlight w:val="none"/>
        </w:rPr>
        <w:br w:type="page"/>
      </w:r>
    </w:p>
    <w:p w14:paraId="7BB2BA0C">
      <w:pPr>
        <w:topLinePunct/>
        <w:adjustRightInd w:val="0"/>
        <w:snapToGrid w:val="0"/>
        <w:spacing w:line="360" w:lineRule="auto"/>
        <w:jc w:val="left"/>
        <w:rPr>
          <w:rFonts w:ascii="宋体" w:hAnsi="宋体" w:eastAsia="宋体" w:cs="宋体"/>
          <w:bCs/>
          <w:color w:val="auto"/>
          <w:spacing w:val="4"/>
          <w:kern w:val="0"/>
          <w:sz w:val="24"/>
          <w:highlight w:val="none"/>
        </w:rPr>
      </w:pPr>
      <w:r>
        <w:rPr>
          <w:rFonts w:hint="eastAsia" w:ascii="宋体" w:hAnsi="宋体" w:eastAsia="宋体" w:cs="宋体"/>
          <w:color w:val="auto"/>
          <w:sz w:val="24"/>
          <w:highlight w:val="none"/>
        </w:rPr>
        <w:t>技术标</w:t>
      </w:r>
      <w:r>
        <w:rPr>
          <w:rFonts w:hint="eastAsia" w:ascii="宋体" w:hAnsi="宋体" w:eastAsia="宋体" w:cs="宋体"/>
          <w:bCs/>
          <w:color w:val="auto"/>
          <w:spacing w:val="4"/>
          <w:kern w:val="0"/>
          <w:sz w:val="24"/>
          <w:highlight w:val="none"/>
        </w:rPr>
        <w:t>格式一</w:t>
      </w:r>
      <w:bookmarkEnd w:id="40"/>
    </w:p>
    <w:p w14:paraId="01DCE440">
      <w:pPr>
        <w:autoSpaceDE w:val="0"/>
        <w:autoSpaceDN w:val="0"/>
        <w:adjustRightInd w:val="0"/>
        <w:snapToGrid w:val="0"/>
        <w:spacing w:line="360" w:lineRule="auto"/>
        <w:jc w:val="center"/>
        <w:outlineLvl w:val="1"/>
        <w:rPr>
          <w:rFonts w:ascii="宋体" w:hAnsi="宋体" w:eastAsia="宋体" w:cs="宋体"/>
          <w:b/>
          <w:bCs/>
          <w:color w:val="auto"/>
          <w:sz w:val="36"/>
          <w:szCs w:val="36"/>
          <w:highlight w:val="none"/>
          <w:lang w:val="zh-CN"/>
        </w:rPr>
      </w:pPr>
      <w:bookmarkStart w:id="41" w:name="_Toc10308"/>
      <w:bookmarkStart w:id="42" w:name="_Toc17590"/>
      <w:r>
        <w:rPr>
          <w:rFonts w:hint="eastAsia" w:ascii="宋体" w:hAnsi="宋体" w:eastAsia="宋体" w:cs="宋体"/>
          <w:b/>
          <w:bCs/>
          <w:color w:val="auto"/>
          <w:sz w:val="36"/>
          <w:szCs w:val="36"/>
          <w:highlight w:val="none"/>
          <w:lang w:val="zh-CN"/>
        </w:rPr>
        <w:t>广州建设工程施工招标投标书（技术标）</w:t>
      </w:r>
      <w:bookmarkEnd w:id="41"/>
      <w:bookmarkEnd w:id="42"/>
    </w:p>
    <w:tbl>
      <w:tblPr>
        <w:tblStyle w:val="88"/>
        <w:tblpPr w:leftFromText="180" w:rightFromText="180" w:vertAnchor="text" w:horzAnchor="margin" w:tblpXSpec="center" w:tblpY="27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2211"/>
        <w:gridCol w:w="3834"/>
      </w:tblGrid>
      <w:tr w14:paraId="0ADE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7A7254B0">
            <w:pPr>
              <w:autoSpaceDE w:val="0"/>
              <w:autoSpaceDN w:val="0"/>
              <w:adjustRightInd w:val="0"/>
              <w:snapToGrid w:val="0"/>
              <w:spacing w:line="360" w:lineRule="auto"/>
              <w:jc w:val="center"/>
              <w:rPr>
                <w:rFonts w:ascii="宋体" w:hAnsi="宋体" w:eastAsia="宋体" w:cs="宋体"/>
                <w:bCs/>
                <w:color w:val="auto"/>
                <w:sz w:val="24"/>
                <w:highlight w:val="none"/>
                <w:lang w:val="zh-CN"/>
              </w:rPr>
            </w:pPr>
            <w:r>
              <w:rPr>
                <w:rFonts w:hint="eastAsia" w:ascii="宋体" w:hAnsi="宋体" w:eastAsia="宋体" w:cs="宋体"/>
                <w:color w:val="auto"/>
                <w:sz w:val="24"/>
                <w:highlight w:val="none"/>
                <w:lang w:val="zh-CN"/>
              </w:rPr>
              <w:t>工程名称</w:t>
            </w:r>
          </w:p>
        </w:tc>
        <w:tc>
          <w:tcPr>
            <w:tcW w:w="6045" w:type="dxa"/>
            <w:gridSpan w:val="2"/>
            <w:tcBorders>
              <w:top w:val="single" w:color="auto" w:sz="4" w:space="0"/>
              <w:left w:val="single" w:color="auto" w:sz="4" w:space="0"/>
              <w:bottom w:val="single" w:color="auto" w:sz="4" w:space="0"/>
              <w:right w:val="single" w:color="auto" w:sz="4" w:space="0"/>
            </w:tcBorders>
            <w:noWrap/>
          </w:tcPr>
          <w:p w14:paraId="3760778C">
            <w:pPr>
              <w:autoSpaceDE w:val="0"/>
              <w:autoSpaceDN w:val="0"/>
              <w:adjustRightInd w:val="0"/>
              <w:snapToGrid w:val="0"/>
              <w:spacing w:line="360" w:lineRule="auto"/>
              <w:rPr>
                <w:rFonts w:ascii="宋体" w:hAnsi="宋体" w:eastAsia="宋体" w:cs="宋体"/>
                <w:bCs/>
                <w:color w:val="auto"/>
                <w:sz w:val="24"/>
                <w:highlight w:val="none"/>
                <w:lang w:val="zh-CN"/>
              </w:rPr>
            </w:pPr>
          </w:p>
        </w:tc>
      </w:tr>
      <w:tr w14:paraId="16A50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39A2ECB7">
            <w:pPr>
              <w:snapToGrid w:val="0"/>
              <w:spacing w:line="360" w:lineRule="auto"/>
              <w:jc w:val="center"/>
              <w:rPr>
                <w:rFonts w:ascii="宋体" w:hAnsi="宋体" w:eastAsia="宋体" w:cs="宋体"/>
                <w:color w:val="auto"/>
                <w:sz w:val="24"/>
                <w:highlight w:val="none"/>
                <w:lang w:val="zh-CN"/>
              </w:rPr>
            </w:pPr>
            <w:r>
              <w:rPr>
                <w:rFonts w:hint="eastAsia" w:ascii="宋体" w:hAnsi="宋体" w:eastAsia="宋体" w:cs="宋体"/>
                <w:color w:val="auto"/>
                <w:sz w:val="24"/>
                <w:highlight w:val="none"/>
                <w:lang w:val="zh-CN"/>
              </w:rPr>
              <w:t>投标总工期</w:t>
            </w:r>
          </w:p>
        </w:tc>
        <w:tc>
          <w:tcPr>
            <w:tcW w:w="6045" w:type="dxa"/>
            <w:gridSpan w:val="2"/>
            <w:tcBorders>
              <w:top w:val="single" w:color="auto" w:sz="4" w:space="0"/>
              <w:left w:val="single" w:color="auto" w:sz="4" w:space="0"/>
              <w:bottom w:val="single" w:color="auto" w:sz="4" w:space="0"/>
              <w:right w:val="single" w:color="auto" w:sz="4" w:space="0"/>
            </w:tcBorders>
            <w:noWrap/>
          </w:tcPr>
          <w:p w14:paraId="72715086">
            <w:pPr>
              <w:autoSpaceDE w:val="0"/>
              <w:autoSpaceDN w:val="0"/>
              <w:adjustRightInd w:val="0"/>
              <w:snapToGrid w:val="0"/>
              <w:spacing w:line="360" w:lineRule="auto"/>
              <w:rPr>
                <w:rFonts w:ascii="宋体" w:hAnsi="宋体" w:eastAsia="宋体" w:cs="宋体"/>
                <w:bCs/>
                <w:color w:val="auto"/>
                <w:sz w:val="24"/>
                <w:highlight w:val="none"/>
                <w:lang w:val="zh-CN"/>
              </w:rPr>
            </w:pPr>
          </w:p>
        </w:tc>
      </w:tr>
      <w:tr w14:paraId="207F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059CBB3B">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lang w:val="zh-CN"/>
              </w:rPr>
              <w:t>工程质量标准</w:t>
            </w:r>
          </w:p>
        </w:tc>
        <w:tc>
          <w:tcPr>
            <w:tcW w:w="6045" w:type="dxa"/>
            <w:gridSpan w:val="2"/>
            <w:tcBorders>
              <w:top w:val="single" w:color="auto" w:sz="4" w:space="0"/>
              <w:left w:val="single" w:color="auto" w:sz="4" w:space="0"/>
              <w:bottom w:val="single" w:color="auto" w:sz="4" w:space="0"/>
              <w:right w:val="single" w:color="auto" w:sz="4" w:space="0"/>
            </w:tcBorders>
            <w:noWrap/>
          </w:tcPr>
          <w:p w14:paraId="2DCB3C48">
            <w:pPr>
              <w:autoSpaceDE w:val="0"/>
              <w:autoSpaceDN w:val="0"/>
              <w:adjustRightInd w:val="0"/>
              <w:snapToGrid w:val="0"/>
              <w:spacing w:line="360" w:lineRule="auto"/>
              <w:rPr>
                <w:rFonts w:ascii="宋体" w:hAnsi="宋体" w:eastAsia="宋体" w:cs="宋体"/>
                <w:bCs/>
                <w:color w:val="auto"/>
                <w:sz w:val="24"/>
                <w:highlight w:val="none"/>
                <w:lang w:val="zh-CN"/>
              </w:rPr>
            </w:pPr>
          </w:p>
        </w:tc>
      </w:tr>
      <w:tr w14:paraId="6ADF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3334" w:type="dxa"/>
            <w:tcBorders>
              <w:top w:val="single" w:color="auto" w:sz="4" w:space="0"/>
              <w:left w:val="single" w:color="auto" w:sz="4" w:space="0"/>
              <w:bottom w:val="single" w:color="auto" w:sz="4" w:space="0"/>
              <w:right w:val="single" w:color="auto" w:sz="4" w:space="0"/>
            </w:tcBorders>
            <w:noWrap/>
            <w:vAlign w:val="center"/>
          </w:tcPr>
          <w:p w14:paraId="6D6CC03E">
            <w:pPr>
              <w:autoSpaceDE w:val="0"/>
              <w:autoSpaceDN w:val="0"/>
              <w:adjustRightInd w:val="0"/>
              <w:snapToGrid w:val="0"/>
              <w:spacing w:after="120" w:line="360" w:lineRule="auto"/>
              <w:jc w:val="center"/>
              <w:rPr>
                <w:rFonts w:ascii="宋体" w:hAnsi="宋体" w:eastAsia="宋体" w:cs="宋体"/>
                <w:bCs/>
                <w:color w:val="auto"/>
                <w:sz w:val="24"/>
                <w:highlight w:val="none"/>
                <w:lang w:val="zh-CN"/>
              </w:rPr>
            </w:pPr>
            <w:r>
              <w:rPr>
                <w:rFonts w:hint="eastAsia" w:ascii="宋体" w:hAnsi="宋体" w:eastAsia="宋体" w:cs="宋体"/>
                <w:color w:val="auto"/>
                <w:sz w:val="24"/>
                <w:highlight w:val="none"/>
                <w:lang w:val="zh-CN"/>
              </w:rPr>
              <w:t>保修期限</w:t>
            </w:r>
          </w:p>
        </w:tc>
        <w:tc>
          <w:tcPr>
            <w:tcW w:w="6045" w:type="dxa"/>
            <w:gridSpan w:val="2"/>
            <w:tcBorders>
              <w:top w:val="single" w:color="auto" w:sz="4" w:space="0"/>
              <w:left w:val="single" w:color="auto" w:sz="4" w:space="0"/>
              <w:bottom w:val="single" w:color="auto" w:sz="4" w:space="0"/>
              <w:right w:val="single" w:color="auto" w:sz="4" w:space="0"/>
            </w:tcBorders>
            <w:noWrap/>
          </w:tcPr>
          <w:p w14:paraId="6F3BABDB">
            <w:pPr>
              <w:autoSpaceDE w:val="0"/>
              <w:autoSpaceDN w:val="0"/>
              <w:adjustRightInd w:val="0"/>
              <w:snapToGrid w:val="0"/>
              <w:spacing w:line="360" w:lineRule="auto"/>
              <w:rPr>
                <w:rFonts w:ascii="宋体" w:hAnsi="宋体" w:eastAsia="宋体" w:cs="宋体"/>
                <w:bCs/>
                <w:color w:val="auto"/>
                <w:sz w:val="24"/>
                <w:highlight w:val="none"/>
                <w:lang w:val="zh-CN"/>
              </w:rPr>
            </w:pPr>
          </w:p>
        </w:tc>
      </w:tr>
      <w:tr w14:paraId="4040E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14:paraId="408FD90C">
            <w:pPr>
              <w:autoSpaceDE w:val="0"/>
              <w:autoSpaceDN w:val="0"/>
              <w:adjustRightInd w:val="0"/>
              <w:snapToGrid w:val="0"/>
              <w:spacing w:after="120" w:line="360" w:lineRule="auto"/>
              <w:jc w:val="center"/>
              <w:rPr>
                <w:rFonts w:ascii="宋体" w:hAnsi="宋体" w:eastAsia="宋体" w:cs="宋体"/>
                <w:bCs/>
                <w:color w:val="auto"/>
                <w:sz w:val="24"/>
                <w:highlight w:val="none"/>
                <w:lang w:val="zh-CN"/>
              </w:rPr>
            </w:pPr>
            <w:r>
              <w:rPr>
                <w:rFonts w:hint="eastAsia" w:ascii="宋体" w:hAnsi="宋体" w:eastAsia="宋体" w:cs="宋体"/>
                <w:color w:val="auto"/>
                <w:sz w:val="24"/>
                <w:highlight w:val="none"/>
                <w:lang w:val="zh-CN"/>
              </w:rPr>
              <w:t>委派的项目负责人</w:t>
            </w:r>
          </w:p>
        </w:tc>
        <w:tc>
          <w:tcPr>
            <w:tcW w:w="2211" w:type="dxa"/>
            <w:tcBorders>
              <w:top w:val="single" w:color="auto" w:sz="4" w:space="0"/>
              <w:left w:val="single" w:color="auto" w:sz="4" w:space="0"/>
              <w:bottom w:val="single" w:color="auto" w:sz="4" w:space="0"/>
              <w:right w:val="single" w:color="auto" w:sz="4" w:space="0"/>
            </w:tcBorders>
            <w:noWrap/>
            <w:vAlign w:val="center"/>
          </w:tcPr>
          <w:p w14:paraId="143305AC">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3834" w:type="dxa"/>
            <w:tcBorders>
              <w:top w:val="single" w:color="auto" w:sz="4" w:space="0"/>
              <w:left w:val="single" w:color="auto" w:sz="4" w:space="0"/>
              <w:bottom w:val="single" w:color="auto" w:sz="4" w:space="0"/>
              <w:right w:val="single" w:color="auto" w:sz="4" w:space="0"/>
            </w:tcBorders>
            <w:noWrap/>
          </w:tcPr>
          <w:p w14:paraId="35832A3C">
            <w:pPr>
              <w:autoSpaceDE w:val="0"/>
              <w:autoSpaceDN w:val="0"/>
              <w:adjustRightInd w:val="0"/>
              <w:snapToGrid w:val="0"/>
              <w:spacing w:line="360" w:lineRule="auto"/>
              <w:rPr>
                <w:rFonts w:ascii="宋体" w:hAnsi="宋体" w:eastAsia="宋体" w:cs="宋体"/>
                <w:bCs/>
                <w:color w:val="auto"/>
                <w:sz w:val="24"/>
                <w:highlight w:val="none"/>
                <w:lang w:val="zh-CN"/>
              </w:rPr>
            </w:pPr>
          </w:p>
        </w:tc>
      </w:tr>
      <w:tr w14:paraId="0B73F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3334" w:type="dxa"/>
            <w:tcBorders>
              <w:top w:val="single" w:color="auto" w:sz="4" w:space="0"/>
              <w:left w:val="single" w:color="auto" w:sz="4" w:space="0"/>
              <w:right w:val="single" w:color="auto" w:sz="4" w:space="0"/>
            </w:tcBorders>
            <w:noWrap/>
            <w:vAlign w:val="center"/>
          </w:tcPr>
          <w:p w14:paraId="4B1B35FB">
            <w:pPr>
              <w:autoSpaceDE w:val="0"/>
              <w:autoSpaceDN w:val="0"/>
              <w:adjustRightInd w:val="0"/>
              <w:snapToGrid w:val="0"/>
              <w:spacing w:line="360" w:lineRule="auto"/>
              <w:jc w:val="center"/>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委派的专职安全员</w:t>
            </w:r>
          </w:p>
        </w:tc>
        <w:tc>
          <w:tcPr>
            <w:tcW w:w="2211" w:type="dxa"/>
            <w:tcBorders>
              <w:top w:val="single" w:color="auto" w:sz="4" w:space="0"/>
              <w:left w:val="single" w:color="auto" w:sz="4" w:space="0"/>
              <w:bottom w:val="single" w:color="auto" w:sz="4" w:space="0"/>
              <w:right w:val="single" w:color="auto" w:sz="4" w:space="0"/>
            </w:tcBorders>
            <w:noWrap/>
            <w:vAlign w:val="center"/>
          </w:tcPr>
          <w:p w14:paraId="7E301372">
            <w:pPr>
              <w:autoSpaceDE w:val="0"/>
              <w:autoSpaceDN w:val="0"/>
              <w:adjustRightInd w:val="0"/>
              <w:snapToGrid w:val="0"/>
              <w:spacing w:after="120" w:line="360" w:lineRule="auto"/>
              <w:jc w:val="center"/>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姓名</w:t>
            </w:r>
          </w:p>
        </w:tc>
        <w:tc>
          <w:tcPr>
            <w:tcW w:w="3834" w:type="dxa"/>
            <w:tcBorders>
              <w:top w:val="single" w:color="auto" w:sz="4" w:space="0"/>
              <w:left w:val="single" w:color="auto" w:sz="4" w:space="0"/>
              <w:bottom w:val="single" w:color="auto" w:sz="4" w:space="0"/>
              <w:right w:val="single" w:color="auto" w:sz="4" w:space="0"/>
            </w:tcBorders>
            <w:noWrap/>
          </w:tcPr>
          <w:p w14:paraId="02499FE2">
            <w:pPr>
              <w:autoSpaceDE w:val="0"/>
              <w:autoSpaceDN w:val="0"/>
              <w:adjustRightInd w:val="0"/>
              <w:snapToGrid w:val="0"/>
              <w:spacing w:line="360" w:lineRule="auto"/>
              <w:rPr>
                <w:rFonts w:ascii="宋体" w:hAnsi="宋体" w:eastAsia="宋体" w:cs="宋体"/>
                <w:bCs/>
                <w:color w:val="auto"/>
                <w:sz w:val="24"/>
                <w:highlight w:val="none"/>
                <w:lang w:val="zh-CN"/>
              </w:rPr>
            </w:pPr>
          </w:p>
        </w:tc>
      </w:tr>
    </w:tbl>
    <w:p w14:paraId="199045E2">
      <w:pPr>
        <w:autoSpaceDE w:val="0"/>
        <w:autoSpaceDN w:val="0"/>
        <w:adjustRightInd w:val="0"/>
        <w:snapToGrid w:val="0"/>
        <w:spacing w:line="360" w:lineRule="auto"/>
        <w:rPr>
          <w:rFonts w:ascii="宋体" w:hAnsi="宋体" w:eastAsia="宋体" w:cs="宋体"/>
          <w:snapToGrid w:val="0"/>
          <w:color w:val="auto"/>
          <w:spacing w:val="4"/>
          <w:kern w:val="0"/>
          <w:sz w:val="24"/>
          <w:highlight w:val="none"/>
        </w:rPr>
      </w:pPr>
      <w:r>
        <w:rPr>
          <w:rFonts w:ascii="宋体" w:hAnsi="宋体" w:eastAsia="宋体" w:cs="宋体"/>
          <w:b/>
          <w:color w:val="auto"/>
          <w:highlight w:val="none"/>
        </w:rPr>
        <w:br w:type="page"/>
      </w:r>
      <w:r>
        <w:rPr>
          <w:rFonts w:hint="eastAsia" w:ascii="宋体" w:hAnsi="宋体" w:eastAsia="宋体" w:cs="宋体"/>
          <w:color w:val="auto"/>
          <w:sz w:val="24"/>
          <w:highlight w:val="none"/>
        </w:rPr>
        <w:t>技术标</w:t>
      </w:r>
      <w:r>
        <w:rPr>
          <w:rFonts w:hint="eastAsia" w:ascii="宋体" w:hAnsi="宋体" w:eastAsia="宋体" w:cs="宋体"/>
          <w:bCs/>
          <w:color w:val="auto"/>
          <w:sz w:val="24"/>
          <w:highlight w:val="none"/>
        </w:rPr>
        <w:t>格式二</w:t>
      </w:r>
    </w:p>
    <w:p w14:paraId="189993EF">
      <w:pPr>
        <w:topLinePunct/>
        <w:adjustRightInd w:val="0"/>
        <w:snapToGrid w:val="0"/>
        <w:spacing w:line="360" w:lineRule="auto"/>
        <w:jc w:val="center"/>
        <w:rPr>
          <w:rFonts w:ascii="宋体" w:hAnsi="宋体" w:eastAsia="宋体" w:cs="宋体"/>
          <w:b/>
          <w:snapToGrid w:val="0"/>
          <w:color w:val="auto"/>
          <w:spacing w:val="4"/>
          <w:kern w:val="0"/>
          <w:sz w:val="32"/>
          <w:szCs w:val="32"/>
          <w:highlight w:val="none"/>
        </w:rPr>
      </w:pPr>
      <w:r>
        <w:rPr>
          <w:rFonts w:hint="eastAsia" w:ascii="宋体" w:hAnsi="宋体" w:eastAsia="宋体" w:cs="宋体"/>
          <w:b/>
          <w:snapToGrid w:val="0"/>
          <w:color w:val="auto"/>
          <w:spacing w:val="4"/>
          <w:kern w:val="0"/>
          <w:sz w:val="32"/>
          <w:szCs w:val="32"/>
          <w:highlight w:val="none"/>
        </w:rPr>
        <w:t>投标函</w:t>
      </w:r>
    </w:p>
    <w:p w14:paraId="717E92C1">
      <w:pPr>
        <w:topLinePunct/>
        <w:adjustRightInd w:val="0"/>
        <w:snapToGrid w:val="0"/>
        <w:spacing w:line="360" w:lineRule="auto"/>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致：</w:t>
      </w:r>
      <w:r>
        <w:rPr>
          <w:rFonts w:hint="eastAsia" w:ascii="宋体" w:hAnsi="宋体" w:eastAsia="宋体" w:cs="宋体"/>
          <w:color w:val="auto"/>
          <w:sz w:val="24"/>
          <w:highlight w:val="none"/>
          <w:u w:val="single"/>
        </w:rPr>
        <w:t>广州开发区财政投资建设项目管理中心</w:t>
      </w:r>
    </w:p>
    <w:p w14:paraId="45DC0BCC">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1.根据已收到贵方的项目编号为</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single"/>
        </w:rPr>
        <w:t>黄埔区公安分局永和派出所扩建工程施工总承包</w:t>
      </w:r>
      <w:r>
        <w:rPr>
          <w:rFonts w:hint="eastAsia" w:ascii="宋体" w:hAnsi="宋体" w:eastAsia="宋体" w:cs="宋体"/>
          <w:color w:val="auto"/>
          <w:sz w:val="24"/>
          <w:highlight w:val="none"/>
        </w:rPr>
        <w:t>的招标文件，并已详细审核了全部招标文件及有关附件。</w:t>
      </w:r>
    </w:p>
    <w:p w14:paraId="337952B2">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遵照《中华人民共和国招标投标法》、《中华人民共和国招标投标法实施条例》、《广东省实施〈中华人民共和国招标投标法〉办法》、等有关规定，经考察现场和研究上述招标文件的投标须知、合同条款、标准和技术规范、图纸、工程量清单及其他有关文件后，我方承诺：</w:t>
      </w:r>
    </w:p>
    <w:p w14:paraId="2A101ACF">
      <w:pPr>
        <w:snapToGrid w:val="0"/>
        <w:spacing w:line="360" w:lineRule="auto"/>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愿以经济标中的投标报价并按上述合同条款、标准和技术规范、图纸、工程量清单等的要求承包上述工程的施工、竣工并修补其任何缺陷。</w:t>
      </w:r>
    </w:p>
    <w:p w14:paraId="37282FB4">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我方同意所递交的投标文件在投标须知规定的投标有效期内有效，在此期间内我方的投标有可能中标，我方将受此约束。如果在投标有效期内撤回投标或放弃中标资格，我方的投标担保将不予退还，给贵方造成的损失超过我方投标担保金额的，贵方还有权要求我方对超过部分进行赔偿。</w:t>
      </w:r>
    </w:p>
    <w:p w14:paraId="59C35099">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4.我方理解贵方将不受必须接受你们所收到的最低标价或其它任何投标文件的约束。</w:t>
      </w:r>
    </w:p>
    <w:p w14:paraId="29CE8272">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5.</w:t>
      </w:r>
      <w:r>
        <w:rPr>
          <w:rFonts w:hint="eastAsia"/>
          <w:color w:val="auto"/>
          <w:highlight w:val="none"/>
        </w:rPr>
        <w:t xml:space="preserve"> </w:t>
      </w:r>
      <w:r>
        <w:rPr>
          <w:rFonts w:hint="eastAsia" w:ascii="宋体" w:hAnsi="宋体" w:eastAsia="宋体" w:cs="宋体"/>
          <w:color w:val="auto"/>
          <w:sz w:val="24"/>
          <w:highlight w:val="none"/>
        </w:rPr>
        <w:t>如果我方中标，我方保证在投标文件所附《广州建设工程施工招标投标书（技术标）》中承诺的投标总工期内完成并移交本工程，保证工程质量达到在投标文件所附《广州建设工程施工招标投标书（技术标）》中承诺的工程质量标准要求。</w:t>
      </w:r>
    </w:p>
    <w:p w14:paraId="4C52D27F">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6.如果我方中标，我方将按照规定递交由招标人认可，并在招标文件中规定金额的履约保函。</w:t>
      </w:r>
    </w:p>
    <w:p w14:paraId="3685F308">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7.除非另外达成协议并生效，贵方的中标通知书和本投标文件将成为约束双方的合同文件的组成部分。</w:t>
      </w:r>
    </w:p>
    <w:p w14:paraId="09D12F19">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8.如果我方中标，我方将实行项目经理负责制，并按投标文件配备项目管理班子。如未经招标人同意更换项目班子成员，招标人有权取消我公司的中标资格或单方面终止合同，由此造成的违约责任由我公司承担。</w:t>
      </w:r>
    </w:p>
    <w:p w14:paraId="0F602408">
      <w:pPr>
        <w:snapToGrid w:val="0"/>
        <w:spacing w:line="360" w:lineRule="auto"/>
        <w:ind w:firstLine="482" w:firstLineChars="200"/>
        <w:rPr>
          <w:rFonts w:ascii="宋体" w:hAnsi="宋体" w:eastAsia="宋体" w:cs="宋体"/>
          <w:b/>
          <w:bCs/>
          <w:color w:val="auto"/>
          <w:kern w:val="0"/>
          <w:sz w:val="24"/>
          <w:highlight w:val="none"/>
        </w:rPr>
      </w:pPr>
      <w:r>
        <w:rPr>
          <w:rFonts w:ascii="宋体" w:hAnsi="宋体" w:eastAsia="宋体" w:cs="宋体"/>
          <w:b/>
          <w:bCs/>
          <w:color w:val="auto"/>
          <w:sz w:val="24"/>
          <w:highlight w:val="none"/>
        </w:rPr>
        <w:t>9.</w:t>
      </w:r>
      <w:r>
        <w:rPr>
          <w:rFonts w:hint="eastAsia" w:ascii="宋体" w:hAnsi="宋体" w:eastAsia="宋体" w:cs="宋体"/>
          <w:b/>
          <w:bCs/>
          <w:color w:val="auto"/>
          <w:kern w:val="0"/>
          <w:sz w:val="24"/>
          <w:highlight w:val="none"/>
        </w:rPr>
        <w:t>如我方中标</w:t>
      </w:r>
      <w:r>
        <w:rPr>
          <w:rFonts w:ascii="宋体" w:hAnsi="宋体" w:eastAsia="宋体" w:cs="宋体"/>
          <w:b/>
          <w:bCs/>
          <w:color w:val="auto"/>
          <w:kern w:val="0"/>
          <w:sz w:val="24"/>
          <w:highlight w:val="none"/>
        </w:rPr>
        <w:t>,我方承诺：须按《</w:t>
      </w:r>
      <w:r>
        <w:rPr>
          <w:rFonts w:hint="eastAsia" w:ascii="宋体" w:hAnsi="宋体" w:eastAsia="宋体" w:cs="宋体"/>
          <w:b/>
          <w:bCs/>
          <w:color w:val="auto"/>
          <w:kern w:val="0"/>
          <w:sz w:val="24"/>
          <w:highlight w:val="none"/>
        </w:rPr>
        <w:t>广州开发区财政投资建设项目管理中心施工类合同结算编审指引（试行）</w:t>
      </w:r>
      <w:r>
        <w:rPr>
          <w:rFonts w:hint="eastAsia" w:ascii="宋体" w:hAnsi="宋体" w:eastAsia="宋体" w:cs="宋体"/>
          <w:b/>
          <w:bCs/>
          <w:color w:val="auto"/>
          <w:kern w:val="0"/>
          <w:sz w:val="24"/>
          <w:highlight w:val="none"/>
        </w:rPr>
        <w:t>》及广州开发区有关规定编制及办理建设项目工程结算。本公司未按上述规定的期限和内容编制及办理建设项目工程结算，经建设业主或代建单位或监理人书面通知之日起</w:t>
      </w:r>
      <w:r>
        <w:rPr>
          <w:rFonts w:ascii="宋体" w:hAnsi="宋体" w:eastAsia="宋体" w:cs="宋体"/>
          <w:b/>
          <w:bCs/>
          <w:color w:val="auto"/>
          <w:kern w:val="0"/>
          <w:sz w:val="24"/>
          <w:highlight w:val="none"/>
        </w:rPr>
        <w:t>2个月内（最长期限不得超过6个月）仍未提交编制及办理建设项目工程结算的相关文件的，监理人和建设业主有权根据建设业主已有资料进行审核并报财政部门审定，财政部门审定的竣工结算合同总价视同是经我方认可的工程竣工结算合同总价。</w:t>
      </w:r>
    </w:p>
    <w:p w14:paraId="7E29D93E">
      <w:pPr>
        <w:snapToGrid w:val="0"/>
        <w:spacing w:line="360" w:lineRule="auto"/>
        <w:ind w:firstLine="481"/>
        <w:rPr>
          <w:rFonts w:ascii="宋体" w:hAnsi="宋体" w:eastAsia="宋体" w:cs="宋体"/>
          <w:snapToGrid w:val="0"/>
          <w:color w:val="auto"/>
          <w:spacing w:val="4"/>
          <w:kern w:val="0"/>
          <w:sz w:val="24"/>
          <w:highlight w:val="none"/>
        </w:rPr>
      </w:pPr>
    </w:p>
    <w:p w14:paraId="11A59AC9">
      <w:pPr>
        <w:topLinePunct/>
        <w:adjustRightInd w:val="0"/>
        <w:snapToGrid w:val="0"/>
        <w:spacing w:line="360" w:lineRule="auto"/>
        <w:ind w:firstLine="4535" w:firstLineChars="1829"/>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投标人（盖章）：</w:t>
      </w:r>
    </w:p>
    <w:p w14:paraId="366D2915">
      <w:pPr>
        <w:topLinePunct/>
        <w:adjustRightInd w:val="0"/>
        <w:snapToGrid w:val="0"/>
        <w:spacing w:line="360" w:lineRule="auto"/>
        <w:ind w:firstLine="4535" w:firstLineChars="1829"/>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日期：</w:t>
      </w:r>
      <w:r>
        <w:rPr>
          <w:rFonts w:ascii="宋体" w:hAnsi="宋体" w:eastAsia="宋体" w:cs="宋体"/>
          <w:snapToGrid w:val="0"/>
          <w:color w:val="auto"/>
          <w:spacing w:val="4"/>
          <w:kern w:val="0"/>
          <w:sz w:val="24"/>
          <w:highlight w:val="none"/>
        </w:rPr>
        <w:t xml:space="preserve">     </w:t>
      </w:r>
      <w:r>
        <w:rPr>
          <w:rFonts w:hint="eastAsia" w:ascii="宋体" w:hAnsi="宋体" w:eastAsia="宋体" w:cs="宋体"/>
          <w:snapToGrid w:val="0"/>
          <w:color w:val="auto"/>
          <w:spacing w:val="4"/>
          <w:kern w:val="0"/>
          <w:sz w:val="24"/>
          <w:highlight w:val="none"/>
        </w:rPr>
        <w:t>年</w:t>
      </w:r>
      <w:r>
        <w:rPr>
          <w:rFonts w:ascii="宋体" w:hAnsi="宋体" w:eastAsia="宋体" w:cs="宋体"/>
          <w:snapToGrid w:val="0"/>
          <w:color w:val="auto"/>
          <w:spacing w:val="4"/>
          <w:kern w:val="0"/>
          <w:sz w:val="24"/>
          <w:highlight w:val="none"/>
        </w:rPr>
        <w:t xml:space="preserve">   </w:t>
      </w:r>
      <w:r>
        <w:rPr>
          <w:rFonts w:hint="eastAsia" w:ascii="宋体" w:hAnsi="宋体" w:eastAsia="宋体" w:cs="宋体"/>
          <w:snapToGrid w:val="0"/>
          <w:color w:val="auto"/>
          <w:spacing w:val="4"/>
          <w:kern w:val="0"/>
          <w:sz w:val="24"/>
          <w:highlight w:val="none"/>
        </w:rPr>
        <w:t>月</w:t>
      </w:r>
      <w:r>
        <w:rPr>
          <w:rFonts w:ascii="宋体" w:hAnsi="宋体" w:eastAsia="宋体" w:cs="宋体"/>
          <w:snapToGrid w:val="0"/>
          <w:color w:val="auto"/>
          <w:spacing w:val="4"/>
          <w:kern w:val="0"/>
          <w:sz w:val="24"/>
          <w:highlight w:val="none"/>
        </w:rPr>
        <w:t xml:space="preserve">   </w:t>
      </w:r>
      <w:r>
        <w:rPr>
          <w:rFonts w:hint="eastAsia" w:ascii="宋体" w:hAnsi="宋体" w:eastAsia="宋体" w:cs="宋体"/>
          <w:snapToGrid w:val="0"/>
          <w:color w:val="auto"/>
          <w:spacing w:val="4"/>
          <w:kern w:val="0"/>
          <w:sz w:val="24"/>
          <w:highlight w:val="none"/>
        </w:rPr>
        <w:t>日</w:t>
      </w:r>
    </w:p>
    <w:p w14:paraId="069C7F4B">
      <w:pPr>
        <w:topLinePunct/>
        <w:adjustRightInd w:val="0"/>
        <w:snapToGrid w:val="0"/>
        <w:spacing w:line="360" w:lineRule="auto"/>
        <w:ind w:firstLine="691" w:firstLineChars="279"/>
        <w:rPr>
          <w:rFonts w:ascii="宋体" w:hAnsi="宋体" w:eastAsia="宋体" w:cs="宋体"/>
          <w:snapToGrid w:val="0"/>
          <w:color w:val="auto"/>
          <w:spacing w:val="4"/>
          <w:kern w:val="0"/>
          <w:sz w:val="24"/>
          <w:highlight w:val="none"/>
        </w:rPr>
      </w:pPr>
    </w:p>
    <w:p w14:paraId="22233DC4">
      <w:pPr>
        <w:snapToGrid w:val="0"/>
        <w:spacing w:line="360" w:lineRule="auto"/>
        <w:jc w:val="left"/>
        <w:rPr>
          <w:rFonts w:ascii="宋体" w:hAnsi="宋体" w:eastAsia="宋体" w:cs="宋体"/>
          <w:color w:val="auto"/>
          <w:szCs w:val="21"/>
          <w:highlight w:val="none"/>
        </w:rPr>
      </w:pPr>
    </w:p>
    <w:p w14:paraId="5241D785">
      <w:pPr>
        <w:topLinePunct/>
        <w:adjustRightInd w:val="0"/>
        <w:snapToGrid w:val="0"/>
        <w:spacing w:line="360" w:lineRule="auto"/>
        <w:ind w:firstLine="672" w:firstLineChars="279"/>
        <w:rPr>
          <w:rFonts w:ascii="宋体" w:hAnsi="宋体" w:eastAsia="宋体" w:cs="宋体"/>
          <w:b/>
          <w:color w:val="auto"/>
          <w:sz w:val="24"/>
          <w:highlight w:val="none"/>
        </w:rPr>
      </w:pPr>
    </w:p>
    <w:p w14:paraId="4D6AC5B7">
      <w:pPr>
        <w:snapToGrid w:val="0"/>
        <w:spacing w:line="360" w:lineRule="auto"/>
        <w:jc w:val="left"/>
        <w:rPr>
          <w:rFonts w:ascii="宋体" w:hAnsi="宋体" w:eastAsia="宋体" w:cs="宋体"/>
          <w:color w:val="auto"/>
          <w:szCs w:val="21"/>
          <w:highlight w:val="none"/>
        </w:rPr>
      </w:pPr>
      <w:bookmarkStart w:id="43" w:name="_Toc474749524"/>
      <w:bookmarkStart w:id="44" w:name="_Toc478375101"/>
    </w:p>
    <w:p w14:paraId="52D4080D">
      <w:pPr>
        <w:widowControl/>
        <w:snapToGrid w:val="0"/>
        <w:spacing w:line="360" w:lineRule="auto"/>
        <w:ind w:right="102"/>
        <w:jc w:val="left"/>
        <w:rPr>
          <w:rFonts w:ascii="宋体" w:hAnsi="宋体" w:eastAsia="宋体" w:cs="宋体"/>
          <w:bCs/>
          <w:color w:val="auto"/>
          <w:sz w:val="24"/>
          <w:highlight w:val="none"/>
        </w:rPr>
        <w:sectPr>
          <w:headerReference r:id="rId17" w:type="default"/>
          <w:footerReference r:id="rId18" w:type="default"/>
          <w:pgSz w:w="11906" w:h="16838"/>
          <w:pgMar w:top="1440" w:right="1440" w:bottom="1440" w:left="1440" w:header="851" w:footer="992" w:gutter="0"/>
          <w:cols w:space="0" w:num="1"/>
          <w:docGrid w:type="lines" w:linePitch="322" w:charSpace="0"/>
        </w:sectPr>
      </w:pPr>
      <w:r>
        <w:rPr>
          <w:rFonts w:ascii="宋体" w:hAnsi="宋体" w:eastAsia="宋体" w:cs="宋体"/>
          <w:bCs/>
          <w:color w:val="auto"/>
          <w:sz w:val="24"/>
          <w:highlight w:val="none"/>
        </w:rPr>
        <w:br w:type="page"/>
      </w:r>
    </w:p>
    <w:p w14:paraId="2642BFEF">
      <w:pPr>
        <w:widowControl/>
        <w:snapToGrid w:val="0"/>
        <w:spacing w:line="360" w:lineRule="auto"/>
        <w:ind w:right="102"/>
        <w:jc w:val="left"/>
        <w:rPr>
          <w:rFonts w:ascii="宋体" w:hAnsi="宋体" w:eastAsia="宋体" w:cs="宋体"/>
          <w:color w:val="auto"/>
          <w:sz w:val="24"/>
          <w:highlight w:val="none"/>
        </w:rPr>
      </w:pPr>
      <w:r>
        <w:rPr>
          <w:rFonts w:hint="eastAsia" w:ascii="宋体" w:hAnsi="宋体" w:eastAsia="宋体" w:cs="宋体"/>
          <w:color w:val="auto"/>
          <w:sz w:val="24"/>
          <w:highlight w:val="none"/>
        </w:rPr>
        <w:t>技术标格式三</w:t>
      </w:r>
    </w:p>
    <w:p w14:paraId="1B6C3E3C">
      <w:pPr>
        <w:pStyle w:val="2"/>
        <w:rPr>
          <w:rFonts w:ascii="宋体" w:hAnsi="宋体" w:eastAsia="宋体" w:cs="宋体"/>
          <w:color w:val="auto"/>
          <w:sz w:val="24"/>
          <w:highlight w:val="none"/>
        </w:rPr>
      </w:pPr>
    </w:p>
    <w:p w14:paraId="78EF5B22">
      <w:pPr>
        <w:pStyle w:val="81"/>
        <w:spacing w:before="161" w:beforeLines="50" w:after="161" w:afterLines="50" w:line="360" w:lineRule="auto"/>
        <w:jc w:val="center"/>
        <w:rPr>
          <w:b/>
          <w:bCs/>
          <w:color w:val="auto"/>
          <w:sz w:val="36"/>
          <w:szCs w:val="36"/>
          <w:highlight w:val="none"/>
        </w:rPr>
      </w:pPr>
      <w:r>
        <w:rPr>
          <w:rFonts w:hint="eastAsia"/>
          <w:b/>
          <w:bCs/>
          <w:color w:val="auto"/>
          <w:sz w:val="36"/>
          <w:szCs w:val="36"/>
          <w:highlight w:val="none"/>
        </w:rPr>
        <w:t>投标人廉洁承诺书</w:t>
      </w:r>
    </w:p>
    <w:p w14:paraId="3651ABFD">
      <w:pPr>
        <w:pStyle w:val="46"/>
        <w:spacing w:line="360" w:lineRule="auto"/>
        <w:ind w:right="420"/>
        <w:rPr>
          <w:rFonts w:hAnsi="宋体" w:cs="宋体"/>
          <w:color w:val="auto"/>
          <w:szCs w:val="21"/>
          <w:highlight w:val="none"/>
        </w:rPr>
      </w:pPr>
      <w:r>
        <w:rPr>
          <w:rFonts w:hint="eastAsia" w:hAnsi="宋体" w:cs="宋体"/>
          <w:color w:val="auto"/>
          <w:szCs w:val="21"/>
          <w:highlight w:val="none"/>
        </w:rPr>
        <w:t>本招标项目招标人及招标监管机构：</w:t>
      </w:r>
    </w:p>
    <w:p w14:paraId="729D1ECB">
      <w:pPr>
        <w:pStyle w:val="46"/>
        <w:spacing w:line="360" w:lineRule="auto"/>
        <w:ind w:right="26" w:firstLine="420" w:firstLineChars="200"/>
        <w:rPr>
          <w:rFonts w:hAnsi="宋体" w:cs="宋体"/>
          <w:color w:val="auto"/>
          <w:szCs w:val="21"/>
          <w:highlight w:val="none"/>
        </w:rPr>
      </w:pPr>
      <w:r>
        <w:rPr>
          <w:rFonts w:hint="eastAsia" w:hAnsi="宋体" w:cs="宋体"/>
          <w:color w:val="auto"/>
          <w:szCs w:val="21"/>
          <w:highlight w:val="none"/>
        </w:rPr>
        <w:t>本公司参加了</w:t>
      </w:r>
      <w:r>
        <w:rPr>
          <w:rFonts w:hint="eastAsia" w:hAnsi="宋体" w:cs="宋体"/>
          <w:color w:val="auto"/>
          <w:szCs w:val="21"/>
          <w:highlight w:val="none"/>
          <w:u w:val="single"/>
        </w:rPr>
        <w:t xml:space="preserve">   </w:t>
      </w:r>
      <w:bookmarkStart w:id="45" w:name="OLE_LINK218"/>
      <w:bookmarkStart w:id="46" w:name="OLE_LINK217"/>
      <w:r>
        <w:rPr>
          <w:rFonts w:hint="eastAsia" w:hAnsi="宋体" w:cs="宋体"/>
          <w:color w:val="auto"/>
          <w:szCs w:val="21"/>
          <w:highlight w:val="none"/>
          <w:u w:val="single"/>
        </w:rPr>
        <w:t>（项目名称）</w:t>
      </w:r>
      <w:bookmarkEnd w:id="45"/>
      <w:bookmarkEnd w:id="46"/>
      <w:r>
        <w:rPr>
          <w:rFonts w:hint="eastAsia" w:hAnsi="宋体" w:cs="宋体"/>
          <w:color w:val="auto"/>
          <w:szCs w:val="21"/>
          <w:highlight w:val="none"/>
          <w:u w:val="single"/>
        </w:rPr>
        <w:t xml:space="preserve">    </w:t>
      </w:r>
      <w:r>
        <w:rPr>
          <w:rFonts w:hint="eastAsia" w:hAnsi="宋体" w:cs="宋体"/>
          <w:color w:val="auto"/>
          <w:szCs w:val="21"/>
          <w:highlight w:val="none"/>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34CA1C75">
      <w:pPr>
        <w:pStyle w:val="46"/>
        <w:spacing w:line="360" w:lineRule="auto"/>
        <w:ind w:right="26" w:firstLine="420" w:firstLineChars="200"/>
        <w:rPr>
          <w:rFonts w:hAnsi="宋体" w:cs="宋体"/>
          <w:color w:val="auto"/>
          <w:szCs w:val="21"/>
          <w:highlight w:val="none"/>
        </w:rPr>
      </w:pPr>
      <w:r>
        <w:rPr>
          <w:rFonts w:hint="eastAsia" w:hAnsi="宋体" w:cs="宋体"/>
          <w:color w:val="auto"/>
          <w:szCs w:val="21"/>
          <w:highlight w:val="none"/>
        </w:rPr>
        <w:t>一、自觉遵守国家有关法律法规及廉洁规定。</w:t>
      </w:r>
    </w:p>
    <w:p w14:paraId="2BD93D94">
      <w:pPr>
        <w:pStyle w:val="46"/>
        <w:spacing w:line="360" w:lineRule="auto"/>
        <w:ind w:right="26" w:firstLine="420" w:firstLineChars="200"/>
        <w:rPr>
          <w:rFonts w:hAnsi="宋体" w:cs="宋体"/>
          <w:color w:val="auto"/>
          <w:szCs w:val="21"/>
          <w:highlight w:val="none"/>
        </w:rPr>
      </w:pPr>
      <w:r>
        <w:rPr>
          <w:rFonts w:hint="eastAsia" w:hAnsi="宋体" w:cs="宋体"/>
          <w:color w:val="auto"/>
          <w:szCs w:val="21"/>
          <w:highlight w:val="none"/>
        </w:rPr>
        <w:t>二、不与招标单位工作人员串通投标，损害国家利益、企业利益以及他人的合法利益；</w:t>
      </w:r>
    </w:p>
    <w:p w14:paraId="6A358E4E">
      <w:pPr>
        <w:pStyle w:val="46"/>
        <w:spacing w:line="360" w:lineRule="auto"/>
        <w:ind w:right="26" w:firstLine="420" w:firstLineChars="200"/>
        <w:rPr>
          <w:rFonts w:hAnsi="宋体" w:cs="宋体"/>
          <w:color w:val="auto"/>
          <w:szCs w:val="21"/>
          <w:highlight w:val="none"/>
        </w:rPr>
      </w:pPr>
      <w:r>
        <w:rPr>
          <w:rFonts w:hint="eastAsia" w:hAnsi="宋体" w:cs="宋体"/>
          <w:color w:val="auto"/>
          <w:szCs w:val="21"/>
          <w:highlight w:val="none"/>
        </w:rPr>
        <w:t>三、不与其他单位围标、串标，不出让投标资格，不向招标人或评标委员会成员行贿。</w:t>
      </w:r>
    </w:p>
    <w:p w14:paraId="4CE7D415">
      <w:pPr>
        <w:pStyle w:val="46"/>
        <w:spacing w:line="360" w:lineRule="auto"/>
        <w:ind w:right="26" w:firstLine="420" w:firstLineChars="200"/>
        <w:rPr>
          <w:rFonts w:hAnsi="宋体" w:cs="宋体"/>
          <w:color w:val="auto"/>
          <w:szCs w:val="21"/>
          <w:highlight w:val="none"/>
        </w:rPr>
      </w:pPr>
      <w:r>
        <w:rPr>
          <w:rFonts w:hint="eastAsia" w:hAnsi="宋体" w:cs="宋体"/>
          <w:color w:val="auto"/>
          <w:szCs w:val="21"/>
          <w:highlight w:val="none"/>
        </w:rPr>
        <w:t xml:space="preserve">四、不以任何名义向参与招标、评标工作的有关人员提供高消费宴请及娱乐活动和赠送回扣、红包、礼金、购物卡、有价证券、贵重物品和好处费、感谢费等； </w:t>
      </w:r>
    </w:p>
    <w:p w14:paraId="55F9F56D">
      <w:pPr>
        <w:pStyle w:val="46"/>
        <w:spacing w:line="360" w:lineRule="auto"/>
        <w:ind w:right="26" w:firstLine="420" w:firstLineChars="200"/>
        <w:rPr>
          <w:rFonts w:hAnsi="宋体" w:cs="宋体"/>
          <w:color w:val="auto"/>
          <w:szCs w:val="21"/>
          <w:highlight w:val="none"/>
        </w:rPr>
      </w:pPr>
      <w:r>
        <w:rPr>
          <w:rFonts w:hint="eastAsia" w:hAnsi="宋体" w:cs="宋体"/>
          <w:color w:val="auto"/>
          <w:szCs w:val="21"/>
          <w:highlight w:val="none"/>
        </w:rPr>
        <w:t>五、不以任何名义为参与招标、评标工作的有关人员装修住房、婚丧嫁娶、配偶子女的工作安排以及境内外旅游等提供方便；</w:t>
      </w:r>
    </w:p>
    <w:p w14:paraId="28522998">
      <w:pPr>
        <w:pStyle w:val="46"/>
        <w:spacing w:line="360" w:lineRule="auto"/>
        <w:ind w:right="26" w:firstLine="420" w:firstLineChars="200"/>
        <w:rPr>
          <w:rFonts w:hAnsi="宋体" w:cs="宋体"/>
          <w:color w:val="auto"/>
          <w:szCs w:val="21"/>
          <w:highlight w:val="none"/>
        </w:rPr>
      </w:pPr>
      <w:r>
        <w:rPr>
          <w:rFonts w:hint="eastAsia" w:hAnsi="宋体" w:cs="宋体"/>
          <w:color w:val="auto"/>
          <w:szCs w:val="21"/>
          <w:highlight w:val="none"/>
        </w:rPr>
        <w:t>六、不以谋取非正当利益为目的，擅自与参与招标、评标工作的有关人员就业务问题进行私下商谈或者达成利益默契。</w:t>
      </w:r>
    </w:p>
    <w:p w14:paraId="6952CFED">
      <w:pPr>
        <w:pStyle w:val="46"/>
        <w:spacing w:line="360" w:lineRule="auto"/>
        <w:ind w:right="26" w:firstLine="420" w:firstLineChars="200"/>
        <w:rPr>
          <w:rFonts w:hAnsi="宋体" w:cs="宋体"/>
          <w:color w:val="auto"/>
          <w:szCs w:val="21"/>
          <w:highlight w:val="none"/>
        </w:rPr>
      </w:pPr>
      <w:r>
        <w:rPr>
          <w:rFonts w:hint="eastAsia" w:hAnsi="宋体" w:cs="宋体"/>
          <w:color w:val="auto"/>
          <w:szCs w:val="21"/>
          <w:highlight w:val="none"/>
        </w:rPr>
        <w:t>本公司违反上述承诺，或本承诺陈述与事实不符，经查实，本公司愿意接受公开通报，被招标监管部门信用评价记录不良行为并扣分，并承担由此带来的法律后果。</w:t>
      </w:r>
    </w:p>
    <w:p w14:paraId="0F2FD11E">
      <w:pPr>
        <w:rPr>
          <w:rFonts w:hAnsi="宋体" w:cs="宋体"/>
          <w:color w:val="auto"/>
          <w:szCs w:val="21"/>
          <w:highlight w:val="none"/>
        </w:rPr>
      </w:pPr>
    </w:p>
    <w:p w14:paraId="62A3CDC9">
      <w:pPr>
        <w:pStyle w:val="22"/>
        <w:rPr>
          <w:rFonts w:hAnsi="宋体" w:cs="宋体"/>
          <w:color w:val="auto"/>
          <w:szCs w:val="21"/>
          <w:highlight w:val="none"/>
        </w:rPr>
      </w:pPr>
    </w:p>
    <w:p w14:paraId="14E41665">
      <w:pPr>
        <w:jc w:val="right"/>
        <w:rPr>
          <w:rFonts w:hAnsi="宋体" w:cs="宋体"/>
          <w:color w:val="auto"/>
          <w:szCs w:val="21"/>
          <w:highlight w:val="none"/>
        </w:rPr>
      </w:pPr>
      <w:r>
        <w:rPr>
          <w:rFonts w:hint="eastAsia" w:hAnsi="宋体" w:cs="宋体"/>
          <w:color w:val="auto"/>
          <w:szCs w:val="21"/>
          <w:highlight w:val="none"/>
        </w:rPr>
        <w:t>承诺企业：</w:t>
      </w:r>
      <w:r>
        <w:rPr>
          <w:rFonts w:hint="eastAsia" w:hAnsi="宋体" w:cs="宋体"/>
          <w:color w:val="auto"/>
          <w:szCs w:val="21"/>
          <w:highlight w:val="none"/>
          <w:u w:val="single"/>
        </w:rPr>
        <w:t xml:space="preserve">                </w:t>
      </w:r>
      <w:r>
        <w:rPr>
          <w:rFonts w:hint="eastAsia" w:hAnsi="宋体" w:cs="宋体"/>
          <w:color w:val="auto"/>
          <w:szCs w:val="21"/>
          <w:highlight w:val="none"/>
        </w:rPr>
        <w:t>（盖单位章）</w:t>
      </w:r>
    </w:p>
    <w:p w14:paraId="77B54E96">
      <w:pPr>
        <w:topLinePunct/>
        <w:adjustRightInd w:val="0"/>
        <w:spacing w:line="360" w:lineRule="auto"/>
        <w:jc w:val="right"/>
        <w:rPr>
          <w:rFonts w:hAnsi="宋体" w:eastAsia="宋体" w:cs="宋体"/>
          <w:color w:val="auto"/>
          <w:szCs w:val="21"/>
          <w:highlight w:val="none"/>
        </w:rPr>
      </w:pPr>
      <w:r>
        <w:rPr>
          <w:rFonts w:hint="eastAsia" w:hAnsi="宋体" w:eastAsia="宋体" w:cs="宋体"/>
          <w:color w:val="auto"/>
          <w:szCs w:val="21"/>
          <w:highlight w:val="none"/>
        </w:rPr>
        <w:t>法定代表人：</w:t>
      </w:r>
      <w:r>
        <w:rPr>
          <w:rFonts w:hint="eastAsia" w:hAnsi="宋体" w:eastAsia="宋体" w:cs="宋体"/>
          <w:color w:val="auto"/>
          <w:szCs w:val="21"/>
          <w:highlight w:val="none"/>
          <w:u w:val="single"/>
        </w:rPr>
        <w:t xml:space="preserve">              </w:t>
      </w:r>
      <w:r>
        <w:rPr>
          <w:rFonts w:hint="eastAsia" w:hAnsi="宋体" w:eastAsia="宋体" w:cs="宋体"/>
          <w:color w:val="auto"/>
          <w:szCs w:val="21"/>
          <w:highlight w:val="none"/>
        </w:rPr>
        <w:t>（签字或盖章）</w:t>
      </w:r>
    </w:p>
    <w:p w14:paraId="21585998">
      <w:pPr>
        <w:pStyle w:val="4"/>
        <w:rPr>
          <w:color w:val="auto"/>
          <w:highlight w:val="none"/>
        </w:rPr>
      </w:pPr>
    </w:p>
    <w:p w14:paraId="0F2B5856">
      <w:pPr>
        <w:pStyle w:val="4"/>
        <w:rPr>
          <w:color w:val="auto"/>
          <w:highlight w:val="none"/>
        </w:rPr>
        <w:sectPr>
          <w:pgSz w:w="11906" w:h="16838"/>
          <w:pgMar w:top="1440" w:right="1440" w:bottom="1440" w:left="1440" w:header="851" w:footer="992" w:gutter="0"/>
          <w:cols w:space="0" w:num="1"/>
          <w:docGrid w:type="lines" w:linePitch="322" w:charSpace="0"/>
        </w:sectPr>
      </w:pPr>
    </w:p>
    <w:p w14:paraId="3AF8CA1E">
      <w:pPr>
        <w:widowControl/>
        <w:snapToGrid w:val="0"/>
        <w:spacing w:line="360" w:lineRule="auto"/>
        <w:ind w:right="102"/>
        <w:jc w:val="left"/>
        <w:rPr>
          <w:rFonts w:ascii="宋体" w:hAnsi="宋体" w:eastAsia="宋体" w:cs="宋体"/>
          <w:color w:val="auto"/>
          <w:sz w:val="24"/>
          <w:highlight w:val="none"/>
        </w:rPr>
      </w:pPr>
      <w:r>
        <w:rPr>
          <w:rFonts w:hint="eastAsia" w:ascii="宋体" w:hAnsi="宋体" w:eastAsia="宋体" w:cs="宋体"/>
          <w:color w:val="auto"/>
          <w:sz w:val="24"/>
          <w:highlight w:val="none"/>
        </w:rPr>
        <w:t>技术标格式四</w:t>
      </w:r>
    </w:p>
    <w:p w14:paraId="25718078">
      <w:pPr>
        <w:rPr>
          <w:rFonts w:ascii="宋体" w:hAnsi="宋体" w:eastAsia="宋体" w:cs="宋体"/>
          <w:color w:val="auto"/>
          <w:sz w:val="24"/>
          <w:highlight w:val="none"/>
        </w:rPr>
      </w:pPr>
      <w:bookmarkStart w:id="47" w:name="_Toc13235"/>
      <w:bookmarkStart w:id="48" w:name="_Toc4573"/>
    </w:p>
    <w:bookmarkEnd w:id="43"/>
    <w:bookmarkEnd w:id="44"/>
    <w:bookmarkEnd w:id="47"/>
    <w:bookmarkEnd w:id="48"/>
    <w:p w14:paraId="3189B1D1">
      <w:pPr>
        <w:topLinePunct/>
        <w:adjustRightInd w:val="0"/>
        <w:snapToGrid w:val="0"/>
        <w:spacing w:line="360" w:lineRule="auto"/>
        <w:jc w:val="center"/>
        <w:rPr>
          <w:rFonts w:ascii="宋体" w:hAnsi="宋体" w:eastAsia="宋体" w:cs="宋体"/>
          <w:b/>
          <w:color w:val="auto"/>
          <w:spacing w:val="4"/>
          <w:kern w:val="0"/>
          <w:sz w:val="36"/>
          <w:szCs w:val="36"/>
          <w:highlight w:val="none"/>
        </w:rPr>
      </w:pPr>
      <w:r>
        <w:rPr>
          <w:rFonts w:hint="eastAsia" w:ascii="宋体" w:hAnsi="宋体" w:eastAsia="宋体" w:cs="宋体"/>
          <w:b/>
          <w:color w:val="auto"/>
          <w:spacing w:val="4"/>
          <w:kern w:val="0"/>
          <w:sz w:val="36"/>
          <w:szCs w:val="36"/>
          <w:highlight w:val="none"/>
        </w:rPr>
        <w:t>标函承诺书</w:t>
      </w:r>
    </w:p>
    <w:p w14:paraId="696526F0">
      <w:pPr>
        <w:pStyle w:val="245"/>
        <w:snapToGrid w:val="0"/>
        <w:spacing w:after="0" w:line="360" w:lineRule="auto"/>
        <w:ind w:left="339" w:leftChars="101" w:hanging="127" w:hangingChars="53"/>
        <w:jc w:val="left"/>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致：广州开发区财政投资建设项目管理中心</w:t>
      </w:r>
    </w:p>
    <w:p w14:paraId="73FCF8E2">
      <w:pPr>
        <w:snapToGrid w:val="0"/>
        <w:spacing w:line="360" w:lineRule="auto"/>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如果在本招标工程中我司中标，我司将积极响应贵单位提出的合同条件及招标文件的要求，并做出如下承诺：</w:t>
      </w:r>
    </w:p>
    <w:p w14:paraId="6545CAD4">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1、若我公司中标，我公司承诺按时交纳履约保证金。</w:t>
      </w:r>
    </w:p>
    <w:p w14:paraId="670360E5">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2、在本工程施工期间，拟投入的人力不少于下表中的人数</w:t>
      </w:r>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0"/>
        <w:gridCol w:w="3783"/>
      </w:tblGrid>
      <w:tr w14:paraId="49A5E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492D7EBC">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3783" w:type="dxa"/>
            <w:tcBorders>
              <w:top w:val="single" w:color="auto" w:sz="4" w:space="0"/>
              <w:left w:val="single" w:color="auto" w:sz="4" w:space="0"/>
              <w:bottom w:val="single" w:color="auto" w:sz="4" w:space="0"/>
              <w:right w:val="single" w:color="auto" w:sz="4" w:space="0"/>
            </w:tcBorders>
            <w:noWrap/>
            <w:vAlign w:val="center"/>
          </w:tcPr>
          <w:p w14:paraId="2F527D68">
            <w:pPr>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rPr>
              <w:t>施工低峰期数量</w:t>
            </w:r>
          </w:p>
        </w:tc>
      </w:tr>
      <w:tr w14:paraId="4C946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26212EA7">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40B57B2D">
            <w:pPr>
              <w:snapToGrid w:val="0"/>
              <w:jc w:val="center"/>
              <w:rPr>
                <w:rFonts w:ascii="宋体" w:hAnsi="宋体" w:eastAsia="宋体" w:cs="宋体"/>
                <w:color w:val="auto"/>
                <w:szCs w:val="21"/>
                <w:highlight w:val="none"/>
              </w:rPr>
            </w:pPr>
          </w:p>
        </w:tc>
      </w:tr>
      <w:tr w14:paraId="3DE53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0EE4C4C7">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2F4C7183">
            <w:pPr>
              <w:snapToGrid w:val="0"/>
              <w:jc w:val="center"/>
              <w:rPr>
                <w:rFonts w:ascii="宋体" w:hAnsi="宋体" w:eastAsia="宋体" w:cs="宋体"/>
                <w:color w:val="auto"/>
                <w:szCs w:val="21"/>
                <w:highlight w:val="none"/>
              </w:rPr>
            </w:pPr>
          </w:p>
        </w:tc>
      </w:tr>
      <w:tr w14:paraId="4275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05DF208E">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4A27D199">
            <w:pPr>
              <w:snapToGrid w:val="0"/>
              <w:jc w:val="center"/>
              <w:rPr>
                <w:rFonts w:ascii="宋体" w:hAnsi="宋体" w:eastAsia="宋体" w:cs="宋体"/>
                <w:color w:val="auto"/>
                <w:szCs w:val="21"/>
                <w:highlight w:val="none"/>
              </w:rPr>
            </w:pPr>
          </w:p>
        </w:tc>
      </w:tr>
      <w:tr w14:paraId="7AB7B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5A3DF84F">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7DB50584">
            <w:pPr>
              <w:snapToGrid w:val="0"/>
              <w:jc w:val="center"/>
              <w:rPr>
                <w:rFonts w:ascii="宋体" w:hAnsi="宋体" w:eastAsia="宋体" w:cs="宋体"/>
                <w:color w:val="auto"/>
                <w:szCs w:val="21"/>
                <w:highlight w:val="none"/>
              </w:rPr>
            </w:pPr>
          </w:p>
        </w:tc>
      </w:tr>
      <w:tr w14:paraId="0757E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1EC70B97">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3579365A">
            <w:pPr>
              <w:snapToGrid w:val="0"/>
              <w:jc w:val="center"/>
              <w:rPr>
                <w:rFonts w:ascii="宋体" w:hAnsi="宋体" w:eastAsia="宋体" w:cs="宋体"/>
                <w:color w:val="auto"/>
                <w:szCs w:val="21"/>
                <w:highlight w:val="none"/>
              </w:rPr>
            </w:pPr>
          </w:p>
        </w:tc>
      </w:tr>
      <w:tr w14:paraId="57938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696315A6">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4AD15AB5">
            <w:pPr>
              <w:snapToGrid w:val="0"/>
              <w:jc w:val="center"/>
              <w:rPr>
                <w:rFonts w:ascii="宋体" w:hAnsi="宋体" w:eastAsia="宋体" w:cs="宋体"/>
                <w:color w:val="auto"/>
                <w:szCs w:val="21"/>
                <w:highlight w:val="none"/>
              </w:rPr>
            </w:pPr>
          </w:p>
        </w:tc>
      </w:tr>
      <w:tr w14:paraId="61F6F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75B6B46F">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00147738">
            <w:pPr>
              <w:snapToGrid w:val="0"/>
              <w:jc w:val="center"/>
              <w:rPr>
                <w:rFonts w:ascii="宋体" w:hAnsi="宋体" w:eastAsia="宋体" w:cs="宋体"/>
                <w:color w:val="auto"/>
                <w:szCs w:val="21"/>
                <w:highlight w:val="none"/>
              </w:rPr>
            </w:pPr>
          </w:p>
        </w:tc>
      </w:tr>
      <w:tr w14:paraId="5A42E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3360" w:type="dxa"/>
            <w:tcBorders>
              <w:top w:val="single" w:color="auto" w:sz="4" w:space="0"/>
              <w:left w:val="single" w:color="auto" w:sz="4" w:space="0"/>
              <w:bottom w:val="single" w:color="auto" w:sz="4" w:space="0"/>
              <w:right w:val="single" w:color="auto" w:sz="4" w:space="0"/>
            </w:tcBorders>
            <w:noWrap/>
            <w:vAlign w:val="center"/>
          </w:tcPr>
          <w:p w14:paraId="1380612A">
            <w:pPr>
              <w:snapToGrid w:val="0"/>
              <w:jc w:val="center"/>
              <w:rPr>
                <w:rFonts w:ascii="宋体" w:hAnsi="宋体" w:eastAsia="宋体" w:cs="宋体"/>
                <w:color w:val="auto"/>
                <w:szCs w:val="21"/>
                <w:highlight w:val="none"/>
              </w:rPr>
            </w:pPr>
          </w:p>
        </w:tc>
        <w:tc>
          <w:tcPr>
            <w:tcW w:w="3783" w:type="dxa"/>
            <w:tcBorders>
              <w:top w:val="single" w:color="auto" w:sz="4" w:space="0"/>
              <w:left w:val="single" w:color="auto" w:sz="4" w:space="0"/>
              <w:bottom w:val="single" w:color="auto" w:sz="4" w:space="0"/>
              <w:right w:val="single" w:color="auto" w:sz="4" w:space="0"/>
            </w:tcBorders>
            <w:noWrap/>
            <w:vAlign w:val="center"/>
          </w:tcPr>
          <w:p w14:paraId="1CF0AD11">
            <w:pPr>
              <w:snapToGrid w:val="0"/>
              <w:jc w:val="center"/>
              <w:rPr>
                <w:rFonts w:ascii="宋体" w:hAnsi="宋体" w:eastAsia="宋体" w:cs="宋体"/>
                <w:color w:val="auto"/>
                <w:szCs w:val="21"/>
                <w:highlight w:val="none"/>
              </w:rPr>
            </w:pPr>
          </w:p>
        </w:tc>
      </w:tr>
    </w:tbl>
    <w:p w14:paraId="79EA0069">
      <w:pPr>
        <w:snapToGrid w:val="0"/>
        <w:ind w:firstLine="480" w:firstLineChars="200"/>
        <w:jc w:val="center"/>
        <w:rPr>
          <w:rFonts w:ascii="宋体" w:hAnsi="宋体" w:eastAsia="宋体" w:cs="宋体"/>
          <w:color w:val="auto"/>
          <w:sz w:val="24"/>
          <w:highlight w:val="none"/>
        </w:rPr>
      </w:pPr>
      <w:r>
        <w:rPr>
          <w:rFonts w:hint="eastAsia" w:ascii="宋体" w:hAnsi="宋体" w:eastAsia="宋体" w:cs="宋体"/>
          <w:color w:val="auto"/>
          <w:sz w:val="24"/>
          <w:highlight w:val="none"/>
        </w:rPr>
        <w:t>注：工种不含投标文件所附的《投入主要人员汇总表》所填岗位。</w:t>
      </w:r>
    </w:p>
    <w:p w14:paraId="3D20CD7A">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3、在工程施工期间，拟投入的主要机械设备按投标文件所附的《拟投入本工程施工的主要机械设备配备表》。</w:t>
      </w:r>
    </w:p>
    <w:p w14:paraId="72FF1A6B">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4、所选用的主要材料品牌符合招标文件的要求。</w:t>
      </w:r>
    </w:p>
    <w:p w14:paraId="250F6F8B">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5、拟投入到本工程的主要技术人员、经济和管理人员按投标文件所附的《施工项目管理团队人员信息表》。中标后，拟投入到本工程安全员人数不得低于住建部相关文件的最低要求。</w:t>
      </w:r>
    </w:p>
    <w:p w14:paraId="518B2B8C">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6、我公司保证拟派项目负责人符合《广州市住房和城乡建设局关于加强建筑工程项目负责人管理的通知》（穗建规字〔2020〕32号）文的要求，并将严格按照招标文件要求，自签订合同之日起至工程竣工验收将常驻现场，严格按照有关工程项目管理的要求进行项目管理，如果不能够按照此要求实施，我方自愿接受贵中心的处罚措施。</w:t>
      </w:r>
    </w:p>
    <w:p w14:paraId="1F6ADFC0">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7、本工程施工过程中，我司将严格按照国家、省、市有关施工及验收规范、标准进行施工，</w:t>
      </w:r>
      <w:r>
        <w:rPr>
          <w:rFonts w:hint="eastAsia" w:ascii="宋体" w:hAnsi="宋体" w:eastAsia="宋体" w:cs="宋体"/>
          <w:color w:val="auto"/>
          <w:sz w:val="24"/>
          <w:highlight w:val="none"/>
        </w:rPr>
        <w:t>确保本工程质量标准达到在投标文件所附《广州建设工程施工招标投标书（技术标）》中承诺的工程质量标准要求</w:t>
      </w:r>
      <w:r>
        <w:rPr>
          <w:rFonts w:ascii="宋体" w:hAnsi="宋体" w:eastAsia="宋体" w:cs="宋体"/>
          <w:color w:val="auto"/>
          <w:sz w:val="24"/>
          <w:highlight w:val="none"/>
        </w:rPr>
        <w:t>。</w:t>
      </w:r>
    </w:p>
    <w:p w14:paraId="2B25742B">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8、在确保工程质量的前提下，我司严格控制工程工期，</w:t>
      </w:r>
      <w:r>
        <w:rPr>
          <w:rFonts w:hint="eastAsia" w:ascii="宋体" w:hAnsi="宋体" w:eastAsia="宋体" w:cs="宋体"/>
          <w:color w:val="auto"/>
          <w:sz w:val="24"/>
          <w:highlight w:val="none"/>
        </w:rPr>
        <w:t>确保本工程在投标文件所附《广州建设工程施工招标投标书（技术标）》中承诺的投标总工期内完成并移交。</w:t>
      </w:r>
    </w:p>
    <w:p w14:paraId="7DA2F183">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9、严格按照国家、省、市有关安全生产、文明施工要求，积极制定安全生产、文明施工措施，并严格执行，确保施工中符合安全生产、文明施工要求。在施工过程中,若发生重大伤亡事故，我方自愿接受贵中心的经济处罚：如发生死亡事故，死亡1人，支付20万元违约金；死亡2人，支付40万元违约金；死亡3人或以上，支付80万元违约金；如发生重伤事故，重伤1人，支付10万元违约金；重伤2人，支付20万元违约金；重伤3人或以上，支付40万元违约金。以上款项从工程款中扣除，扣除的款项均上缴国库。</w:t>
      </w:r>
    </w:p>
    <w:p w14:paraId="173495CB">
      <w:pPr>
        <w:snapToGrid w:val="0"/>
        <w:spacing w:line="360" w:lineRule="auto"/>
        <w:ind w:firstLine="480" w:firstLineChars="200"/>
        <w:jc w:val="left"/>
        <w:rPr>
          <w:rFonts w:ascii="宋体" w:hAnsi="宋体" w:eastAsia="宋体" w:cs="宋体"/>
          <w:color w:val="auto"/>
          <w:sz w:val="24"/>
          <w:highlight w:val="none"/>
        </w:rPr>
      </w:pPr>
      <w:r>
        <w:rPr>
          <w:rFonts w:ascii="宋体" w:hAnsi="宋体" w:eastAsia="宋体" w:cs="宋体"/>
          <w:color w:val="auto"/>
          <w:sz w:val="24"/>
          <w:highlight w:val="none"/>
        </w:rPr>
        <w:t>10、按照发包人、监理工程师的要求及时为各专业工程（电信、电力管线、电力走廊、煤气、道路绿化、路灯、交通设施等）提供工作面，并为专业工程穿插施工所需各项配合工作给予方便。</w:t>
      </w:r>
    </w:p>
    <w:p w14:paraId="2C231073">
      <w:pPr>
        <w:snapToGrid w:val="0"/>
        <w:spacing w:line="360" w:lineRule="auto"/>
        <w:ind w:firstLine="566" w:firstLineChars="236"/>
        <w:rPr>
          <w:rFonts w:ascii="宋体" w:hAnsi="宋体" w:eastAsia="宋体" w:cs="宋体"/>
          <w:color w:val="auto"/>
          <w:sz w:val="24"/>
          <w:highlight w:val="none"/>
        </w:rPr>
      </w:pPr>
      <w:r>
        <w:rPr>
          <w:rFonts w:ascii="宋体" w:hAnsi="宋体" w:eastAsia="宋体" w:cs="宋体"/>
          <w:color w:val="auto"/>
          <w:sz w:val="24"/>
          <w:highlight w:val="none"/>
        </w:rPr>
        <w:t>11、</w:t>
      </w:r>
      <w:r>
        <w:rPr>
          <w:rFonts w:hint="eastAsia" w:ascii="宋体" w:hAnsi="宋体" w:eastAsia="宋体" w:cs="宋体"/>
          <w:color w:val="auto"/>
          <w:sz w:val="24"/>
          <w:highlight w:val="none"/>
        </w:rPr>
        <w:t>我司承诺按照按有关规定、招标文件要求及合同约定，依法依规实施工程分包。</w:t>
      </w:r>
    </w:p>
    <w:p w14:paraId="7B70A74E">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12、我司保证在中标后，严格按照《广州市住房和城乡建设委员会关于印发</w:t>
      </w:r>
      <w:r>
        <w:rPr>
          <w:rFonts w:hint="eastAsia" w:ascii="宋体" w:hAnsi="宋体" w:eastAsia="宋体" w:cs="宋体"/>
          <w:color w:val="auto"/>
          <w:sz w:val="24"/>
          <w:highlight w:val="none"/>
        </w:rPr>
        <w:t>＜广州市建筑施工实名制管理办法＞的通知》（穗建规字</w:t>
      </w:r>
      <w:r>
        <w:rPr>
          <w:rFonts w:ascii="宋体" w:hAnsi="宋体" w:eastAsia="宋体" w:cs="宋体"/>
          <w:color w:val="auto"/>
          <w:sz w:val="24"/>
          <w:highlight w:val="none"/>
        </w:rPr>
        <w:t>[2020]18号）、《关于印发广州市建设领域工人工资支付分帐管理实施细则的通知》（穗建规字[2020]37号）等最新规定及广州市黄埔区、开发区对应出台的相关文件规定办理建筑工地实名制管理和工人工资支付分帐管理事宜；加强对我司承包范围（含其专业分包、劳务分包范围）工人工资支付的管理，并对我司及其分包单位工人工资支付负总责，防止出现拖欠工人工资情况。若因违法转包、分包工程的或其他承包人原因导致相应工程出现拖欠工人工资情况的，我司将对拖欠工人工资承担清偿责任，对此引起的纠纷负全责，造成发包人损失（包括但不限于发包人因此而支付的赔偿款、律师费、诉讼费、保全费、公证费、鉴定费等）的，我司将承担全部责任。</w:t>
      </w:r>
    </w:p>
    <w:p w14:paraId="6F38ABC9">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13、我司保证在中标后，根据工程特点，编制本工程详细的施工组织设计和施工方案，并报监理和发包人审核批准，并严格按审批的意见和要求组织施工。</w:t>
      </w:r>
    </w:p>
    <w:p w14:paraId="58C48D5B">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14、我司承诺积极响应并接受招标文件中合同专用专款关于合同价款的调整办法。</w:t>
      </w:r>
    </w:p>
    <w:p w14:paraId="3A18EA35">
      <w:pPr>
        <w:snapToGrid w:val="0"/>
        <w:spacing w:line="360" w:lineRule="auto"/>
        <w:ind w:firstLine="480" w:firstLineChars="200"/>
        <w:rPr>
          <w:rFonts w:ascii="宋体" w:hAnsi="宋体" w:eastAsia="宋体" w:cs="宋体"/>
          <w:snapToGrid w:val="0"/>
          <w:color w:val="auto"/>
          <w:kern w:val="0"/>
          <w:sz w:val="24"/>
          <w:highlight w:val="none"/>
        </w:rPr>
      </w:pPr>
      <w:r>
        <w:rPr>
          <w:rFonts w:ascii="宋体" w:hAnsi="宋体" w:eastAsia="宋体" w:cs="宋体"/>
          <w:color w:val="auto"/>
          <w:sz w:val="24"/>
          <w:highlight w:val="none"/>
        </w:rPr>
        <w:t>15、我司保证在中标后，施工现场严格按照《广州市建设工程文明施工管理规定》（广州市人民政府令62号）、《广州市建设工程现场文明施工管理办法》（穗建质〔2008〕937号）、《关于进一步加强我区建设工地文明施工管理的通知》（穗开规建〔2006〕74号）、《广州市住房和城乡建设委员会关于印发建设工程扬尘防治“6个100%”管理标准细化措施的通知》（穗建质〔2018〕1394号）及其他相关规定实施，施工围蔽严格按照《关于进一步规范建设工程施工现场围蔽的通知》（穗建质[2008]1008号）、《广州市建设工程绿色施工围蔽指导图集（V2.0版）》(穗建质〔2020〕1号）、</w:t>
      </w:r>
      <w:r>
        <w:rPr>
          <w:rFonts w:hint="eastAsia" w:ascii="宋体" w:hAnsi="宋体" w:eastAsia="宋体" w:cs="宋体"/>
          <w:color w:val="auto"/>
          <w:sz w:val="24"/>
          <w:highlight w:val="none"/>
        </w:rPr>
        <w:t>《危险性较大的分部分项工程安全管理规定》</w:t>
      </w:r>
      <w:r>
        <w:rPr>
          <w:rFonts w:ascii="宋体" w:hAnsi="宋体" w:eastAsia="宋体" w:cs="宋体"/>
          <w:color w:val="auto"/>
          <w:sz w:val="24"/>
          <w:highlight w:val="none"/>
        </w:rPr>
        <w:t>(中华人民共和国住房和城乡建设部令第47号)、</w:t>
      </w:r>
      <w:r>
        <w:rPr>
          <w:rFonts w:ascii="宋体" w:hAnsi="宋体" w:eastAsia="宋体" w:cs="宋体"/>
          <w:color w:val="auto"/>
          <w:sz w:val="24"/>
          <w:highlight w:val="none"/>
        </w:rPr>
        <w:t xml:space="preserve">《关于进一步落实我区市政建设项目施工围蔽提升工作的通知》（穗埔建[2019]123号）及《黄埔区住房和城乡建设局 </w:t>
      </w:r>
      <w:r>
        <w:rPr>
          <w:rFonts w:hint="eastAsia" w:ascii="宋体" w:hAnsi="宋体" w:eastAsia="宋体" w:cs="宋体"/>
          <w:color w:val="auto"/>
          <w:sz w:val="24"/>
          <w:highlight w:val="none"/>
        </w:rPr>
        <w:t>广州开发区建设和交通局关于进一步规范全区建设工程施工围蔽标准的通知》（穗埔建﹝</w:t>
      </w:r>
      <w:r>
        <w:rPr>
          <w:rFonts w:ascii="宋体" w:hAnsi="宋体" w:eastAsia="宋体" w:cs="宋体"/>
          <w:color w:val="auto"/>
          <w:sz w:val="24"/>
          <w:highlight w:val="none"/>
        </w:rPr>
        <w:t>2020﹞183号）的相关文件要求的标准实施。以上文件要求不一致的，以后发布文件为准，若相关部门发布有关施工现场管理及施工围蔽新规定的，按新规定执行。我司随时接受监理、业主、安监机构等相关部门监督和检查，对在检查中发现不符合安全文明施工要求的，无条件进行整改。如不及时按要求整改，发包人有权不支付安全文明施工措施费，或另行委托单位实施，所发生的费用在本工程施工措施费中扣除，如不足抵扣可在本工程承包工程款中扣除，同时我司接受发包人根据实际情况对我司作出的其他处罚措施。发包人可将情况上报建设行政主管部门，视情况追究我司有关责任，可对我司或项目责任人作不良行为记录</w:t>
      </w:r>
      <w:r>
        <w:rPr>
          <w:rFonts w:hint="eastAsia" w:ascii="宋体" w:hAnsi="宋体" w:eastAsia="宋体" w:cs="宋体"/>
          <w:snapToGrid w:val="0"/>
          <w:color w:val="auto"/>
          <w:kern w:val="0"/>
          <w:sz w:val="24"/>
          <w:highlight w:val="none"/>
        </w:rPr>
        <w:t>。</w:t>
      </w:r>
    </w:p>
    <w:p w14:paraId="196A7682">
      <w:pPr>
        <w:snapToGrid w:val="0"/>
        <w:spacing w:line="360" w:lineRule="auto"/>
        <w:ind w:left="318"/>
        <w:rPr>
          <w:rFonts w:ascii="宋体" w:hAnsi="宋体" w:eastAsia="宋体" w:cs="宋体"/>
          <w:color w:val="auto"/>
          <w:sz w:val="24"/>
          <w:highlight w:val="none"/>
          <w:u w:val="single"/>
        </w:rPr>
      </w:pPr>
    </w:p>
    <w:p w14:paraId="4A72D6DC">
      <w:pPr>
        <w:snapToGrid w:val="0"/>
        <w:spacing w:line="360" w:lineRule="auto"/>
        <w:ind w:left="420" w:leftChars="200" w:firstLine="4384" w:firstLineChars="1827"/>
        <w:jc w:val="left"/>
        <w:rPr>
          <w:rFonts w:ascii="宋体" w:hAnsi="宋体" w:eastAsia="宋体" w:cs="宋体"/>
          <w:color w:val="auto"/>
          <w:sz w:val="24"/>
          <w:highlight w:val="none"/>
        </w:rPr>
      </w:pPr>
      <w:r>
        <w:rPr>
          <w:rFonts w:hint="eastAsia" w:ascii="宋体" w:hAnsi="宋体" w:eastAsia="宋体" w:cs="宋体"/>
          <w:color w:val="auto"/>
          <w:sz w:val="24"/>
          <w:highlight w:val="none"/>
        </w:rPr>
        <w:t>投标单位：（盖章）</w:t>
      </w:r>
    </w:p>
    <w:p w14:paraId="472A855A">
      <w:pPr>
        <w:snapToGrid w:val="0"/>
        <w:spacing w:line="360" w:lineRule="auto"/>
        <w:ind w:left="420" w:leftChars="200" w:right="560" w:firstLine="5040" w:firstLineChars="2100"/>
        <w:rPr>
          <w:rFonts w:ascii="宋体" w:hAnsi="宋体" w:eastAsia="宋体" w:cs="宋体"/>
          <w:color w:val="auto"/>
          <w:sz w:val="24"/>
          <w:highlight w:val="none"/>
        </w:rPr>
      </w:pPr>
      <w:r>
        <w:rPr>
          <w:rFonts w:hint="eastAsia" w:ascii="宋体" w:hAnsi="宋体" w:eastAsia="宋体" w:cs="宋体"/>
          <w:color w:val="auto"/>
          <w:sz w:val="24"/>
          <w:highlight w:val="none"/>
        </w:rPr>
        <w:t>年</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月</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日</w:t>
      </w:r>
    </w:p>
    <w:p w14:paraId="399844E7">
      <w:pPr>
        <w:snapToGrid w:val="0"/>
        <w:spacing w:line="360" w:lineRule="auto"/>
        <w:ind w:left="420" w:leftChars="200"/>
        <w:jc w:val="left"/>
        <w:rPr>
          <w:rFonts w:ascii="宋体" w:hAnsi="宋体" w:eastAsia="宋体" w:cs="宋体"/>
          <w:color w:val="auto"/>
          <w:sz w:val="24"/>
          <w:highlight w:val="none"/>
          <w:u w:val="single"/>
        </w:rPr>
      </w:pPr>
    </w:p>
    <w:p w14:paraId="139C1371">
      <w:pPr>
        <w:snapToGrid w:val="0"/>
        <w:spacing w:line="360" w:lineRule="auto"/>
        <w:ind w:left="-2" w:leftChars="-1"/>
        <w:jc w:val="left"/>
        <w:rPr>
          <w:rFonts w:ascii="宋体" w:hAnsi="宋体" w:eastAsia="宋体" w:cs="宋体"/>
          <w:color w:val="auto"/>
          <w:szCs w:val="21"/>
          <w:highlight w:val="none"/>
        </w:rPr>
      </w:pPr>
      <w:r>
        <w:rPr>
          <w:rFonts w:hint="eastAsia" w:ascii="宋体" w:hAnsi="宋体" w:eastAsia="宋体" w:cs="宋体"/>
          <w:color w:val="auto"/>
          <w:szCs w:val="21"/>
          <w:highlight w:val="none"/>
        </w:rPr>
        <w:t>注：投标人应如实填写《标函承诺书》。中标后，工程的监理单位将经常核验投标人是否按填报内容实施，行政管理机构也将随时抽查。</w:t>
      </w:r>
    </w:p>
    <w:p w14:paraId="7B03D227">
      <w:pPr>
        <w:snapToGrid w:val="0"/>
        <w:spacing w:line="360" w:lineRule="auto"/>
        <w:ind w:left="420" w:leftChars="200"/>
        <w:jc w:val="left"/>
        <w:rPr>
          <w:rFonts w:ascii="宋体" w:hAnsi="宋体" w:eastAsia="宋体" w:cs="宋体"/>
          <w:color w:val="auto"/>
          <w:sz w:val="24"/>
          <w:highlight w:val="none"/>
          <w:u w:val="single"/>
        </w:rPr>
      </w:pPr>
      <w:bookmarkStart w:id="49" w:name="_Toc24943"/>
      <w:bookmarkStart w:id="50" w:name="_Toc14656"/>
    </w:p>
    <w:p w14:paraId="658CA9A8">
      <w:pPr>
        <w:jc w:val="left"/>
        <w:rPr>
          <w:rFonts w:ascii="宋体" w:hAnsi="宋体" w:eastAsia="宋体" w:cs="宋体"/>
          <w:color w:val="auto"/>
          <w:sz w:val="24"/>
          <w:highlight w:val="none"/>
        </w:rPr>
      </w:pPr>
      <w:r>
        <w:rPr>
          <w:rFonts w:ascii="宋体" w:hAnsi="宋体" w:eastAsia="宋体" w:cs="宋体"/>
          <w:color w:val="auto"/>
          <w:sz w:val="24"/>
          <w:highlight w:val="none"/>
        </w:rPr>
        <w:br w:type="page"/>
      </w:r>
    </w:p>
    <w:p w14:paraId="0E3B1EBA">
      <w:pPr>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技术标</w:t>
      </w:r>
      <w:r>
        <w:rPr>
          <w:rFonts w:hint="eastAsia" w:ascii="宋体" w:hAnsi="宋体" w:eastAsia="宋体" w:cs="宋体"/>
          <w:bCs/>
          <w:color w:val="auto"/>
          <w:spacing w:val="4"/>
          <w:kern w:val="0"/>
          <w:sz w:val="24"/>
          <w:highlight w:val="none"/>
        </w:rPr>
        <w:t>格式</w:t>
      </w:r>
      <w:r>
        <w:rPr>
          <w:rFonts w:hint="eastAsia" w:ascii="宋体" w:hAnsi="宋体" w:eastAsia="宋体" w:cs="宋体"/>
          <w:snapToGrid w:val="0"/>
          <w:color w:val="auto"/>
          <w:spacing w:val="4"/>
          <w:kern w:val="0"/>
          <w:sz w:val="24"/>
          <w:highlight w:val="none"/>
        </w:rPr>
        <w:t>五</w:t>
      </w:r>
    </w:p>
    <w:p w14:paraId="7393DB63">
      <w:pPr>
        <w:pStyle w:val="329"/>
        <w:spacing w:line="240" w:lineRule="exact"/>
        <w:rPr>
          <w:rFonts w:ascii="宋体" w:hAnsi="宋体" w:cs="宋体"/>
          <w:b/>
          <w:bCs/>
          <w:color w:val="auto"/>
          <w:szCs w:val="21"/>
          <w:highlight w:val="none"/>
        </w:rPr>
      </w:pPr>
    </w:p>
    <w:bookmarkEnd w:id="49"/>
    <w:bookmarkEnd w:id="50"/>
    <w:p w14:paraId="4C2B0F87">
      <w:pPr>
        <w:pStyle w:val="86"/>
        <w:snapToGrid w:val="0"/>
        <w:spacing w:after="0" w:line="360" w:lineRule="auto"/>
        <w:ind w:left="-2" w:leftChars="-1" w:firstLine="562" w:firstLineChars="175"/>
        <w:jc w:val="center"/>
        <w:rPr>
          <w:rFonts w:ascii="宋体" w:hAnsi="宋体" w:eastAsia="宋体" w:cs="宋体"/>
          <w:b/>
          <w:color w:val="auto"/>
          <w:sz w:val="32"/>
          <w:szCs w:val="32"/>
          <w:highlight w:val="none"/>
        </w:rPr>
      </w:pPr>
      <w:r>
        <w:rPr>
          <w:rFonts w:hint="eastAsia" w:ascii="宋体" w:hAnsi="宋体" w:eastAsia="宋体" w:cs="宋体"/>
          <w:b/>
          <w:color w:val="auto"/>
          <w:sz w:val="32"/>
          <w:szCs w:val="32"/>
          <w:highlight w:val="none"/>
        </w:rPr>
        <w:t>项目负责人驻场承诺书</w:t>
      </w:r>
    </w:p>
    <w:p w14:paraId="3C584597">
      <w:pPr>
        <w:snapToGrid w:val="0"/>
        <w:spacing w:line="240" w:lineRule="exact"/>
        <w:rPr>
          <w:rFonts w:ascii="宋体" w:hAnsi="宋体" w:eastAsia="宋体" w:cs="宋体"/>
          <w:color w:val="auto"/>
          <w:sz w:val="24"/>
          <w:highlight w:val="none"/>
          <w:u w:val="single"/>
        </w:rPr>
      </w:pPr>
    </w:p>
    <w:p w14:paraId="19AC4AB5">
      <w:pPr>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致：广州开发区财政投资建设项目管理中心</w:t>
      </w:r>
    </w:p>
    <w:p w14:paraId="03AA9CED">
      <w:pPr>
        <w:snapToGrid w:val="0"/>
        <w:spacing w:line="360" w:lineRule="auto"/>
        <w:ind w:firstLine="523" w:firstLineChars="218"/>
        <w:jc w:val="left"/>
        <w:rPr>
          <w:rFonts w:ascii="宋体" w:hAnsi="宋体" w:eastAsia="宋体" w:cs="宋体"/>
          <w:color w:val="auto"/>
          <w:sz w:val="24"/>
          <w:highlight w:val="none"/>
        </w:rPr>
      </w:pPr>
      <w:r>
        <w:rPr>
          <w:rFonts w:hint="eastAsia" w:ascii="宋体" w:hAnsi="宋体" w:eastAsia="宋体" w:cs="宋体"/>
          <w:color w:val="auto"/>
          <w:sz w:val="24"/>
          <w:highlight w:val="none"/>
          <w:u w:val="single"/>
        </w:rPr>
        <w:t>本人（姓名）</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，项目负责人证书注册编号：</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受（投标人名称）</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委派，拟在（项目名称）</w:t>
      </w:r>
      <w:r>
        <w:rPr>
          <w:rFonts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rPr>
        <w:t>担任项目负责人一职。</w:t>
      </w:r>
      <w:r>
        <w:rPr>
          <w:rFonts w:hint="eastAsia" w:ascii="宋体" w:hAnsi="宋体" w:eastAsia="宋体" w:cs="宋体"/>
          <w:color w:val="auto"/>
          <w:sz w:val="24"/>
          <w:highlight w:val="none"/>
        </w:rPr>
        <w:t>为加强本工程项目管理，保证我公司在中标后严格履行与业主签定的工程建设承包合同，圆满的完成本项工程，我愿就此做出以下承诺；</w:t>
      </w:r>
    </w:p>
    <w:p w14:paraId="04BDEB95">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1．本人作为公司选派的本项目的项目负责人，我保证自即日起至项目竣工并通过验收之日止，自始至终全过程常驻工地现场，代表我公司全面负责本工程现场组织，指挥，管理，协调等工作。并承诺在本项目完成后的合同责任保修期内，根据项目实际保修工作需要也能随时到场负责指挥，安排应做的保修工作。</w:t>
      </w:r>
    </w:p>
    <w:p w14:paraId="38776D6B">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2．如果本招标工程我公司中标，我本人保证在工程签订合同之日起至工程竣工验收完成期间只担任此工程的项目经理，不参加其他任何工程的报名和任何工作，不在其他任何工程担任本职务。</w:t>
      </w:r>
    </w:p>
    <w:p w14:paraId="6D34AC98">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3．除非征得业主的书面批准，否则如果违背以上承诺，不能常驻施工现场，我自愿接受业主给予我本人的批评和处罚，并同意业主就此作为我个人的不良纪录进一步上报区行业主管部门，项目负责人证书注册、备案、审批机构，直至广州市建委等有关部门并接受上述部门给予的通报和相关职能部门给予的扣证等处罚。</w:t>
      </w:r>
    </w:p>
    <w:p w14:paraId="719D9829">
      <w:pPr>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4．项目负责人本人身份证扫描件和相片扫描件：</w:t>
      </w:r>
    </w:p>
    <w:p w14:paraId="09873840">
      <w:pPr>
        <w:snapToGrid w:val="0"/>
        <w:rPr>
          <w:rFonts w:ascii="宋体" w:hAnsi="宋体" w:eastAsia="宋体" w:cs="宋体"/>
          <w:color w:val="auto"/>
          <w:sz w:val="24"/>
          <w:highlight w:val="none"/>
          <w:u w:val="single"/>
        </w:rPr>
      </w:pPr>
    </w:p>
    <w:tbl>
      <w:tblPr>
        <w:tblStyle w:val="88"/>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3"/>
        <w:gridCol w:w="2492"/>
      </w:tblGrid>
      <w:tr w14:paraId="1D499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7" w:hRule="atLeast"/>
        </w:trPr>
        <w:tc>
          <w:tcPr>
            <w:tcW w:w="6043" w:type="dxa"/>
            <w:tcBorders>
              <w:top w:val="single" w:color="auto" w:sz="4" w:space="0"/>
              <w:left w:val="single" w:color="auto" w:sz="4" w:space="0"/>
              <w:bottom w:val="single" w:color="auto" w:sz="4" w:space="0"/>
              <w:right w:val="single" w:color="auto" w:sz="4" w:space="0"/>
            </w:tcBorders>
            <w:noWrap/>
          </w:tcPr>
          <w:p w14:paraId="7024B590">
            <w:pPr>
              <w:snapToGrid w:val="0"/>
              <w:spacing w:line="360" w:lineRule="auto"/>
              <w:jc w:val="center"/>
              <w:rPr>
                <w:rFonts w:ascii="宋体" w:hAnsi="宋体" w:eastAsia="宋体" w:cs="宋体"/>
                <w:color w:val="auto"/>
                <w:szCs w:val="21"/>
                <w:highlight w:val="none"/>
              </w:rPr>
            </w:pPr>
          </w:p>
          <w:p w14:paraId="25F841BD">
            <w:pPr>
              <w:snapToGrid w:val="0"/>
              <w:spacing w:line="360" w:lineRule="auto"/>
              <w:jc w:val="center"/>
              <w:rPr>
                <w:rFonts w:ascii="宋体" w:hAnsi="宋体" w:eastAsia="宋体" w:cs="宋体"/>
                <w:color w:val="auto"/>
                <w:szCs w:val="21"/>
                <w:highlight w:val="none"/>
              </w:rPr>
            </w:pPr>
          </w:p>
          <w:p w14:paraId="3CD78E06">
            <w:pPr>
              <w:snapToGrid w:val="0"/>
              <w:spacing w:line="360" w:lineRule="auto"/>
              <w:jc w:val="center"/>
              <w:rPr>
                <w:rFonts w:ascii="宋体" w:hAnsi="宋体" w:eastAsia="宋体" w:cs="宋体"/>
                <w:color w:val="auto"/>
                <w:szCs w:val="21"/>
                <w:highlight w:val="none"/>
              </w:rPr>
            </w:pPr>
          </w:p>
          <w:p w14:paraId="5EC98760">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 w:val="24"/>
                <w:highlight w:val="none"/>
              </w:rPr>
              <w:t>身份证扫描件</w:t>
            </w:r>
          </w:p>
        </w:tc>
        <w:tc>
          <w:tcPr>
            <w:tcW w:w="2492" w:type="dxa"/>
            <w:tcBorders>
              <w:top w:val="single" w:color="auto" w:sz="4" w:space="0"/>
              <w:left w:val="single" w:color="auto" w:sz="4" w:space="0"/>
              <w:bottom w:val="single" w:color="auto" w:sz="4" w:space="0"/>
              <w:right w:val="single" w:color="auto" w:sz="4" w:space="0"/>
            </w:tcBorders>
            <w:noWrap/>
          </w:tcPr>
          <w:p w14:paraId="1DCC2C9C">
            <w:pPr>
              <w:snapToGrid w:val="0"/>
              <w:spacing w:line="360" w:lineRule="auto"/>
              <w:jc w:val="center"/>
              <w:rPr>
                <w:rFonts w:ascii="宋体" w:hAnsi="宋体" w:eastAsia="宋体" w:cs="宋体"/>
                <w:color w:val="auto"/>
                <w:szCs w:val="21"/>
                <w:highlight w:val="none"/>
              </w:rPr>
            </w:pPr>
          </w:p>
          <w:p w14:paraId="0576B1E9">
            <w:pPr>
              <w:snapToGrid w:val="0"/>
              <w:spacing w:line="360" w:lineRule="auto"/>
              <w:jc w:val="center"/>
              <w:rPr>
                <w:rFonts w:ascii="宋体" w:hAnsi="宋体" w:eastAsia="宋体" w:cs="宋体"/>
                <w:color w:val="auto"/>
                <w:szCs w:val="21"/>
                <w:highlight w:val="none"/>
              </w:rPr>
            </w:pPr>
          </w:p>
          <w:p w14:paraId="46486C20">
            <w:pPr>
              <w:snapToGrid w:val="0"/>
              <w:spacing w:line="360" w:lineRule="auto"/>
              <w:jc w:val="center"/>
              <w:rPr>
                <w:rFonts w:ascii="宋体" w:hAnsi="宋体" w:eastAsia="宋体" w:cs="宋体"/>
                <w:color w:val="auto"/>
                <w:szCs w:val="21"/>
                <w:highlight w:val="none"/>
              </w:rPr>
            </w:pPr>
          </w:p>
          <w:p w14:paraId="7026E459">
            <w:pPr>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 w:val="24"/>
                <w:highlight w:val="none"/>
              </w:rPr>
              <w:t>相片扫描件</w:t>
            </w:r>
          </w:p>
        </w:tc>
      </w:tr>
    </w:tbl>
    <w:p w14:paraId="48366C56">
      <w:pPr>
        <w:snapToGrid w:val="0"/>
        <w:spacing w:line="360" w:lineRule="auto"/>
        <w:rPr>
          <w:rFonts w:ascii="宋体" w:hAnsi="宋体" w:eastAsia="宋体" w:cs="宋体"/>
          <w:color w:val="auto"/>
          <w:sz w:val="24"/>
          <w:highlight w:val="none"/>
          <w:u w:val="single"/>
        </w:rPr>
      </w:pPr>
    </w:p>
    <w:p w14:paraId="77105A68">
      <w:pPr>
        <w:snapToGrid w:val="0"/>
        <w:spacing w:line="360" w:lineRule="auto"/>
        <w:ind w:firstLine="3840" w:firstLineChars="1600"/>
        <w:rPr>
          <w:rFonts w:ascii="宋体" w:hAnsi="宋体" w:eastAsia="宋体" w:cs="宋体"/>
          <w:color w:val="auto"/>
          <w:sz w:val="24"/>
          <w:highlight w:val="none"/>
          <w:u w:val="single"/>
        </w:rPr>
      </w:pPr>
      <w:r>
        <w:rPr>
          <w:rFonts w:hint="eastAsia" w:ascii="宋体" w:hAnsi="宋体" w:eastAsia="宋体" w:cs="宋体"/>
          <w:color w:val="auto"/>
          <w:sz w:val="24"/>
          <w:szCs w:val="20"/>
          <w:highlight w:val="none"/>
        </w:rPr>
        <w:t>投标人名称（盖章）</w:t>
      </w:r>
      <w:r>
        <w:rPr>
          <w:rFonts w:hint="eastAsia" w:ascii="宋体" w:hAnsi="宋体" w:eastAsia="宋体" w:cs="宋体"/>
          <w:color w:val="auto"/>
          <w:sz w:val="24"/>
          <w:highlight w:val="none"/>
        </w:rPr>
        <w:t>：</w:t>
      </w:r>
    </w:p>
    <w:p w14:paraId="2066F231">
      <w:pPr>
        <w:snapToGrid w:val="0"/>
        <w:spacing w:line="360" w:lineRule="auto"/>
        <w:ind w:firstLine="3840" w:firstLineChars="1600"/>
        <w:jc w:val="left"/>
        <w:rPr>
          <w:rFonts w:ascii="宋体" w:hAnsi="宋体" w:eastAsia="宋体" w:cs="宋体"/>
          <w:color w:val="auto"/>
          <w:sz w:val="24"/>
          <w:szCs w:val="20"/>
          <w:highlight w:val="none"/>
        </w:rPr>
      </w:pPr>
      <w:r>
        <w:rPr>
          <w:rFonts w:hint="eastAsia" w:ascii="宋体" w:hAnsi="宋体" w:eastAsia="宋体" w:cs="宋体"/>
          <w:color w:val="auto"/>
          <w:sz w:val="24"/>
          <w:highlight w:val="none"/>
        </w:rPr>
        <w:t>项目负责人签名：</w:t>
      </w:r>
    </w:p>
    <w:p w14:paraId="4FD5A31D">
      <w:pPr>
        <w:snapToGrid w:val="0"/>
        <w:ind w:firstLine="3840" w:firstLineChars="1600"/>
        <w:rPr>
          <w:rFonts w:ascii="宋体" w:hAnsi="宋体" w:eastAsia="宋体" w:cs="宋体"/>
          <w:bCs/>
          <w:color w:val="auto"/>
          <w:sz w:val="24"/>
          <w:highlight w:val="none"/>
        </w:rPr>
      </w:pPr>
      <w:r>
        <w:rPr>
          <w:rFonts w:hint="eastAsia" w:ascii="宋体" w:hAnsi="宋体" w:eastAsia="宋体" w:cs="宋体"/>
          <w:color w:val="auto"/>
          <w:sz w:val="24"/>
          <w:szCs w:val="20"/>
          <w:highlight w:val="none"/>
        </w:rPr>
        <w:t>日期</w:t>
      </w:r>
      <w:r>
        <w:rPr>
          <w:rFonts w:hint="eastAsia" w:ascii="宋体" w:hAnsi="宋体" w:eastAsia="宋体" w:cs="宋体"/>
          <w:color w:val="auto"/>
          <w:sz w:val="24"/>
          <w:highlight w:val="none"/>
        </w:rPr>
        <w:t>：</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年</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月</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日</w:t>
      </w:r>
    </w:p>
    <w:p w14:paraId="7D8AC56E">
      <w:pPr>
        <w:snapToGrid w:val="0"/>
        <w:spacing w:line="360" w:lineRule="auto"/>
        <w:rPr>
          <w:rFonts w:ascii="宋体" w:hAnsi="宋体" w:eastAsia="宋体" w:cs="宋体"/>
          <w:color w:val="auto"/>
          <w:sz w:val="24"/>
          <w:highlight w:val="none"/>
        </w:rPr>
      </w:pPr>
      <w:r>
        <w:rPr>
          <w:rFonts w:ascii="宋体" w:hAnsi="宋体" w:eastAsia="宋体" w:cs="宋体"/>
          <w:color w:val="auto"/>
          <w:sz w:val="24"/>
          <w:highlight w:val="none"/>
        </w:rPr>
        <w:br w:type="page"/>
      </w:r>
    </w:p>
    <w:p w14:paraId="66D35BED">
      <w:pPr>
        <w:autoSpaceDE w:val="0"/>
        <w:autoSpaceDN w:val="0"/>
        <w:adjustRightInd w:val="0"/>
        <w:snapToGrid w:val="0"/>
        <w:spacing w:line="360" w:lineRule="auto"/>
        <w:rPr>
          <w:rFonts w:ascii="宋体" w:hAnsi="宋体" w:eastAsia="宋体" w:cs="宋体"/>
          <w:bCs/>
          <w:color w:val="auto"/>
          <w:sz w:val="24"/>
          <w:highlight w:val="none"/>
        </w:rPr>
      </w:pPr>
      <w:r>
        <w:rPr>
          <w:rFonts w:hint="eastAsia" w:ascii="宋体" w:hAnsi="宋体" w:eastAsia="宋体" w:cs="宋体"/>
          <w:color w:val="auto"/>
          <w:sz w:val="24"/>
          <w:highlight w:val="none"/>
        </w:rPr>
        <w:t>技术标</w:t>
      </w:r>
      <w:r>
        <w:rPr>
          <w:rFonts w:hint="eastAsia" w:ascii="宋体" w:hAnsi="宋体" w:eastAsia="宋体" w:cs="宋体"/>
          <w:bCs/>
          <w:color w:val="auto"/>
          <w:spacing w:val="4"/>
          <w:kern w:val="0"/>
          <w:sz w:val="24"/>
          <w:highlight w:val="none"/>
        </w:rPr>
        <w:t>格式</w:t>
      </w:r>
      <w:r>
        <w:rPr>
          <w:rFonts w:hint="eastAsia" w:ascii="宋体" w:hAnsi="宋体" w:eastAsia="宋体" w:cs="宋体"/>
          <w:bCs/>
          <w:color w:val="auto"/>
          <w:sz w:val="24"/>
          <w:highlight w:val="none"/>
        </w:rPr>
        <w:t>六</w:t>
      </w:r>
    </w:p>
    <w:p w14:paraId="49476415">
      <w:pPr>
        <w:snapToGrid w:val="0"/>
        <w:spacing w:line="360" w:lineRule="auto"/>
        <w:jc w:val="center"/>
        <w:rPr>
          <w:rFonts w:ascii="宋体" w:hAnsi="宋体" w:eastAsia="宋体" w:cs="宋体"/>
          <w:bCs/>
          <w:color w:val="auto"/>
          <w:sz w:val="36"/>
          <w:szCs w:val="36"/>
          <w:highlight w:val="none"/>
        </w:rPr>
      </w:pPr>
    </w:p>
    <w:p w14:paraId="1007DCC5">
      <w:pPr>
        <w:widowControl/>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投入项目负责人及专职安全员承诺书</w:t>
      </w:r>
    </w:p>
    <w:p w14:paraId="1498DF48">
      <w:pPr>
        <w:widowControl/>
        <w:topLinePunct/>
        <w:adjustRightInd w:val="0"/>
        <w:snapToGrid w:val="0"/>
        <w:spacing w:line="360" w:lineRule="auto"/>
        <w:jc w:val="left"/>
        <w:rPr>
          <w:rFonts w:ascii="宋体" w:hAnsi="宋体" w:eastAsia="宋体" w:cs="宋体"/>
          <w:snapToGrid w:val="0"/>
          <w:color w:val="auto"/>
          <w:spacing w:val="4"/>
          <w:kern w:val="0"/>
          <w:sz w:val="24"/>
          <w:highlight w:val="none"/>
        </w:rPr>
      </w:pPr>
    </w:p>
    <w:p w14:paraId="66FA2FBC">
      <w:pPr>
        <w:widowControl/>
        <w:topLinePunct/>
        <w:adjustRightInd w:val="0"/>
        <w:snapToGrid w:val="0"/>
        <w:spacing w:line="360" w:lineRule="auto"/>
        <w:jc w:val="left"/>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致：广州开发区财政投资建设项目管理中心：</w:t>
      </w:r>
    </w:p>
    <w:p w14:paraId="4DC238D5">
      <w:pPr>
        <w:widowControl/>
        <w:topLinePunct/>
        <w:adjustRightInd w:val="0"/>
        <w:snapToGrid w:val="0"/>
        <w:spacing w:line="360" w:lineRule="auto"/>
        <w:ind w:firstLine="496" w:firstLineChars="200"/>
        <w:jc w:val="left"/>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经详细阅读本工程招标文件、招标答疑纪要和踏勘现场，我司已理解招标人对本招标项目工程招标及管理的要求，在此，我司郑重作出以下承诺：</w:t>
      </w:r>
    </w:p>
    <w:p w14:paraId="06869958">
      <w:pPr>
        <w:widowControl/>
        <w:numPr>
          <w:ilvl w:val="0"/>
          <w:numId w:val="19"/>
        </w:numPr>
        <w:topLinePunct/>
        <w:adjustRightInd w:val="0"/>
        <w:snapToGrid w:val="0"/>
        <w:spacing w:line="360" w:lineRule="auto"/>
        <w:ind w:firstLine="496" w:firstLineChars="200"/>
        <w:jc w:val="left"/>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我司承诺本项目在投标阶段时，委派项目负责人</w:t>
      </w:r>
      <w:r>
        <w:rPr>
          <w:rFonts w:ascii="宋体" w:hAnsi="宋体" w:eastAsia="宋体" w:cs="宋体"/>
          <w:snapToGrid w:val="0"/>
          <w:color w:val="auto"/>
          <w:spacing w:val="4"/>
          <w:kern w:val="0"/>
          <w:sz w:val="24"/>
          <w:highlight w:val="none"/>
          <w:u w:val="single"/>
        </w:rPr>
        <w:t xml:space="preserve">   （名字）   </w:t>
      </w:r>
      <w:r>
        <w:rPr>
          <w:rFonts w:hint="eastAsia" w:ascii="宋体" w:hAnsi="宋体" w:eastAsia="宋体" w:cs="宋体"/>
          <w:snapToGrid w:val="0"/>
          <w:color w:val="auto"/>
          <w:spacing w:val="4"/>
          <w:kern w:val="0"/>
          <w:sz w:val="24"/>
          <w:highlight w:val="none"/>
        </w:rPr>
        <w:t>拟在本项目担任项目负责人一职，委派专职安全员</w:t>
      </w:r>
      <w:r>
        <w:rPr>
          <w:rFonts w:ascii="宋体" w:hAnsi="宋体" w:eastAsia="宋体" w:cs="宋体"/>
          <w:snapToGrid w:val="0"/>
          <w:color w:val="auto"/>
          <w:spacing w:val="4"/>
          <w:kern w:val="0"/>
          <w:sz w:val="24"/>
          <w:highlight w:val="none"/>
          <w:u w:val="single"/>
        </w:rPr>
        <w:t xml:space="preserve">    </w:t>
      </w:r>
      <w:r>
        <w:rPr>
          <w:rFonts w:hint="eastAsia" w:ascii="宋体" w:hAnsi="宋体" w:eastAsia="宋体" w:cs="宋体"/>
          <w:snapToGrid w:val="0"/>
          <w:color w:val="auto"/>
          <w:spacing w:val="4"/>
          <w:kern w:val="0"/>
          <w:sz w:val="24"/>
          <w:highlight w:val="none"/>
          <w:u w:val="single"/>
        </w:rPr>
        <w:t>（名字）</w:t>
      </w:r>
      <w:r>
        <w:rPr>
          <w:rFonts w:ascii="宋体" w:hAnsi="宋体" w:eastAsia="宋体" w:cs="宋体"/>
          <w:snapToGrid w:val="0"/>
          <w:color w:val="auto"/>
          <w:spacing w:val="4"/>
          <w:kern w:val="0"/>
          <w:sz w:val="24"/>
          <w:highlight w:val="none"/>
          <w:u w:val="single"/>
        </w:rPr>
        <w:t xml:space="preserve">    </w:t>
      </w:r>
      <w:r>
        <w:rPr>
          <w:rFonts w:hint="eastAsia" w:ascii="宋体" w:hAnsi="宋体" w:eastAsia="宋体" w:cs="宋体"/>
          <w:snapToGrid w:val="0"/>
          <w:color w:val="auto"/>
          <w:spacing w:val="4"/>
          <w:kern w:val="0"/>
          <w:sz w:val="24"/>
          <w:highlight w:val="none"/>
        </w:rPr>
        <w:t>拟在本项目担任专职安全员一职。</w:t>
      </w:r>
    </w:p>
    <w:p w14:paraId="42FEB92C">
      <w:pPr>
        <w:widowControl/>
        <w:numPr>
          <w:ilvl w:val="0"/>
          <w:numId w:val="19"/>
        </w:numPr>
        <w:topLinePunct/>
        <w:adjustRightInd w:val="0"/>
        <w:snapToGrid w:val="0"/>
        <w:spacing w:line="360" w:lineRule="auto"/>
        <w:ind w:firstLine="464" w:firstLineChars="200"/>
        <w:jc w:val="left"/>
        <w:rPr>
          <w:rFonts w:ascii="宋体" w:hAnsi="宋体" w:eastAsia="宋体" w:cs="宋体"/>
          <w:snapToGrid w:val="0"/>
          <w:color w:val="auto"/>
          <w:spacing w:val="-4"/>
          <w:kern w:val="0"/>
          <w:sz w:val="24"/>
          <w:szCs w:val="21"/>
          <w:highlight w:val="none"/>
        </w:rPr>
      </w:pPr>
      <w:r>
        <w:rPr>
          <w:rFonts w:hint="eastAsia" w:ascii="宋体" w:hAnsi="宋体" w:eastAsia="宋体" w:cs="宋体"/>
          <w:snapToGrid w:val="0"/>
          <w:color w:val="auto"/>
          <w:spacing w:val="-4"/>
          <w:kern w:val="0"/>
          <w:sz w:val="24"/>
          <w:szCs w:val="21"/>
          <w:highlight w:val="none"/>
        </w:rPr>
        <w:t>我司承诺严格按照合同和招投标文件规定履行义务，如因未按承诺执行，接受并同意</w:t>
      </w:r>
      <w:r>
        <w:rPr>
          <w:rFonts w:hint="eastAsia" w:ascii="宋体" w:hAnsi="宋体" w:eastAsia="宋体" w:cs="宋体"/>
          <w:color w:val="auto"/>
          <w:kern w:val="0"/>
          <w:sz w:val="24"/>
          <w:highlight w:val="none"/>
        </w:rPr>
        <w:t>招标人有权取消本公司作为中标人的中标资格</w:t>
      </w:r>
      <w:r>
        <w:rPr>
          <w:rFonts w:hint="eastAsia" w:ascii="宋体" w:hAnsi="宋体" w:eastAsia="宋体" w:cs="宋体"/>
          <w:snapToGrid w:val="0"/>
          <w:color w:val="auto"/>
          <w:spacing w:val="4"/>
          <w:kern w:val="0"/>
          <w:sz w:val="24"/>
          <w:highlight w:val="none"/>
        </w:rPr>
        <w:t>，并由此引起的一切后果由我司自行承担</w:t>
      </w:r>
      <w:r>
        <w:rPr>
          <w:rFonts w:hint="eastAsia" w:ascii="宋体" w:hAnsi="宋体" w:eastAsia="宋体" w:cs="宋体"/>
          <w:snapToGrid w:val="0"/>
          <w:color w:val="auto"/>
          <w:spacing w:val="-4"/>
          <w:kern w:val="0"/>
          <w:sz w:val="24"/>
          <w:szCs w:val="21"/>
          <w:highlight w:val="none"/>
        </w:rPr>
        <w:t>。</w:t>
      </w:r>
    </w:p>
    <w:p w14:paraId="282BBC8F">
      <w:pPr>
        <w:widowControl/>
        <w:topLinePunct/>
        <w:adjustRightInd w:val="0"/>
        <w:snapToGrid w:val="0"/>
        <w:spacing w:line="360" w:lineRule="auto"/>
        <w:ind w:firstLine="3472" w:firstLineChars="1400"/>
        <w:jc w:val="left"/>
        <w:rPr>
          <w:rFonts w:ascii="宋体" w:hAnsi="宋体" w:eastAsia="宋体" w:cs="宋体"/>
          <w:snapToGrid w:val="0"/>
          <w:color w:val="auto"/>
          <w:spacing w:val="4"/>
          <w:kern w:val="0"/>
          <w:sz w:val="24"/>
          <w:highlight w:val="none"/>
        </w:rPr>
      </w:pPr>
    </w:p>
    <w:p w14:paraId="726A4EC8">
      <w:pPr>
        <w:spacing w:after="120"/>
        <w:rPr>
          <w:rFonts w:ascii="宋体" w:hAnsi="宋体" w:eastAsia="宋体" w:cs="宋体"/>
          <w:color w:val="auto"/>
          <w:kern w:val="0"/>
          <w:sz w:val="20"/>
          <w:szCs w:val="20"/>
          <w:highlight w:val="none"/>
        </w:rPr>
      </w:pPr>
    </w:p>
    <w:p w14:paraId="47A97F71">
      <w:pPr>
        <w:spacing w:after="120"/>
        <w:rPr>
          <w:rFonts w:ascii="宋体" w:hAnsi="宋体" w:eastAsia="宋体" w:cs="宋体"/>
          <w:color w:val="auto"/>
          <w:kern w:val="0"/>
          <w:sz w:val="20"/>
          <w:szCs w:val="20"/>
          <w:highlight w:val="none"/>
        </w:rPr>
      </w:pPr>
    </w:p>
    <w:p w14:paraId="038AD22B">
      <w:pPr>
        <w:spacing w:after="120"/>
        <w:rPr>
          <w:rFonts w:ascii="宋体" w:hAnsi="宋体" w:eastAsia="宋体" w:cs="宋体"/>
          <w:color w:val="auto"/>
          <w:kern w:val="0"/>
          <w:sz w:val="20"/>
          <w:szCs w:val="20"/>
          <w:highlight w:val="none"/>
        </w:rPr>
      </w:pPr>
    </w:p>
    <w:p w14:paraId="222F4D12">
      <w:pPr>
        <w:spacing w:after="120"/>
        <w:rPr>
          <w:rFonts w:ascii="宋体" w:hAnsi="宋体" w:eastAsia="宋体" w:cs="宋体"/>
          <w:color w:val="auto"/>
          <w:kern w:val="0"/>
          <w:sz w:val="20"/>
          <w:szCs w:val="20"/>
          <w:highlight w:val="none"/>
        </w:rPr>
      </w:pPr>
    </w:p>
    <w:p w14:paraId="76019C4A">
      <w:pPr>
        <w:widowControl/>
        <w:topLinePunct/>
        <w:adjustRightInd w:val="0"/>
        <w:snapToGrid w:val="0"/>
        <w:spacing w:line="360" w:lineRule="auto"/>
        <w:ind w:firstLine="5208" w:firstLineChars="2100"/>
        <w:jc w:val="left"/>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投标人：　　（盖章）</w:t>
      </w:r>
    </w:p>
    <w:p w14:paraId="03841256">
      <w:pPr>
        <w:topLinePunct/>
        <w:adjustRightInd w:val="0"/>
        <w:snapToGrid w:val="0"/>
        <w:spacing w:line="360" w:lineRule="auto"/>
        <w:ind w:right="1046" w:rightChars="498"/>
        <w:jc w:val="right"/>
        <w:rPr>
          <w:rFonts w:ascii="宋体" w:hAnsi="宋体" w:eastAsia="宋体" w:cs="宋体"/>
          <w:snapToGrid w:val="0"/>
          <w:color w:val="auto"/>
          <w:spacing w:val="4"/>
          <w:kern w:val="0"/>
          <w:sz w:val="24"/>
          <w:highlight w:val="none"/>
        </w:rPr>
      </w:pPr>
      <w:r>
        <w:rPr>
          <w:rFonts w:hint="eastAsia" w:ascii="宋体" w:hAnsi="宋体" w:eastAsia="宋体" w:cs="宋体"/>
          <w:snapToGrid w:val="0"/>
          <w:color w:val="auto"/>
          <w:spacing w:val="4"/>
          <w:kern w:val="0"/>
          <w:sz w:val="24"/>
          <w:highlight w:val="none"/>
        </w:rPr>
        <w:t>日期：</w:t>
      </w:r>
      <w:r>
        <w:rPr>
          <w:rFonts w:ascii="宋体" w:hAnsi="宋体" w:eastAsia="宋体" w:cs="宋体"/>
          <w:snapToGrid w:val="0"/>
          <w:color w:val="auto"/>
          <w:spacing w:val="4"/>
          <w:kern w:val="0"/>
          <w:sz w:val="24"/>
          <w:highlight w:val="none"/>
        </w:rPr>
        <w:t xml:space="preserve">    </w:t>
      </w:r>
      <w:r>
        <w:rPr>
          <w:rFonts w:hint="eastAsia" w:ascii="宋体" w:hAnsi="宋体" w:eastAsia="宋体" w:cs="宋体"/>
          <w:snapToGrid w:val="0"/>
          <w:color w:val="auto"/>
          <w:spacing w:val="4"/>
          <w:kern w:val="0"/>
          <w:sz w:val="24"/>
          <w:highlight w:val="none"/>
        </w:rPr>
        <w:t>年</w:t>
      </w:r>
      <w:r>
        <w:rPr>
          <w:rFonts w:ascii="宋体" w:hAnsi="宋体" w:eastAsia="宋体" w:cs="宋体"/>
          <w:snapToGrid w:val="0"/>
          <w:color w:val="auto"/>
          <w:spacing w:val="4"/>
          <w:kern w:val="0"/>
          <w:sz w:val="24"/>
          <w:highlight w:val="none"/>
        </w:rPr>
        <w:t xml:space="preserve">   </w:t>
      </w:r>
      <w:r>
        <w:rPr>
          <w:rFonts w:hint="eastAsia" w:ascii="宋体" w:hAnsi="宋体" w:eastAsia="宋体" w:cs="宋体"/>
          <w:snapToGrid w:val="0"/>
          <w:color w:val="auto"/>
          <w:spacing w:val="4"/>
          <w:kern w:val="0"/>
          <w:sz w:val="24"/>
          <w:highlight w:val="none"/>
        </w:rPr>
        <w:t>月</w:t>
      </w:r>
      <w:r>
        <w:rPr>
          <w:rFonts w:ascii="宋体" w:hAnsi="宋体" w:eastAsia="宋体" w:cs="宋体"/>
          <w:snapToGrid w:val="0"/>
          <w:color w:val="auto"/>
          <w:spacing w:val="4"/>
          <w:kern w:val="0"/>
          <w:sz w:val="24"/>
          <w:highlight w:val="none"/>
        </w:rPr>
        <w:t xml:space="preserve">   </w:t>
      </w:r>
      <w:r>
        <w:rPr>
          <w:rFonts w:hint="eastAsia" w:ascii="宋体" w:hAnsi="宋体" w:eastAsia="宋体" w:cs="宋体"/>
          <w:snapToGrid w:val="0"/>
          <w:color w:val="auto"/>
          <w:spacing w:val="4"/>
          <w:kern w:val="0"/>
          <w:sz w:val="24"/>
          <w:highlight w:val="none"/>
        </w:rPr>
        <w:t>日</w:t>
      </w:r>
    </w:p>
    <w:p w14:paraId="6C87CD15">
      <w:pPr>
        <w:snapToGrid w:val="0"/>
        <w:spacing w:line="360" w:lineRule="auto"/>
        <w:jc w:val="left"/>
        <w:rPr>
          <w:rFonts w:ascii="宋体" w:hAnsi="宋体" w:eastAsia="宋体" w:cs="宋体"/>
          <w:color w:val="auto"/>
          <w:sz w:val="24"/>
          <w:highlight w:val="none"/>
          <w:u w:val="single"/>
        </w:rPr>
      </w:pPr>
    </w:p>
    <w:p w14:paraId="47F833B7">
      <w:pPr>
        <w:widowControl/>
        <w:jc w:val="left"/>
        <w:rPr>
          <w:rFonts w:ascii="宋体" w:hAnsi="宋体" w:eastAsia="宋体" w:cs="宋体"/>
          <w:color w:val="auto"/>
          <w:sz w:val="24"/>
          <w:highlight w:val="none"/>
        </w:rPr>
      </w:pPr>
      <w:r>
        <w:rPr>
          <w:rFonts w:ascii="宋体" w:hAnsi="宋体" w:eastAsia="宋体" w:cs="宋体"/>
          <w:color w:val="auto"/>
          <w:sz w:val="24"/>
          <w:highlight w:val="none"/>
        </w:rPr>
        <w:br w:type="page"/>
      </w:r>
    </w:p>
    <w:p w14:paraId="37300A6A">
      <w:pPr>
        <w:topLinePunct/>
        <w:adjustRightInd w:val="0"/>
        <w:snapToGrid w:val="0"/>
        <w:spacing w:line="360" w:lineRule="auto"/>
        <w:rPr>
          <w:rFonts w:ascii="宋体" w:hAnsi="宋体" w:eastAsia="宋体" w:cs="宋体"/>
          <w:b/>
          <w:snapToGrid w:val="0"/>
          <w:color w:val="auto"/>
          <w:spacing w:val="4"/>
          <w:kern w:val="0"/>
          <w:sz w:val="24"/>
          <w:highlight w:val="none"/>
        </w:rPr>
      </w:pPr>
      <w:r>
        <w:rPr>
          <w:rFonts w:hint="eastAsia" w:ascii="宋体" w:hAnsi="宋体" w:eastAsia="宋体" w:cs="宋体"/>
          <w:color w:val="auto"/>
          <w:sz w:val="24"/>
          <w:highlight w:val="none"/>
        </w:rPr>
        <w:t>技术标</w:t>
      </w:r>
      <w:r>
        <w:rPr>
          <w:rFonts w:hint="eastAsia" w:ascii="宋体" w:hAnsi="宋体" w:eastAsia="宋体" w:cs="宋体"/>
          <w:bCs/>
          <w:color w:val="auto"/>
          <w:sz w:val="24"/>
          <w:highlight w:val="none"/>
        </w:rPr>
        <w:t>格式七</w:t>
      </w:r>
    </w:p>
    <w:p w14:paraId="0C465816">
      <w:pPr>
        <w:topLinePunct/>
        <w:adjustRightInd w:val="0"/>
        <w:snapToGrid w:val="0"/>
        <w:spacing w:line="360" w:lineRule="auto"/>
        <w:jc w:val="center"/>
        <w:rPr>
          <w:rFonts w:ascii="宋体" w:hAnsi="宋体" w:eastAsia="宋体" w:cs="宋体"/>
          <w:bCs/>
          <w:color w:val="auto"/>
          <w:spacing w:val="4"/>
          <w:kern w:val="0"/>
          <w:sz w:val="24"/>
          <w:highlight w:val="none"/>
        </w:rPr>
      </w:pPr>
    </w:p>
    <w:p w14:paraId="5D1DE315">
      <w:pPr>
        <w:topLinePunct/>
        <w:adjustRightInd w:val="0"/>
        <w:snapToGrid w:val="0"/>
        <w:spacing w:line="360" w:lineRule="auto"/>
        <w:jc w:val="center"/>
        <w:rPr>
          <w:rFonts w:ascii="宋体" w:hAnsi="宋体" w:eastAsia="宋体" w:cs="宋体"/>
          <w:b/>
          <w:color w:val="auto"/>
          <w:spacing w:val="4"/>
          <w:kern w:val="0"/>
          <w:sz w:val="36"/>
          <w:szCs w:val="36"/>
          <w:highlight w:val="none"/>
        </w:rPr>
      </w:pPr>
      <w:r>
        <w:rPr>
          <w:rFonts w:hint="eastAsia" w:ascii="宋体" w:hAnsi="宋体" w:eastAsia="宋体" w:cs="宋体"/>
          <w:b/>
          <w:color w:val="auto"/>
          <w:spacing w:val="4"/>
          <w:kern w:val="0"/>
          <w:sz w:val="36"/>
          <w:szCs w:val="36"/>
          <w:highlight w:val="none"/>
        </w:rPr>
        <w:t>施工项目管理团队人员信息表</w:t>
      </w:r>
    </w:p>
    <w:tbl>
      <w:tblPr>
        <w:tblStyle w:val="88"/>
        <w:tblW w:w="9157" w:type="dxa"/>
        <w:jc w:val="center"/>
        <w:tblLayout w:type="fixed"/>
        <w:tblCellMar>
          <w:top w:w="0" w:type="dxa"/>
          <w:left w:w="108" w:type="dxa"/>
          <w:bottom w:w="0" w:type="dxa"/>
          <w:right w:w="108" w:type="dxa"/>
        </w:tblCellMar>
      </w:tblPr>
      <w:tblGrid>
        <w:gridCol w:w="1239"/>
        <w:gridCol w:w="1740"/>
        <w:gridCol w:w="1545"/>
        <w:gridCol w:w="1413"/>
        <w:gridCol w:w="3220"/>
      </w:tblGrid>
      <w:tr w14:paraId="196D7790">
        <w:tblPrEx>
          <w:tblCellMar>
            <w:top w:w="0" w:type="dxa"/>
            <w:left w:w="108" w:type="dxa"/>
            <w:bottom w:w="0" w:type="dxa"/>
            <w:right w:w="108" w:type="dxa"/>
          </w:tblCellMar>
        </w:tblPrEx>
        <w:trPr>
          <w:trHeight w:val="362" w:hRule="atLeast"/>
          <w:jc w:val="center"/>
        </w:trPr>
        <w:tc>
          <w:tcPr>
            <w:tcW w:w="1239" w:type="dxa"/>
            <w:tcBorders>
              <w:top w:val="single" w:color="auto" w:sz="4" w:space="0"/>
              <w:left w:val="single" w:color="auto" w:sz="4" w:space="0"/>
              <w:bottom w:val="single" w:color="auto" w:sz="4" w:space="0"/>
              <w:right w:val="single" w:color="auto" w:sz="4" w:space="0"/>
            </w:tcBorders>
            <w:vAlign w:val="center"/>
          </w:tcPr>
          <w:p w14:paraId="76312E23">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740" w:type="dxa"/>
            <w:tcBorders>
              <w:top w:val="single" w:color="auto" w:sz="4" w:space="0"/>
              <w:left w:val="nil"/>
              <w:bottom w:val="single" w:color="auto" w:sz="4" w:space="0"/>
              <w:right w:val="single" w:color="auto" w:sz="4" w:space="0"/>
            </w:tcBorders>
            <w:vAlign w:val="center"/>
          </w:tcPr>
          <w:p w14:paraId="19EC8E32">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姓名</w:t>
            </w:r>
          </w:p>
        </w:tc>
        <w:tc>
          <w:tcPr>
            <w:tcW w:w="1545" w:type="dxa"/>
            <w:tcBorders>
              <w:top w:val="single" w:color="auto" w:sz="4" w:space="0"/>
              <w:left w:val="nil"/>
              <w:bottom w:val="single" w:color="auto" w:sz="4" w:space="0"/>
              <w:right w:val="single" w:color="auto" w:sz="4" w:space="0"/>
            </w:tcBorders>
            <w:vAlign w:val="center"/>
          </w:tcPr>
          <w:p w14:paraId="495FFB50">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岗位</w:t>
            </w:r>
          </w:p>
        </w:tc>
        <w:tc>
          <w:tcPr>
            <w:tcW w:w="1413" w:type="dxa"/>
            <w:tcBorders>
              <w:top w:val="single" w:color="auto" w:sz="4" w:space="0"/>
              <w:left w:val="nil"/>
              <w:bottom w:val="single" w:color="auto" w:sz="4" w:space="0"/>
              <w:right w:val="single" w:color="auto" w:sz="4" w:space="0"/>
            </w:tcBorders>
            <w:vAlign w:val="center"/>
          </w:tcPr>
          <w:p w14:paraId="5A8E30D1">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职称</w:t>
            </w:r>
          </w:p>
        </w:tc>
        <w:tc>
          <w:tcPr>
            <w:tcW w:w="3220" w:type="dxa"/>
            <w:tcBorders>
              <w:top w:val="single" w:color="auto" w:sz="4" w:space="0"/>
              <w:left w:val="nil"/>
              <w:bottom w:val="single" w:color="auto" w:sz="4" w:space="0"/>
              <w:right w:val="single" w:color="auto" w:sz="4" w:space="0"/>
            </w:tcBorders>
            <w:vAlign w:val="center"/>
          </w:tcPr>
          <w:p w14:paraId="036EE148">
            <w:pPr>
              <w:widowControl/>
              <w:jc w:val="center"/>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职称证书或资格证书编号</w:t>
            </w:r>
          </w:p>
        </w:tc>
      </w:tr>
      <w:tr w14:paraId="320B2155">
        <w:tblPrEx>
          <w:tblCellMar>
            <w:top w:w="0" w:type="dxa"/>
            <w:left w:w="108" w:type="dxa"/>
            <w:bottom w:w="0" w:type="dxa"/>
            <w:right w:w="108" w:type="dxa"/>
          </w:tblCellMar>
        </w:tblPrEx>
        <w:trPr>
          <w:trHeight w:val="458" w:hRule="atLeast"/>
          <w:jc w:val="center"/>
        </w:trPr>
        <w:tc>
          <w:tcPr>
            <w:tcW w:w="1239" w:type="dxa"/>
            <w:tcBorders>
              <w:top w:val="nil"/>
              <w:left w:val="single" w:color="auto" w:sz="4" w:space="0"/>
              <w:bottom w:val="single" w:color="auto" w:sz="4" w:space="0"/>
              <w:right w:val="single" w:color="auto" w:sz="4" w:space="0"/>
            </w:tcBorders>
            <w:noWrap/>
            <w:vAlign w:val="center"/>
          </w:tcPr>
          <w:p w14:paraId="6EDDB032">
            <w:pPr>
              <w:widowControl/>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p>
        </w:tc>
        <w:tc>
          <w:tcPr>
            <w:tcW w:w="1740" w:type="dxa"/>
            <w:tcBorders>
              <w:top w:val="nil"/>
              <w:left w:val="nil"/>
              <w:bottom w:val="single" w:color="auto" w:sz="4" w:space="0"/>
              <w:right w:val="single" w:color="auto" w:sz="4" w:space="0"/>
            </w:tcBorders>
            <w:noWrap/>
            <w:vAlign w:val="center"/>
          </w:tcPr>
          <w:p w14:paraId="35949134">
            <w:pPr>
              <w:widowControl/>
              <w:jc w:val="center"/>
              <w:rPr>
                <w:rFonts w:ascii="宋体" w:hAnsi="宋体" w:eastAsia="宋体" w:cs="宋体"/>
                <w:color w:val="auto"/>
                <w:kern w:val="0"/>
                <w:szCs w:val="21"/>
                <w:highlight w:val="none"/>
              </w:rPr>
            </w:pPr>
          </w:p>
        </w:tc>
        <w:tc>
          <w:tcPr>
            <w:tcW w:w="1545" w:type="dxa"/>
            <w:tcBorders>
              <w:top w:val="nil"/>
              <w:left w:val="nil"/>
              <w:bottom w:val="single" w:color="auto" w:sz="4" w:space="0"/>
              <w:right w:val="single" w:color="auto" w:sz="4" w:space="0"/>
            </w:tcBorders>
            <w:noWrap/>
            <w:vAlign w:val="center"/>
          </w:tcPr>
          <w:p w14:paraId="2CB6B276">
            <w:pPr>
              <w:widowControl/>
              <w:jc w:val="center"/>
              <w:rPr>
                <w:rFonts w:ascii="宋体" w:hAnsi="宋体" w:eastAsia="宋体" w:cs="宋体"/>
                <w:color w:val="auto"/>
                <w:kern w:val="0"/>
                <w:szCs w:val="21"/>
                <w:highlight w:val="none"/>
              </w:rPr>
            </w:pPr>
          </w:p>
        </w:tc>
        <w:tc>
          <w:tcPr>
            <w:tcW w:w="1413" w:type="dxa"/>
            <w:tcBorders>
              <w:top w:val="nil"/>
              <w:left w:val="nil"/>
              <w:bottom w:val="single" w:color="auto" w:sz="4" w:space="0"/>
              <w:right w:val="single" w:color="auto" w:sz="4" w:space="0"/>
            </w:tcBorders>
            <w:noWrap/>
            <w:vAlign w:val="center"/>
          </w:tcPr>
          <w:p w14:paraId="664A7AB3">
            <w:pPr>
              <w:widowControl/>
              <w:jc w:val="center"/>
              <w:rPr>
                <w:rFonts w:ascii="宋体" w:hAnsi="宋体" w:eastAsia="宋体" w:cs="宋体"/>
                <w:color w:val="auto"/>
                <w:kern w:val="0"/>
                <w:szCs w:val="21"/>
                <w:highlight w:val="none"/>
              </w:rPr>
            </w:pPr>
          </w:p>
        </w:tc>
        <w:tc>
          <w:tcPr>
            <w:tcW w:w="3220" w:type="dxa"/>
            <w:tcBorders>
              <w:top w:val="nil"/>
              <w:left w:val="nil"/>
              <w:bottom w:val="single" w:color="auto" w:sz="4" w:space="0"/>
              <w:right w:val="single" w:color="auto" w:sz="4" w:space="0"/>
            </w:tcBorders>
            <w:noWrap/>
            <w:vAlign w:val="center"/>
          </w:tcPr>
          <w:p w14:paraId="39982792">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1CFAC61">
        <w:tblPrEx>
          <w:tblCellMar>
            <w:top w:w="0" w:type="dxa"/>
            <w:left w:w="108" w:type="dxa"/>
            <w:bottom w:w="0" w:type="dxa"/>
            <w:right w:w="108" w:type="dxa"/>
          </w:tblCellMar>
        </w:tblPrEx>
        <w:trPr>
          <w:trHeight w:val="458" w:hRule="atLeast"/>
          <w:jc w:val="center"/>
        </w:trPr>
        <w:tc>
          <w:tcPr>
            <w:tcW w:w="1239" w:type="dxa"/>
            <w:tcBorders>
              <w:top w:val="nil"/>
              <w:left w:val="single" w:color="auto" w:sz="4" w:space="0"/>
              <w:bottom w:val="single" w:color="auto" w:sz="4" w:space="0"/>
              <w:right w:val="single" w:color="auto" w:sz="4" w:space="0"/>
            </w:tcBorders>
            <w:noWrap/>
            <w:vAlign w:val="center"/>
          </w:tcPr>
          <w:p w14:paraId="3D3E544A">
            <w:pPr>
              <w:widowControl/>
              <w:spacing w:after="120" w:line="480"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2</w:t>
            </w:r>
          </w:p>
        </w:tc>
        <w:tc>
          <w:tcPr>
            <w:tcW w:w="1740" w:type="dxa"/>
            <w:tcBorders>
              <w:top w:val="nil"/>
              <w:left w:val="nil"/>
              <w:bottom w:val="single" w:color="auto" w:sz="4" w:space="0"/>
              <w:right w:val="single" w:color="auto" w:sz="4" w:space="0"/>
            </w:tcBorders>
            <w:noWrap/>
            <w:vAlign w:val="center"/>
          </w:tcPr>
          <w:p w14:paraId="1F246550">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45" w:type="dxa"/>
            <w:tcBorders>
              <w:top w:val="nil"/>
              <w:left w:val="nil"/>
              <w:bottom w:val="single" w:color="auto" w:sz="4" w:space="0"/>
              <w:right w:val="single" w:color="auto" w:sz="4" w:space="0"/>
            </w:tcBorders>
            <w:noWrap/>
            <w:vAlign w:val="center"/>
          </w:tcPr>
          <w:p w14:paraId="055F0B4F">
            <w:pPr>
              <w:widowControl/>
              <w:jc w:val="center"/>
              <w:rPr>
                <w:rFonts w:ascii="宋体" w:hAnsi="宋体" w:eastAsia="宋体" w:cs="宋体"/>
                <w:color w:val="auto"/>
                <w:kern w:val="0"/>
                <w:szCs w:val="21"/>
                <w:highlight w:val="none"/>
              </w:rPr>
            </w:pPr>
          </w:p>
        </w:tc>
        <w:tc>
          <w:tcPr>
            <w:tcW w:w="1413" w:type="dxa"/>
            <w:tcBorders>
              <w:top w:val="nil"/>
              <w:left w:val="nil"/>
              <w:bottom w:val="single" w:color="auto" w:sz="4" w:space="0"/>
              <w:right w:val="single" w:color="auto" w:sz="4" w:space="0"/>
            </w:tcBorders>
            <w:noWrap/>
            <w:vAlign w:val="center"/>
          </w:tcPr>
          <w:p w14:paraId="0E2745EC">
            <w:pPr>
              <w:widowControl/>
              <w:jc w:val="center"/>
              <w:rPr>
                <w:rFonts w:ascii="宋体" w:hAnsi="宋体" w:eastAsia="宋体" w:cs="宋体"/>
                <w:color w:val="auto"/>
                <w:kern w:val="0"/>
                <w:szCs w:val="21"/>
                <w:highlight w:val="none"/>
              </w:rPr>
            </w:pPr>
          </w:p>
        </w:tc>
        <w:tc>
          <w:tcPr>
            <w:tcW w:w="3220" w:type="dxa"/>
            <w:tcBorders>
              <w:top w:val="nil"/>
              <w:left w:val="nil"/>
              <w:bottom w:val="single" w:color="auto" w:sz="4" w:space="0"/>
              <w:right w:val="single" w:color="auto" w:sz="4" w:space="0"/>
            </w:tcBorders>
            <w:noWrap/>
            <w:vAlign w:val="center"/>
          </w:tcPr>
          <w:p w14:paraId="13FCB2E0">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3ED89053">
        <w:tblPrEx>
          <w:tblCellMar>
            <w:top w:w="0" w:type="dxa"/>
            <w:left w:w="108" w:type="dxa"/>
            <w:bottom w:w="0" w:type="dxa"/>
            <w:right w:w="108" w:type="dxa"/>
          </w:tblCellMar>
        </w:tblPrEx>
        <w:trPr>
          <w:trHeight w:val="458" w:hRule="atLeast"/>
          <w:jc w:val="center"/>
        </w:trPr>
        <w:tc>
          <w:tcPr>
            <w:tcW w:w="1239" w:type="dxa"/>
            <w:tcBorders>
              <w:top w:val="nil"/>
              <w:left w:val="single" w:color="auto" w:sz="4" w:space="0"/>
              <w:bottom w:val="single" w:color="auto" w:sz="4" w:space="0"/>
              <w:right w:val="single" w:color="auto" w:sz="4" w:space="0"/>
            </w:tcBorders>
            <w:noWrap/>
            <w:vAlign w:val="center"/>
          </w:tcPr>
          <w:p w14:paraId="386BCDCD">
            <w:pPr>
              <w:widowControl/>
              <w:spacing w:after="120" w:line="480"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3</w:t>
            </w:r>
          </w:p>
        </w:tc>
        <w:tc>
          <w:tcPr>
            <w:tcW w:w="1740" w:type="dxa"/>
            <w:tcBorders>
              <w:top w:val="nil"/>
              <w:left w:val="nil"/>
              <w:bottom w:val="single" w:color="auto" w:sz="4" w:space="0"/>
              <w:right w:val="single" w:color="auto" w:sz="4" w:space="0"/>
            </w:tcBorders>
            <w:noWrap/>
            <w:vAlign w:val="center"/>
          </w:tcPr>
          <w:p w14:paraId="73288B43">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45" w:type="dxa"/>
            <w:tcBorders>
              <w:top w:val="nil"/>
              <w:left w:val="nil"/>
              <w:bottom w:val="single" w:color="auto" w:sz="4" w:space="0"/>
              <w:right w:val="single" w:color="auto" w:sz="4" w:space="0"/>
            </w:tcBorders>
            <w:noWrap/>
            <w:vAlign w:val="center"/>
          </w:tcPr>
          <w:p w14:paraId="7B6EA833">
            <w:pPr>
              <w:widowControl/>
              <w:jc w:val="center"/>
              <w:rPr>
                <w:rFonts w:ascii="宋体" w:hAnsi="宋体" w:eastAsia="宋体" w:cs="宋体"/>
                <w:color w:val="auto"/>
                <w:kern w:val="0"/>
                <w:szCs w:val="21"/>
                <w:highlight w:val="none"/>
              </w:rPr>
            </w:pPr>
          </w:p>
        </w:tc>
        <w:tc>
          <w:tcPr>
            <w:tcW w:w="1413" w:type="dxa"/>
            <w:tcBorders>
              <w:top w:val="nil"/>
              <w:left w:val="nil"/>
              <w:bottom w:val="single" w:color="auto" w:sz="4" w:space="0"/>
              <w:right w:val="single" w:color="auto" w:sz="4" w:space="0"/>
            </w:tcBorders>
            <w:noWrap/>
            <w:vAlign w:val="center"/>
          </w:tcPr>
          <w:p w14:paraId="19E0E908">
            <w:pPr>
              <w:widowControl/>
              <w:jc w:val="center"/>
              <w:rPr>
                <w:rFonts w:ascii="宋体" w:hAnsi="宋体" w:eastAsia="宋体" w:cs="宋体"/>
                <w:color w:val="auto"/>
                <w:kern w:val="0"/>
                <w:szCs w:val="21"/>
                <w:highlight w:val="none"/>
              </w:rPr>
            </w:pPr>
          </w:p>
        </w:tc>
        <w:tc>
          <w:tcPr>
            <w:tcW w:w="3220" w:type="dxa"/>
            <w:tcBorders>
              <w:top w:val="nil"/>
              <w:left w:val="nil"/>
              <w:bottom w:val="single" w:color="auto" w:sz="4" w:space="0"/>
              <w:right w:val="single" w:color="auto" w:sz="4" w:space="0"/>
            </w:tcBorders>
            <w:noWrap/>
            <w:vAlign w:val="center"/>
          </w:tcPr>
          <w:p w14:paraId="27C9C639">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7A2AB91B">
        <w:tblPrEx>
          <w:tblCellMar>
            <w:top w:w="0" w:type="dxa"/>
            <w:left w:w="108" w:type="dxa"/>
            <w:bottom w:w="0" w:type="dxa"/>
            <w:right w:w="108" w:type="dxa"/>
          </w:tblCellMar>
        </w:tblPrEx>
        <w:trPr>
          <w:trHeight w:val="458" w:hRule="atLeast"/>
          <w:jc w:val="center"/>
        </w:trPr>
        <w:tc>
          <w:tcPr>
            <w:tcW w:w="1239" w:type="dxa"/>
            <w:tcBorders>
              <w:top w:val="nil"/>
              <w:left w:val="single" w:color="auto" w:sz="4" w:space="0"/>
              <w:bottom w:val="single" w:color="auto" w:sz="4" w:space="0"/>
              <w:right w:val="single" w:color="auto" w:sz="4" w:space="0"/>
            </w:tcBorders>
            <w:noWrap/>
            <w:vAlign w:val="center"/>
          </w:tcPr>
          <w:p w14:paraId="375B245D">
            <w:pPr>
              <w:widowControl/>
              <w:spacing w:after="120" w:line="480" w:lineRule="auto"/>
              <w:jc w:val="center"/>
              <w:rPr>
                <w:rFonts w:ascii="宋体" w:hAnsi="宋体" w:eastAsia="宋体" w:cs="宋体"/>
                <w:color w:val="auto"/>
                <w:kern w:val="0"/>
                <w:szCs w:val="21"/>
                <w:highlight w:val="none"/>
              </w:rPr>
            </w:pPr>
            <w:r>
              <w:rPr>
                <w:rFonts w:ascii="宋体" w:hAnsi="宋体" w:eastAsia="宋体" w:cs="宋体"/>
                <w:color w:val="auto"/>
                <w:kern w:val="0"/>
                <w:szCs w:val="21"/>
                <w:highlight w:val="none"/>
              </w:rPr>
              <w:t>4</w:t>
            </w:r>
          </w:p>
        </w:tc>
        <w:tc>
          <w:tcPr>
            <w:tcW w:w="1740" w:type="dxa"/>
            <w:tcBorders>
              <w:top w:val="nil"/>
              <w:left w:val="nil"/>
              <w:bottom w:val="single" w:color="auto" w:sz="4" w:space="0"/>
              <w:right w:val="single" w:color="auto" w:sz="4" w:space="0"/>
            </w:tcBorders>
            <w:noWrap/>
            <w:vAlign w:val="center"/>
          </w:tcPr>
          <w:p w14:paraId="5BE18D4D">
            <w:pPr>
              <w:widowControl/>
              <w:jc w:val="center"/>
              <w:rPr>
                <w:rFonts w:ascii="宋体" w:hAnsi="宋体" w:eastAsia="宋体" w:cs="宋体"/>
                <w:color w:val="auto"/>
                <w:kern w:val="0"/>
                <w:szCs w:val="21"/>
                <w:highlight w:val="none"/>
              </w:rPr>
            </w:pPr>
          </w:p>
        </w:tc>
        <w:tc>
          <w:tcPr>
            <w:tcW w:w="1545" w:type="dxa"/>
            <w:tcBorders>
              <w:top w:val="nil"/>
              <w:left w:val="nil"/>
              <w:bottom w:val="single" w:color="auto" w:sz="4" w:space="0"/>
              <w:right w:val="single" w:color="auto" w:sz="4" w:space="0"/>
            </w:tcBorders>
            <w:noWrap/>
            <w:vAlign w:val="center"/>
          </w:tcPr>
          <w:p w14:paraId="391EEB4B">
            <w:pPr>
              <w:widowControl/>
              <w:jc w:val="center"/>
              <w:rPr>
                <w:rFonts w:ascii="宋体" w:hAnsi="宋体" w:eastAsia="宋体" w:cs="宋体"/>
                <w:color w:val="auto"/>
                <w:kern w:val="0"/>
                <w:szCs w:val="21"/>
                <w:highlight w:val="none"/>
              </w:rPr>
            </w:pPr>
          </w:p>
        </w:tc>
        <w:tc>
          <w:tcPr>
            <w:tcW w:w="1413" w:type="dxa"/>
            <w:tcBorders>
              <w:top w:val="nil"/>
              <w:left w:val="nil"/>
              <w:bottom w:val="single" w:color="auto" w:sz="4" w:space="0"/>
              <w:right w:val="single" w:color="auto" w:sz="4" w:space="0"/>
            </w:tcBorders>
            <w:noWrap/>
            <w:vAlign w:val="center"/>
          </w:tcPr>
          <w:p w14:paraId="2ED99446">
            <w:pPr>
              <w:widowControl/>
              <w:jc w:val="center"/>
              <w:rPr>
                <w:rFonts w:ascii="宋体" w:hAnsi="宋体" w:eastAsia="宋体" w:cs="宋体"/>
                <w:color w:val="auto"/>
                <w:kern w:val="0"/>
                <w:szCs w:val="21"/>
                <w:highlight w:val="none"/>
              </w:rPr>
            </w:pPr>
          </w:p>
        </w:tc>
        <w:tc>
          <w:tcPr>
            <w:tcW w:w="3220" w:type="dxa"/>
            <w:tcBorders>
              <w:top w:val="nil"/>
              <w:left w:val="nil"/>
              <w:bottom w:val="single" w:color="auto" w:sz="4" w:space="0"/>
              <w:right w:val="single" w:color="auto" w:sz="4" w:space="0"/>
            </w:tcBorders>
            <w:noWrap/>
            <w:vAlign w:val="center"/>
          </w:tcPr>
          <w:p w14:paraId="15D090EB">
            <w:pPr>
              <w:widowControl/>
              <w:jc w:val="center"/>
              <w:rPr>
                <w:rFonts w:ascii="宋体" w:hAnsi="宋体" w:eastAsia="宋体" w:cs="宋体"/>
                <w:color w:val="auto"/>
                <w:kern w:val="0"/>
                <w:szCs w:val="21"/>
                <w:highlight w:val="none"/>
              </w:rPr>
            </w:pPr>
          </w:p>
        </w:tc>
      </w:tr>
      <w:tr w14:paraId="442E8157">
        <w:tblPrEx>
          <w:tblCellMar>
            <w:top w:w="0" w:type="dxa"/>
            <w:left w:w="108" w:type="dxa"/>
            <w:bottom w:w="0" w:type="dxa"/>
            <w:right w:w="108" w:type="dxa"/>
          </w:tblCellMar>
        </w:tblPrEx>
        <w:trPr>
          <w:trHeight w:val="458" w:hRule="atLeast"/>
          <w:jc w:val="center"/>
        </w:trPr>
        <w:tc>
          <w:tcPr>
            <w:tcW w:w="1239" w:type="dxa"/>
            <w:tcBorders>
              <w:top w:val="nil"/>
              <w:left w:val="single" w:color="auto" w:sz="4" w:space="0"/>
              <w:bottom w:val="single" w:color="auto" w:sz="4" w:space="0"/>
              <w:right w:val="single" w:color="auto" w:sz="4" w:space="0"/>
            </w:tcBorders>
            <w:noWrap/>
            <w:vAlign w:val="center"/>
          </w:tcPr>
          <w:p w14:paraId="4B16F740">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tc>
        <w:tc>
          <w:tcPr>
            <w:tcW w:w="1740" w:type="dxa"/>
            <w:tcBorders>
              <w:top w:val="nil"/>
              <w:left w:val="nil"/>
              <w:bottom w:val="single" w:color="auto" w:sz="4" w:space="0"/>
              <w:right w:val="single" w:color="auto" w:sz="4" w:space="0"/>
            </w:tcBorders>
            <w:noWrap/>
            <w:vAlign w:val="center"/>
          </w:tcPr>
          <w:p w14:paraId="6B3AC88E">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c>
          <w:tcPr>
            <w:tcW w:w="1545" w:type="dxa"/>
            <w:tcBorders>
              <w:top w:val="nil"/>
              <w:left w:val="nil"/>
              <w:bottom w:val="single" w:color="auto" w:sz="4" w:space="0"/>
              <w:right w:val="single" w:color="auto" w:sz="4" w:space="0"/>
            </w:tcBorders>
            <w:noWrap/>
            <w:vAlign w:val="center"/>
          </w:tcPr>
          <w:p w14:paraId="177506D9">
            <w:pPr>
              <w:widowControl/>
              <w:jc w:val="center"/>
              <w:rPr>
                <w:rFonts w:ascii="宋体" w:hAnsi="宋体" w:eastAsia="宋体" w:cs="宋体"/>
                <w:color w:val="auto"/>
                <w:kern w:val="0"/>
                <w:szCs w:val="21"/>
                <w:highlight w:val="none"/>
              </w:rPr>
            </w:pPr>
          </w:p>
        </w:tc>
        <w:tc>
          <w:tcPr>
            <w:tcW w:w="1413" w:type="dxa"/>
            <w:tcBorders>
              <w:top w:val="nil"/>
              <w:left w:val="nil"/>
              <w:bottom w:val="single" w:color="auto" w:sz="4" w:space="0"/>
              <w:right w:val="single" w:color="auto" w:sz="4" w:space="0"/>
            </w:tcBorders>
            <w:noWrap/>
            <w:vAlign w:val="center"/>
          </w:tcPr>
          <w:p w14:paraId="18848BE8">
            <w:pPr>
              <w:widowControl/>
              <w:jc w:val="center"/>
              <w:rPr>
                <w:rFonts w:ascii="宋体" w:hAnsi="宋体" w:eastAsia="宋体" w:cs="宋体"/>
                <w:color w:val="auto"/>
                <w:kern w:val="0"/>
                <w:szCs w:val="21"/>
                <w:highlight w:val="none"/>
              </w:rPr>
            </w:pPr>
          </w:p>
        </w:tc>
        <w:tc>
          <w:tcPr>
            <w:tcW w:w="3220" w:type="dxa"/>
            <w:tcBorders>
              <w:top w:val="nil"/>
              <w:left w:val="nil"/>
              <w:bottom w:val="single" w:color="auto" w:sz="4" w:space="0"/>
              <w:right w:val="single" w:color="auto" w:sz="4" w:space="0"/>
            </w:tcBorders>
            <w:noWrap/>
            <w:vAlign w:val="center"/>
          </w:tcPr>
          <w:p w14:paraId="645C5F23">
            <w:pPr>
              <w:widowControl/>
              <w:spacing w:after="120" w:line="48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w:t>
            </w:r>
          </w:p>
        </w:tc>
      </w:tr>
      <w:tr w14:paraId="5AE178A8">
        <w:tblPrEx>
          <w:tblCellMar>
            <w:top w:w="0" w:type="dxa"/>
            <w:left w:w="108" w:type="dxa"/>
            <w:bottom w:w="0" w:type="dxa"/>
            <w:right w:w="108" w:type="dxa"/>
          </w:tblCellMar>
        </w:tblPrEx>
        <w:trPr>
          <w:trHeight w:val="2781" w:hRule="atLeast"/>
          <w:jc w:val="center"/>
        </w:trPr>
        <w:tc>
          <w:tcPr>
            <w:tcW w:w="9157" w:type="dxa"/>
            <w:gridSpan w:val="5"/>
            <w:tcBorders>
              <w:top w:val="single" w:color="auto" w:sz="4" w:space="0"/>
              <w:left w:val="single" w:color="auto" w:sz="4" w:space="0"/>
              <w:bottom w:val="single" w:color="auto" w:sz="4" w:space="0"/>
              <w:right w:val="single" w:color="auto" w:sz="4" w:space="0"/>
            </w:tcBorders>
            <w:vAlign w:val="center"/>
          </w:tcPr>
          <w:p w14:paraId="69CA5640">
            <w:pPr>
              <w:widowControl/>
              <w:spacing w:after="120" w:line="380" w:lineRule="exac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r>
              <w:rPr>
                <w:rFonts w:ascii="宋体" w:hAnsi="宋体" w:eastAsia="宋体" w:cs="宋体"/>
                <w:color w:val="auto"/>
                <w:kern w:val="0"/>
                <w:szCs w:val="21"/>
                <w:highlight w:val="none"/>
              </w:rPr>
              <w:t>1、“岗位”要求</w:t>
            </w:r>
            <w:r>
              <w:rPr>
                <w:rFonts w:hint="eastAsia" w:ascii="宋体" w:hAnsi="宋体" w:eastAsia="宋体" w:cs="宋体"/>
                <w:b/>
                <w:bCs/>
                <w:color w:val="auto"/>
                <w:kern w:val="0"/>
                <w:szCs w:val="21"/>
                <w:highlight w:val="none"/>
              </w:rPr>
              <w:t>（除项目负责人和专职安全员外）</w:t>
            </w:r>
            <w:r>
              <w:rPr>
                <w:rFonts w:hint="eastAsia" w:ascii="宋体" w:hAnsi="宋体" w:eastAsia="宋体" w:cs="宋体"/>
                <w:color w:val="auto"/>
                <w:kern w:val="0"/>
                <w:szCs w:val="21"/>
                <w:highlight w:val="none"/>
              </w:rPr>
              <w:t>由招标人根据项目管理需要在本表备注中明确提出，如：拟派驻施工现场的技术负责人、质量负责人、安全负责人、造价负责人、工民建（建筑、土木）工程师、机电工程师、暖通工程师、给排水工程师、施工员、质量员、安全员、资料员等。以上项目管理团队人员信息将由交易系统提取后供各相关单位在履约时比对、查核。</w:t>
            </w:r>
          </w:p>
          <w:p w14:paraId="20D5AFBF">
            <w:pPr>
              <w:widowControl/>
              <w:spacing w:line="380" w:lineRule="exact"/>
              <w:rPr>
                <w:rFonts w:ascii="宋体" w:hAnsi="宋体" w:eastAsia="宋体" w:cs="宋体"/>
                <w:color w:val="auto"/>
                <w:kern w:val="0"/>
                <w:szCs w:val="21"/>
                <w:highlight w:val="none"/>
              </w:rPr>
            </w:pPr>
            <w:r>
              <w:rPr>
                <w:rFonts w:ascii="宋体" w:hAnsi="宋体" w:eastAsia="宋体" w:cs="宋体"/>
                <w:color w:val="auto"/>
                <w:kern w:val="0"/>
                <w:szCs w:val="21"/>
                <w:highlight w:val="none"/>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14:paraId="0CEDB20A">
            <w:pPr>
              <w:widowControl/>
              <w:spacing w:line="380" w:lineRule="exact"/>
              <w:rPr>
                <w:rFonts w:ascii="宋体" w:hAnsi="宋体" w:eastAsia="宋体" w:cs="宋体"/>
                <w:color w:val="auto"/>
                <w:kern w:val="0"/>
                <w:szCs w:val="21"/>
                <w:highlight w:val="none"/>
              </w:rPr>
            </w:pPr>
            <w:r>
              <w:rPr>
                <w:rFonts w:ascii="宋体" w:hAnsi="宋体" w:eastAsia="宋体" w:cs="宋体"/>
                <w:color w:val="auto"/>
                <w:kern w:val="0"/>
                <w:szCs w:val="21"/>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14:paraId="24709C93">
      <w:pPr>
        <w:topLinePunct/>
        <w:adjustRightInd w:val="0"/>
        <w:snapToGrid w:val="0"/>
        <w:spacing w:line="360" w:lineRule="auto"/>
        <w:rPr>
          <w:rFonts w:ascii="宋体" w:hAnsi="宋体" w:eastAsia="宋体" w:cs="宋体"/>
          <w:color w:val="auto"/>
          <w:spacing w:val="4"/>
          <w:kern w:val="0"/>
          <w:sz w:val="22"/>
          <w:highlight w:val="none"/>
        </w:rPr>
      </w:pPr>
      <w:r>
        <w:rPr>
          <w:rFonts w:hint="eastAsia" w:ascii="宋体" w:hAnsi="宋体" w:eastAsia="宋体" w:cs="宋体"/>
          <w:color w:val="auto"/>
          <w:spacing w:val="4"/>
          <w:kern w:val="0"/>
          <w:sz w:val="22"/>
          <w:highlight w:val="none"/>
        </w:rPr>
        <w:t>注：</w:t>
      </w:r>
    </w:p>
    <w:p w14:paraId="79767D30">
      <w:pPr>
        <w:topLinePunct/>
        <w:adjustRightInd w:val="0"/>
        <w:snapToGrid w:val="0"/>
        <w:spacing w:line="360" w:lineRule="auto"/>
        <w:rPr>
          <w:rFonts w:ascii="宋体" w:hAnsi="宋体" w:eastAsia="宋体" w:cs="宋体"/>
          <w:color w:val="auto"/>
          <w:spacing w:val="4"/>
          <w:kern w:val="0"/>
          <w:sz w:val="22"/>
          <w:highlight w:val="none"/>
        </w:rPr>
      </w:pPr>
      <w:r>
        <w:rPr>
          <w:rFonts w:ascii="宋体" w:hAnsi="宋体" w:eastAsia="宋体" w:cs="宋体"/>
          <w:color w:val="auto"/>
          <w:spacing w:val="4"/>
          <w:kern w:val="0"/>
          <w:sz w:val="22"/>
          <w:highlight w:val="none"/>
        </w:rPr>
        <w:t>1.本表投标人视本工程具体情况结合招标人对本工程的具体要求自行配备。</w:t>
      </w:r>
    </w:p>
    <w:p w14:paraId="6DAB7B3B">
      <w:pPr>
        <w:topLinePunct/>
        <w:adjustRightInd w:val="0"/>
        <w:snapToGrid w:val="0"/>
        <w:spacing w:line="360" w:lineRule="auto"/>
        <w:rPr>
          <w:rFonts w:ascii="宋体" w:hAnsi="宋体" w:eastAsia="宋体" w:cs="宋体"/>
          <w:color w:val="auto"/>
          <w:spacing w:val="4"/>
          <w:kern w:val="0"/>
          <w:sz w:val="22"/>
          <w:highlight w:val="none"/>
        </w:rPr>
      </w:pPr>
      <w:r>
        <w:rPr>
          <w:rFonts w:ascii="宋体" w:hAnsi="宋体" w:eastAsia="宋体" w:cs="宋体"/>
          <w:color w:val="auto"/>
          <w:spacing w:val="4"/>
          <w:kern w:val="0"/>
          <w:sz w:val="22"/>
          <w:highlight w:val="none"/>
        </w:rPr>
        <w:t>2.上述人员须为投标单位人员，并须提供</w:t>
      </w:r>
      <w:r>
        <w:rPr>
          <w:rFonts w:hint="eastAsia" w:ascii="宋体" w:hAnsi="宋体" w:eastAsia="宋体" w:cs="宋体"/>
          <w:color w:val="auto"/>
          <w:spacing w:val="4"/>
          <w:kern w:val="0"/>
          <w:sz w:val="22"/>
          <w:highlight w:val="none"/>
        </w:rPr>
        <w:t>离投标截止时间最近的至少</w:t>
      </w:r>
      <w:r>
        <w:rPr>
          <w:rFonts w:ascii="宋体" w:hAnsi="宋体" w:eastAsia="宋体" w:cs="宋体"/>
          <w:color w:val="auto"/>
          <w:spacing w:val="4"/>
          <w:kern w:val="0"/>
          <w:sz w:val="22"/>
          <w:highlight w:val="none"/>
        </w:rPr>
        <w:t>1个月（2025年</w:t>
      </w:r>
      <w:r>
        <w:rPr>
          <w:rFonts w:hint="eastAsia" w:ascii="宋体" w:hAnsi="宋体" w:eastAsia="宋体" w:cs="宋体"/>
          <w:color w:val="auto"/>
          <w:spacing w:val="4"/>
          <w:kern w:val="0"/>
          <w:sz w:val="22"/>
          <w:highlight w:val="none"/>
        </w:rPr>
        <w:t>9</w:t>
      </w:r>
      <w:r>
        <w:rPr>
          <w:rFonts w:ascii="宋体" w:hAnsi="宋体" w:eastAsia="宋体" w:cs="宋体"/>
          <w:color w:val="auto"/>
          <w:spacing w:val="4"/>
          <w:kern w:val="0"/>
          <w:sz w:val="22"/>
          <w:highlight w:val="none"/>
        </w:rPr>
        <w:t>月或</w:t>
      </w:r>
      <w:r>
        <w:rPr>
          <w:rFonts w:hint="eastAsia" w:ascii="宋体" w:hAnsi="宋体" w:eastAsia="宋体" w:cs="宋体"/>
          <w:color w:val="auto"/>
          <w:spacing w:val="4"/>
          <w:kern w:val="0"/>
          <w:sz w:val="22"/>
          <w:highlight w:val="none"/>
        </w:rPr>
        <w:t>10</w:t>
      </w:r>
      <w:r>
        <w:rPr>
          <w:rFonts w:ascii="宋体" w:hAnsi="宋体" w:eastAsia="宋体" w:cs="宋体"/>
          <w:color w:val="auto"/>
          <w:spacing w:val="4"/>
          <w:kern w:val="0"/>
          <w:sz w:val="22"/>
          <w:highlight w:val="none"/>
        </w:rPr>
        <w:t>月）在本单位缴纳的</w:t>
      </w:r>
      <w:r>
        <w:rPr>
          <w:rFonts w:hint="eastAsia" w:ascii="宋体" w:hAnsi="宋体" w:eastAsia="宋体" w:cs="宋体"/>
          <w:color w:val="auto"/>
          <w:spacing w:val="4"/>
          <w:kern w:val="0"/>
          <w:sz w:val="22"/>
          <w:highlight w:val="none"/>
        </w:rPr>
        <w:t>社保证明文件</w:t>
      </w:r>
      <w:r>
        <w:rPr>
          <w:rFonts w:hint="eastAsia" w:ascii="宋体" w:hAnsi="宋体" w:eastAsia="宋体" w:cs="宋体"/>
          <w:color w:val="auto"/>
          <w:spacing w:val="4"/>
          <w:kern w:val="0"/>
          <w:sz w:val="22"/>
          <w:highlight w:val="none"/>
        </w:rPr>
        <w:t>。</w:t>
      </w:r>
    </w:p>
    <w:p w14:paraId="2CCB8A43">
      <w:pPr>
        <w:topLinePunct/>
        <w:adjustRightInd w:val="0"/>
        <w:snapToGrid w:val="0"/>
        <w:spacing w:line="360" w:lineRule="auto"/>
        <w:rPr>
          <w:rFonts w:ascii="宋体" w:hAnsi="宋体" w:eastAsia="宋体" w:cs="宋体"/>
          <w:color w:val="auto"/>
          <w:spacing w:val="4"/>
          <w:kern w:val="0"/>
          <w:sz w:val="22"/>
          <w:highlight w:val="none"/>
        </w:rPr>
      </w:pPr>
      <w:r>
        <w:rPr>
          <w:rFonts w:ascii="宋体" w:hAnsi="宋体" w:eastAsia="宋体" w:cs="宋体"/>
          <w:color w:val="auto"/>
          <w:spacing w:val="4"/>
          <w:kern w:val="0"/>
          <w:sz w:val="22"/>
          <w:highlight w:val="none"/>
        </w:rPr>
        <w:t>3.上述人员须按招标公告相应要求提供相关证明资料。</w:t>
      </w:r>
    </w:p>
    <w:p w14:paraId="75490EA4">
      <w:pPr>
        <w:topLinePunct/>
        <w:adjustRightInd w:val="0"/>
        <w:snapToGrid w:val="0"/>
        <w:spacing w:line="360" w:lineRule="auto"/>
        <w:rPr>
          <w:rFonts w:ascii="宋体" w:hAnsi="宋体" w:eastAsia="宋体" w:cs="宋体"/>
          <w:color w:val="auto"/>
          <w:spacing w:val="4"/>
          <w:kern w:val="0"/>
          <w:sz w:val="22"/>
          <w:highlight w:val="none"/>
        </w:rPr>
      </w:pPr>
      <w:r>
        <w:rPr>
          <w:rFonts w:ascii="宋体" w:hAnsi="宋体" w:eastAsia="宋体" w:cs="宋体"/>
          <w:color w:val="auto"/>
          <w:spacing w:val="4"/>
          <w:kern w:val="0"/>
          <w:sz w:val="22"/>
          <w:highlight w:val="none"/>
        </w:rPr>
        <w:t>4.本表中填报的所有人员均需接《主要人员简历表》格式要求提交《主要人员简历表》。</w:t>
      </w:r>
    </w:p>
    <w:p w14:paraId="52199A73">
      <w:pPr>
        <w:topLinePunct/>
        <w:adjustRightInd w:val="0"/>
        <w:snapToGrid w:val="0"/>
        <w:spacing w:line="360" w:lineRule="auto"/>
        <w:ind w:firstLine="3596" w:firstLineChars="1450"/>
        <w:rPr>
          <w:rFonts w:ascii="宋体" w:hAnsi="宋体" w:eastAsia="宋体" w:cs="宋体"/>
          <w:color w:val="auto"/>
          <w:spacing w:val="4"/>
          <w:kern w:val="0"/>
          <w:sz w:val="24"/>
          <w:highlight w:val="none"/>
        </w:rPr>
      </w:pPr>
      <w:r>
        <w:rPr>
          <w:rFonts w:hint="eastAsia" w:ascii="宋体" w:hAnsi="宋体" w:eastAsia="宋体" w:cs="宋体"/>
          <w:color w:val="auto"/>
          <w:spacing w:val="4"/>
          <w:kern w:val="0"/>
          <w:sz w:val="24"/>
          <w:highlight w:val="none"/>
        </w:rPr>
        <w:t>投标人（盖章）：</w:t>
      </w:r>
    </w:p>
    <w:p w14:paraId="3A88FC6F">
      <w:pPr>
        <w:topLinePunct/>
        <w:adjustRightInd w:val="0"/>
        <w:snapToGrid w:val="0"/>
        <w:spacing w:line="360" w:lineRule="auto"/>
        <w:ind w:firstLine="3596" w:firstLineChars="1450"/>
        <w:rPr>
          <w:rFonts w:ascii="宋体" w:hAnsi="宋体" w:eastAsia="宋体" w:cs="宋体"/>
          <w:color w:val="auto"/>
          <w:spacing w:val="4"/>
          <w:kern w:val="0"/>
          <w:sz w:val="24"/>
          <w:highlight w:val="none"/>
        </w:rPr>
      </w:pPr>
      <w:r>
        <w:rPr>
          <w:rFonts w:hint="eastAsia" w:ascii="宋体" w:hAnsi="宋体" w:eastAsia="宋体" w:cs="宋体"/>
          <w:color w:val="auto"/>
          <w:spacing w:val="4"/>
          <w:kern w:val="0"/>
          <w:sz w:val="24"/>
          <w:highlight w:val="none"/>
        </w:rPr>
        <w:t>日期：</w:t>
      </w:r>
      <w:r>
        <w:rPr>
          <w:rFonts w:ascii="宋体" w:hAnsi="宋体" w:eastAsia="宋体" w:cs="宋体"/>
          <w:color w:val="auto"/>
          <w:spacing w:val="4"/>
          <w:kern w:val="0"/>
          <w:sz w:val="24"/>
          <w:highlight w:val="none"/>
        </w:rPr>
        <w:t xml:space="preserve">     </w:t>
      </w:r>
      <w:r>
        <w:rPr>
          <w:rFonts w:hint="eastAsia" w:ascii="宋体" w:hAnsi="宋体" w:eastAsia="宋体" w:cs="宋体"/>
          <w:color w:val="auto"/>
          <w:spacing w:val="4"/>
          <w:kern w:val="0"/>
          <w:sz w:val="24"/>
          <w:highlight w:val="none"/>
        </w:rPr>
        <w:t>年</w:t>
      </w:r>
      <w:r>
        <w:rPr>
          <w:rFonts w:ascii="宋体" w:hAnsi="宋体" w:eastAsia="宋体" w:cs="宋体"/>
          <w:color w:val="auto"/>
          <w:spacing w:val="4"/>
          <w:kern w:val="0"/>
          <w:sz w:val="24"/>
          <w:highlight w:val="none"/>
        </w:rPr>
        <w:t xml:space="preserve">   </w:t>
      </w:r>
      <w:r>
        <w:rPr>
          <w:rFonts w:hint="eastAsia" w:ascii="宋体" w:hAnsi="宋体" w:eastAsia="宋体" w:cs="宋体"/>
          <w:color w:val="auto"/>
          <w:spacing w:val="4"/>
          <w:kern w:val="0"/>
          <w:sz w:val="24"/>
          <w:highlight w:val="none"/>
        </w:rPr>
        <w:t>月</w:t>
      </w:r>
      <w:r>
        <w:rPr>
          <w:rFonts w:ascii="宋体" w:hAnsi="宋体" w:eastAsia="宋体" w:cs="宋体"/>
          <w:color w:val="auto"/>
          <w:spacing w:val="4"/>
          <w:kern w:val="0"/>
          <w:sz w:val="24"/>
          <w:highlight w:val="none"/>
        </w:rPr>
        <w:t xml:space="preserve">   </w:t>
      </w:r>
      <w:r>
        <w:rPr>
          <w:rFonts w:hint="eastAsia" w:ascii="宋体" w:hAnsi="宋体" w:eastAsia="宋体" w:cs="宋体"/>
          <w:color w:val="auto"/>
          <w:spacing w:val="4"/>
          <w:kern w:val="0"/>
          <w:sz w:val="24"/>
          <w:highlight w:val="none"/>
        </w:rPr>
        <w:t>日</w:t>
      </w:r>
    </w:p>
    <w:p w14:paraId="3CEDB1D0">
      <w:pPr>
        <w:pStyle w:val="46"/>
        <w:snapToGrid w:val="0"/>
        <w:spacing w:line="360" w:lineRule="auto"/>
        <w:rPr>
          <w:rFonts w:hAnsi="宋体" w:eastAsia="宋体" w:cs="宋体"/>
          <w:color w:val="auto"/>
          <w:sz w:val="24"/>
          <w:highlight w:val="none"/>
        </w:rPr>
      </w:pPr>
      <w:r>
        <w:rPr>
          <w:rFonts w:hint="eastAsia" w:hAnsi="宋体" w:eastAsia="宋体" w:cs="宋体"/>
          <w:color w:val="auto"/>
          <w:sz w:val="24"/>
          <w:highlight w:val="none"/>
        </w:rPr>
        <w:t>技术标</w:t>
      </w:r>
      <w:r>
        <w:rPr>
          <w:rFonts w:hint="eastAsia" w:hAnsi="宋体" w:eastAsia="宋体" w:cs="宋体"/>
          <w:bCs/>
          <w:color w:val="auto"/>
          <w:sz w:val="24"/>
          <w:highlight w:val="none"/>
        </w:rPr>
        <w:t>格式八</w:t>
      </w:r>
    </w:p>
    <w:p w14:paraId="6265D4B7">
      <w:pPr>
        <w:topLinePunct/>
        <w:adjustRightInd w:val="0"/>
        <w:snapToGrid w:val="0"/>
        <w:spacing w:line="360" w:lineRule="auto"/>
        <w:jc w:val="center"/>
        <w:rPr>
          <w:rFonts w:ascii="宋体" w:hAnsi="宋体" w:eastAsia="宋体" w:cs="宋体"/>
          <w:bCs/>
          <w:color w:val="auto"/>
          <w:spacing w:val="4"/>
          <w:kern w:val="0"/>
          <w:sz w:val="24"/>
          <w:highlight w:val="none"/>
        </w:rPr>
      </w:pPr>
    </w:p>
    <w:p w14:paraId="18BD20FD">
      <w:pPr>
        <w:topLinePunct/>
        <w:adjustRightInd w:val="0"/>
        <w:snapToGrid w:val="0"/>
        <w:spacing w:line="360" w:lineRule="auto"/>
        <w:jc w:val="center"/>
        <w:rPr>
          <w:rFonts w:ascii="宋体" w:hAnsi="宋体" w:eastAsia="宋体" w:cs="宋体"/>
          <w:b/>
          <w:color w:val="auto"/>
          <w:spacing w:val="4"/>
          <w:kern w:val="0"/>
          <w:sz w:val="36"/>
          <w:szCs w:val="36"/>
          <w:highlight w:val="none"/>
        </w:rPr>
      </w:pPr>
      <w:r>
        <w:rPr>
          <w:rFonts w:hint="eastAsia" w:ascii="宋体" w:hAnsi="宋体" w:eastAsia="宋体" w:cs="宋体"/>
          <w:b/>
          <w:color w:val="auto"/>
          <w:spacing w:val="4"/>
          <w:kern w:val="0"/>
          <w:sz w:val="36"/>
          <w:szCs w:val="36"/>
          <w:highlight w:val="none"/>
        </w:rPr>
        <w:t>主要人员简历表</w:t>
      </w:r>
    </w:p>
    <w:p w14:paraId="6ECEAA90">
      <w:pPr>
        <w:topLinePunct/>
        <w:adjustRightInd w:val="0"/>
        <w:snapToGrid w:val="0"/>
        <w:spacing w:line="360" w:lineRule="auto"/>
        <w:rPr>
          <w:rFonts w:ascii="宋体" w:hAnsi="宋体" w:eastAsia="宋体" w:cs="宋体"/>
          <w:color w:val="auto"/>
          <w:spacing w:val="4"/>
          <w:kern w:val="0"/>
          <w:sz w:val="24"/>
          <w:highlight w:val="none"/>
        </w:rPr>
      </w:pPr>
      <w:r>
        <w:rPr>
          <w:rFonts w:hint="eastAsia" w:ascii="宋体" w:hAnsi="宋体" w:eastAsia="宋体" w:cs="宋体"/>
          <w:color w:val="auto"/>
          <w:spacing w:val="4"/>
          <w:kern w:val="0"/>
          <w:sz w:val="24"/>
          <w:highlight w:val="none"/>
        </w:rPr>
        <w:t>工程名称：</w:t>
      </w:r>
    </w:p>
    <w:tbl>
      <w:tblPr>
        <w:tblStyle w:val="88"/>
        <w:tblW w:w="5000" w:type="pct"/>
        <w:jc w:val="center"/>
        <w:tblCellSpacing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60" w:type="dxa"/>
          <w:left w:w="60" w:type="dxa"/>
          <w:bottom w:w="60" w:type="dxa"/>
          <w:right w:w="60" w:type="dxa"/>
        </w:tblCellMar>
      </w:tblPr>
      <w:tblGrid>
        <w:gridCol w:w="1100"/>
        <w:gridCol w:w="1351"/>
        <w:gridCol w:w="927"/>
        <w:gridCol w:w="518"/>
        <w:gridCol w:w="196"/>
        <w:gridCol w:w="1384"/>
        <w:gridCol w:w="1009"/>
        <w:gridCol w:w="1291"/>
        <w:gridCol w:w="1390"/>
      </w:tblGrid>
      <w:tr w14:paraId="1DEB9F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20" w:hRule="atLeast"/>
          <w:tblCellSpacing w:w="0" w:type="dxa"/>
          <w:jc w:val="center"/>
        </w:trPr>
        <w:tc>
          <w:tcPr>
            <w:tcW w:w="599" w:type="pct"/>
            <w:tcBorders>
              <w:tl2br w:val="nil"/>
              <w:tr2bl w:val="nil"/>
            </w:tcBorders>
            <w:noWrap/>
            <w:vAlign w:val="center"/>
          </w:tcPr>
          <w:p w14:paraId="470B601F">
            <w:pPr>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737" w:type="pct"/>
            <w:tcBorders>
              <w:tl2br w:val="nil"/>
              <w:tr2bl w:val="nil"/>
            </w:tcBorders>
            <w:noWrap/>
            <w:vAlign w:val="center"/>
          </w:tcPr>
          <w:p w14:paraId="5BF49833">
            <w:pPr>
              <w:snapToGrid w:val="0"/>
              <w:spacing w:line="360" w:lineRule="auto"/>
              <w:jc w:val="left"/>
              <w:rPr>
                <w:rFonts w:ascii="宋体" w:hAnsi="宋体" w:eastAsia="宋体" w:cs="宋体"/>
                <w:color w:val="auto"/>
                <w:sz w:val="24"/>
                <w:highlight w:val="none"/>
              </w:rPr>
            </w:pPr>
          </w:p>
        </w:tc>
        <w:tc>
          <w:tcPr>
            <w:tcW w:w="506" w:type="pct"/>
            <w:tcBorders>
              <w:tl2br w:val="nil"/>
              <w:tr2bl w:val="nil"/>
            </w:tcBorders>
            <w:noWrap/>
            <w:vAlign w:val="center"/>
          </w:tcPr>
          <w:p w14:paraId="0662F43B">
            <w:pPr>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性别</w:t>
            </w:r>
          </w:p>
        </w:tc>
        <w:tc>
          <w:tcPr>
            <w:tcW w:w="1144" w:type="pct"/>
            <w:gridSpan w:val="3"/>
            <w:tcBorders>
              <w:tl2br w:val="nil"/>
              <w:tr2bl w:val="nil"/>
            </w:tcBorders>
            <w:noWrap/>
            <w:vAlign w:val="center"/>
          </w:tcPr>
          <w:p w14:paraId="7F3B0163">
            <w:pPr>
              <w:snapToGrid w:val="0"/>
              <w:spacing w:line="360" w:lineRule="auto"/>
              <w:jc w:val="left"/>
              <w:rPr>
                <w:rFonts w:ascii="宋体" w:hAnsi="宋体" w:eastAsia="宋体" w:cs="宋体"/>
                <w:color w:val="auto"/>
                <w:sz w:val="24"/>
                <w:highlight w:val="none"/>
              </w:rPr>
            </w:pPr>
          </w:p>
        </w:tc>
        <w:tc>
          <w:tcPr>
            <w:tcW w:w="1254" w:type="pct"/>
            <w:gridSpan w:val="2"/>
            <w:tcBorders>
              <w:tl2br w:val="nil"/>
              <w:tr2bl w:val="nil"/>
            </w:tcBorders>
            <w:noWrap/>
            <w:vAlign w:val="center"/>
          </w:tcPr>
          <w:p w14:paraId="3FC18B21">
            <w:pPr>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年龄</w:t>
            </w:r>
          </w:p>
        </w:tc>
        <w:tc>
          <w:tcPr>
            <w:tcW w:w="757" w:type="pct"/>
            <w:tcBorders>
              <w:tl2br w:val="nil"/>
              <w:tr2bl w:val="nil"/>
            </w:tcBorders>
            <w:noWrap/>
            <w:vAlign w:val="center"/>
          </w:tcPr>
          <w:p w14:paraId="55518113">
            <w:pPr>
              <w:snapToGrid w:val="0"/>
              <w:spacing w:line="360" w:lineRule="auto"/>
              <w:jc w:val="left"/>
              <w:rPr>
                <w:rFonts w:ascii="宋体" w:hAnsi="宋体" w:eastAsia="宋体" w:cs="宋体"/>
                <w:color w:val="auto"/>
                <w:sz w:val="24"/>
                <w:highlight w:val="none"/>
              </w:rPr>
            </w:pPr>
          </w:p>
        </w:tc>
      </w:tr>
      <w:tr w14:paraId="1D7B72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1925539D">
            <w:pPr>
              <w:snapToGrid w:val="0"/>
              <w:spacing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737" w:type="pct"/>
            <w:tcBorders>
              <w:tl2br w:val="nil"/>
              <w:tr2bl w:val="nil"/>
            </w:tcBorders>
            <w:noWrap/>
            <w:vAlign w:val="center"/>
          </w:tcPr>
          <w:p w14:paraId="672C5DBD">
            <w:pPr>
              <w:snapToGrid w:val="0"/>
              <w:spacing w:line="360" w:lineRule="auto"/>
              <w:jc w:val="left"/>
              <w:rPr>
                <w:rFonts w:ascii="宋体" w:hAnsi="宋体" w:eastAsia="宋体" w:cs="宋体"/>
                <w:color w:val="auto"/>
                <w:sz w:val="24"/>
                <w:highlight w:val="none"/>
              </w:rPr>
            </w:pPr>
          </w:p>
        </w:tc>
        <w:tc>
          <w:tcPr>
            <w:tcW w:w="506" w:type="pct"/>
            <w:tcBorders>
              <w:tl2br w:val="nil"/>
              <w:tr2bl w:val="nil"/>
            </w:tcBorders>
            <w:noWrap/>
            <w:vAlign w:val="center"/>
          </w:tcPr>
          <w:p w14:paraId="7B9933E7">
            <w:pPr>
              <w:snapToGrid w:val="0"/>
              <w:spacing w:after="120"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职称</w:t>
            </w:r>
          </w:p>
        </w:tc>
        <w:tc>
          <w:tcPr>
            <w:tcW w:w="1144" w:type="pct"/>
            <w:gridSpan w:val="3"/>
            <w:tcBorders>
              <w:tl2br w:val="nil"/>
              <w:tr2bl w:val="nil"/>
            </w:tcBorders>
            <w:noWrap/>
            <w:vAlign w:val="center"/>
          </w:tcPr>
          <w:p w14:paraId="29D4F058">
            <w:pPr>
              <w:snapToGrid w:val="0"/>
              <w:spacing w:line="360" w:lineRule="auto"/>
              <w:jc w:val="left"/>
              <w:rPr>
                <w:rFonts w:ascii="宋体" w:hAnsi="宋体" w:eastAsia="宋体" w:cs="宋体"/>
                <w:color w:val="auto"/>
                <w:sz w:val="24"/>
                <w:highlight w:val="none"/>
              </w:rPr>
            </w:pPr>
          </w:p>
        </w:tc>
        <w:tc>
          <w:tcPr>
            <w:tcW w:w="1254" w:type="pct"/>
            <w:gridSpan w:val="2"/>
            <w:tcBorders>
              <w:tl2br w:val="nil"/>
              <w:tr2bl w:val="nil"/>
            </w:tcBorders>
            <w:noWrap/>
            <w:vAlign w:val="center"/>
          </w:tcPr>
          <w:p w14:paraId="595ED332">
            <w:pPr>
              <w:snapToGrid w:val="0"/>
              <w:spacing w:after="120"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学历</w:t>
            </w:r>
          </w:p>
        </w:tc>
        <w:tc>
          <w:tcPr>
            <w:tcW w:w="757" w:type="pct"/>
            <w:tcBorders>
              <w:tl2br w:val="nil"/>
              <w:tr2bl w:val="nil"/>
            </w:tcBorders>
            <w:noWrap/>
            <w:vAlign w:val="center"/>
          </w:tcPr>
          <w:p w14:paraId="0C10CDE2">
            <w:pPr>
              <w:snapToGrid w:val="0"/>
              <w:spacing w:line="360" w:lineRule="auto"/>
              <w:jc w:val="left"/>
              <w:rPr>
                <w:rFonts w:ascii="宋体" w:hAnsi="宋体" w:eastAsia="宋体" w:cs="宋体"/>
                <w:color w:val="auto"/>
                <w:sz w:val="24"/>
                <w:highlight w:val="none"/>
              </w:rPr>
            </w:pPr>
          </w:p>
        </w:tc>
      </w:tr>
      <w:tr w14:paraId="4508C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3D2426C2">
            <w:pPr>
              <w:snapToGrid w:val="0"/>
              <w:spacing w:after="120"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参加工作时间</w:t>
            </w:r>
          </w:p>
        </w:tc>
        <w:tc>
          <w:tcPr>
            <w:tcW w:w="896" w:type="pct"/>
            <w:gridSpan w:val="3"/>
            <w:tcBorders>
              <w:tl2br w:val="nil"/>
              <w:tr2bl w:val="nil"/>
            </w:tcBorders>
            <w:noWrap/>
            <w:vAlign w:val="center"/>
          </w:tcPr>
          <w:p w14:paraId="3DADF136">
            <w:pPr>
              <w:snapToGrid w:val="0"/>
              <w:spacing w:line="360" w:lineRule="auto"/>
              <w:jc w:val="left"/>
              <w:rPr>
                <w:rFonts w:ascii="宋体" w:hAnsi="宋体" w:eastAsia="宋体" w:cs="宋体"/>
                <w:color w:val="auto"/>
                <w:sz w:val="24"/>
                <w:highlight w:val="none"/>
              </w:rPr>
            </w:pPr>
          </w:p>
        </w:tc>
        <w:tc>
          <w:tcPr>
            <w:tcW w:w="1304" w:type="pct"/>
            <w:gridSpan w:val="2"/>
            <w:tcBorders>
              <w:tl2br w:val="nil"/>
              <w:tr2bl w:val="nil"/>
            </w:tcBorders>
            <w:noWrap/>
            <w:vAlign w:val="center"/>
          </w:tcPr>
          <w:p w14:paraId="098861D5">
            <w:pPr>
              <w:snapToGrid w:val="0"/>
              <w:spacing w:after="120"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担任相应职务年限</w:t>
            </w:r>
          </w:p>
        </w:tc>
        <w:tc>
          <w:tcPr>
            <w:tcW w:w="1462" w:type="pct"/>
            <w:gridSpan w:val="2"/>
            <w:tcBorders>
              <w:tl2br w:val="nil"/>
              <w:tr2bl w:val="nil"/>
            </w:tcBorders>
            <w:noWrap/>
            <w:vAlign w:val="center"/>
          </w:tcPr>
          <w:p w14:paraId="74082F06">
            <w:pPr>
              <w:snapToGrid w:val="0"/>
              <w:spacing w:line="360" w:lineRule="auto"/>
              <w:jc w:val="left"/>
              <w:rPr>
                <w:rFonts w:ascii="宋体" w:hAnsi="宋体" w:eastAsia="宋体" w:cs="宋体"/>
                <w:color w:val="auto"/>
                <w:sz w:val="24"/>
                <w:highlight w:val="none"/>
              </w:rPr>
            </w:pPr>
          </w:p>
        </w:tc>
      </w:tr>
      <w:tr w14:paraId="58EC55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2A6D7680">
            <w:pPr>
              <w:snapToGrid w:val="0"/>
              <w:spacing w:after="120"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毕业学校</w:t>
            </w:r>
          </w:p>
        </w:tc>
        <w:tc>
          <w:tcPr>
            <w:tcW w:w="3662" w:type="pct"/>
            <w:gridSpan w:val="7"/>
            <w:tcBorders>
              <w:tl2br w:val="nil"/>
              <w:tr2bl w:val="nil"/>
            </w:tcBorders>
            <w:noWrap/>
            <w:vAlign w:val="center"/>
          </w:tcPr>
          <w:p w14:paraId="38DA0274">
            <w:pPr>
              <w:snapToGrid w:val="0"/>
              <w:spacing w:after="120"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年月毕业于学校系，学制年</w:t>
            </w:r>
          </w:p>
        </w:tc>
      </w:tr>
      <w:tr w14:paraId="344F0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1337" w:type="pct"/>
            <w:gridSpan w:val="2"/>
            <w:tcBorders>
              <w:tl2br w:val="nil"/>
              <w:tr2bl w:val="nil"/>
            </w:tcBorders>
            <w:noWrap/>
            <w:vAlign w:val="center"/>
          </w:tcPr>
          <w:p w14:paraId="5417765C">
            <w:pPr>
              <w:snapToGrid w:val="0"/>
              <w:spacing w:after="120" w:line="360" w:lineRule="auto"/>
              <w:jc w:val="left"/>
              <w:rPr>
                <w:rFonts w:ascii="宋体" w:hAnsi="宋体" w:eastAsia="宋体" w:cs="宋体"/>
                <w:color w:val="auto"/>
                <w:sz w:val="24"/>
                <w:highlight w:val="none"/>
              </w:rPr>
            </w:pPr>
            <w:r>
              <w:rPr>
                <w:rFonts w:hint="eastAsia" w:ascii="宋体" w:hAnsi="宋体" w:eastAsia="宋体" w:cs="宋体"/>
                <w:color w:val="auto"/>
                <w:sz w:val="24"/>
                <w:highlight w:val="none"/>
              </w:rPr>
              <w:t>资格证书号</w:t>
            </w:r>
          </w:p>
        </w:tc>
        <w:tc>
          <w:tcPr>
            <w:tcW w:w="3662" w:type="pct"/>
            <w:gridSpan w:val="7"/>
            <w:tcBorders>
              <w:tl2br w:val="nil"/>
              <w:tr2bl w:val="nil"/>
            </w:tcBorders>
            <w:noWrap/>
            <w:vAlign w:val="center"/>
          </w:tcPr>
          <w:p w14:paraId="32E4EDCE">
            <w:pPr>
              <w:snapToGrid w:val="0"/>
              <w:spacing w:line="360" w:lineRule="auto"/>
              <w:jc w:val="left"/>
              <w:rPr>
                <w:rFonts w:ascii="宋体" w:hAnsi="宋体" w:eastAsia="宋体" w:cs="宋体"/>
                <w:color w:val="auto"/>
                <w:sz w:val="24"/>
                <w:highlight w:val="none"/>
              </w:rPr>
            </w:pPr>
          </w:p>
        </w:tc>
      </w:tr>
      <w:tr w14:paraId="5D8FF1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000" w:type="pct"/>
            <w:gridSpan w:val="9"/>
            <w:tcBorders>
              <w:tl2br w:val="nil"/>
              <w:tr2bl w:val="nil"/>
            </w:tcBorders>
            <w:noWrap/>
            <w:vAlign w:val="center"/>
          </w:tcPr>
          <w:p w14:paraId="26E931A3">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业绩简介</w:t>
            </w:r>
          </w:p>
        </w:tc>
      </w:tr>
      <w:tr w14:paraId="18A643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38D32FAA">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建设单位</w:t>
            </w:r>
          </w:p>
        </w:tc>
        <w:tc>
          <w:tcPr>
            <w:tcW w:w="737" w:type="pct"/>
            <w:tcBorders>
              <w:tl2br w:val="nil"/>
              <w:tr2bl w:val="nil"/>
            </w:tcBorders>
            <w:noWrap/>
            <w:vAlign w:val="center"/>
          </w:tcPr>
          <w:p w14:paraId="2EBC2211">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项目名称</w:t>
            </w:r>
          </w:p>
        </w:tc>
        <w:tc>
          <w:tcPr>
            <w:tcW w:w="789" w:type="pct"/>
            <w:gridSpan w:val="2"/>
            <w:tcBorders>
              <w:tl2br w:val="nil"/>
              <w:tr2bl w:val="nil"/>
            </w:tcBorders>
            <w:noWrap/>
            <w:vAlign w:val="center"/>
          </w:tcPr>
          <w:p w14:paraId="664C122E">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建设规模</w:t>
            </w:r>
          </w:p>
        </w:tc>
        <w:tc>
          <w:tcPr>
            <w:tcW w:w="861" w:type="pct"/>
            <w:gridSpan w:val="2"/>
            <w:tcBorders>
              <w:tl2br w:val="nil"/>
              <w:tr2bl w:val="nil"/>
            </w:tcBorders>
            <w:noWrap/>
            <w:vAlign w:val="center"/>
          </w:tcPr>
          <w:p w14:paraId="3B7783BB">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开、竣工日期</w:t>
            </w:r>
          </w:p>
        </w:tc>
        <w:tc>
          <w:tcPr>
            <w:tcW w:w="1254" w:type="pct"/>
            <w:gridSpan w:val="2"/>
            <w:tcBorders>
              <w:tl2br w:val="nil"/>
              <w:tr2bl w:val="nil"/>
            </w:tcBorders>
            <w:noWrap/>
            <w:vAlign w:val="center"/>
          </w:tcPr>
          <w:p w14:paraId="69144A1C">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在建或已完工程质量</w:t>
            </w:r>
          </w:p>
        </w:tc>
        <w:tc>
          <w:tcPr>
            <w:tcW w:w="757" w:type="pct"/>
            <w:tcBorders>
              <w:tl2br w:val="nil"/>
              <w:tr2bl w:val="nil"/>
            </w:tcBorders>
            <w:noWrap/>
            <w:vAlign w:val="center"/>
          </w:tcPr>
          <w:p w14:paraId="5F3412F7">
            <w:pPr>
              <w:snapToGrid w:val="0"/>
              <w:spacing w:after="120" w:line="36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担任职务</w:t>
            </w:r>
          </w:p>
        </w:tc>
      </w:tr>
      <w:tr w14:paraId="0F3E5C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26051A58">
            <w:pPr>
              <w:snapToGrid w:val="0"/>
              <w:spacing w:line="360" w:lineRule="auto"/>
              <w:jc w:val="left"/>
              <w:rPr>
                <w:rFonts w:ascii="宋体" w:hAnsi="宋体" w:eastAsia="宋体" w:cs="宋体"/>
                <w:color w:val="auto"/>
                <w:sz w:val="24"/>
                <w:highlight w:val="none"/>
              </w:rPr>
            </w:pPr>
          </w:p>
        </w:tc>
        <w:tc>
          <w:tcPr>
            <w:tcW w:w="737" w:type="pct"/>
            <w:tcBorders>
              <w:tl2br w:val="nil"/>
              <w:tr2bl w:val="nil"/>
            </w:tcBorders>
            <w:noWrap/>
            <w:vAlign w:val="center"/>
          </w:tcPr>
          <w:p w14:paraId="3CC595E5">
            <w:pPr>
              <w:snapToGrid w:val="0"/>
              <w:spacing w:line="360" w:lineRule="auto"/>
              <w:jc w:val="left"/>
              <w:rPr>
                <w:rFonts w:ascii="宋体" w:hAnsi="宋体" w:eastAsia="宋体" w:cs="宋体"/>
                <w:color w:val="auto"/>
                <w:sz w:val="24"/>
                <w:highlight w:val="none"/>
              </w:rPr>
            </w:pPr>
          </w:p>
        </w:tc>
        <w:tc>
          <w:tcPr>
            <w:tcW w:w="789" w:type="pct"/>
            <w:gridSpan w:val="2"/>
            <w:tcBorders>
              <w:tl2br w:val="nil"/>
              <w:tr2bl w:val="nil"/>
            </w:tcBorders>
            <w:noWrap/>
            <w:vAlign w:val="center"/>
          </w:tcPr>
          <w:p w14:paraId="6B96A5E9">
            <w:pPr>
              <w:snapToGrid w:val="0"/>
              <w:spacing w:line="360" w:lineRule="auto"/>
              <w:jc w:val="left"/>
              <w:rPr>
                <w:rFonts w:ascii="宋体" w:hAnsi="宋体" w:eastAsia="宋体" w:cs="宋体"/>
                <w:color w:val="auto"/>
                <w:sz w:val="24"/>
                <w:highlight w:val="none"/>
              </w:rPr>
            </w:pPr>
          </w:p>
        </w:tc>
        <w:tc>
          <w:tcPr>
            <w:tcW w:w="861" w:type="pct"/>
            <w:gridSpan w:val="2"/>
            <w:tcBorders>
              <w:tl2br w:val="nil"/>
              <w:tr2bl w:val="nil"/>
            </w:tcBorders>
            <w:noWrap/>
            <w:vAlign w:val="center"/>
          </w:tcPr>
          <w:p w14:paraId="269C5A4E">
            <w:pPr>
              <w:snapToGrid w:val="0"/>
              <w:spacing w:line="360" w:lineRule="auto"/>
              <w:jc w:val="left"/>
              <w:rPr>
                <w:rFonts w:ascii="宋体" w:hAnsi="宋体" w:eastAsia="宋体" w:cs="宋体"/>
                <w:color w:val="auto"/>
                <w:sz w:val="24"/>
                <w:highlight w:val="none"/>
              </w:rPr>
            </w:pPr>
          </w:p>
        </w:tc>
        <w:tc>
          <w:tcPr>
            <w:tcW w:w="1254" w:type="pct"/>
            <w:gridSpan w:val="2"/>
            <w:tcBorders>
              <w:tl2br w:val="nil"/>
              <w:tr2bl w:val="nil"/>
            </w:tcBorders>
            <w:noWrap/>
            <w:vAlign w:val="center"/>
          </w:tcPr>
          <w:p w14:paraId="200338EA">
            <w:pPr>
              <w:snapToGrid w:val="0"/>
              <w:spacing w:line="360" w:lineRule="auto"/>
              <w:jc w:val="left"/>
              <w:rPr>
                <w:rFonts w:ascii="宋体" w:hAnsi="宋体" w:eastAsia="宋体" w:cs="宋体"/>
                <w:color w:val="auto"/>
                <w:sz w:val="24"/>
                <w:highlight w:val="none"/>
              </w:rPr>
            </w:pPr>
          </w:p>
        </w:tc>
        <w:tc>
          <w:tcPr>
            <w:tcW w:w="757" w:type="pct"/>
            <w:tcBorders>
              <w:tl2br w:val="nil"/>
              <w:tr2bl w:val="nil"/>
            </w:tcBorders>
            <w:noWrap/>
            <w:vAlign w:val="center"/>
          </w:tcPr>
          <w:p w14:paraId="7879E101">
            <w:pPr>
              <w:snapToGrid w:val="0"/>
              <w:spacing w:line="360" w:lineRule="auto"/>
              <w:jc w:val="left"/>
              <w:rPr>
                <w:rFonts w:ascii="宋体" w:hAnsi="宋体" w:eastAsia="宋体" w:cs="宋体"/>
                <w:color w:val="auto"/>
                <w:sz w:val="24"/>
                <w:highlight w:val="none"/>
              </w:rPr>
            </w:pPr>
          </w:p>
        </w:tc>
      </w:tr>
      <w:tr w14:paraId="72A51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2C8DB00B">
            <w:pPr>
              <w:snapToGrid w:val="0"/>
              <w:spacing w:line="360" w:lineRule="auto"/>
              <w:jc w:val="left"/>
              <w:rPr>
                <w:rFonts w:ascii="宋体" w:hAnsi="宋体" w:eastAsia="宋体" w:cs="宋体"/>
                <w:color w:val="auto"/>
                <w:sz w:val="24"/>
                <w:highlight w:val="none"/>
              </w:rPr>
            </w:pPr>
          </w:p>
        </w:tc>
        <w:tc>
          <w:tcPr>
            <w:tcW w:w="737" w:type="pct"/>
            <w:tcBorders>
              <w:tl2br w:val="nil"/>
              <w:tr2bl w:val="nil"/>
            </w:tcBorders>
            <w:noWrap/>
            <w:vAlign w:val="center"/>
          </w:tcPr>
          <w:p w14:paraId="54FE5FB1">
            <w:pPr>
              <w:snapToGrid w:val="0"/>
              <w:spacing w:line="360" w:lineRule="auto"/>
              <w:jc w:val="left"/>
              <w:rPr>
                <w:rFonts w:ascii="宋体" w:hAnsi="宋体" w:eastAsia="宋体" w:cs="宋体"/>
                <w:color w:val="auto"/>
                <w:sz w:val="24"/>
                <w:highlight w:val="none"/>
              </w:rPr>
            </w:pPr>
          </w:p>
        </w:tc>
        <w:tc>
          <w:tcPr>
            <w:tcW w:w="789" w:type="pct"/>
            <w:gridSpan w:val="2"/>
            <w:tcBorders>
              <w:tl2br w:val="nil"/>
              <w:tr2bl w:val="nil"/>
            </w:tcBorders>
            <w:noWrap/>
            <w:vAlign w:val="center"/>
          </w:tcPr>
          <w:p w14:paraId="27B1D2DE">
            <w:pPr>
              <w:snapToGrid w:val="0"/>
              <w:spacing w:line="360" w:lineRule="auto"/>
              <w:jc w:val="left"/>
              <w:rPr>
                <w:rFonts w:ascii="宋体" w:hAnsi="宋体" w:eastAsia="宋体" w:cs="宋体"/>
                <w:color w:val="auto"/>
                <w:sz w:val="24"/>
                <w:highlight w:val="none"/>
              </w:rPr>
            </w:pPr>
          </w:p>
        </w:tc>
        <w:tc>
          <w:tcPr>
            <w:tcW w:w="861" w:type="pct"/>
            <w:gridSpan w:val="2"/>
            <w:tcBorders>
              <w:tl2br w:val="nil"/>
              <w:tr2bl w:val="nil"/>
            </w:tcBorders>
            <w:noWrap/>
            <w:vAlign w:val="center"/>
          </w:tcPr>
          <w:p w14:paraId="781B0949">
            <w:pPr>
              <w:snapToGrid w:val="0"/>
              <w:spacing w:line="360" w:lineRule="auto"/>
              <w:jc w:val="left"/>
              <w:rPr>
                <w:rFonts w:ascii="宋体" w:hAnsi="宋体" w:eastAsia="宋体" w:cs="宋体"/>
                <w:color w:val="auto"/>
                <w:sz w:val="24"/>
                <w:highlight w:val="none"/>
              </w:rPr>
            </w:pPr>
          </w:p>
        </w:tc>
        <w:tc>
          <w:tcPr>
            <w:tcW w:w="1254" w:type="pct"/>
            <w:gridSpan w:val="2"/>
            <w:tcBorders>
              <w:tl2br w:val="nil"/>
              <w:tr2bl w:val="nil"/>
            </w:tcBorders>
            <w:noWrap/>
            <w:vAlign w:val="center"/>
          </w:tcPr>
          <w:p w14:paraId="5E284531">
            <w:pPr>
              <w:snapToGrid w:val="0"/>
              <w:spacing w:line="360" w:lineRule="auto"/>
              <w:jc w:val="left"/>
              <w:rPr>
                <w:rFonts w:ascii="宋体" w:hAnsi="宋体" w:eastAsia="宋体" w:cs="宋体"/>
                <w:color w:val="auto"/>
                <w:sz w:val="24"/>
                <w:highlight w:val="none"/>
              </w:rPr>
            </w:pPr>
          </w:p>
        </w:tc>
        <w:tc>
          <w:tcPr>
            <w:tcW w:w="757" w:type="pct"/>
            <w:tcBorders>
              <w:tl2br w:val="nil"/>
              <w:tr2bl w:val="nil"/>
            </w:tcBorders>
            <w:noWrap/>
            <w:vAlign w:val="center"/>
          </w:tcPr>
          <w:p w14:paraId="4C6DE878">
            <w:pPr>
              <w:snapToGrid w:val="0"/>
              <w:spacing w:line="360" w:lineRule="auto"/>
              <w:jc w:val="left"/>
              <w:rPr>
                <w:rFonts w:ascii="宋体" w:hAnsi="宋体" w:eastAsia="宋体" w:cs="宋体"/>
                <w:color w:val="auto"/>
                <w:sz w:val="24"/>
                <w:highlight w:val="none"/>
              </w:rPr>
            </w:pPr>
          </w:p>
        </w:tc>
      </w:tr>
      <w:tr w14:paraId="064579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60" w:type="dxa"/>
            <w:left w:w="60" w:type="dxa"/>
            <w:bottom w:w="60" w:type="dxa"/>
            <w:right w:w="60" w:type="dxa"/>
          </w:tblCellMar>
        </w:tblPrEx>
        <w:trPr>
          <w:trHeight w:val="735" w:hRule="atLeast"/>
          <w:tblCellSpacing w:w="0" w:type="dxa"/>
          <w:jc w:val="center"/>
        </w:trPr>
        <w:tc>
          <w:tcPr>
            <w:tcW w:w="599" w:type="pct"/>
            <w:tcBorders>
              <w:tl2br w:val="nil"/>
              <w:tr2bl w:val="nil"/>
            </w:tcBorders>
            <w:noWrap/>
            <w:vAlign w:val="center"/>
          </w:tcPr>
          <w:p w14:paraId="23587A43">
            <w:pPr>
              <w:snapToGrid w:val="0"/>
              <w:spacing w:line="360" w:lineRule="auto"/>
              <w:jc w:val="left"/>
              <w:rPr>
                <w:rFonts w:ascii="宋体" w:hAnsi="宋体" w:eastAsia="宋体" w:cs="宋体"/>
                <w:color w:val="auto"/>
                <w:sz w:val="24"/>
                <w:highlight w:val="none"/>
              </w:rPr>
            </w:pPr>
          </w:p>
        </w:tc>
        <w:tc>
          <w:tcPr>
            <w:tcW w:w="737" w:type="pct"/>
            <w:tcBorders>
              <w:tl2br w:val="nil"/>
              <w:tr2bl w:val="nil"/>
            </w:tcBorders>
            <w:noWrap/>
            <w:vAlign w:val="center"/>
          </w:tcPr>
          <w:p w14:paraId="6846E05B">
            <w:pPr>
              <w:snapToGrid w:val="0"/>
              <w:spacing w:line="360" w:lineRule="auto"/>
              <w:jc w:val="left"/>
              <w:rPr>
                <w:rFonts w:ascii="宋体" w:hAnsi="宋体" w:eastAsia="宋体" w:cs="宋体"/>
                <w:color w:val="auto"/>
                <w:sz w:val="24"/>
                <w:highlight w:val="none"/>
              </w:rPr>
            </w:pPr>
          </w:p>
        </w:tc>
        <w:tc>
          <w:tcPr>
            <w:tcW w:w="789" w:type="pct"/>
            <w:gridSpan w:val="2"/>
            <w:tcBorders>
              <w:tl2br w:val="nil"/>
              <w:tr2bl w:val="nil"/>
            </w:tcBorders>
            <w:noWrap/>
            <w:vAlign w:val="center"/>
          </w:tcPr>
          <w:p w14:paraId="405AF4ED">
            <w:pPr>
              <w:snapToGrid w:val="0"/>
              <w:spacing w:line="360" w:lineRule="auto"/>
              <w:jc w:val="left"/>
              <w:rPr>
                <w:rFonts w:ascii="宋体" w:hAnsi="宋体" w:eastAsia="宋体" w:cs="宋体"/>
                <w:color w:val="auto"/>
                <w:sz w:val="24"/>
                <w:highlight w:val="none"/>
              </w:rPr>
            </w:pPr>
          </w:p>
        </w:tc>
        <w:tc>
          <w:tcPr>
            <w:tcW w:w="861" w:type="pct"/>
            <w:gridSpan w:val="2"/>
            <w:tcBorders>
              <w:tl2br w:val="nil"/>
              <w:tr2bl w:val="nil"/>
            </w:tcBorders>
            <w:noWrap/>
            <w:vAlign w:val="center"/>
          </w:tcPr>
          <w:p w14:paraId="0F8C99A4">
            <w:pPr>
              <w:snapToGrid w:val="0"/>
              <w:spacing w:line="360" w:lineRule="auto"/>
              <w:jc w:val="left"/>
              <w:rPr>
                <w:rFonts w:ascii="宋体" w:hAnsi="宋体" w:eastAsia="宋体" w:cs="宋体"/>
                <w:color w:val="auto"/>
                <w:sz w:val="24"/>
                <w:highlight w:val="none"/>
              </w:rPr>
            </w:pPr>
          </w:p>
        </w:tc>
        <w:tc>
          <w:tcPr>
            <w:tcW w:w="1254" w:type="pct"/>
            <w:gridSpan w:val="2"/>
            <w:tcBorders>
              <w:tl2br w:val="nil"/>
              <w:tr2bl w:val="nil"/>
            </w:tcBorders>
            <w:noWrap/>
            <w:vAlign w:val="center"/>
          </w:tcPr>
          <w:p w14:paraId="6F07AE94">
            <w:pPr>
              <w:snapToGrid w:val="0"/>
              <w:spacing w:line="360" w:lineRule="auto"/>
              <w:jc w:val="left"/>
              <w:rPr>
                <w:rFonts w:ascii="宋体" w:hAnsi="宋体" w:eastAsia="宋体" w:cs="宋体"/>
                <w:color w:val="auto"/>
                <w:sz w:val="24"/>
                <w:highlight w:val="none"/>
              </w:rPr>
            </w:pPr>
          </w:p>
        </w:tc>
        <w:tc>
          <w:tcPr>
            <w:tcW w:w="757" w:type="pct"/>
            <w:tcBorders>
              <w:tl2br w:val="nil"/>
              <w:tr2bl w:val="nil"/>
            </w:tcBorders>
            <w:noWrap/>
            <w:vAlign w:val="center"/>
          </w:tcPr>
          <w:p w14:paraId="4CA24032">
            <w:pPr>
              <w:snapToGrid w:val="0"/>
              <w:spacing w:line="360" w:lineRule="auto"/>
              <w:jc w:val="left"/>
              <w:rPr>
                <w:rFonts w:ascii="宋体" w:hAnsi="宋体" w:eastAsia="宋体" w:cs="宋体"/>
                <w:color w:val="auto"/>
                <w:sz w:val="24"/>
                <w:highlight w:val="none"/>
              </w:rPr>
            </w:pPr>
          </w:p>
        </w:tc>
      </w:tr>
    </w:tbl>
    <w:p w14:paraId="08F23149">
      <w:pPr>
        <w:topLinePunct/>
        <w:adjustRightInd w:val="0"/>
        <w:snapToGrid w:val="0"/>
        <w:spacing w:line="360" w:lineRule="auto"/>
        <w:ind w:firstLine="496" w:firstLineChars="200"/>
        <w:rPr>
          <w:rFonts w:ascii="宋体" w:hAnsi="宋体" w:eastAsia="宋体" w:cs="宋体"/>
          <w:color w:val="auto"/>
          <w:spacing w:val="4"/>
          <w:kern w:val="0"/>
          <w:sz w:val="24"/>
          <w:highlight w:val="none"/>
        </w:rPr>
      </w:pPr>
    </w:p>
    <w:p w14:paraId="64DB4C97">
      <w:pPr>
        <w:topLinePunct/>
        <w:adjustRightInd w:val="0"/>
        <w:snapToGrid w:val="0"/>
        <w:spacing w:line="360" w:lineRule="auto"/>
        <w:ind w:firstLine="4092" w:firstLineChars="1650"/>
        <w:rPr>
          <w:rFonts w:ascii="宋体" w:hAnsi="宋体" w:eastAsia="宋体" w:cs="宋体"/>
          <w:color w:val="auto"/>
          <w:spacing w:val="4"/>
          <w:kern w:val="0"/>
          <w:sz w:val="24"/>
          <w:highlight w:val="none"/>
        </w:rPr>
      </w:pPr>
      <w:r>
        <w:rPr>
          <w:rFonts w:hint="eastAsia" w:ascii="宋体" w:hAnsi="宋体" w:eastAsia="宋体" w:cs="宋体"/>
          <w:color w:val="auto"/>
          <w:spacing w:val="4"/>
          <w:kern w:val="0"/>
          <w:sz w:val="24"/>
          <w:highlight w:val="none"/>
        </w:rPr>
        <w:t>投标人（盖章）：</w:t>
      </w:r>
    </w:p>
    <w:p w14:paraId="3350561F">
      <w:pPr>
        <w:topLinePunct/>
        <w:adjustRightInd w:val="0"/>
        <w:snapToGrid w:val="0"/>
        <w:spacing w:line="360" w:lineRule="auto"/>
        <w:ind w:firstLine="4092" w:firstLineChars="1650"/>
        <w:rPr>
          <w:rFonts w:ascii="宋体" w:hAnsi="宋体" w:eastAsia="宋体" w:cs="宋体"/>
          <w:color w:val="auto"/>
          <w:spacing w:val="4"/>
          <w:kern w:val="0"/>
          <w:sz w:val="24"/>
          <w:highlight w:val="none"/>
        </w:rPr>
      </w:pPr>
      <w:r>
        <w:rPr>
          <w:rFonts w:hint="eastAsia" w:ascii="宋体" w:hAnsi="宋体" w:eastAsia="宋体" w:cs="宋体"/>
          <w:color w:val="auto"/>
          <w:spacing w:val="4"/>
          <w:kern w:val="0"/>
          <w:sz w:val="24"/>
          <w:highlight w:val="none"/>
        </w:rPr>
        <w:t>日期：</w:t>
      </w:r>
      <w:r>
        <w:rPr>
          <w:rFonts w:ascii="宋体" w:hAnsi="宋体" w:eastAsia="宋体" w:cs="宋体"/>
          <w:color w:val="auto"/>
          <w:spacing w:val="4"/>
          <w:kern w:val="0"/>
          <w:sz w:val="24"/>
          <w:highlight w:val="none"/>
        </w:rPr>
        <w:t xml:space="preserve">     </w:t>
      </w:r>
      <w:r>
        <w:rPr>
          <w:rFonts w:hint="eastAsia" w:ascii="宋体" w:hAnsi="宋体" w:eastAsia="宋体" w:cs="宋体"/>
          <w:color w:val="auto"/>
          <w:spacing w:val="4"/>
          <w:kern w:val="0"/>
          <w:sz w:val="24"/>
          <w:highlight w:val="none"/>
        </w:rPr>
        <w:t>年</w:t>
      </w:r>
      <w:r>
        <w:rPr>
          <w:rFonts w:ascii="宋体" w:hAnsi="宋体" w:eastAsia="宋体" w:cs="宋体"/>
          <w:color w:val="auto"/>
          <w:spacing w:val="4"/>
          <w:kern w:val="0"/>
          <w:sz w:val="24"/>
          <w:highlight w:val="none"/>
        </w:rPr>
        <w:t xml:space="preserve">   </w:t>
      </w:r>
      <w:r>
        <w:rPr>
          <w:rFonts w:hint="eastAsia" w:ascii="宋体" w:hAnsi="宋体" w:eastAsia="宋体" w:cs="宋体"/>
          <w:color w:val="auto"/>
          <w:spacing w:val="4"/>
          <w:kern w:val="0"/>
          <w:sz w:val="24"/>
          <w:highlight w:val="none"/>
        </w:rPr>
        <w:t>月</w:t>
      </w:r>
      <w:r>
        <w:rPr>
          <w:rFonts w:ascii="宋体" w:hAnsi="宋体" w:eastAsia="宋体" w:cs="宋体"/>
          <w:color w:val="auto"/>
          <w:spacing w:val="4"/>
          <w:kern w:val="0"/>
          <w:sz w:val="24"/>
          <w:highlight w:val="none"/>
        </w:rPr>
        <w:t xml:space="preserve">   </w:t>
      </w:r>
      <w:r>
        <w:rPr>
          <w:rFonts w:hint="eastAsia" w:ascii="宋体" w:hAnsi="宋体" w:eastAsia="宋体" w:cs="宋体"/>
          <w:color w:val="auto"/>
          <w:spacing w:val="4"/>
          <w:kern w:val="0"/>
          <w:sz w:val="24"/>
          <w:highlight w:val="none"/>
        </w:rPr>
        <w:t>日</w:t>
      </w:r>
    </w:p>
    <w:p w14:paraId="19D3642F">
      <w:pPr>
        <w:snapToGrid w:val="0"/>
        <w:spacing w:line="360" w:lineRule="auto"/>
        <w:rPr>
          <w:rFonts w:ascii="宋体" w:hAnsi="宋体" w:eastAsia="宋体" w:cs="宋体"/>
          <w:color w:val="auto"/>
          <w:highlight w:val="none"/>
        </w:rPr>
      </w:pPr>
    </w:p>
    <w:p w14:paraId="5004D379">
      <w:pPr>
        <w:widowControl/>
        <w:snapToGrid w:val="0"/>
        <w:spacing w:line="360" w:lineRule="auto"/>
        <w:ind w:right="102"/>
        <w:jc w:val="left"/>
        <w:rPr>
          <w:rFonts w:ascii="宋体" w:hAnsi="宋体" w:eastAsia="宋体" w:cs="宋体"/>
          <w:color w:val="auto"/>
          <w:sz w:val="24"/>
          <w:highlight w:val="none"/>
        </w:rPr>
      </w:pPr>
      <w:r>
        <w:rPr>
          <w:rFonts w:ascii="宋体" w:hAnsi="宋体" w:eastAsia="宋体" w:cs="宋体"/>
          <w:bCs/>
          <w:color w:val="auto"/>
          <w:sz w:val="24"/>
          <w:highlight w:val="none"/>
        </w:rPr>
        <w:br w:type="page"/>
      </w:r>
      <w:r>
        <w:rPr>
          <w:rFonts w:hint="eastAsia" w:ascii="宋体" w:hAnsi="宋体" w:eastAsia="宋体" w:cs="宋体"/>
          <w:color w:val="auto"/>
          <w:sz w:val="24"/>
          <w:highlight w:val="none"/>
        </w:rPr>
        <w:t>技术标格式</w:t>
      </w:r>
      <w:r>
        <w:rPr>
          <w:rFonts w:hint="eastAsia" w:ascii="宋体" w:hAnsi="宋体" w:eastAsia="宋体" w:cs="宋体"/>
          <w:color w:val="auto"/>
          <w:sz w:val="24"/>
          <w:highlight w:val="none"/>
        </w:rPr>
        <w:t>九</w:t>
      </w:r>
    </w:p>
    <w:p w14:paraId="22462E7E">
      <w:pPr>
        <w:snapToGrid w:val="0"/>
        <w:spacing w:line="360" w:lineRule="auto"/>
        <w:jc w:val="center"/>
        <w:rPr>
          <w:rFonts w:ascii="宋体" w:hAnsi="宋体" w:eastAsia="宋体" w:cs="宋体"/>
          <w:b/>
          <w:color w:val="auto"/>
          <w:sz w:val="36"/>
          <w:szCs w:val="36"/>
          <w:highlight w:val="none"/>
        </w:rPr>
      </w:pPr>
    </w:p>
    <w:p w14:paraId="4718E091">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响应招标文件所附施工组织设计要点的承诺书</w:t>
      </w:r>
    </w:p>
    <w:p w14:paraId="1B43A971">
      <w:pPr>
        <w:snapToGrid w:val="0"/>
        <w:spacing w:line="360" w:lineRule="auto"/>
        <w:rPr>
          <w:rFonts w:ascii="宋体" w:hAnsi="宋体" w:eastAsia="宋体" w:cs="宋体"/>
          <w:color w:val="auto"/>
          <w:highlight w:val="none"/>
        </w:rPr>
      </w:pPr>
    </w:p>
    <w:p w14:paraId="64CEE5BC">
      <w:pPr>
        <w:snapToGrid w:val="0"/>
        <w:spacing w:line="360" w:lineRule="auto"/>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广州开发区财政投资建设项</w:t>
      </w:r>
      <w:bookmarkStart w:id="69" w:name="_GoBack"/>
      <w:bookmarkEnd w:id="69"/>
      <w:r>
        <w:rPr>
          <w:rFonts w:hint="eastAsia" w:ascii="宋体" w:hAnsi="宋体" w:eastAsia="宋体" w:cs="宋体"/>
          <w:color w:val="auto"/>
          <w:sz w:val="24"/>
          <w:highlight w:val="none"/>
          <w:u w:val="single"/>
        </w:rPr>
        <w:t>目管理中心</w:t>
      </w:r>
      <w:r>
        <w:rPr>
          <w:rFonts w:hint="eastAsia" w:ascii="宋体" w:hAnsi="宋体" w:eastAsia="宋体" w:cs="宋体"/>
          <w:color w:val="auto"/>
          <w:sz w:val="24"/>
          <w:highlight w:val="none"/>
        </w:rPr>
        <w:t>：</w:t>
      </w:r>
    </w:p>
    <w:p w14:paraId="523B5F8A">
      <w:pPr>
        <w:snapToGrid w:val="0"/>
        <w:spacing w:line="360" w:lineRule="auto"/>
        <w:ind w:firstLine="435"/>
        <w:rPr>
          <w:rFonts w:ascii="宋体" w:hAnsi="宋体" w:eastAsia="宋体" w:cs="宋体"/>
          <w:color w:val="auto"/>
          <w:sz w:val="24"/>
          <w:highlight w:val="none"/>
        </w:rPr>
      </w:pPr>
      <w:r>
        <w:rPr>
          <w:rFonts w:hint="eastAsia" w:ascii="宋体" w:hAnsi="宋体" w:eastAsia="宋体" w:cs="宋体"/>
          <w:color w:val="auto"/>
          <w:sz w:val="24"/>
          <w:highlight w:val="none"/>
        </w:rPr>
        <w:t>我方承诺，如中标承建</w:t>
      </w:r>
      <w:r>
        <w:rPr>
          <w:rFonts w:hint="eastAsia" w:ascii="宋体" w:hAnsi="宋体" w:eastAsia="宋体" w:cs="宋体"/>
          <w:color w:val="auto"/>
          <w:sz w:val="24"/>
          <w:highlight w:val="none"/>
          <w:u w:val="single"/>
        </w:rPr>
        <w:t>黄埔区公安分局永和派出所扩建工程施工总承包</w:t>
      </w:r>
      <w:r>
        <w:rPr>
          <w:rFonts w:hint="eastAsia" w:ascii="宋体" w:hAnsi="宋体" w:eastAsia="宋体" w:cs="宋体"/>
          <w:color w:val="auto"/>
          <w:sz w:val="24"/>
          <w:highlight w:val="none"/>
        </w:rPr>
        <w:t>，将按招标文件所附的本工程</w:t>
      </w:r>
      <w:r>
        <w:rPr>
          <w:rFonts w:hint="eastAsia" w:ascii="宋体" w:hAnsi="宋体" w:eastAsia="宋体" w:cs="宋体"/>
          <w:color w:val="auto"/>
          <w:sz w:val="24"/>
          <w:highlight w:val="none"/>
          <w:u w:val="single"/>
        </w:rPr>
        <w:t>施工组织设计要点</w:t>
      </w:r>
      <w:r>
        <w:rPr>
          <w:rFonts w:hint="eastAsia" w:ascii="宋体" w:hAnsi="宋体" w:eastAsia="宋体" w:cs="宋体"/>
          <w:color w:val="auto"/>
          <w:sz w:val="24"/>
          <w:highlight w:val="none"/>
        </w:rPr>
        <w:t>进行响应的基础上自行组织施工。并承诺在中标后按招标文件所附的</w:t>
      </w:r>
      <w:r>
        <w:rPr>
          <w:rFonts w:hint="eastAsia" w:ascii="宋体" w:hAnsi="宋体" w:eastAsia="宋体" w:cs="宋体"/>
          <w:color w:val="auto"/>
          <w:sz w:val="24"/>
          <w:highlight w:val="none"/>
          <w:u w:val="single"/>
        </w:rPr>
        <w:t>施工组织设计要点</w:t>
      </w:r>
      <w:r>
        <w:rPr>
          <w:rFonts w:hint="eastAsia" w:ascii="宋体" w:hAnsi="宋体" w:eastAsia="宋体" w:cs="宋体"/>
          <w:color w:val="auto"/>
          <w:sz w:val="24"/>
          <w:highlight w:val="none"/>
        </w:rPr>
        <w:t>基础上编制详细的施工组织设计，按照招标人提出的施工现场建筑垃圾源头减量的具体要求以及建筑垃圾综合利用产品的使用要求提供相应措施，并针对本项目的关键技术、工艺、重点、难点以及拟在本项目采用的新工艺、新技术、新材料编制，并报经监理单位和建设单位审批后实施。</w:t>
      </w:r>
    </w:p>
    <w:p w14:paraId="448A7068">
      <w:pPr>
        <w:snapToGrid w:val="0"/>
        <w:spacing w:line="360" w:lineRule="auto"/>
        <w:ind w:firstLine="435"/>
        <w:rPr>
          <w:rFonts w:ascii="宋体" w:hAnsi="宋体" w:eastAsia="宋体" w:cs="宋体"/>
          <w:color w:val="auto"/>
          <w:sz w:val="24"/>
          <w:szCs w:val="20"/>
          <w:highlight w:val="none"/>
        </w:rPr>
      </w:pPr>
    </w:p>
    <w:p w14:paraId="649044F6">
      <w:pPr>
        <w:snapToGrid w:val="0"/>
        <w:spacing w:line="360" w:lineRule="auto"/>
        <w:ind w:firstLine="435"/>
        <w:rPr>
          <w:rFonts w:ascii="宋体" w:hAnsi="宋体" w:eastAsia="宋体" w:cs="宋体"/>
          <w:color w:val="auto"/>
          <w:sz w:val="24"/>
          <w:szCs w:val="20"/>
          <w:highlight w:val="none"/>
        </w:rPr>
      </w:pPr>
    </w:p>
    <w:p w14:paraId="6EC5BF3E">
      <w:pPr>
        <w:snapToGrid w:val="0"/>
        <w:spacing w:line="360" w:lineRule="auto"/>
        <w:ind w:firstLine="435"/>
        <w:rPr>
          <w:rFonts w:ascii="宋体" w:hAnsi="宋体" w:eastAsia="宋体" w:cs="宋体"/>
          <w:color w:val="auto"/>
          <w:sz w:val="24"/>
          <w:szCs w:val="20"/>
          <w:highlight w:val="none"/>
        </w:rPr>
      </w:pPr>
    </w:p>
    <w:p w14:paraId="2B13530E">
      <w:pPr>
        <w:snapToGrid w:val="0"/>
        <w:spacing w:line="360" w:lineRule="auto"/>
        <w:ind w:firstLine="3000" w:firstLineChars="125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投标人（盖章）：</w:t>
      </w:r>
    </w:p>
    <w:p w14:paraId="47641A79">
      <w:pPr>
        <w:snapToGrid w:val="0"/>
        <w:spacing w:line="360" w:lineRule="auto"/>
        <w:ind w:firstLine="3000" w:firstLineChars="1250"/>
        <w:rPr>
          <w:rFonts w:ascii="宋体" w:hAnsi="宋体" w:eastAsia="宋体" w:cs="宋体"/>
          <w:color w:val="auto"/>
          <w:sz w:val="24"/>
          <w:highlight w:val="none"/>
        </w:rPr>
      </w:pPr>
      <w:r>
        <w:rPr>
          <w:rFonts w:hint="eastAsia" w:ascii="宋体" w:hAnsi="宋体" w:eastAsia="宋体" w:cs="宋体"/>
          <w:color w:val="auto"/>
          <w:sz w:val="24"/>
          <w:szCs w:val="20"/>
          <w:highlight w:val="none"/>
        </w:rPr>
        <w:t>日期</w:t>
      </w:r>
      <w:r>
        <w:rPr>
          <w:rFonts w:hint="eastAsia" w:ascii="宋体" w:hAnsi="宋体" w:eastAsia="宋体" w:cs="宋体"/>
          <w:color w:val="auto"/>
          <w:sz w:val="24"/>
          <w:highlight w:val="none"/>
        </w:rPr>
        <w:t>：</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年</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月</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日</w:t>
      </w:r>
    </w:p>
    <w:p w14:paraId="0DD7E9E6">
      <w:pPr>
        <w:snapToGrid w:val="0"/>
        <w:spacing w:line="360" w:lineRule="auto"/>
        <w:ind w:left="420" w:leftChars="200"/>
        <w:jc w:val="left"/>
        <w:rPr>
          <w:rFonts w:ascii="宋体" w:hAnsi="宋体" w:eastAsia="宋体" w:cs="宋体"/>
          <w:color w:val="auto"/>
          <w:sz w:val="24"/>
          <w:highlight w:val="none"/>
          <w:u w:val="single"/>
        </w:rPr>
      </w:pPr>
    </w:p>
    <w:p w14:paraId="4C3751B0">
      <w:pPr>
        <w:snapToGrid w:val="0"/>
        <w:spacing w:line="360" w:lineRule="auto"/>
        <w:ind w:left="420" w:leftChars="200"/>
        <w:jc w:val="left"/>
        <w:rPr>
          <w:rFonts w:ascii="宋体" w:hAnsi="宋体" w:eastAsia="宋体" w:cs="宋体"/>
          <w:color w:val="auto"/>
          <w:sz w:val="24"/>
          <w:highlight w:val="none"/>
          <w:u w:val="single"/>
        </w:rPr>
      </w:pPr>
    </w:p>
    <w:p w14:paraId="346B28D8">
      <w:pPr>
        <w:snapToGrid w:val="0"/>
        <w:spacing w:line="360" w:lineRule="auto"/>
        <w:ind w:firstLine="3514" w:firstLineChars="1250"/>
        <w:rPr>
          <w:rFonts w:ascii="宋体" w:hAnsi="宋体" w:eastAsia="宋体" w:cs="宋体"/>
          <w:color w:val="auto"/>
          <w:sz w:val="24"/>
          <w:highlight w:val="none"/>
        </w:rPr>
      </w:pPr>
      <w:r>
        <w:rPr>
          <w:rFonts w:ascii="宋体" w:hAnsi="宋体" w:eastAsia="宋体" w:cs="宋体"/>
          <w:b/>
          <w:color w:val="auto"/>
          <w:sz w:val="28"/>
          <w:szCs w:val="28"/>
          <w:highlight w:val="none"/>
        </w:rPr>
        <w:br w:type="page"/>
      </w:r>
    </w:p>
    <w:p w14:paraId="34CEB2E4">
      <w:pPr>
        <w:pStyle w:val="248"/>
        <w:ind w:firstLine="0" w:firstLineChars="0"/>
        <w:rPr>
          <w:rFonts w:eastAsia="宋体" w:cs="宋体"/>
          <w:color w:val="auto"/>
          <w:highlight w:val="none"/>
        </w:rPr>
      </w:pPr>
      <w:r>
        <w:rPr>
          <w:rFonts w:hint="eastAsia" w:eastAsia="宋体" w:cs="宋体"/>
          <w:color w:val="auto"/>
          <w:highlight w:val="none"/>
        </w:rPr>
        <w:t>技术标</w:t>
      </w:r>
      <w:r>
        <w:rPr>
          <w:rFonts w:hint="eastAsia" w:eastAsia="宋体" w:cs="宋体"/>
          <w:bCs/>
          <w:color w:val="auto"/>
          <w:kern w:val="0"/>
          <w:highlight w:val="none"/>
        </w:rPr>
        <w:t>格式</w:t>
      </w:r>
      <w:r>
        <w:rPr>
          <w:rFonts w:hint="eastAsia" w:eastAsia="宋体" w:cs="宋体"/>
          <w:color w:val="auto"/>
          <w:highlight w:val="none"/>
        </w:rPr>
        <w:t>十</w:t>
      </w:r>
    </w:p>
    <w:p w14:paraId="39010EC2">
      <w:pPr>
        <w:snapToGrid w:val="0"/>
        <w:spacing w:line="360" w:lineRule="auto"/>
        <w:jc w:val="center"/>
        <w:rPr>
          <w:rFonts w:ascii="宋体" w:hAnsi="宋体" w:eastAsia="宋体" w:cs="宋体"/>
          <w:bCs/>
          <w:color w:val="auto"/>
          <w:sz w:val="36"/>
          <w:szCs w:val="36"/>
          <w:highlight w:val="none"/>
        </w:rPr>
      </w:pPr>
    </w:p>
    <w:p w14:paraId="3F4BDDDC">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拟投入本工程施工的主要机械设备配备表</w:t>
      </w:r>
    </w:p>
    <w:tbl>
      <w:tblPr>
        <w:tblStyle w:val="8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02"/>
        <w:gridCol w:w="3123"/>
        <w:gridCol w:w="1841"/>
        <w:gridCol w:w="2059"/>
        <w:gridCol w:w="1228"/>
      </w:tblGrid>
      <w:tr w14:paraId="2B2A4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2BF8E9C8">
            <w:pPr>
              <w:snapToGri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3123" w:type="dxa"/>
            <w:tcBorders>
              <w:top w:val="single" w:color="auto" w:sz="4" w:space="0"/>
              <w:left w:val="single" w:color="auto" w:sz="4" w:space="0"/>
              <w:bottom w:val="single" w:color="auto" w:sz="4" w:space="0"/>
              <w:right w:val="single" w:color="auto" w:sz="4" w:space="0"/>
            </w:tcBorders>
            <w:noWrap/>
            <w:vAlign w:val="center"/>
          </w:tcPr>
          <w:p w14:paraId="3F792667">
            <w:pPr>
              <w:snapToGri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1841" w:type="dxa"/>
            <w:tcBorders>
              <w:top w:val="single" w:color="auto" w:sz="4" w:space="0"/>
              <w:left w:val="single" w:color="auto" w:sz="4" w:space="0"/>
              <w:bottom w:val="single" w:color="auto" w:sz="4" w:space="0"/>
              <w:right w:val="single" w:color="auto" w:sz="4" w:space="0"/>
            </w:tcBorders>
            <w:noWrap/>
            <w:vAlign w:val="center"/>
          </w:tcPr>
          <w:p w14:paraId="6353BA9D">
            <w:pPr>
              <w:snapToGri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投入总数量</w:t>
            </w:r>
          </w:p>
        </w:tc>
        <w:tc>
          <w:tcPr>
            <w:tcW w:w="2059" w:type="dxa"/>
            <w:tcBorders>
              <w:top w:val="single" w:color="auto" w:sz="4" w:space="0"/>
              <w:left w:val="single" w:color="auto" w:sz="4" w:space="0"/>
              <w:bottom w:val="single" w:color="auto" w:sz="4" w:space="0"/>
              <w:right w:val="single" w:color="auto" w:sz="4" w:space="0"/>
            </w:tcBorders>
            <w:noWrap/>
            <w:vAlign w:val="center"/>
          </w:tcPr>
          <w:p w14:paraId="08464B6A">
            <w:pPr>
              <w:snapToGri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来源</w:t>
            </w:r>
            <w:r>
              <w:rPr>
                <w:rFonts w:ascii="宋体" w:hAnsi="宋体" w:eastAsia="宋体" w:cs="宋体"/>
                <w:color w:val="auto"/>
                <w:szCs w:val="21"/>
                <w:highlight w:val="none"/>
              </w:rPr>
              <w:t>(自有/租赁)</w:t>
            </w:r>
          </w:p>
        </w:tc>
        <w:tc>
          <w:tcPr>
            <w:tcW w:w="1228" w:type="dxa"/>
            <w:tcBorders>
              <w:top w:val="single" w:color="auto" w:sz="4" w:space="0"/>
              <w:left w:val="single" w:color="auto" w:sz="4" w:space="0"/>
              <w:bottom w:val="single" w:color="auto" w:sz="4" w:space="0"/>
              <w:right w:val="single" w:color="auto" w:sz="4" w:space="0"/>
            </w:tcBorders>
            <w:noWrap/>
            <w:vAlign w:val="center"/>
          </w:tcPr>
          <w:p w14:paraId="447034A5">
            <w:pPr>
              <w:snapToGrid w:val="0"/>
              <w:spacing w:line="360" w:lineRule="auto"/>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71D66B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3AE4B70E">
            <w:pPr>
              <w:snapToGrid w:val="0"/>
              <w:spacing w:line="360" w:lineRule="auto"/>
              <w:jc w:val="center"/>
              <w:textAlignment w:val="center"/>
              <w:rPr>
                <w:rFonts w:ascii="宋体" w:hAnsi="宋体" w:eastAsia="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0CBF6C97">
            <w:pPr>
              <w:snapToGrid w:val="0"/>
              <w:spacing w:line="360" w:lineRule="auto"/>
              <w:jc w:val="center"/>
              <w:textAlignment w:val="center"/>
              <w:rPr>
                <w:rFonts w:ascii="宋体" w:hAnsi="宋体" w:eastAsia="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71EB62D2">
            <w:pPr>
              <w:snapToGrid w:val="0"/>
              <w:spacing w:line="360" w:lineRule="auto"/>
              <w:jc w:val="center"/>
              <w:textAlignment w:val="center"/>
              <w:rPr>
                <w:rFonts w:ascii="宋体" w:hAnsi="宋体" w:eastAsia="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6BB5BD25">
            <w:pPr>
              <w:snapToGrid w:val="0"/>
              <w:spacing w:line="360" w:lineRule="auto"/>
              <w:jc w:val="center"/>
              <w:textAlignment w:val="center"/>
              <w:rPr>
                <w:rFonts w:ascii="宋体" w:hAnsi="宋体" w:eastAsia="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1030DD29">
            <w:pPr>
              <w:snapToGrid w:val="0"/>
              <w:spacing w:line="360" w:lineRule="auto"/>
              <w:jc w:val="center"/>
              <w:textAlignment w:val="center"/>
              <w:rPr>
                <w:rFonts w:ascii="宋体" w:hAnsi="宋体" w:eastAsia="宋体" w:cs="宋体"/>
                <w:color w:val="auto"/>
                <w:szCs w:val="21"/>
                <w:highlight w:val="none"/>
              </w:rPr>
            </w:pPr>
          </w:p>
        </w:tc>
      </w:tr>
      <w:tr w14:paraId="6608CC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07EF7210">
            <w:pPr>
              <w:snapToGrid w:val="0"/>
              <w:spacing w:line="360" w:lineRule="auto"/>
              <w:jc w:val="center"/>
              <w:textAlignment w:val="center"/>
              <w:rPr>
                <w:rFonts w:ascii="宋体" w:hAnsi="宋体" w:eastAsia="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7EAC005E">
            <w:pPr>
              <w:snapToGrid w:val="0"/>
              <w:spacing w:line="360" w:lineRule="auto"/>
              <w:jc w:val="center"/>
              <w:textAlignment w:val="center"/>
              <w:rPr>
                <w:rFonts w:ascii="宋体" w:hAnsi="宋体" w:eastAsia="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24A1F600">
            <w:pPr>
              <w:snapToGrid w:val="0"/>
              <w:spacing w:line="360" w:lineRule="auto"/>
              <w:jc w:val="center"/>
              <w:textAlignment w:val="center"/>
              <w:rPr>
                <w:rFonts w:ascii="宋体" w:hAnsi="宋体" w:eastAsia="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32D84254">
            <w:pPr>
              <w:snapToGrid w:val="0"/>
              <w:spacing w:line="360" w:lineRule="auto"/>
              <w:jc w:val="center"/>
              <w:textAlignment w:val="center"/>
              <w:rPr>
                <w:rFonts w:ascii="宋体" w:hAnsi="宋体" w:eastAsia="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206A6887">
            <w:pPr>
              <w:snapToGrid w:val="0"/>
              <w:spacing w:line="360" w:lineRule="auto"/>
              <w:jc w:val="center"/>
              <w:textAlignment w:val="center"/>
              <w:rPr>
                <w:rFonts w:ascii="宋体" w:hAnsi="宋体" w:eastAsia="宋体" w:cs="宋体"/>
                <w:color w:val="auto"/>
                <w:szCs w:val="21"/>
                <w:highlight w:val="none"/>
              </w:rPr>
            </w:pPr>
          </w:p>
        </w:tc>
      </w:tr>
      <w:tr w14:paraId="69263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5D9A67E4">
            <w:pPr>
              <w:snapToGrid w:val="0"/>
              <w:spacing w:line="360" w:lineRule="auto"/>
              <w:jc w:val="center"/>
              <w:textAlignment w:val="center"/>
              <w:rPr>
                <w:rFonts w:ascii="宋体" w:hAnsi="宋体" w:eastAsia="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6A48A3F7">
            <w:pPr>
              <w:snapToGrid w:val="0"/>
              <w:spacing w:line="360" w:lineRule="auto"/>
              <w:jc w:val="center"/>
              <w:textAlignment w:val="center"/>
              <w:rPr>
                <w:rFonts w:ascii="宋体" w:hAnsi="宋体" w:eastAsia="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33EB6A18">
            <w:pPr>
              <w:snapToGrid w:val="0"/>
              <w:spacing w:line="360" w:lineRule="auto"/>
              <w:jc w:val="center"/>
              <w:textAlignment w:val="center"/>
              <w:rPr>
                <w:rFonts w:ascii="宋体" w:hAnsi="宋体" w:eastAsia="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329E8A2B">
            <w:pPr>
              <w:snapToGrid w:val="0"/>
              <w:spacing w:line="360" w:lineRule="auto"/>
              <w:jc w:val="center"/>
              <w:textAlignment w:val="center"/>
              <w:rPr>
                <w:rFonts w:ascii="宋体" w:hAnsi="宋体" w:eastAsia="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44EC4B48">
            <w:pPr>
              <w:snapToGrid w:val="0"/>
              <w:spacing w:line="360" w:lineRule="auto"/>
              <w:jc w:val="center"/>
              <w:textAlignment w:val="center"/>
              <w:rPr>
                <w:rFonts w:ascii="宋体" w:hAnsi="宋体" w:eastAsia="宋体" w:cs="宋体"/>
                <w:color w:val="auto"/>
                <w:szCs w:val="21"/>
                <w:highlight w:val="none"/>
              </w:rPr>
            </w:pPr>
          </w:p>
        </w:tc>
      </w:tr>
      <w:tr w14:paraId="1805770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4579BD72">
            <w:pPr>
              <w:snapToGrid w:val="0"/>
              <w:spacing w:line="360" w:lineRule="auto"/>
              <w:jc w:val="center"/>
              <w:textAlignment w:val="center"/>
              <w:rPr>
                <w:rFonts w:ascii="宋体" w:hAnsi="宋体" w:eastAsia="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56A9B666">
            <w:pPr>
              <w:snapToGrid w:val="0"/>
              <w:spacing w:line="360" w:lineRule="auto"/>
              <w:jc w:val="center"/>
              <w:textAlignment w:val="center"/>
              <w:rPr>
                <w:rFonts w:ascii="宋体" w:hAnsi="宋体" w:eastAsia="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43BF5A0E">
            <w:pPr>
              <w:snapToGrid w:val="0"/>
              <w:spacing w:line="360" w:lineRule="auto"/>
              <w:jc w:val="center"/>
              <w:textAlignment w:val="center"/>
              <w:rPr>
                <w:rFonts w:ascii="宋体" w:hAnsi="宋体" w:eastAsia="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57B3B56F">
            <w:pPr>
              <w:snapToGrid w:val="0"/>
              <w:spacing w:line="360" w:lineRule="auto"/>
              <w:jc w:val="center"/>
              <w:textAlignment w:val="center"/>
              <w:rPr>
                <w:rFonts w:ascii="宋体" w:hAnsi="宋体" w:eastAsia="宋体" w:cs="宋体"/>
                <w:color w:val="auto"/>
                <w:szCs w:val="21"/>
                <w:highlight w:val="none"/>
              </w:rPr>
            </w:pPr>
          </w:p>
        </w:tc>
        <w:tc>
          <w:tcPr>
            <w:tcW w:w="1228" w:type="dxa"/>
            <w:tcBorders>
              <w:top w:val="single" w:color="auto" w:sz="4" w:space="0"/>
              <w:left w:val="single" w:color="auto" w:sz="4" w:space="0"/>
              <w:bottom w:val="single" w:color="auto" w:sz="4" w:space="0"/>
              <w:right w:val="single" w:color="auto" w:sz="4" w:space="0"/>
            </w:tcBorders>
            <w:noWrap/>
            <w:vAlign w:val="center"/>
          </w:tcPr>
          <w:p w14:paraId="098E32FA">
            <w:pPr>
              <w:snapToGrid w:val="0"/>
              <w:spacing w:line="360" w:lineRule="auto"/>
              <w:jc w:val="center"/>
              <w:textAlignment w:val="center"/>
              <w:rPr>
                <w:rFonts w:ascii="宋体" w:hAnsi="宋体" w:eastAsia="宋体" w:cs="宋体"/>
                <w:color w:val="auto"/>
                <w:szCs w:val="21"/>
                <w:highlight w:val="none"/>
              </w:rPr>
            </w:pPr>
          </w:p>
        </w:tc>
      </w:tr>
      <w:tr w14:paraId="20051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26" w:hRule="atLeast"/>
          <w:jc w:val="center"/>
        </w:trPr>
        <w:tc>
          <w:tcPr>
            <w:tcW w:w="1002" w:type="dxa"/>
            <w:tcBorders>
              <w:top w:val="single" w:color="auto" w:sz="4" w:space="0"/>
              <w:left w:val="single" w:color="auto" w:sz="4" w:space="0"/>
              <w:bottom w:val="single" w:color="auto" w:sz="4" w:space="0"/>
              <w:right w:val="single" w:color="auto" w:sz="4" w:space="0"/>
            </w:tcBorders>
            <w:noWrap/>
            <w:vAlign w:val="center"/>
          </w:tcPr>
          <w:p w14:paraId="656359D6">
            <w:pPr>
              <w:snapToGrid w:val="0"/>
              <w:spacing w:line="360" w:lineRule="auto"/>
              <w:jc w:val="center"/>
              <w:textAlignment w:val="center"/>
              <w:rPr>
                <w:rFonts w:ascii="宋体" w:hAnsi="宋体" w:eastAsia="宋体" w:cs="宋体"/>
                <w:color w:val="auto"/>
                <w:szCs w:val="21"/>
                <w:highlight w:val="none"/>
              </w:rPr>
            </w:pPr>
          </w:p>
        </w:tc>
        <w:tc>
          <w:tcPr>
            <w:tcW w:w="3123" w:type="dxa"/>
            <w:tcBorders>
              <w:top w:val="single" w:color="auto" w:sz="4" w:space="0"/>
              <w:left w:val="single" w:color="auto" w:sz="4" w:space="0"/>
              <w:bottom w:val="single" w:color="auto" w:sz="4" w:space="0"/>
              <w:right w:val="single" w:color="auto" w:sz="4" w:space="0"/>
            </w:tcBorders>
            <w:noWrap/>
            <w:vAlign w:val="center"/>
          </w:tcPr>
          <w:p w14:paraId="1C97BE19">
            <w:pPr>
              <w:snapToGrid w:val="0"/>
              <w:spacing w:line="360" w:lineRule="auto"/>
              <w:jc w:val="center"/>
              <w:textAlignment w:val="center"/>
              <w:rPr>
                <w:rFonts w:ascii="宋体" w:hAnsi="宋体" w:eastAsia="宋体" w:cs="宋体"/>
                <w:color w:val="auto"/>
                <w:szCs w:val="21"/>
                <w:highlight w:val="none"/>
              </w:rPr>
            </w:pPr>
          </w:p>
        </w:tc>
        <w:tc>
          <w:tcPr>
            <w:tcW w:w="1841" w:type="dxa"/>
            <w:tcBorders>
              <w:top w:val="single" w:color="auto" w:sz="4" w:space="0"/>
              <w:left w:val="single" w:color="auto" w:sz="4" w:space="0"/>
              <w:bottom w:val="single" w:color="auto" w:sz="4" w:space="0"/>
              <w:right w:val="single" w:color="auto" w:sz="4" w:space="0"/>
            </w:tcBorders>
            <w:noWrap/>
            <w:vAlign w:val="center"/>
          </w:tcPr>
          <w:p w14:paraId="15E2D858">
            <w:pPr>
              <w:snapToGrid w:val="0"/>
              <w:spacing w:line="360" w:lineRule="auto"/>
              <w:jc w:val="center"/>
              <w:textAlignment w:val="center"/>
              <w:rPr>
                <w:rFonts w:ascii="宋体" w:hAnsi="宋体" w:eastAsia="宋体" w:cs="宋体"/>
                <w:color w:val="auto"/>
                <w:szCs w:val="21"/>
                <w:highlight w:val="none"/>
              </w:rPr>
            </w:pPr>
          </w:p>
        </w:tc>
        <w:tc>
          <w:tcPr>
            <w:tcW w:w="2059" w:type="dxa"/>
            <w:tcBorders>
              <w:top w:val="single" w:color="auto" w:sz="4" w:space="0"/>
              <w:left w:val="single" w:color="auto" w:sz="4" w:space="0"/>
              <w:bottom w:val="single" w:color="auto" w:sz="4" w:space="0"/>
              <w:right w:val="single" w:color="auto" w:sz="4" w:space="0"/>
            </w:tcBorders>
            <w:noWrap/>
            <w:vAlign w:val="center"/>
          </w:tcPr>
          <w:p w14:paraId="772630C9">
            <w:pPr>
              <w:snapToGrid w:val="0"/>
              <w:spacing w:line="360" w:lineRule="auto"/>
              <w:jc w:val="center"/>
              <w:textAlignment w:val="center"/>
              <w:rPr>
                <w:rFonts w:ascii="宋体" w:hAnsi="宋体" w:eastAsia="宋体" w:cs="宋体"/>
                <w:color w:val="auto"/>
                <w:szCs w:val="21"/>
                <w:highlight w:val="none"/>
              </w:rPr>
            </w:pPr>
          </w:p>
        </w:tc>
        <w:tc>
          <w:tcPr>
            <w:tcW w:w="1228" w:type="dxa"/>
            <w:tcBorders>
              <w:top w:val="single" w:color="auto" w:sz="4" w:space="0"/>
              <w:left w:val="single" w:color="auto" w:sz="4" w:space="0"/>
              <w:right w:val="single" w:color="auto" w:sz="4" w:space="0"/>
            </w:tcBorders>
            <w:noWrap/>
            <w:vAlign w:val="center"/>
          </w:tcPr>
          <w:p w14:paraId="2DBD4626">
            <w:pPr>
              <w:snapToGrid w:val="0"/>
              <w:spacing w:line="360" w:lineRule="auto"/>
              <w:jc w:val="center"/>
              <w:textAlignment w:val="center"/>
              <w:rPr>
                <w:rFonts w:ascii="宋体" w:hAnsi="宋体" w:eastAsia="宋体" w:cs="宋体"/>
                <w:color w:val="auto"/>
                <w:szCs w:val="21"/>
                <w:highlight w:val="none"/>
              </w:rPr>
            </w:pPr>
          </w:p>
        </w:tc>
      </w:tr>
    </w:tbl>
    <w:p w14:paraId="6BC266E9">
      <w:pPr>
        <w:numPr>
          <w:ilvl w:val="255"/>
          <w:numId w:val="0"/>
        </w:numPr>
        <w:tabs>
          <w:tab w:val="left" w:pos="720"/>
        </w:tabs>
        <w:snapToGrid w:val="0"/>
        <w:spacing w:line="360" w:lineRule="auto"/>
        <w:rPr>
          <w:rFonts w:ascii="宋体" w:hAnsi="宋体" w:eastAsia="宋体" w:cs="宋体"/>
          <w:color w:val="auto"/>
          <w:highlight w:val="none"/>
        </w:rPr>
      </w:pPr>
      <w:r>
        <w:rPr>
          <w:rFonts w:hint="eastAsia" w:ascii="宋体" w:hAnsi="宋体" w:eastAsia="宋体" w:cs="宋体"/>
          <w:color w:val="auto"/>
          <w:highlight w:val="none"/>
        </w:rPr>
        <w:t>注：</w:t>
      </w:r>
      <w:r>
        <w:rPr>
          <w:rFonts w:ascii="宋体" w:hAnsi="宋体" w:eastAsia="宋体" w:cs="宋体"/>
          <w:color w:val="auto"/>
          <w:highlight w:val="none"/>
        </w:rPr>
        <w:t>1、设备名称及要求数量由投标人视本工程具体情况结合招标人对本工程的具体要求自行配备。2、为贯彻绿色发展理念，本项目应积极使用燃料电池汽车等新能源工程车，要求投标人投入的新能源工程车占投入的建筑垃圾自卸车（渣土车）总数比例不低于40%。一旦中标，必须全部到位，否则按合同违约处理</w:t>
      </w:r>
      <w:r>
        <w:rPr>
          <w:rFonts w:hint="eastAsia" w:ascii="宋体" w:hAnsi="宋体" w:eastAsia="宋体" w:cs="宋体"/>
          <w:color w:val="auto"/>
          <w:sz w:val="24"/>
          <w:highlight w:val="none"/>
        </w:rPr>
        <w:t>。</w:t>
      </w:r>
    </w:p>
    <w:p w14:paraId="347FD765">
      <w:pPr>
        <w:snapToGrid w:val="0"/>
        <w:spacing w:line="360" w:lineRule="auto"/>
        <w:ind w:right="-130" w:rightChars="-62"/>
        <w:rPr>
          <w:rFonts w:ascii="宋体" w:hAnsi="宋体" w:eastAsia="宋体" w:cs="宋体"/>
          <w:color w:val="auto"/>
          <w:highlight w:val="none"/>
        </w:rPr>
      </w:pPr>
    </w:p>
    <w:p w14:paraId="3047D0F1">
      <w:pPr>
        <w:topLinePunct/>
        <w:adjustRightInd w:val="0"/>
        <w:snapToGrid w:val="0"/>
        <w:spacing w:line="360" w:lineRule="auto"/>
        <w:ind w:firstLine="3161" w:firstLineChars="1450"/>
        <w:rPr>
          <w:rFonts w:ascii="宋体" w:hAnsi="宋体" w:eastAsia="宋体" w:cs="宋体"/>
          <w:snapToGrid w:val="0"/>
          <w:color w:val="auto"/>
          <w:spacing w:val="4"/>
          <w:kern w:val="0"/>
          <w:szCs w:val="21"/>
          <w:highlight w:val="none"/>
        </w:rPr>
      </w:pPr>
    </w:p>
    <w:p w14:paraId="6062E082">
      <w:pPr>
        <w:topLinePunct/>
        <w:adjustRightInd w:val="0"/>
        <w:snapToGrid w:val="0"/>
        <w:spacing w:line="360" w:lineRule="auto"/>
        <w:ind w:firstLine="3161" w:firstLineChars="1450"/>
        <w:rPr>
          <w:rFonts w:ascii="宋体" w:hAnsi="宋体" w:eastAsia="宋体" w:cs="宋体"/>
          <w:snapToGrid w:val="0"/>
          <w:color w:val="auto"/>
          <w:spacing w:val="4"/>
          <w:kern w:val="0"/>
          <w:szCs w:val="21"/>
          <w:highlight w:val="none"/>
        </w:rPr>
      </w:pPr>
      <w:r>
        <w:rPr>
          <w:rFonts w:hint="eastAsia" w:ascii="宋体" w:hAnsi="宋体" w:eastAsia="宋体" w:cs="宋体"/>
          <w:snapToGrid w:val="0"/>
          <w:color w:val="auto"/>
          <w:spacing w:val="4"/>
          <w:kern w:val="0"/>
          <w:szCs w:val="21"/>
          <w:highlight w:val="none"/>
        </w:rPr>
        <w:t>投标人（盖章）：</w:t>
      </w:r>
    </w:p>
    <w:p w14:paraId="25968C07">
      <w:pPr>
        <w:topLinePunct/>
        <w:adjustRightInd w:val="0"/>
        <w:snapToGrid w:val="0"/>
        <w:spacing w:line="360" w:lineRule="auto"/>
        <w:ind w:firstLine="3161" w:firstLineChars="1450"/>
        <w:rPr>
          <w:rFonts w:ascii="宋体" w:hAnsi="宋体" w:eastAsia="宋体" w:cs="宋体"/>
          <w:snapToGrid w:val="0"/>
          <w:color w:val="auto"/>
          <w:spacing w:val="4"/>
          <w:kern w:val="0"/>
          <w:szCs w:val="21"/>
          <w:highlight w:val="none"/>
        </w:rPr>
      </w:pPr>
      <w:r>
        <w:rPr>
          <w:rFonts w:hint="eastAsia" w:ascii="宋体" w:hAnsi="宋体" w:eastAsia="宋体" w:cs="宋体"/>
          <w:snapToGrid w:val="0"/>
          <w:color w:val="auto"/>
          <w:spacing w:val="4"/>
          <w:kern w:val="0"/>
          <w:szCs w:val="21"/>
          <w:highlight w:val="none"/>
        </w:rPr>
        <w:t>日期：</w:t>
      </w:r>
      <w:r>
        <w:rPr>
          <w:rFonts w:ascii="宋体" w:hAnsi="宋体" w:eastAsia="宋体" w:cs="宋体"/>
          <w:snapToGrid w:val="0"/>
          <w:color w:val="auto"/>
          <w:spacing w:val="4"/>
          <w:kern w:val="0"/>
          <w:szCs w:val="21"/>
          <w:highlight w:val="none"/>
        </w:rPr>
        <w:t xml:space="preserve">     </w:t>
      </w:r>
      <w:r>
        <w:rPr>
          <w:rFonts w:hint="eastAsia" w:ascii="宋体" w:hAnsi="宋体" w:eastAsia="宋体" w:cs="宋体"/>
          <w:snapToGrid w:val="0"/>
          <w:color w:val="auto"/>
          <w:spacing w:val="4"/>
          <w:kern w:val="0"/>
          <w:szCs w:val="21"/>
          <w:highlight w:val="none"/>
        </w:rPr>
        <w:t>年</w:t>
      </w:r>
      <w:r>
        <w:rPr>
          <w:rFonts w:ascii="宋体" w:hAnsi="宋体" w:eastAsia="宋体" w:cs="宋体"/>
          <w:snapToGrid w:val="0"/>
          <w:color w:val="auto"/>
          <w:spacing w:val="4"/>
          <w:kern w:val="0"/>
          <w:szCs w:val="21"/>
          <w:highlight w:val="none"/>
        </w:rPr>
        <w:t xml:space="preserve">   </w:t>
      </w:r>
      <w:r>
        <w:rPr>
          <w:rFonts w:hint="eastAsia" w:ascii="宋体" w:hAnsi="宋体" w:eastAsia="宋体" w:cs="宋体"/>
          <w:snapToGrid w:val="0"/>
          <w:color w:val="auto"/>
          <w:spacing w:val="4"/>
          <w:kern w:val="0"/>
          <w:szCs w:val="21"/>
          <w:highlight w:val="none"/>
        </w:rPr>
        <w:t>月</w:t>
      </w:r>
      <w:r>
        <w:rPr>
          <w:rFonts w:ascii="宋体" w:hAnsi="宋体" w:eastAsia="宋体" w:cs="宋体"/>
          <w:snapToGrid w:val="0"/>
          <w:color w:val="auto"/>
          <w:spacing w:val="4"/>
          <w:kern w:val="0"/>
          <w:szCs w:val="21"/>
          <w:highlight w:val="none"/>
        </w:rPr>
        <w:t xml:space="preserve">   </w:t>
      </w:r>
      <w:r>
        <w:rPr>
          <w:rFonts w:hint="eastAsia" w:ascii="宋体" w:hAnsi="宋体" w:eastAsia="宋体" w:cs="宋体"/>
          <w:snapToGrid w:val="0"/>
          <w:color w:val="auto"/>
          <w:spacing w:val="4"/>
          <w:kern w:val="0"/>
          <w:szCs w:val="21"/>
          <w:highlight w:val="none"/>
        </w:rPr>
        <w:t>日</w:t>
      </w:r>
    </w:p>
    <w:p w14:paraId="6838B86F">
      <w:pPr>
        <w:snapToGrid w:val="0"/>
        <w:spacing w:line="360" w:lineRule="auto"/>
        <w:ind w:right="-130" w:rightChars="-62"/>
        <w:rPr>
          <w:rFonts w:ascii="宋体" w:hAnsi="宋体" w:eastAsia="宋体" w:cs="宋体"/>
          <w:color w:val="auto"/>
          <w:highlight w:val="none"/>
        </w:rPr>
      </w:pPr>
    </w:p>
    <w:p w14:paraId="7A0E3279">
      <w:pPr>
        <w:snapToGrid w:val="0"/>
        <w:spacing w:line="360" w:lineRule="auto"/>
        <w:ind w:right="-130" w:rightChars="-62"/>
        <w:rPr>
          <w:rFonts w:ascii="宋体" w:hAnsi="宋体" w:eastAsia="宋体" w:cs="宋体"/>
          <w:color w:val="auto"/>
          <w:highlight w:val="none"/>
        </w:rPr>
      </w:pPr>
    </w:p>
    <w:p w14:paraId="653797EC">
      <w:pPr>
        <w:rPr>
          <w:rFonts w:ascii="宋体" w:hAnsi="宋体" w:eastAsia="宋体" w:cs="宋体"/>
          <w:bCs/>
          <w:color w:val="auto"/>
          <w:kern w:val="0"/>
          <w:highlight w:val="none"/>
        </w:rPr>
      </w:pPr>
      <w:bookmarkStart w:id="51" w:name="_Toc22483"/>
      <w:r>
        <w:rPr>
          <w:rFonts w:ascii="宋体" w:hAnsi="宋体" w:eastAsia="宋体" w:cs="宋体"/>
          <w:bCs/>
          <w:color w:val="auto"/>
          <w:kern w:val="0"/>
          <w:highlight w:val="none"/>
        </w:rPr>
        <w:br w:type="page"/>
      </w:r>
    </w:p>
    <w:p w14:paraId="7ABD20F3">
      <w:pPr>
        <w:pStyle w:val="248"/>
        <w:ind w:firstLine="0" w:firstLineChars="0"/>
        <w:rPr>
          <w:rFonts w:eastAsia="宋体" w:cs="宋体"/>
          <w:b/>
          <w:color w:val="auto"/>
          <w:sz w:val="36"/>
          <w:szCs w:val="36"/>
          <w:highlight w:val="none"/>
        </w:rPr>
      </w:pPr>
      <w:r>
        <w:rPr>
          <w:rFonts w:hint="eastAsia" w:eastAsia="宋体" w:cs="宋体"/>
          <w:bCs/>
          <w:color w:val="auto"/>
          <w:kern w:val="0"/>
          <w:highlight w:val="none"/>
        </w:rPr>
        <w:t>技术标格式十一</w:t>
      </w:r>
    </w:p>
    <w:p w14:paraId="2D3B028E">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危险性较大的分部分项工程安全管理措施</w:t>
      </w:r>
      <w:bookmarkEnd w:id="51"/>
    </w:p>
    <w:p w14:paraId="4EA59E0E">
      <w:pPr>
        <w:widowControl/>
        <w:numPr>
          <w:ilvl w:val="0"/>
          <w:numId w:val="20"/>
        </w:numPr>
        <w:autoSpaceDE w:val="0"/>
        <w:autoSpaceDN w:val="0"/>
        <w:adjustRightInd w:val="0"/>
        <w:snapToGrid w:val="0"/>
        <w:spacing w:line="360" w:lineRule="auto"/>
        <w:jc w:val="left"/>
        <w:rPr>
          <w:rFonts w:ascii="宋体" w:hAnsi="宋体" w:eastAsia="宋体" w:cs="宋体"/>
          <w:snapToGrid w:val="0"/>
          <w:color w:val="auto"/>
          <w:spacing w:val="4"/>
          <w:kern w:val="0"/>
          <w:sz w:val="22"/>
          <w:highlight w:val="none"/>
        </w:rPr>
      </w:pPr>
      <w:r>
        <w:rPr>
          <w:rFonts w:hint="eastAsia" w:ascii="宋体" w:hAnsi="宋体" w:eastAsia="宋体" w:cs="宋体"/>
          <w:color w:val="auto"/>
          <w:kern w:val="0"/>
          <w:sz w:val="22"/>
          <w:highlight w:val="none"/>
        </w:rPr>
        <w:t>根据中华人民共和国住房和城乡建设部令第</w:t>
      </w:r>
      <w:r>
        <w:rPr>
          <w:rFonts w:ascii="宋体" w:hAnsi="宋体" w:eastAsia="宋体" w:cs="宋体"/>
          <w:color w:val="auto"/>
          <w:kern w:val="0"/>
          <w:sz w:val="22"/>
          <w:highlight w:val="none"/>
        </w:rPr>
        <w:t>37号《危险性较大的分部分项工程安全管理规定》（以下简称“37号文”），投标人在投标时须补充完善危大工程清单并</w:t>
      </w:r>
      <w:r>
        <w:rPr>
          <w:rFonts w:hint="eastAsia" w:ascii="宋体" w:hAnsi="宋体" w:eastAsia="宋体" w:cs="宋体"/>
          <w:snapToGrid w:val="0"/>
          <w:color w:val="auto"/>
          <w:spacing w:val="4"/>
          <w:kern w:val="0"/>
          <w:sz w:val="22"/>
          <w:highlight w:val="none"/>
        </w:rPr>
        <w:t>结合本工程的类型和特点，科学、合理地设置本项目的危险性较大的分部分项工程安全管理措施，危险性较大的分部分项工程安全管理措施由投标人结合招标人对本工程的具体要求自行设定。</w:t>
      </w:r>
    </w:p>
    <w:p w14:paraId="7B7C49DD">
      <w:pPr>
        <w:widowControl/>
        <w:numPr>
          <w:ilvl w:val="0"/>
          <w:numId w:val="20"/>
        </w:numPr>
        <w:autoSpaceDE w:val="0"/>
        <w:autoSpaceDN w:val="0"/>
        <w:adjustRightInd w:val="0"/>
        <w:snapToGrid w:val="0"/>
        <w:spacing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招标人根据设计文件的要求及</w:t>
      </w:r>
      <w:r>
        <w:rPr>
          <w:rFonts w:ascii="宋体" w:hAnsi="宋体" w:eastAsia="宋体" w:cs="宋体"/>
          <w:color w:val="auto"/>
          <w:kern w:val="0"/>
          <w:sz w:val="22"/>
          <w:highlight w:val="none"/>
        </w:rPr>
        <w:t>37号文的规定列出“危险性较大的分部分项工程清单及超过一定规模的危险性较大的分部分项工程清单”中与本招标项目相关的清单项，具体详第5点“打</w:t>
      </w:r>
      <w:r>
        <w:rPr>
          <w:rFonts w:hint="eastAsia" w:ascii="宋体" w:hAnsi="宋体" w:eastAsia="宋体" w:cs="宋体"/>
          <w:color w:val="auto"/>
          <w:kern w:val="0"/>
          <w:sz w:val="22"/>
          <w:szCs w:val="32"/>
          <w:highlight w:val="none"/>
        </w:rPr>
        <w:t>√”标识。</w:t>
      </w:r>
    </w:p>
    <w:p w14:paraId="15415CC4">
      <w:pPr>
        <w:widowControl/>
        <w:numPr>
          <w:ilvl w:val="0"/>
          <w:numId w:val="21"/>
        </w:numPr>
        <w:autoSpaceDE w:val="0"/>
        <w:autoSpaceDN w:val="0"/>
        <w:adjustRightInd w:val="0"/>
        <w:snapToGrid w:val="0"/>
        <w:spacing w:line="360" w:lineRule="auto"/>
        <w:jc w:val="left"/>
        <w:rPr>
          <w:rFonts w:ascii="宋体" w:hAnsi="宋体" w:eastAsia="宋体" w:cs="宋体"/>
          <w:color w:val="auto"/>
          <w:kern w:val="0"/>
          <w:sz w:val="22"/>
          <w:szCs w:val="32"/>
          <w:highlight w:val="none"/>
        </w:rPr>
      </w:pPr>
      <w:r>
        <w:rPr>
          <w:rFonts w:hint="eastAsia" w:ascii="宋体" w:hAnsi="宋体" w:eastAsia="宋体" w:cs="宋体"/>
          <w:color w:val="auto"/>
          <w:kern w:val="0"/>
          <w:sz w:val="22"/>
          <w:highlight w:val="none"/>
        </w:rPr>
        <w:t>投标单位同意建设单位在清单中标识的该项请在对应项打“</w:t>
      </w:r>
      <w:r>
        <w:rPr>
          <w:rFonts w:hint="eastAsia" w:ascii="宋体" w:hAnsi="宋体" w:eastAsia="宋体" w:cs="宋体"/>
          <w:color w:val="auto"/>
          <w:kern w:val="0"/>
          <w:sz w:val="22"/>
          <w:szCs w:val="32"/>
          <w:highlight w:val="none"/>
        </w:rPr>
        <w:t>√”标识，并在投标文件中提供相应的安全管理措施。</w:t>
      </w:r>
    </w:p>
    <w:p w14:paraId="0F44333C">
      <w:pPr>
        <w:widowControl/>
        <w:numPr>
          <w:ilvl w:val="0"/>
          <w:numId w:val="21"/>
        </w:numPr>
        <w:autoSpaceDE w:val="0"/>
        <w:autoSpaceDN w:val="0"/>
        <w:adjustRightInd w:val="0"/>
        <w:snapToGrid w:val="0"/>
        <w:spacing w:line="360" w:lineRule="auto"/>
        <w:jc w:val="left"/>
        <w:rPr>
          <w:rFonts w:ascii="宋体" w:hAnsi="宋体" w:eastAsia="宋体" w:cs="宋体"/>
          <w:color w:val="auto"/>
          <w:kern w:val="0"/>
          <w:sz w:val="22"/>
          <w:szCs w:val="32"/>
          <w:highlight w:val="none"/>
        </w:rPr>
      </w:pPr>
      <w:r>
        <w:rPr>
          <w:rFonts w:hint="eastAsia" w:ascii="宋体" w:hAnsi="宋体" w:eastAsia="宋体" w:cs="宋体"/>
          <w:color w:val="auto"/>
          <w:kern w:val="0"/>
          <w:sz w:val="22"/>
          <w:highlight w:val="none"/>
        </w:rPr>
        <w:t>投标单位对清单中认为需要补充的该项请在对应项打“</w:t>
      </w:r>
      <w:r>
        <w:rPr>
          <w:rFonts w:hint="eastAsia" w:ascii="宋体" w:hAnsi="宋体" w:eastAsia="宋体" w:cs="宋体"/>
          <w:color w:val="auto"/>
          <w:kern w:val="0"/>
          <w:sz w:val="22"/>
          <w:szCs w:val="32"/>
          <w:highlight w:val="none"/>
        </w:rPr>
        <w:t>√”标识，并在投标文件中提供相应的安全管理措施。</w:t>
      </w:r>
    </w:p>
    <w:p w14:paraId="759F98B2">
      <w:pPr>
        <w:widowControl/>
        <w:numPr>
          <w:ilvl w:val="0"/>
          <w:numId w:val="21"/>
        </w:numPr>
        <w:autoSpaceDE w:val="0"/>
        <w:autoSpaceDN w:val="0"/>
        <w:adjustRightInd w:val="0"/>
        <w:snapToGrid w:val="0"/>
        <w:spacing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szCs w:val="32"/>
          <w:highlight w:val="none"/>
        </w:rPr>
        <w:t>投标单位不同意建设单位</w:t>
      </w:r>
      <w:r>
        <w:rPr>
          <w:rFonts w:hint="eastAsia" w:ascii="宋体" w:hAnsi="宋体" w:eastAsia="宋体" w:cs="宋体"/>
          <w:color w:val="auto"/>
          <w:kern w:val="0"/>
          <w:sz w:val="22"/>
          <w:highlight w:val="none"/>
        </w:rPr>
        <w:t>在清单中标识的该项</w:t>
      </w:r>
      <w:r>
        <w:rPr>
          <w:rFonts w:hint="eastAsia" w:ascii="宋体" w:hAnsi="宋体" w:eastAsia="宋体" w:cs="宋体"/>
          <w:color w:val="auto"/>
          <w:kern w:val="0"/>
          <w:sz w:val="22"/>
          <w:szCs w:val="32"/>
          <w:highlight w:val="none"/>
        </w:rPr>
        <w:t>请在对应项打“×”标识，并在备注栏填上相关说明。</w:t>
      </w:r>
    </w:p>
    <w:p w14:paraId="0B2B17DE">
      <w:pPr>
        <w:widowControl/>
        <w:numPr>
          <w:ilvl w:val="0"/>
          <w:numId w:val="20"/>
        </w:numPr>
        <w:autoSpaceDE w:val="0"/>
        <w:autoSpaceDN w:val="0"/>
        <w:adjustRightInd w:val="0"/>
        <w:snapToGrid w:val="0"/>
        <w:spacing w:line="360" w:lineRule="auto"/>
        <w:jc w:val="left"/>
        <w:rPr>
          <w:rFonts w:ascii="宋体" w:hAnsi="宋体" w:eastAsia="宋体" w:cs="宋体"/>
          <w:b/>
          <w:color w:val="auto"/>
          <w:kern w:val="0"/>
          <w:sz w:val="22"/>
          <w:highlight w:val="none"/>
        </w:rPr>
      </w:pPr>
      <w:r>
        <w:rPr>
          <w:rFonts w:hint="eastAsia" w:ascii="宋体" w:hAnsi="宋体" w:eastAsia="宋体" w:cs="宋体"/>
          <w:b/>
          <w:color w:val="auto"/>
          <w:kern w:val="0"/>
          <w:sz w:val="22"/>
          <w:highlight w:val="none"/>
        </w:rPr>
        <w:t>投标单位应当在投标时根据招标人提供的下述第</w:t>
      </w:r>
      <w:r>
        <w:rPr>
          <w:rFonts w:ascii="宋体" w:hAnsi="宋体" w:eastAsia="宋体" w:cs="宋体"/>
          <w:b/>
          <w:color w:val="auto"/>
          <w:kern w:val="0"/>
          <w:sz w:val="22"/>
          <w:highlight w:val="none"/>
        </w:rPr>
        <w:t>5点清单，在投标文件中</w:t>
      </w:r>
      <w:r>
        <w:rPr>
          <w:rFonts w:hint="eastAsia" w:ascii="宋体" w:hAnsi="宋体" w:eastAsia="宋体" w:cs="宋体"/>
          <w:b/>
          <w:color w:val="auto"/>
          <w:kern w:val="0"/>
          <w:sz w:val="22"/>
          <w:highlight w:val="none"/>
        </w:rPr>
        <w:t>本清单表格后</w:t>
      </w:r>
      <w:r>
        <w:rPr>
          <w:rFonts w:ascii="宋体" w:hAnsi="宋体" w:eastAsia="宋体" w:cs="宋体"/>
          <w:b/>
          <w:color w:val="auto"/>
          <w:kern w:val="0"/>
          <w:sz w:val="22"/>
          <w:highlight w:val="none"/>
        </w:rPr>
        <w:t>编制专项施工方案。</w:t>
      </w:r>
    </w:p>
    <w:p w14:paraId="48B121B1">
      <w:pPr>
        <w:widowControl/>
        <w:numPr>
          <w:ilvl w:val="0"/>
          <w:numId w:val="20"/>
        </w:numPr>
        <w:autoSpaceDE w:val="0"/>
        <w:autoSpaceDN w:val="0"/>
        <w:adjustRightInd w:val="0"/>
        <w:snapToGrid w:val="0"/>
        <w:spacing w:line="360" w:lineRule="auto"/>
        <w:jc w:val="left"/>
        <w:rPr>
          <w:rFonts w:ascii="宋体" w:hAnsi="宋体" w:eastAsia="宋体" w:cs="宋体"/>
          <w:color w:val="auto"/>
          <w:kern w:val="0"/>
          <w:sz w:val="22"/>
          <w:highlight w:val="none"/>
        </w:rPr>
      </w:pPr>
      <w:r>
        <w:rPr>
          <w:rFonts w:hint="eastAsia" w:ascii="宋体" w:hAnsi="宋体" w:eastAsia="宋体" w:cs="宋体"/>
          <w:color w:val="auto"/>
          <w:kern w:val="0"/>
          <w:sz w:val="22"/>
          <w:highlight w:val="none"/>
        </w:rPr>
        <w:t>对于超过一定规模的危大工程，中标单位应当组织召开专家论证会对专项施工方案进行论证。实行施工总承包的，由施工总承包单位组织召开专家论证会。专家论证前专项施工方案应当通过施工总承包单位审核和总监理工程师审查。</w:t>
      </w:r>
    </w:p>
    <w:p w14:paraId="6FDD2946">
      <w:pPr>
        <w:numPr>
          <w:ilvl w:val="255"/>
          <w:numId w:val="0"/>
        </w:numPr>
        <w:autoSpaceDE w:val="0"/>
        <w:autoSpaceDN w:val="0"/>
        <w:adjustRightInd w:val="0"/>
        <w:snapToGrid w:val="0"/>
        <w:spacing w:line="360" w:lineRule="auto"/>
        <w:jc w:val="left"/>
        <w:rPr>
          <w:rFonts w:ascii="宋体" w:hAnsi="宋体" w:eastAsia="宋体" w:cs="宋体"/>
          <w:color w:val="auto"/>
          <w:sz w:val="24"/>
          <w:szCs w:val="28"/>
          <w:highlight w:val="none"/>
        </w:rPr>
      </w:pPr>
      <w:r>
        <w:rPr>
          <w:rFonts w:ascii="宋体" w:hAnsi="宋体" w:eastAsia="宋体" w:cs="宋体"/>
          <w:color w:val="auto"/>
          <w:kern w:val="0"/>
          <w:sz w:val="22"/>
          <w:highlight w:val="none"/>
        </w:rPr>
        <w:t>5、危险性较大的分部分项工程清单及超过一定规模的危险性较大的分部分项工程清单</w:t>
      </w:r>
    </w:p>
    <w:tbl>
      <w:tblPr>
        <w:tblStyle w:val="88"/>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40"/>
        <w:gridCol w:w="1222"/>
        <w:gridCol w:w="1361"/>
        <w:gridCol w:w="797"/>
      </w:tblGrid>
      <w:tr w14:paraId="3E599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shd w:val="clear" w:color="auto" w:fill="D9D9D9"/>
            <w:vAlign w:val="center"/>
          </w:tcPr>
          <w:p w14:paraId="0F3C3661">
            <w:pPr>
              <w:spacing w:after="120" w:line="480" w:lineRule="auto"/>
              <w:jc w:val="center"/>
              <w:rPr>
                <w:rFonts w:ascii="宋体" w:hAnsi="宋体" w:eastAsia="宋体" w:cs="宋体"/>
                <w:b/>
                <w:color w:val="auto"/>
                <w:highlight w:val="none"/>
              </w:rPr>
            </w:pPr>
            <w:r>
              <w:rPr>
                <w:rFonts w:hint="eastAsia" w:ascii="宋体" w:hAnsi="宋体" w:eastAsia="宋体" w:cs="宋体"/>
                <w:b/>
                <w:color w:val="auto"/>
                <w:highlight w:val="none"/>
              </w:rPr>
              <w:t>危险性较大的分部分项工程清单</w:t>
            </w:r>
          </w:p>
        </w:tc>
        <w:tc>
          <w:tcPr>
            <w:tcW w:w="1222" w:type="dxa"/>
            <w:tcBorders>
              <w:top w:val="single" w:color="auto" w:sz="4" w:space="0"/>
              <w:left w:val="nil"/>
              <w:bottom w:val="single" w:color="auto" w:sz="4" w:space="0"/>
              <w:right w:val="single" w:color="auto" w:sz="4" w:space="0"/>
            </w:tcBorders>
            <w:shd w:val="clear" w:color="auto" w:fill="D9D9D9"/>
            <w:vAlign w:val="center"/>
          </w:tcPr>
          <w:p w14:paraId="51BDA3B5">
            <w:pPr>
              <w:jc w:val="center"/>
              <w:rPr>
                <w:rFonts w:ascii="宋体" w:hAnsi="宋体" w:eastAsia="宋体" w:cs="宋体"/>
                <w:b/>
                <w:color w:val="auto"/>
                <w:highlight w:val="none"/>
              </w:rPr>
            </w:pPr>
            <w:r>
              <w:rPr>
                <w:rFonts w:hint="eastAsia" w:ascii="宋体" w:hAnsi="宋体" w:eastAsia="宋体" w:cs="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9D9D9"/>
            <w:vAlign w:val="center"/>
          </w:tcPr>
          <w:p w14:paraId="0A74ECC3">
            <w:pPr>
              <w:jc w:val="center"/>
              <w:rPr>
                <w:rFonts w:ascii="宋体" w:hAnsi="宋体" w:eastAsia="宋体" w:cs="宋体"/>
                <w:b/>
                <w:color w:val="auto"/>
                <w:highlight w:val="none"/>
              </w:rPr>
            </w:pPr>
            <w:r>
              <w:rPr>
                <w:rFonts w:hint="eastAsia" w:ascii="宋体" w:hAnsi="宋体" w:eastAsia="宋体" w:cs="宋体"/>
                <w:b/>
                <w:color w:val="auto"/>
                <w:highlight w:val="none"/>
              </w:rPr>
              <w:t>投标单位</w:t>
            </w:r>
          </w:p>
        </w:tc>
        <w:tc>
          <w:tcPr>
            <w:tcW w:w="797" w:type="dxa"/>
            <w:tcBorders>
              <w:top w:val="single" w:color="auto" w:sz="4" w:space="0"/>
              <w:left w:val="nil"/>
              <w:bottom w:val="single" w:color="auto" w:sz="4" w:space="0"/>
              <w:right w:val="single" w:color="auto" w:sz="4" w:space="0"/>
            </w:tcBorders>
            <w:shd w:val="clear" w:color="auto" w:fill="D9D9D9"/>
            <w:vAlign w:val="center"/>
          </w:tcPr>
          <w:p w14:paraId="51B414F9">
            <w:pPr>
              <w:jc w:val="center"/>
              <w:rPr>
                <w:rFonts w:ascii="宋体" w:hAnsi="宋体" w:eastAsia="宋体" w:cs="宋体"/>
                <w:b/>
                <w:color w:val="auto"/>
                <w:highlight w:val="none"/>
              </w:rPr>
            </w:pPr>
            <w:r>
              <w:rPr>
                <w:rFonts w:hint="eastAsia" w:ascii="宋体" w:hAnsi="宋体" w:eastAsia="宋体" w:cs="宋体"/>
                <w:b/>
                <w:color w:val="auto"/>
                <w:highlight w:val="none"/>
              </w:rPr>
              <w:t>备注</w:t>
            </w:r>
          </w:p>
        </w:tc>
      </w:tr>
      <w:tr w14:paraId="00315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51E4B819">
            <w:pPr>
              <w:rPr>
                <w:rFonts w:ascii="宋体" w:hAnsi="宋体" w:eastAsia="宋体" w:cs="宋体"/>
                <w:b/>
                <w:color w:val="auto"/>
                <w:highlight w:val="none"/>
              </w:rPr>
            </w:pPr>
            <w:r>
              <w:rPr>
                <w:rFonts w:hint="eastAsia" w:ascii="宋体" w:hAnsi="宋体" w:eastAsia="宋体" w:cs="宋体"/>
                <w:b/>
                <w:color w:val="auto"/>
                <w:highlight w:val="none"/>
              </w:rPr>
              <w:t>一、基坑支护</w:t>
            </w:r>
          </w:p>
        </w:tc>
      </w:tr>
      <w:tr w14:paraId="0E98C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EF1173B">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（一）开挖深度超过</w:t>
            </w:r>
            <w:r>
              <w:rPr>
                <w:rFonts w:ascii="宋体" w:hAnsi="宋体" w:eastAsia="宋体" w:cs="宋体"/>
                <w:color w:val="auto"/>
                <w:highlight w:val="none"/>
              </w:rPr>
              <w:t>3m（含3m）的基坑（槽）的土方开挖、支护、降水工程。</w:t>
            </w:r>
          </w:p>
        </w:tc>
        <w:tc>
          <w:tcPr>
            <w:tcW w:w="1222" w:type="dxa"/>
            <w:tcBorders>
              <w:top w:val="single" w:color="auto" w:sz="4" w:space="0"/>
              <w:left w:val="nil"/>
              <w:bottom w:val="single" w:color="auto" w:sz="4" w:space="0"/>
              <w:right w:val="single" w:color="auto" w:sz="4" w:space="0"/>
            </w:tcBorders>
            <w:vAlign w:val="center"/>
          </w:tcPr>
          <w:p w14:paraId="2FBE2CFB">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xml:space="preserve">(  </w:t>
            </w:r>
            <w:r>
              <w:rPr>
                <w:rFonts w:ascii="Arial" w:hAnsi="Arial" w:eastAsia="宋体" w:cs="Arial"/>
                <w:color w:val="auto"/>
                <w:kern w:val="0"/>
                <w:sz w:val="24"/>
                <w:szCs w:val="36"/>
                <w:highlight w:val="none"/>
              </w:rPr>
              <w:t>√</w:t>
            </w:r>
            <w:r>
              <w:rPr>
                <w:rFonts w:ascii="宋体" w:hAnsi="宋体" w:eastAsia="宋体" w:cs="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14:paraId="2FB3A8C0">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35CD7E62">
            <w:pPr>
              <w:jc w:val="center"/>
              <w:rPr>
                <w:rFonts w:ascii="宋体" w:hAnsi="宋体" w:eastAsia="宋体" w:cs="宋体"/>
                <w:color w:val="auto"/>
                <w:highlight w:val="none"/>
              </w:rPr>
            </w:pPr>
          </w:p>
        </w:tc>
      </w:tr>
      <w:tr w14:paraId="16B1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428C74DA">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（二）开挖深度虽未超过</w:t>
            </w:r>
            <w:r>
              <w:rPr>
                <w:rFonts w:ascii="宋体" w:hAnsi="宋体" w:eastAsia="宋体" w:cs="宋体"/>
                <w:color w:val="auto"/>
                <w:highlight w:val="none"/>
              </w:rPr>
              <w:t>3m，但地质条件、周围环境和地下管线复杂，或影响毗邻建、构筑物安全的基坑（槽）的土方开挖、支护、降水工程。</w:t>
            </w:r>
          </w:p>
        </w:tc>
        <w:tc>
          <w:tcPr>
            <w:tcW w:w="1222" w:type="dxa"/>
            <w:tcBorders>
              <w:top w:val="single" w:color="auto" w:sz="4" w:space="0"/>
              <w:left w:val="nil"/>
              <w:bottom w:val="single" w:color="auto" w:sz="4" w:space="0"/>
              <w:right w:val="single" w:color="auto" w:sz="4" w:space="0"/>
            </w:tcBorders>
            <w:vAlign w:val="center"/>
          </w:tcPr>
          <w:p w14:paraId="5AC91341">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10047086">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44CD56F5">
            <w:pPr>
              <w:jc w:val="center"/>
              <w:rPr>
                <w:rFonts w:ascii="宋体" w:hAnsi="宋体" w:eastAsia="宋体" w:cs="宋体"/>
                <w:color w:val="auto"/>
                <w:highlight w:val="none"/>
              </w:rPr>
            </w:pPr>
          </w:p>
        </w:tc>
      </w:tr>
      <w:tr w14:paraId="4303C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62882A67">
            <w:pPr>
              <w:spacing w:after="120" w:line="480" w:lineRule="auto"/>
              <w:rPr>
                <w:rFonts w:ascii="宋体" w:hAnsi="宋体" w:eastAsia="宋体" w:cs="宋体"/>
                <w:color w:val="auto"/>
                <w:highlight w:val="none"/>
              </w:rPr>
            </w:pPr>
            <w:r>
              <w:rPr>
                <w:rFonts w:hint="eastAsia" w:ascii="宋体" w:hAnsi="宋体" w:eastAsia="宋体" w:cs="宋体"/>
                <w:b/>
                <w:color w:val="auto"/>
                <w:highlight w:val="none"/>
              </w:rPr>
              <w:t>二、模板工程及支撑体系</w:t>
            </w:r>
          </w:p>
        </w:tc>
      </w:tr>
      <w:tr w14:paraId="68FCA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332C072">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（一）各类工具式模板工程：包括滑模、爬模、飞模、隧道模等工程。</w:t>
            </w:r>
          </w:p>
        </w:tc>
        <w:tc>
          <w:tcPr>
            <w:tcW w:w="1222" w:type="dxa"/>
            <w:tcBorders>
              <w:top w:val="single" w:color="auto" w:sz="4" w:space="0"/>
              <w:left w:val="nil"/>
              <w:bottom w:val="single" w:color="auto" w:sz="4" w:space="0"/>
              <w:right w:val="single" w:color="auto" w:sz="4" w:space="0"/>
            </w:tcBorders>
            <w:vAlign w:val="center"/>
          </w:tcPr>
          <w:p w14:paraId="752E47B8">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32B4E226">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6C794708">
            <w:pPr>
              <w:jc w:val="center"/>
              <w:rPr>
                <w:rFonts w:ascii="宋体" w:hAnsi="宋体" w:eastAsia="宋体" w:cs="宋体"/>
                <w:color w:val="auto"/>
                <w:highlight w:val="none"/>
              </w:rPr>
            </w:pPr>
          </w:p>
        </w:tc>
      </w:tr>
      <w:tr w14:paraId="2A57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8EA9FDD">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（二）混凝土模板支撑工程：搭设高度</w:t>
            </w:r>
            <w:r>
              <w:rPr>
                <w:rFonts w:ascii="宋体" w:hAnsi="宋体" w:eastAsia="宋体" w:cs="宋体"/>
                <w:color w:val="auto"/>
                <w:highlight w:val="none"/>
              </w:rPr>
              <w:t>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222" w:type="dxa"/>
            <w:tcBorders>
              <w:top w:val="single" w:color="auto" w:sz="4" w:space="0"/>
              <w:left w:val="nil"/>
              <w:bottom w:val="single" w:color="auto" w:sz="4" w:space="0"/>
              <w:right w:val="single" w:color="auto" w:sz="4" w:space="0"/>
            </w:tcBorders>
            <w:vAlign w:val="center"/>
          </w:tcPr>
          <w:p w14:paraId="10A76612">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5B291B44">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10E82C0F">
            <w:pPr>
              <w:jc w:val="center"/>
              <w:rPr>
                <w:rFonts w:ascii="宋体" w:hAnsi="宋体" w:eastAsia="宋体" w:cs="宋体"/>
                <w:color w:val="auto"/>
                <w:highlight w:val="none"/>
              </w:rPr>
            </w:pPr>
          </w:p>
        </w:tc>
      </w:tr>
      <w:tr w14:paraId="228E3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77A6E664">
            <w:pPr>
              <w:widowControl/>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（三）承重支撑体系：用于钢结构安装等满堂支撑体系。</w:t>
            </w:r>
          </w:p>
        </w:tc>
        <w:tc>
          <w:tcPr>
            <w:tcW w:w="1222" w:type="dxa"/>
            <w:tcBorders>
              <w:top w:val="single" w:color="auto" w:sz="4" w:space="0"/>
              <w:left w:val="nil"/>
              <w:bottom w:val="single" w:color="auto" w:sz="4" w:space="0"/>
              <w:right w:val="single" w:color="auto" w:sz="4" w:space="0"/>
            </w:tcBorders>
            <w:vAlign w:val="center"/>
          </w:tcPr>
          <w:p w14:paraId="3FCD616B">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1882828A">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1E21D3E0">
            <w:pPr>
              <w:jc w:val="center"/>
              <w:rPr>
                <w:rFonts w:ascii="宋体" w:hAnsi="宋体" w:eastAsia="宋体" w:cs="宋体"/>
                <w:color w:val="auto"/>
                <w:highlight w:val="none"/>
              </w:rPr>
            </w:pPr>
          </w:p>
        </w:tc>
      </w:tr>
      <w:tr w14:paraId="5346C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56214495">
            <w:pPr>
              <w:spacing w:after="120" w:line="480" w:lineRule="auto"/>
              <w:rPr>
                <w:rFonts w:ascii="宋体" w:hAnsi="宋体" w:eastAsia="宋体" w:cs="宋体"/>
                <w:color w:val="auto"/>
                <w:highlight w:val="none"/>
              </w:rPr>
            </w:pPr>
            <w:r>
              <w:rPr>
                <w:rFonts w:hint="eastAsia" w:ascii="宋体" w:hAnsi="宋体" w:eastAsia="宋体" w:cs="宋体"/>
                <w:b/>
                <w:color w:val="auto"/>
                <w:highlight w:val="none"/>
              </w:rPr>
              <w:t>三、起重吊装及起重机械安装拆卸工程</w:t>
            </w:r>
          </w:p>
        </w:tc>
      </w:tr>
      <w:tr w14:paraId="3BF07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4056215F">
            <w:pPr>
              <w:widowControl/>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（一）采用非常规起重设备、方法，且单件起吊重量在</w:t>
            </w:r>
            <w:r>
              <w:rPr>
                <w:rFonts w:ascii="宋体" w:hAnsi="宋体" w:eastAsia="宋体" w:cs="宋体"/>
                <w:color w:val="auto"/>
                <w:highlight w:val="none"/>
              </w:rPr>
              <w:t>10kN及以上的起重吊装工程。</w:t>
            </w:r>
          </w:p>
        </w:tc>
        <w:tc>
          <w:tcPr>
            <w:tcW w:w="1222" w:type="dxa"/>
            <w:tcBorders>
              <w:top w:val="single" w:color="auto" w:sz="4" w:space="0"/>
              <w:left w:val="nil"/>
              <w:bottom w:val="single" w:color="auto" w:sz="4" w:space="0"/>
              <w:right w:val="single" w:color="auto" w:sz="4" w:space="0"/>
            </w:tcBorders>
            <w:vAlign w:val="center"/>
          </w:tcPr>
          <w:p w14:paraId="328A2848">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09B80F95">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4A2A5F7F">
            <w:pPr>
              <w:jc w:val="center"/>
              <w:rPr>
                <w:rFonts w:ascii="宋体" w:hAnsi="宋体" w:eastAsia="宋体" w:cs="宋体"/>
                <w:color w:val="auto"/>
                <w:highlight w:val="none"/>
              </w:rPr>
            </w:pPr>
          </w:p>
        </w:tc>
      </w:tr>
      <w:tr w14:paraId="3D397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7DC92392">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（二）采用起重机械进行安装的工程。</w:t>
            </w:r>
          </w:p>
        </w:tc>
        <w:tc>
          <w:tcPr>
            <w:tcW w:w="1222" w:type="dxa"/>
            <w:tcBorders>
              <w:top w:val="single" w:color="auto" w:sz="4" w:space="0"/>
              <w:left w:val="nil"/>
              <w:bottom w:val="single" w:color="auto" w:sz="4" w:space="0"/>
              <w:right w:val="single" w:color="auto" w:sz="4" w:space="0"/>
            </w:tcBorders>
            <w:vAlign w:val="center"/>
          </w:tcPr>
          <w:p w14:paraId="6F87486E">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xml:space="preserve">(  </w:t>
            </w:r>
            <w:r>
              <w:rPr>
                <w:rFonts w:ascii="Arial" w:hAnsi="Arial" w:eastAsia="宋体" w:cs="Arial"/>
                <w:color w:val="auto"/>
                <w:kern w:val="0"/>
                <w:sz w:val="24"/>
                <w:szCs w:val="36"/>
                <w:highlight w:val="none"/>
              </w:rPr>
              <w:t>√</w:t>
            </w:r>
            <w:r>
              <w:rPr>
                <w:rFonts w:ascii="宋体" w:hAnsi="宋体" w:eastAsia="宋体" w:cs="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14:paraId="0FB1DC09">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22744295">
            <w:pPr>
              <w:jc w:val="center"/>
              <w:rPr>
                <w:rFonts w:ascii="宋体" w:hAnsi="宋体" w:eastAsia="宋体" w:cs="宋体"/>
                <w:color w:val="auto"/>
                <w:highlight w:val="none"/>
              </w:rPr>
            </w:pPr>
          </w:p>
        </w:tc>
      </w:tr>
      <w:tr w14:paraId="0A05B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12932506">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（三）起重机械安装和拆卸工程。</w:t>
            </w:r>
          </w:p>
        </w:tc>
        <w:tc>
          <w:tcPr>
            <w:tcW w:w="1222" w:type="dxa"/>
            <w:tcBorders>
              <w:top w:val="single" w:color="auto" w:sz="4" w:space="0"/>
              <w:left w:val="nil"/>
              <w:bottom w:val="single" w:color="auto" w:sz="4" w:space="0"/>
              <w:right w:val="single" w:color="auto" w:sz="4" w:space="0"/>
            </w:tcBorders>
            <w:vAlign w:val="center"/>
          </w:tcPr>
          <w:p w14:paraId="2AC1E2F5">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xml:space="preserve">( </w:t>
            </w:r>
            <w:r>
              <w:rPr>
                <w:rFonts w:hint="eastAsia" w:ascii="宋体" w:hAnsi="宋体" w:eastAsia="宋体" w:cs="宋体"/>
                <w:color w:val="auto"/>
                <w:kern w:val="0"/>
                <w:sz w:val="24"/>
                <w:szCs w:val="36"/>
                <w:highlight w:val="none"/>
              </w:rPr>
              <w:t xml:space="preserve"> </w:t>
            </w:r>
            <w:r>
              <w:rPr>
                <w:rFonts w:ascii="Arial" w:hAnsi="Arial" w:eastAsia="宋体" w:cs="Arial"/>
                <w:color w:val="auto"/>
                <w:kern w:val="0"/>
                <w:sz w:val="24"/>
                <w:szCs w:val="36"/>
                <w:highlight w:val="none"/>
              </w:rPr>
              <w:t>√</w:t>
            </w:r>
            <w:r>
              <w:rPr>
                <w:rFonts w:ascii="宋体" w:hAnsi="宋体" w:eastAsia="宋体" w:cs="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14:paraId="1279A656">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66602EFD">
            <w:pPr>
              <w:jc w:val="center"/>
              <w:rPr>
                <w:rFonts w:ascii="宋体" w:hAnsi="宋体" w:eastAsia="宋体" w:cs="宋体"/>
                <w:color w:val="auto"/>
                <w:highlight w:val="none"/>
              </w:rPr>
            </w:pPr>
          </w:p>
        </w:tc>
      </w:tr>
      <w:tr w14:paraId="786A2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4A83D16F">
            <w:pPr>
              <w:spacing w:after="120" w:line="480" w:lineRule="auto"/>
              <w:rPr>
                <w:rFonts w:ascii="宋体" w:hAnsi="宋体" w:eastAsia="宋体" w:cs="宋体"/>
                <w:color w:val="auto"/>
                <w:highlight w:val="none"/>
              </w:rPr>
            </w:pPr>
            <w:r>
              <w:rPr>
                <w:rFonts w:hint="eastAsia" w:ascii="宋体" w:hAnsi="宋体" w:eastAsia="宋体" w:cs="宋体"/>
                <w:b/>
                <w:color w:val="auto"/>
                <w:highlight w:val="none"/>
              </w:rPr>
              <w:t>四、脚手架工程</w:t>
            </w:r>
          </w:p>
        </w:tc>
      </w:tr>
      <w:tr w14:paraId="5E715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5D4DC1A7">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（一）搭设高度</w:t>
            </w:r>
            <w:r>
              <w:rPr>
                <w:rFonts w:ascii="宋体" w:hAnsi="宋体" w:eastAsia="宋体" w:cs="宋体"/>
                <w:color w:val="auto"/>
                <w:highlight w:val="none"/>
              </w:rPr>
              <w:t>24m及以上的落地式钢管脚手架工程（包括采光井、电梯井脚手架）。</w:t>
            </w:r>
          </w:p>
        </w:tc>
        <w:tc>
          <w:tcPr>
            <w:tcW w:w="1222" w:type="dxa"/>
            <w:tcBorders>
              <w:top w:val="single" w:color="auto" w:sz="4" w:space="0"/>
              <w:left w:val="nil"/>
              <w:bottom w:val="single" w:color="auto" w:sz="4" w:space="0"/>
              <w:right w:val="single" w:color="auto" w:sz="4" w:space="0"/>
            </w:tcBorders>
            <w:vAlign w:val="center"/>
          </w:tcPr>
          <w:p w14:paraId="41A77B76">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xml:space="preserve">(  </w:t>
            </w:r>
            <w:r>
              <w:rPr>
                <w:rFonts w:ascii="Arial" w:hAnsi="Arial" w:eastAsia="宋体" w:cs="Arial"/>
                <w:color w:val="auto"/>
                <w:kern w:val="0"/>
                <w:sz w:val="24"/>
                <w:szCs w:val="36"/>
                <w:highlight w:val="none"/>
              </w:rPr>
              <w:t>√</w:t>
            </w:r>
            <w:r>
              <w:rPr>
                <w:rFonts w:ascii="宋体" w:hAnsi="宋体" w:eastAsia="宋体" w:cs="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14:paraId="15550832">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46EC6EC">
            <w:pPr>
              <w:jc w:val="center"/>
              <w:rPr>
                <w:rFonts w:ascii="宋体" w:hAnsi="宋体" w:eastAsia="宋体" w:cs="宋体"/>
                <w:color w:val="auto"/>
                <w:highlight w:val="none"/>
              </w:rPr>
            </w:pPr>
          </w:p>
        </w:tc>
      </w:tr>
      <w:tr w14:paraId="7F9AF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1345EAA1">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（二）附着式升降脚手架工程。</w:t>
            </w:r>
          </w:p>
        </w:tc>
        <w:tc>
          <w:tcPr>
            <w:tcW w:w="1222" w:type="dxa"/>
            <w:tcBorders>
              <w:top w:val="single" w:color="auto" w:sz="4" w:space="0"/>
              <w:left w:val="nil"/>
              <w:bottom w:val="single" w:color="auto" w:sz="4" w:space="0"/>
              <w:right w:val="single" w:color="auto" w:sz="4" w:space="0"/>
            </w:tcBorders>
            <w:vAlign w:val="center"/>
          </w:tcPr>
          <w:p w14:paraId="73E4B0A7">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7B3B1DF6">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3C539C44">
            <w:pPr>
              <w:jc w:val="center"/>
              <w:rPr>
                <w:rFonts w:ascii="宋体" w:hAnsi="宋体" w:eastAsia="宋体" w:cs="宋体"/>
                <w:color w:val="auto"/>
                <w:highlight w:val="none"/>
              </w:rPr>
            </w:pPr>
          </w:p>
        </w:tc>
      </w:tr>
      <w:tr w14:paraId="67C68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3FCE56C9">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（三）悬挑式脚手架工程。</w:t>
            </w:r>
          </w:p>
        </w:tc>
        <w:tc>
          <w:tcPr>
            <w:tcW w:w="1222" w:type="dxa"/>
            <w:tcBorders>
              <w:top w:val="single" w:color="auto" w:sz="4" w:space="0"/>
              <w:left w:val="nil"/>
              <w:bottom w:val="single" w:color="auto" w:sz="4" w:space="0"/>
              <w:right w:val="single" w:color="auto" w:sz="4" w:space="0"/>
            </w:tcBorders>
            <w:vAlign w:val="center"/>
          </w:tcPr>
          <w:p w14:paraId="7747C058">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xml:space="preserve">( </w:t>
            </w:r>
            <w:r>
              <w:rPr>
                <w:rFonts w:hint="eastAsia" w:ascii="宋体" w:hAnsi="宋体" w:eastAsia="宋体" w:cs="宋体"/>
                <w:color w:val="auto"/>
                <w:kern w:val="0"/>
                <w:sz w:val="22"/>
                <w:szCs w:val="32"/>
                <w:highlight w:val="none"/>
              </w:rPr>
              <w:t>√</w:t>
            </w:r>
            <w:r>
              <w:rPr>
                <w:rFonts w:ascii="宋体" w:hAnsi="宋体" w:eastAsia="宋体" w:cs="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14:paraId="716E542C">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0DB6B8E3">
            <w:pPr>
              <w:jc w:val="center"/>
              <w:rPr>
                <w:rFonts w:ascii="宋体" w:hAnsi="宋体" w:eastAsia="宋体" w:cs="宋体"/>
                <w:color w:val="auto"/>
                <w:highlight w:val="none"/>
              </w:rPr>
            </w:pPr>
          </w:p>
        </w:tc>
      </w:tr>
      <w:tr w14:paraId="76E3D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510A75C2">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（四）高处作业吊篮。</w:t>
            </w:r>
          </w:p>
        </w:tc>
        <w:tc>
          <w:tcPr>
            <w:tcW w:w="1222" w:type="dxa"/>
            <w:tcBorders>
              <w:top w:val="single" w:color="auto" w:sz="4" w:space="0"/>
              <w:left w:val="nil"/>
              <w:bottom w:val="single" w:color="auto" w:sz="4" w:space="0"/>
              <w:right w:val="single" w:color="auto" w:sz="4" w:space="0"/>
            </w:tcBorders>
          </w:tcPr>
          <w:p w14:paraId="533EDF1E">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14:paraId="7CC6B2D9">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6E41B7D6">
            <w:pPr>
              <w:jc w:val="center"/>
              <w:rPr>
                <w:rFonts w:ascii="宋体" w:hAnsi="宋体" w:eastAsia="宋体" w:cs="宋体"/>
                <w:color w:val="auto"/>
                <w:highlight w:val="none"/>
              </w:rPr>
            </w:pPr>
          </w:p>
        </w:tc>
      </w:tr>
      <w:tr w14:paraId="5A9A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7D451D1C">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（五）卸料平台、操作平台工程。</w:t>
            </w:r>
          </w:p>
        </w:tc>
        <w:tc>
          <w:tcPr>
            <w:tcW w:w="1222" w:type="dxa"/>
            <w:tcBorders>
              <w:top w:val="single" w:color="auto" w:sz="4" w:space="0"/>
              <w:left w:val="nil"/>
              <w:bottom w:val="single" w:color="auto" w:sz="4" w:space="0"/>
              <w:right w:val="single" w:color="auto" w:sz="4" w:space="0"/>
            </w:tcBorders>
          </w:tcPr>
          <w:p w14:paraId="2F3F47DC">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14:paraId="7E565111">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2B8093C4">
            <w:pPr>
              <w:jc w:val="center"/>
              <w:rPr>
                <w:rFonts w:ascii="宋体" w:hAnsi="宋体" w:eastAsia="宋体" w:cs="宋体"/>
                <w:color w:val="auto"/>
                <w:highlight w:val="none"/>
              </w:rPr>
            </w:pPr>
          </w:p>
        </w:tc>
      </w:tr>
      <w:tr w14:paraId="5F6B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6BF1915D">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（六）异型脚手架工程。</w:t>
            </w:r>
          </w:p>
        </w:tc>
        <w:tc>
          <w:tcPr>
            <w:tcW w:w="1222" w:type="dxa"/>
            <w:tcBorders>
              <w:top w:val="single" w:color="auto" w:sz="4" w:space="0"/>
              <w:left w:val="nil"/>
              <w:bottom w:val="single" w:color="auto" w:sz="4" w:space="0"/>
              <w:right w:val="single" w:color="auto" w:sz="4" w:space="0"/>
            </w:tcBorders>
          </w:tcPr>
          <w:p w14:paraId="6E8D3862">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14:paraId="2E73DEFC">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66EC38B2">
            <w:pPr>
              <w:jc w:val="center"/>
              <w:rPr>
                <w:rFonts w:ascii="宋体" w:hAnsi="宋体" w:eastAsia="宋体" w:cs="宋体"/>
                <w:color w:val="auto"/>
                <w:highlight w:val="none"/>
              </w:rPr>
            </w:pPr>
          </w:p>
        </w:tc>
      </w:tr>
      <w:tr w14:paraId="6712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7A08B454">
            <w:pPr>
              <w:spacing w:after="120" w:line="480" w:lineRule="auto"/>
              <w:rPr>
                <w:rFonts w:ascii="宋体" w:hAnsi="宋体" w:eastAsia="宋体" w:cs="宋体"/>
                <w:color w:val="auto"/>
                <w:highlight w:val="none"/>
              </w:rPr>
            </w:pPr>
            <w:r>
              <w:rPr>
                <w:rFonts w:hint="eastAsia" w:ascii="宋体" w:hAnsi="宋体" w:eastAsia="宋体" w:cs="宋体"/>
                <w:b/>
                <w:color w:val="auto"/>
                <w:highlight w:val="none"/>
              </w:rPr>
              <w:t>五、拆除工程</w:t>
            </w:r>
          </w:p>
        </w:tc>
      </w:tr>
      <w:tr w14:paraId="25FF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6AFBAA4F">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可能影响行人、交通、电力设施、通讯设施或其它建、构筑物安全的拆除工程。</w:t>
            </w:r>
          </w:p>
        </w:tc>
        <w:tc>
          <w:tcPr>
            <w:tcW w:w="1222" w:type="dxa"/>
            <w:tcBorders>
              <w:top w:val="single" w:color="auto" w:sz="4" w:space="0"/>
              <w:left w:val="nil"/>
              <w:bottom w:val="single" w:color="auto" w:sz="4" w:space="0"/>
              <w:right w:val="single" w:color="auto" w:sz="4" w:space="0"/>
            </w:tcBorders>
            <w:vAlign w:val="center"/>
          </w:tcPr>
          <w:p w14:paraId="42CC2DCF">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xml:space="preserve">(  </w:t>
            </w:r>
            <w:r>
              <w:rPr>
                <w:rFonts w:ascii="Arial" w:hAnsi="Arial" w:eastAsia="宋体" w:cs="Arial"/>
                <w:color w:val="auto"/>
                <w:kern w:val="0"/>
                <w:sz w:val="24"/>
                <w:szCs w:val="36"/>
                <w:highlight w:val="none"/>
              </w:rPr>
              <w:t>√</w:t>
            </w:r>
            <w:r>
              <w:rPr>
                <w:rFonts w:ascii="宋体" w:hAnsi="宋体" w:eastAsia="宋体" w:cs="宋体"/>
                <w:color w:val="auto"/>
                <w:kern w:val="0"/>
                <w:sz w:val="24"/>
                <w:szCs w:val="36"/>
                <w:highlight w:val="none"/>
              </w:rPr>
              <w:t xml:space="preserve">   )</w:t>
            </w:r>
          </w:p>
        </w:tc>
        <w:tc>
          <w:tcPr>
            <w:tcW w:w="1361" w:type="dxa"/>
            <w:tcBorders>
              <w:top w:val="single" w:color="auto" w:sz="4" w:space="0"/>
              <w:left w:val="nil"/>
              <w:bottom w:val="single" w:color="auto" w:sz="4" w:space="0"/>
              <w:right w:val="single" w:color="auto" w:sz="4" w:space="0"/>
            </w:tcBorders>
            <w:vAlign w:val="center"/>
          </w:tcPr>
          <w:p w14:paraId="13F0821C">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65827D0A">
            <w:pPr>
              <w:jc w:val="center"/>
              <w:rPr>
                <w:rFonts w:ascii="宋体" w:hAnsi="宋体" w:eastAsia="宋体" w:cs="宋体"/>
                <w:color w:val="auto"/>
                <w:highlight w:val="none"/>
              </w:rPr>
            </w:pPr>
          </w:p>
        </w:tc>
      </w:tr>
      <w:tr w14:paraId="28BB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58D4E89D">
            <w:pPr>
              <w:spacing w:after="120" w:line="480" w:lineRule="auto"/>
              <w:rPr>
                <w:rFonts w:ascii="宋体" w:hAnsi="宋体" w:eastAsia="宋体" w:cs="宋体"/>
                <w:color w:val="auto"/>
                <w:highlight w:val="none"/>
              </w:rPr>
            </w:pPr>
            <w:r>
              <w:rPr>
                <w:rFonts w:hint="eastAsia" w:ascii="宋体" w:hAnsi="宋体" w:eastAsia="宋体" w:cs="宋体"/>
                <w:b/>
                <w:color w:val="auto"/>
                <w:highlight w:val="none"/>
              </w:rPr>
              <w:t>六、暗挖工程</w:t>
            </w:r>
          </w:p>
        </w:tc>
      </w:tr>
      <w:tr w14:paraId="09483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DC391A5">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采用矿山法、盾构法、顶管法施工的隧道、洞室工程。</w:t>
            </w:r>
          </w:p>
        </w:tc>
        <w:tc>
          <w:tcPr>
            <w:tcW w:w="1222" w:type="dxa"/>
            <w:tcBorders>
              <w:top w:val="single" w:color="auto" w:sz="4" w:space="0"/>
              <w:left w:val="nil"/>
              <w:bottom w:val="single" w:color="auto" w:sz="4" w:space="0"/>
              <w:right w:val="single" w:color="auto" w:sz="4" w:space="0"/>
            </w:tcBorders>
            <w:vAlign w:val="center"/>
          </w:tcPr>
          <w:p w14:paraId="3854A851">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7CBC7B03">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684F4D1E">
            <w:pPr>
              <w:jc w:val="center"/>
              <w:rPr>
                <w:rFonts w:ascii="宋体" w:hAnsi="宋体" w:eastAsia="宋体" w:cs="宋体"/>
                <w:color w:val="auto"/>
                <w:highlight w:val="none"/>
              </w:rPr>
            </w:pPr>
          </w:p>
        </w:tc>
      </w:tr>
      <w:tr w14:paraId="3A2A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2F8EA63D">
            <w:pPr>
              <w:spacing w:after="120" w:line="480" w:lineRule="auto"/>
              <w:rPr>
                <w:rFonts w:ascii="宋体" w:hAnsi="宋体" w:eastAsia="宋体" w:cs="宋体"/>
                <w:color w:val="auto"/>
                <w:highlight w:val="none"/>
              </w:rPr>
            </w:pPr>
            <w:r>
              <w:rPr>
                <w:rFonts w:hint="eastAsia" w:ascii="宋体" w:hAnsi="宋体" w:eastAsia="宋体" w:cs="宋体"/>
                <w:b/>
                <w:color w:val="auto"/>
                <w:highlight w:val="none"/>
              </w:rPr>
              <w:t>七、其它</w:t>
            </w:r>
          </w:p>
        </w:tc>
      </w:tr>
      <w:tr w14:paraId="7F609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49B9AB9C">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（一）建筑幕墙安装工程。</w:t>
            </w:r>
          </w:p>
        </w:tc>
        <w:tc>
          <w:tcPr>
            <w:tcW w:w="1222" w:type="dxa"/>
            <w:tcBorders>
              <w:top w:val="single" w:color="auto" w:sz="4" w:space="0"/>
              <w:left w:val="nil"/>
              <w:bottom w:val="single" w:color="auto" w:sz="4" w:space="0"/>
              <w:right w:val="single" w:color="auto" w:sz="4" w:space="0"/>
            </w:tcBorders>
          </w:tcPr>
          <w:p w14:paraId="461B0C4F">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5A9A45AC">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137048AC">
            <w:pPr>
              <w:jc w:val="center"/>
              <w:rPr>
                <w:rFonts w:ascii="宋体" w:hAnsi="宋体" w:eastAsia="宋体" w:cs="宋体"/>
                <w:color w:val="auto"/>
                <w:highlight w:val="none"/>
              </w:rPr>
            </w:pPr>
          </w:p>
        </w:tc>
      </w:tr>
      <w:tr w14:paraId="137E2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7BFC3132">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（二）钢结构、网架和索膜结构安装工程。</w:t>
            </w:r>
          </w:p>
        </w:tc>
        <w:tc>
          <w:tcPr>
            <w:tcW w:w="1222" w:type="dxa"/>
            <w:tcBorders>
              <w:top w:val="single" w:color="auto" w:sz="4" w:space="0"/>
              <w:left w:val="nil"/>
              <w:bottom w:val="single" w:color="auto" w:sz="4" w:space="0"/>
              <w:right w:val="single" w:color="auto" w:sz="4" w:space="0"/>
            </w:tcBorders>
          </w:tcPr>
          <w:p w14:paraId="09DCDD33">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highlight w:val="none"/>
              </w:rPr>
              <w:t>(    )</w:t>
            </w:r>
          </w:p>
        </w:tc>
        <w:tc>
          <w:tcPr>
            <w:tcW w:w="1361" w:type="dxa"/>
            <w:tcBorders>
              <w:top w:val="single" w:color="auto" w:sz="4" w:space="0"/>
              <w:left w:val="nil"/>
              <w:bottom w:val="single" w:color="auto" w:sz="4" w:space="0"/>
              <w:right w:val="single" w:color="auto" w:sz="4" w:space="0"/>
            </w:tcBorders>
            <w:vAlign w:val="center"/>
          </w:tcPr>
          <w:p w14:paraId="4126B127">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10B470C6">
            <w:pPr>
              <w:jc w:val="center"/>
              <w:rPr>
                <w:rFonts w:ascii="宋体" w:hAnsi="宋体" w:eastAsia="宋体" w:cs="宋体"/>
                <w:color w:val="auto"/>
                <w:highlight w:val="none"/>
              </w:rPr>
            </w:pPr>
          </w:p>
        </w:tc>
      </w:tr>
      <w:tr w14:paraId="2A0F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01E39E09">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（三）人工挖孔桩工程。</w:t>
            </w:r>
          </w:p>
        </w:tc>
        <w:tc>
          <w:tcPr>
            <w:tcW w:w="1222" w:type="dxa"/>
            <w:tcBorders>
              <w:top w:val="single" w:color="auto" w:sz="4" w:space="0"/>
              <w:left w:val="nil"/>
              <w:bottom w:val="single" w:color="auto" w:sz="4" w:space="0"/>
              <w:right w:val="single" w:color="auto" w:sz="4" w:space="0"/>
            </w:tcBorders>
            <w:vAlign w:val="center"/>
          </w:tcPr>
          <w:p w14:paraId="780A97F7">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18087F36">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33E77113">
            <w:pPr>
              <w:jc w:val="center"/>
              <w:rPr>
                <w:rFonts w:ascii="宋体" w:hAnsi="宋体" w:eastAsia="宋体" w:cs="宋体"/>
                <w:color w:val="auto"/>
                <w:highlight w:val="none"/>
              </w:rPr>
            </w:pPr>
          </w:p>
        </w:tc>
      </w:tr>
      <w:tr w14:paraId="0C83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372C95A7">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（四）水下作业工程。</w:t>
            </w:r>
          </w:p>
        </w:tc>
        <w:tc>
          <w:tcPr>
            <w:tcW w:w="1222" w:type="dxa"/>
            <w:tcBorders>
              <w:top w:val="single" w:color="auto" w:sz="4" w:space="0"/>
              <w:left w:val="nil"/>
              <w:bottom w:val="single" w:color="auto" w:sz="4" w:space="0"/>
              <w:right w:val="single" w:color="auto" w:sz="4" w:space="0"/>
            </w:tcBorders>
            <w:vAlign w:val="center"/>
          </w:tcPr>
          <w:p w14:paraId="569EB68A">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3DB0B652">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0125BF94">
            <w:pPr>
              <w:jc w:val="center"/>
              <w:rPr>
                <w:rFonts w:ascii="宋体" w:hAnsi="宋体" w:eastAsia="宋体" w:cs="宋体"/>
                <w:color w:val="auto"/>
                <w:highlight w:val="none"/>
              </w:rPr>
            </w:pPr>
          </w:p>
        </w:tc>
      </w:tr>
      <w:tr w14:paraId="61C2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0F958296">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（五）装配式建筑混凝土预制构件安装工程。</w:t>
            </w:r>
          </w:p>
        </w:tc>
        <w:tc>
          <w:tcPr>
            <w:tcW w:w="1222" w:type="dxa"/>
            <w:tcBorders>
              <w:top w:val="single" w:color="auto" w:sz="4" w:space="0"/>
              <w:left w:val="nil"/>
              <w:bottom w:val="single" w:color="auto" w:sz="4" w:space="0"/>
              <w:right w:val="single" w:color="auto" w:sz="4" w:space="0"/>
            </w:tcBorders>
            <w:vAlign w:val="center"/>
          </w:tcPr>
          <w:p w14:paraId="6372B571">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5985E359">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46823D03">
            <w:pPr>
              <w:jc w:val="center"/>
              <w:rPr>
                <w:rFonts w:ascii="宋体" w:hAnsi="宋体" w:eastAsia="宋体" w:cs="宋体"/>
                <w:color w:val="auto"/>
                <w:highlight w:val="none"/>
              </w:rPr>
            </w:pPr>
          </w:p>
        </w:tc>
      </w:tr>
      <w:tr w14:paraId="1F0AA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62020D2">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（六）采用新技术、新工艺、新材料、新设备可能影响工程施工安全，尚无国家、行业及地方技术标准的分部分项工程。</w:t>
            </w:r>
          </w:p>
        </w:tc>
        <w:tc>
          <w:tcPr>
            <w:tcW w:w="1222" w:type="dxa"/>
            <w:tcBorders>
              <w:top w:val="single" w:color="auto" w:sz="4" w:space="0"/>
              <w:left w:val="nil"/>
              <w:bottom w:val="single" w:color="auto" w:sz="4" w:space="0"/>
              <w:right w:val="single" w:color="auto" w:sz="4" w:space="0"/>
            </w:tcBorders>
            <w:vAlign w:val="center"/>
          </w:tcPr>
          <w:p w14:paraId="0A79A621">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3A381BC5">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74FB2CC1">
            <w:pPr>
              <w:jc w:val="center"/>
              <w:rPr>
                <w:rFonts w:ascii="宋体" w:hAnsi="宋体" w:eastAsia="宋体" w:cs="宋体"/>
                <w:color w:val="auto"/>
                <w:highlight w:val="none"/>
              </w:rPr>
            </w:pPr>
          </w:p>
        </w:tc>
      </w:tr>
      <w:tr w14:paraId="320C4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shd w:val="clear" w:color="auto" w:fill="D9D9D9"/>
            <w:vAlign w:val="center"/>
          </w:tcPr>
          <w:p w14:paraId="5B1CD0A1">
            <w:pPr>
              <w:spacing w:after="120" w:line="480" w:lineRule="auto"/>
              <w:jc w:val="center"/>
              <w:rPr>
                <w:rFonts w:ascii="宋体" w:hAnsi="宋体" w:eastAsia="宋体" w:cs="宋体"/>
                <w:b/>
                <w:color w:val="auto"/>
                <w:highlight w:val="none"/>
              </w:rPr>
            </w:pPr>
            <w:r>
              <w:rPr>
                <w:rFonts w:hint="eastAsia" w:ascii="宋体" w:hAnsi="宋体" w:eastAsia="宋体" w:cs="宋体"/>
                <w:b/>
                <w:color w:val="auto"/>
                <w:highlight w:val="none"/>
              </w:rPr>
              <w:t>超过一定规模的危险性较大的分部分项工程清单</w:t>
            </w:r>
          </w:p>
        </w:tc>
        <w:tc>
          <w:tcPr>
            <w:tcW w:w="1222" w:type="dxa"/>
            <w:tcBorders>
              <w:top w:val="single" w:color="auto" w:sz="4" w:space="0"/>
              <w:left w:val="nil"/>
              <w:bottom w:val="single" w:color="auto" w:sz="4" w:space="0"/>
              <w:right w:val="single" w:color="auto" w:sz="4" w:space="0"/>
            </w:tcBorders>
            <w:shd w:val="clear" w:color="auto" w:fill="D9D9D9"/>
            <w:vAlign w:val="center"/>
          </w:tcPr>
          <w:p w14:paraId="057FC655">
            <w:pPr>
              <w:spacing w:after="120" w:line="480" w:lineRule="auto"/>
              <w:jc w:val="center"/>
              <w:rPr>
                <w:rFonts w:ascii="宋体" w:hAnsi="宋体" w:eastAsia="宋体" w:cs="宋体"/>
                <w:b/>
                <w:color w:val="auto"/>
                <w:highlight w:val="none"/>
              </w:rPr>
            </w:pPr>
            <w:r>
              <w:rPr>
                <w:rFonts w:hint="eastAsia" w:ascii="宋体" w:hAnsi="宋体" w:eastAsia="宋体" w:cs="宋体"/>
                <w:b/>
                <w:color w:val="auto"/>
                <w:highlight w:val="none"/>
              </w:rPr>
              <w:t>招标人</w:t>
            </w:r>
          </w:p>
        </w:tc>
        <w:tc>
          <w:tcPr>
            <w:tcW w:w="1361" w:type="dxa"/>
            <w:tcBorders>
              <w:top w:val="single" w:color="auto" w:sz="4" w:space="0"/>
              <w:left w:val="nil"/>
              <w:bottom w:val="single" w:color="auto" w:sz="4" w:space="0"/>
              <w:right w:val="single" w:color="auto" w:sz="4" w:space="0"/>
            </w:tcBorders>
            <w:shd w:val="clear" w:color="auto" w:fill="D9D9D9"/>
            <w:vAlign w:val="center"/>
          </w:tcPr>
          <w:p w14:paraId="62B4DE5E">
            <w:pPr>
              <w:spacing w:after="120" w:line="480" w:lineRule="auto"/>
              <w:jc w:val="center"/>
              <w:rPr>
                <w:rFonts w:ascii="宋体" w:hAnsi="宋体" w:eastAsia="宋体" w:cs="宋体"/>
                <w:b/>
                <w:color w:val="auto"/>
                <w:highlight w:val="none"/>
              </w:rPr>
            </w:pPr>
            <w:r>
              <w:rPr>
                <w:rFonts w:hint="eastAsia" w:ascii="宋体" w:hAnsi="宋体" w:eastAsia="宋体" w:cs="宋体"/>
                <w:b/>
                <w:color w:val="auto"/>
                <w:highlight w:val="none"/>
              </w:rPr>
              <w:t>投标单位</w:t>
            </w:r>
          </w:p>
        </w:tc>
        <w:tc>
          <w:tcPr>
            <w:tcW w:w="797" w:type="dxa"/>
            <w:tcBorders>
              <w:top w:val="single" w:color="auto" w:sz="4" w:space="0"/>
              <w:left w:val="nil"/>
              <w:bottom w:val="single" w:color="auto" w:sz="4" w:space="0"/>
              <w:right w:val="single" w:color="auto" w:sz="4" w:space="0"/>
            </w:tcBorders>
            <w:shd w:val="clear" w:color="auto" w:fill="D9D9D9"/>
            <w:vAlign w:val="center"/>
          </w:tcPr>
          <w:p w14:paraId="195E8F43">
            <w:pPr>
              <w:spacing w:after="120" w:line="480" w:lineRule="auto"/>
              <w:jc w:val="center"/>
              <w:rPr>
                <w:rFonts w:ascii="宋体" w:hAnsi="宋体" w:eastAsia="宋体" w:cs="宋体"/>
                <w:b/>
                <w:color w:val="auto"/>
                <w:highlight w:val="none"/>
              </w:rPr>
            </w:pPr>
            <w:r>
              <w:rPr>
                <w:rFonts w:hint="eastAsia" w:ascii="宋体" w:hAnsi="宋体" w:eastAsia="宋体" w:cs="宋体"/>
                <w:b/>
                <w:color w:val="auto"/>
                <w:highlight w:val="none"/>
              </w:rPr>
              <w:t>备注</w:t>
            </w:r>
          </w:p>
        </w:tc>
      </w:tr>
      <w:tr w14:paraId="452FC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2756B4C4">
            <w:pPr>
              <w:spacing w:after="120" w:line="480" w:lineRule="auto"/>
              <w:rPr>
                <w:rFonts w:ascii="宋体" w:hAnsi="宋体" w:eastAsia="宋体" w:cs="宋体"/>
                <w:b/>
                <w:color w:val="auto"/>
                <w:highlight w:val="none"/>
              </w:rPr>
            </w:pPr>
            <w:r>
              <w:rPr>
                <w:rFonts w:hint="eastAsia" w:ascii="宋体" w:hAnsi="宋体" w:eastAsia="宋体" w:cs="宋体"/>
                <w:b/>
                <w:color w:val="auto"/>
                <w:highlight w:val="none"/>
              </w:rPr>
              <w:t>一、深基坑工程</w:t>
            </w:r>
          </w:p>
        </w:tc>
      </w:tr>
      <w:tr w14:paraId="33DA2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43AF92B1">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开挖深度超过</w:t>
            </w:r>
            <w:r>
              <w:rPr>
                <w:rFonts w:ascii="宋体" w:hAnsi="宋体" w:eastAsia="宋体" w:cs="宋体"/>
                <w:color w:val="auto"/>
                <w:highlight w:val="none"/>
              </w:rPr>
              <w:t>5m（含5m）的基坑（槽）的土方开挖、支护、降水工程。</w:t>
            </w:r>
          </w:p>
        </w:tc>
        <w:tc>
          <w:tcPr>
            <w:tcW w:w="1222" w:type="dxa"/>
            <w:tcBorders>
              <w:top w:val="single" w:color="auto" w:sz="4" w:space="0"/>
              <w:left w:val="nil"/>
              <w:bottom w:val="single" w:color="auto" w:sz="4" w:space="0"/>
              <w:right w:val="single" w:color="auto" w:sz="4" w:space="0"/>
            </w:tcBorders>
            <w:vAlign w:val="center"/>
          </w:tcPr>
          <w:p w14:paraId="41E73484">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22F535B7">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09A50743">
            <w:pPr>
              <w:jc w:val="center"/>
              <w:rPr>
                <w:rFonts w:ascii="宋体" w:hAnsi="宋体" w:eastAsia="宋体" w:cs="宋体"/>
                <w:color w:val="auto"/>
                <w:highlight w:val="none"/>
              </w:rPr>
            </w:pPr>
          </w:p>
        </w:tc>
      </w:tr>
      <w:tr w14:paraId="258CE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411807F5">
            <w:pPr>
              <w:spacing w:after="120" w:line="480" w:lineRule="auto"/>
              <w:rPr>
                <w:rFonts w:ascii="宋体" w:hAnsi="宋体" w:eastAsia="宋体" w:cs="宋体"/>
                <w:color w:val="auto"/>
                <w:highlight w:val="none"/>
              </w:rPr>
            </w:pPr>
            <w:r>
              <w:rPr>
                <w:rFonts w:hint="eastAsia" w:ascii="宋体" w:hAnsi="宋体" w:eastAsia="宋体" w:cs="宋体"/>
                <w:b/>
                <w:color w:val="auto"/>
                <w:highlight w:val="none"/>
              </w:rPr>
              <w:t>二、模板工程及支撑体系</w:t>
            </w:r>
          </w:p>
        </w:tc>
      </w:tr>
      <w:tr w14:paraId="4F2FC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44257E68">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（一）各类工具式模板工程：包括滑模、爬模、飞模、隧道模等工程。</w:t>
            </w:r>
          </w:p>
        </w:tc>
        <w:tc>
          <w:tcPr>
            <w:tcW w:w="1222" w:type="dxa"/>
            <w:tcBorders>
              <w:top w:val="single" w:color="auto" w:sz="4" w:space="0"/>
              <w:left w:val="nil"/>
              <w:bottom w:val="single" w:color="auto" w:sz="4" w:space="0"/>
              <w:right w:val="single" w:color="auto" w:sz="4" w:space="0"/>
            </w:tcBorders>
            <w:vAlign w:val="center"/>
          </w:tcPr>
          <w:p w14:paraId="650E0AFA">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1147A0CD">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4F4FD944">
            <w:pPr>
              <w:jc w:val="center"/>
              <w:rPr>
                <w:rFonts w:ascii="宋体" w:hAnsi="宋体" w:eastAsia="宋体" w:cs="宋体"/>
                <w:color w:val="auto"/>
                <w:highlight w:val="none"/>
              </w:rPr>
            </w:pPr>
          </w:p>
        </w:tc>
      </w:tr>
      <w:tr w14:paraId="3A7C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6223C5BE">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（二）混凝土模板支撑工程：搭设高度</w:t>
            </w:r>
            <w:r>
              <w:rPr>
                <w:rFonts w:ascii="宋体" w:hAnsi="宋体" w:eastAsia="宋体" w:cs="宋体"/>
                <w:color w:val="auto"/>
                <w:highlight w:val="none"/>
              </w:rPr>
              <w:t>8m及以上，或搭设跨度18m及以上，或施工总荷载（设计值）15kN/m2及以上，或集中线荷载（设计值）20kN/m及以上。</w:t>
            </w:r>
          </w:p>
        </w:tc>
        <w:tc>
          <w:tcPr>
            <w:tcW w:w="1222" w:type="dxa"/>
            <w:tcBorders>
              <w:top w:val="single" w:color="auto" w:sz="4" w:space="0"/>
              <w:left w:val="nil"/>
              <w:bottom w:val="single" w:color="auto" w:sz="4" w:space="0"/>
              <w:right w:val="single" w:color="auto" w:sz="4" w:space="0"/>
            </w:tcBorders>
            <w:vAlign w:val="center"/>
          </w:tcPr>
          <w:p w14:paraId="51EBE671">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110DE8A8">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2E9C7393">
            <w:pPr>
              <w:jc w:val="center"/>
              <w:rPr>
                <w:rFonts w:ascii="宋体" w:hAnsi="宋体" w:eastAsia="宋体" w:cs="宋体"/>
                <w:color w:val="auto"/>
                <w:highlight w:val="none"/>
              </w:rPr>
            </w:pPr>
          </w:p>
        </w:tc>
      </w:tr>
      <w:tr w14:paraId="35E40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758430D7">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（三）承重支撑体系：用于钢结构安装等满堂支撑体系，承受单点集中荷载</w:t>
            </w:r>
            <w:r>
              <w:rPr>
                <w:rFonts w:ascii="宋体" w:hAnsi="宋体" w:eastAsia="宋体" w:cs="宋体"/>
                <w:color w:val="auto"/>
                <w:highlight w:val="none"/>
              </w:rPr>
              <w:t>7kN及以上。</w:t>
            </w:r>
          </w:p>
        </w:tc>
        <w:tc>
          <w:tcPr>
            <w:tcW w:w="1222" w:type="dxa"/>
            <w:tcBorders>
              <w:top w:val="single" w:color="auto" w:sz="4" w:space="0"/>
              <w:left w:val="nil"/>
              <w:bottom w:val="single" w:color="auto" w:sz="4" w:space="0"/>
              <w:right w:val="single" w:color="auto" w:sz="4" w:space="0"/>
            </w:tcBorders>
            <w:vAlign w:val="center"/>
          </w:tcPr>
          <w:p w14:paraId="77AC8DA0">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6D6AC808">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71AF1B74">
            <w:pPr>
              <w:jc w:val="center"/>
              <w:rPr>
                <w:rFonts w:ascii="宋体" w:hAnsi="宋体" w:eastAsia="宋体" w:cs="宋体"/>
                <w:color w:val="auto"/>
                <w:highlight w:val="none"/>
              </w:rPr>
            </w:pPr>
          </w:p>
        </w:tc>
      </w:tr>
      <w:tr w14:paraId="51EB2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04346393">
            <w:pPr>
              <w:spacing w:after="120" w:line="480" w:lineRule="auto"/>
              <w:rPr>
                <w:rFonts w:ascii="宋体" w:hAnsi="宋体" w:eastAsia="宋体" w:cs="宋体"/>
                <w:color w:val="auto"/>
                <w:highlight w:val="none"/>
              </w:rPr>
            </w:pPr>
            <w:r>
              <w:rPr>
                <w:rFonts w:hint="eastAsia" w:ascii="宋体" w:hAnsi="宋体" w:eastAsia="宋体" w:cs="宋体"/>
                <w:b/>
                <w:color w:val="auto"/>
                <w:highlight w:val="none"/>
              </w:rPr>
              <w:t>三、起重吊装及起重机械安装拆卸工程</w:t>
            </w:r>
          </w:p>
        </w:tc>
      </w:tr>
      <w:tr w14:paraId="6E24E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1A5E03F">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（一）采用非常规起重设备、方法，且单件起吊重量在</w:t>
            </w:r>
            <w:r>
              <w:rPr>
                <w:rFonts w:ascii="宋体" w:hAnsi="宋体" w:eastAsia="宋体" w:cs="宋体"/>
                <w:color w:val="auto"/>
                <w:highlight w:val="none"/>
              </w:rPr>
              <w:t>100kN及以上的起重吊装工程。</w:t>
            </w:r>
          </w:p>
        </w:tc>
        <w:tc>
          <w:tcPr>
            <w:tcW w:w="1222" w:type="dxa"/>
            <w:tcBorders>
              <w:top w:val="single" w:color="auto" w:sz="4" w:space="0"/>
              <w:left w:val="nil"/>
              <w:bottom w:val="single" w:color="auto" w:sz="4" w:space="0"/>
              <w:right w:val="single" w:color="auto" w:sz="4" w:space="0"/>
            </w:tcBorders>
            <w:vAlign w:val="center"/>
          </w:tcPr>
          <w:p w14:paraId="259270E8">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619CDCCF">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0958F51">
            <w:pPr>
              <w:jc w:val="center"/>
              <w:rPr>
                <w:rFonts w:ascii="宋体" w:hAnsi="宋体" w:eastAsia="宋体" w:cs="宋体"/>
                <w:color w:val="auto"/>
                <w:highlight w:val="none"/>
              </w:rPr>
            </w:pPr>
          </w:p>
        </w:tc>
      </w:tr>
      <w:tr w14:paraId="29735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57AE5CAA">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（二）起重量</w:t>
            </w:r>
            <w:r>
              <w:rPr>
                <w:rFonts w:ascii="宋体" w:hAnsi="宋体" w:eastAsia="宋体" w:cs="宋体"/>
                <w:color w:val="auto"/>
                <w:highlight w:val="none"/>
              </w:rPr>
              <w:t>300kN及以上，或搭设总高度200m及以上，或搭设基础标高在200m及以上的起重机械安装和拆卸工程。</w:t>
            </w:r>
          </w:p>
        </w:tc>
        <w:tc>
          <w:tcPr>
            <w:tcW w:w="1222" w:type="dxa"/>
            <w:tcBorders>
              <w:top w:val="single" w:color="auto" w:sz="4" w:space="0"/>
              <w:left w:val="nil"/>
              <w:bottom w:val="single" w:color="auto" w:sz="4" w:space="0"/>
              <w:right w:val="single" w:color="auto" w:sz="4" w:space="0"/>
            </w:tcBorders>
            <w:vAlign w:val="center"/>
          </w:tcPr>
          <w:p w14:paraId="6CEE09A5">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3F0FA0C4">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2661DA05">
            <w:pPr>
              <w:jc w:val="center"/>
              <w:rPr>
                <w:rFonts w:ascii="宋体" w:hAnsi="宋体" w:eastAsia="宋体" w:cs="宋体"/>
                <w:color w:val="auto"/>
                <w:highlight w:val="none"/>
              </w:rPr>
            </w:pPr>
          </w:p>
        </w:tc>
      </w:tr>
      <w:tr w14:paraId="2F0A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17347250">
            <w:pPr>
              <w:spacing w:after="120" w:line="480" w:lineRule="auto"/>
              <w:rPr>
                <w:rFonts w:ascii="宋体" w:hAnsi="宋体" w:eastAsia="宋体" w:cs="宋体"/>
                <w:b/>
                <w:color w:val="auto"/>
                <w:highlight w:val="none"/>
              </w:rPr>
            </w:pPr>
            <w:r>
              <w:rPr>
                <w:rFonts w:hint="eastAsia" w:ascii="宋体" w:hAnsi="宋体" w:eastAsia="宋体" w:cs="宋体"/>
                <w:b/>
                <w:color w:val="auto"/>
                <w:highlight w:val="none"/>
              </w:rPr>
              <w:t>四、脚手架工程</w:t>
            </w:r>
          </w:p>
        </w:tc>
      </w:tr>
      <w:tr w14:paraId="1D709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244E402">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（一）搭设高度</w:t>
            </w:r>
            <w:r>
              <w:rPr>
                <w:rFonts w:ascii="宋体" w:hAnsi="宋体" w:eastAsia="宋体" w:cs="宋体"/>
                <w:color w:val="auto"/>
                <w:highlight w:val="none"/>
              </w:rPr>
              <w:t>50m及以上的落地式钢管脚手架工程。</w:t>
            </w:r>
          </w:p>
        </w:tc>
        <w:tc>
          <w:tcPr>
            <w:tcW w:w="1222" w:type="dxa"/>
            <w:tcBorders>
              <w:top w:val="single" w:color="auto" w:sz="4" w:space="0"/>
              <w:left w:val="nil"/>
              <w:bottom w:val="single" w:color="auto" w:sz="4" w:space="0"/>
              <w:right w:val="single" w:color="auto" w:sz="4" w:space="0"/>
            </w:tcBorders>
            <w:vAlign w:val="center"/>
          </w:tcPr>
          <w:p w14:paraId="4A95F917">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2D69EFF7">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64428FB">
            <w:pPr>
              <w:jc w:val="center"/>
              <w:rPr>
                <w:rFonts w:ascii="宋体" w:hAnsi="宋体" w:eastAsia="宋体" w:cs="宋体"/>
                <w:color w:val="auto"/>
                <w:highlight w:val="none"/>
              </w:rPr>
            </w:pPr>
          </w:p>
        </w:tc>
      </w:tr>
      <w:tr w14:paraId="43EF8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5C20E522">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（二）提升高度在</w:t>
            </w:r>
            <w:r>
              <w:rPr>
                <w:rFonts w:ascii="宋体" w:hAnsi="宋体" w:eastAsia="宋体" w:cs="宋体"/>
                <w:color w:val="auto"/>
                <w:highlight w:val="none"/>
              </w:rPr>
              <w:t>150m及以上的附着式升降脚手架工程或附着式升降操作平台工程。</w:t>
            </w:r>
          </w:p>
        </w:tc>
        <w:tc>
          <w:tcPr>
            <w:tcW w:w="1222" w:type="dxa"/>
            <w:tcBorders>
              <w:top w:val="single" w:color="auto" w:sz="4" w:space="0"/>
              <w:left w:val="nil"/>
              <w:bottom w:val="single" w:color="auto" w:sz="4" w:space="0"/>
              <w:right w:val="single" w:color="auto" w:sz="4" w:space="0"/>
            </w:tcBorders>
            <w:vAlign w:val="center"/>
          </w:tcPr>
          <w:p w14:paraId="587F9906">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754608C1">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72730869">
            <w:pPr>
              <w:jc w:val="center"/>
              <w:rPr>
                <w:rFonts w:ascii="宋体" w:hAnsi="宋体" w:eastAsia="宋体" w:cs="宋体"/>
                <w:color w:val="auto"/>
                <w:highlight w:val="none"/>
              </w:rPr>
            </w:pPr>
          </w:p>
        </w:tc>
      </w:tr>
      <w:tr w14:paraId="32681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1FA1ECD7">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（三）分段架体搭设高度</w:t>
            </w:r>
            <w:r>
              <w:rPr>
                <w:rFonts w:ascii="宋体" w:hAnsi="宋体" w:eastAsia="宋体" w:cs="宋体"/>
                <w:color w:val="auto"/>
                <w:highlight w:val="none"/>
              </w:rPr>
              <w:t>20m及以上的悬挑式脚手架工程。</w:t>
            </w:r>
          </w:p>
        </w:tc>
        <w:tc>
          <w:tcPr>
            <w:tcW w:w="1222" w:type="dxa"/>
            <w:tcBorders>
              <w:top w:val="single" w:color="auto" w:sz="4" w:space="0"/>
              <w:left w:val="nil"/>
              <w:bottom w:val="single" w:color="auto" w:sz="4" w:space="0"/>
              <w:right w:val="single" w:color="auto" w:sz="4" w:space="0"/>
            </w:tcBorders>
            <w:vAlign w:val="center"/>
          </w:tcPr>
          <w:p w14:paraId="2C0ACF37">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46DC02A8">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1EA334B2">
            <w:pPr>
              <w:jc w:val="center"/>
              <w:rPr>
                <w:rFonts w:ascii="宋体" w:hAnsi="宋体" w:eastAsia="宋体" w:cs="宋体"/>
                <w:color w:val="auto"/>
                <w:highlight w:val="none"/>
              </w:rPr>
            </w:pPr>
          </w:p>
        </w:tc>
      </w:tr>
      <w:tr w14:paraId="195C8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2C5FBF05">
            <w:pPr>
              <w:spacing w:after="120" w:line="480" w:lineRule="auto"/>
              <w:rPr>
                <w:rFonts w:ascii="宋体" w:hAnsi="宋体" w:eastAsia="宋体" w:cs="宋体"/>
                <w:b/>
                <w:color w:val="auto"/>
                <w:highlight w:val="none"/>
              </w:rPr>
            </w:pPr>
            <w:r>
              <w:rPr>
                <w:rFonts w:hint="eastAsia" w:ascii="宋体" w:hAnsi="宋体" w:eastAsia="宋体" w:cs="宋体"/>
                <w:b/>
                <w:color w:val="auto"/>
                <w:highlight w:val="none"/>
              </w:rPr>
              <w:t>五、拆除工程</w:t>
            </w:r>
          </w:p>
        </w:tc>
      </w:tr>
      <w:tr w14:paraId="22A54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2B081652">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（一）码头、桥梁、高架、烟囱、水塔或拆除中容易引起有毒有害气（液）体或粉尘扩散、易燃易爆事故发生的特殊建、构筑物的拆除工程。</w:t>
            </w:r>
          </w:p>
        </w:tc>
        <w:tc>
          <w:tcPr>
            <w:tcW w:w="1222" w:type="dxa"/>
            <w:tcBorders>
              <w:top w:val="single" w:color="auto" w:sz="4" w:space="0"/>
              <w:left w:val="nil"/>
              <w:bottom w:val="single" w:color="auto" w:sz="4" w:space="0"/>
              <w:right w:val="single" w:color="auto" w:sz="4" w:space="0"/>
            </w:tcBorders>
            <w:vAlign w:val="center"/>
          </w:tcPr>
          <w:p w14:paraId="31DF82F4">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0AD10A6A">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768A449D">
            <w:pPr>
              <w:jc w:val="center"/>
              <w:rPr>
                <w:rFonts w:ascii="宋体" w:hAnsi="宋体" w:eastAsia="宋体" w:cs="宋体"/>
                <w:color w:val="auto"/>
                <w:highlight w:val="none"/>
              </w:rPr>
            </w:pPr>
          </w:p>
        </w:tc>
      </w:tr>
      <w:tr w14:paraId="2B19F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08DC5115">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（二）文物保护建筑、优秀历史建筑或历史文化风貌区影响范围内的拆除工程。</w:t>
            </w:r>
          </w:p>
        </w:tc>
        <w:tc>
          <w:tcPr>
            <w:tcW w:w="1222" w:type="dxa"/>
            <w:tcBorders>
              <w:top w:val="single" w:color="auto" w:sz="4" w:space="0"/>
              <w:left w:val="nil"/>
              <w:bottom w:val="single" w:color="auto" w:sz="4" w:space="0"/>
              <w:right w:val="single" w:color="auto" w:sz="4" w:space="0"/>
            </w:tcBorders>
            <w:vAlign w:val="center"/>
          </w:tcPr>
          <w:p w14:paraId="6D797083">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36853926">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24977FD6">
            <w:pPr>
              <w:jc w:val="center"/>
              <w:rPr>
                <w:rFonts w:ascii="宋体" w:hAnsi="宋体" w:eastAsia="宋体" w:cs="宋体"/>
                <w:color w:val="auto"/>
                <w:highlight w:val="none"/>
              </w:rPr>
            </w:pPr>
          </w:p>
        </w:tc>
      </w:tr>
      <w:tr w14:paraId="0424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689E61D2">
            <w:pPr>
              <w:spacing w:after="120" w:line="480" w:lineRule="auto"/>
              <w:rPr>
                <w:rFonts w:ascii="宋体" w:hAnsi="宋体" w:eastAsia="宋体" w:cs="宋体"/>
                <w:b/>
                <w:color w:val="auto"/>
                <w:highlight w:val="none"/>
              </w:rPr>
            </w:pPr>
            <w:r>
              <w:rPr>
                <w:rFonts w:hint="eastAsia" w:ascii="宋体" w:hAnsi="宋体" w:eastAsia="宋体" w:cs="宋体"/>
                <w:b/>
                <w:color w:val="auto"/>
                <w:highlight w:val="none"/>
              </w:rPr>
              <w:t>六、暗挖工程</w:t>
            </w:r>
          </w:p>
        </w:tc>
      </w:tr>
      <w:tr w14:paraId="083A3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5DC57906">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采用矿山法、盾构法、顶管法施工的隧道、洞室工程。</w:t>
            </w:r>
          </w:p>
        </w:tc>
        <w:tc>
          <w:tcPr>
            <w:tcW w:w="1222" w:type="dxa"/>
            <w:tcBorders>
              <w:top w:val="single" w:color="auto" w:sz="4" w:space="0"/>
              <w:left w:val="nil"/>
              <w:bottom w:val="single" w:color="auto" w:sz="4" w:space="0"/>
              <w:right w:val="single" w:color="auto" w:sz="4" w:space="0"/>
            </w:tcBorders>
            <w:vAlign w:val="center"/>
          </w:tcPr>
          <w:p w14:paraId="3877BF49">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109C96D8">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8DD91B0">
            <w:pPr>
              <w:jc w:val="center"/>
              <w:rPr>
                <w:rFonts w:ascii="宋体" w:hAnsi="宋体" w:eastAsia="宋体" w:cs="宋体"/>
                <w:color w:val="auto"/>
                <w:highlight w:val="none"/>
              </w:rPr>
            </w:pPr>
          </w:p>
        </w:tc>
      </w:tr>
      <w:tr w14:paraId="182A2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020" w:type="dxa"/>
            <w:gridSpan w:val="4"/>
            <w:tcBorders>
              <w:top w:val="single" w:color="auto" w:sz="4" w:space="0"/>
              <w:left w:val="single" w:color="auto" w:sz="4" w:space="0"/>
              <w:bottom w:val="single" w:color="auto" w:sz="4" w:space="0"/>
              <w:right w:val="single" w:color="auto" w:sz="4" w:space="0"/>
            </w:tcBorders>
            <w:vAlign w:val="center"/>
          </w:tcPr>
          <w:p w14:paraId="2B417B40">
            <w:pPr>
              <w:spacing w:after="120" w:line="480" w:lineRule="auto"/>
              <w:rPr>
                <w:rFonts w:ascii="宋体" w:hAnsi="宋体" w:eastAsia="宋体" w:cs="宋体"/>
                <w:b/>
                <w:color w:val="auto"/>
                <w:highlight w:val="none"/>
              </w:rPr>
            </w:pPr>
            <w:r>
              <w:rPr>
                <w:rFonts w:hint="eastAsia" w:ascii="宋体" w:hAnsi="宋体" w:eastAsia="宋体" w:cs="宋体"/>
                <w:b/>
                <w:color w:val="auto"/>
                <w:highlight w:val="none"/>
              </w:rPr>
              <w:t>七、其它</w:t>
            </w:r>
          </w:p>
        </w:tc>
      </w:tr>
      <w:tr w14:paraId="7B37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66F9E48C">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（一）施工高度</w:t>
            </w:r>
            <w:r>
              <w:rPr>
                <w:rFonts w:ascii="宋体" w:hAnsi="宋体" w:eastAsia="宋体" w:cs="宋体"/>
                <w:color w:val="auto"/>
                <w:highlight w:val="none"/>
              </w:rPr>
              <w:t>50m及以上的建筑幕墙安装工程。</w:t>
            </w:r>
          </w:p>
        </w:tc>
        <w:tc>
          <w:tcPr>
            <w:tcW w:w="1222" w:type="dxa"/>
            <w:tcBorders>
              <w:top w:val="single" w:color="auto" w:sz="4" w:space="0"/>
              <w:left w:val="nil"/>
              <w:bottom w:val="single" w:color="auto" w:sz="4" w:space="0"/>
              <w:right w:val="single" w:color="auto" w:sz="4" w:space="0"/>
            </w:tcBorders>
            <w:vAlign w:val="center"/>
          </w:tcPr>
          <w:p w14:paraId="65B7F75A">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11ACE3EA">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1D9F4A5D">
            <w:pPr>
              <w:jc w:val="center"/>
              <w:rPr>
                <w:rFonts w:ascii="宋体" w:hAnsi="宋体" w:eastAsia="宋体" w:cs="宋体"/>
                <w:color w:val="auto"/>
                <w:highlight w:val="none"/>
              </w:rPr>
            </w:pPr>
          </w:p>
        </w:tc>
      </w:tr>
      <w:tr w14:paraId="2A12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7333E7AA">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（二）跨度</w:t>
            </w:r>
            <w:r>
              <w:rPr>
                <w:rFonts w:ascii="宋体" w:hAnsi="宋体" w:eastAsia="宋体" w:cs="宋体"/>
                <w:color w:val="auto"/>
                <w:highlight w:val="none"/>
              </w:rPr>
              <w:t>36m及以上的钢结构安装工程，或跨度60m及以上的网架和索膜结构安装工程。</w:t>
            </w:r>
          </w:p>
        </w:tc>
        <w:tc>
          <w:tcPr>
            <w:tcW w:w="1222" w:type="dxa"/>
            <w:tcBorders>
              <w:top w:val="single" w:color="auto" w:sz="4" w:space="0"/>
              <w:left w:val="nil"/>
              <w:bottom w:val="single" w:color="auto" w:sz="4" w:space="0"/>
              <w:right w:val="single" w:color="auto" w:sz="4" w:space="0"/>
            </w:tcBorders>
            <w:vAlign w:val="center"/>
          </w:tcPr>
          <w:p w14:paraId="56EBA61A">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2EE56A6B">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714693B1">
            <w:pPr>
              <w:jc w:val="center"/>
              <w:rPr>
                <w:rFonts w:ascii="宋体" w:hAnsi="宋体" w:eastAsia="宋体" w:cs="宋体"/>
                <w:color w:val="auto"/>
                <w:highlight w:val="none"/>
              </w:rPr>
            </w:pPr>
          </w:p>
        </w:tc>
      </w:tr>
      <w:tr w14:paraId="289F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1EC26EFE">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（三）开挖深度</w:t>
            </w:r>
            <w:r>
              <w:rPr>
                <w:rFonts w:ascii="宋体" w:hAnsi="宋体" w:eastAsia="宋体" w:cs="宋体"/>
                <w:color w:val="auto"/>
                <w:highlight w:val="none"/>
              </w:rPr>
              <w:t>16m及以上的人工挖孔桩工程。</w:t>
            </w:r>
          </w:p>
        </w:tc>
        <w:tc>
          <w:tcPr>
            <w:tcW w:w="1222" w:type="dxa"/>
            <w:tcBorders>
              <w:top w:val="single" w:color="auto" w:sz="4" w:space="0"/>
              <w:left w:val="nil"/>
              <w:bottom w:val="single" w:color="auto" w:sz="4" w:space="0"/>
              <w:right w:val="single" w:color="auto" w:sz="4" w:space="0"/>
            </w:tcBorders>
            <w:vAlign w:val="center"/>
          </w:tcPr>
          <w:p w14:paraId="3FD40F6C">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28F95B44">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1AA60685">
            <w:pPr>
              <w:jc w:val="center"/>
              <w:rPr>
                <w:rFonts w:ascii="宋体" w:hAnsi="宋体" w:eastAsia="宋体" w:cs="宋体"/>
                <w:color w:val="auto"/>
                <w:highlight w:val="none"/>
              </w:rPr>
            </w:pPr>
          </w:p>
        </w:tc>
      </w:tr>
      <w:tr w14:paraId="7BB33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48D769F6">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（四）水下作业工程。</w:t>
            </w:r>
          </w:p>
        </w:tc>
        <w:tc>
          <w:tcPr>
            <w:tcW w:w="1222" w:type="dxa"/>
            <w:tcBorders>
              <w:top w:val="single" w:color="auto" w:sz="4" w:space="0"/>
              <w:left w:val="nil"/>
              <w:bottom w:val="single" w:color="auto" w:sz="4" w:space="0"/>
              <w:right w:val="single" w:color="auto" w:sz="4" w:space="0"/>
            </w:tcBorders>
            <w:vAlign w:val="center"/>
          </w:tcPr>
          <w:p w14:paraId="050DF2FF">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34C89AFB">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74ED305B">
            <w:pPr>
              <w:jc w:val="center"/>
              <w:rPr>
                <w:rFonts w:ascii="宋体" w:hAnsi="宋体" w:eastAsia="宋体" w:cs="宋体"/>
                <w:color w:val="auto"/>
                <w:highlight w:val="none"/>
              </w:rPr>
            </w:pPr>
          </w:p>
        </w:tc>
      </w:tr>
      <w:tr w14:paraId="7AF4B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130A934E">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（五）重量</w:t>
            </w:r>
            <w:r>
              <w:rPr>
                <w:rFonts w:ascii="宋体" w:hAnsi="宋体" w:eastAsia="宋体" w:cs="宋体"/>
                <w:color w:val="auto"/>
                <w:highlight w:val="none"/>
              </w:rPr>
              <w:t>1000kN及以上的大型结构整体顶升、平移、转体等施工工艺。</w:t>
            </w:r>
          </w:p>
        </w:tc>
        <w:tc>
          <w:tcPr>
            <w:tcW w:w="1222" w:type="dxa"/>
            <w:tcBorders>
              <w:top w:val="single" w:color="auto" w:sz="4" w:space="0"/>
              <w:left w:val="nil"/>
              <w:bottom w:val="single" w:color="auto" w:sz="4" w:space="0"/>
              <w:right w:val="single" w:color="auto" w:sz="4" w:space="0"/>
            </w:tcBorders>
            <w:vAlign w:val="center"/>
          </w:tcPr>
          <w:p w14:paraId="4C7B89F8">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565A0E52">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57BDA49A">
            <w:pPr>
              <w:jc w:val="center"/>
              <w:rPr>
                <w:rFonts w:ascii="宋体" w:hAnsi="宋体" w:eastAsia="宋体" w:cs="宋体"/>
                <w:color w:val="auto"/>
                <w:highlight w:val="none"/>
              </w:rPr>
            </w:pPr>
          </w:p>
        </w:tc>
      </w:tr>
      <w:tr w14:paraId="49BD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640" w:type="dxa"/>
            <w:tcBorders>
              <w:top w:val="single" w:color="auto" w:sz="4" w:space="0"/>
              <w:left w:val="single" w:color="auto" w:sz="4" w:space="0"/>
              <w:bottom w:val="single" w:color="auto" w:sz="4" w:space="0"/>
              <w:right w:val="single" w:color="auto" w:sz="4" w:space="0"/>
            </w:tcBorders>
            <w:vAlign w:val="center"/>
          </w:tcPr>
          <w:p w14:paraId="5DE207C1">
            <w:pPr>
              <w:spacing w:after="120" w:line="480" w:lineRule="auto"/>
              <w:rPr>
                <w:rFonts w:ascii="宋体" w:hAnsi="宋体" w:eastAsia="宋体" w:cs="宋体"/>
                <w:color w:val="auto"/>
                <w:highlight w:val="none"/>
              </w:rPr>
            </w:pPr>
            <w:r>
              <w:rPr>
                <w:rFonts w:hint="eastAsia" w:ascii="宋体" w:hAnsi="宋体" w:eastAsia="宋体" w:cs="宋体"/>
                <w:color w:val="auto"/>
                <w:highlight w:val="none"/>
              </w:rPr>
              <w:t>（六）采用新技术、新工艺、新材料、新设备可能影响工程施工安全，尚无国家、行业及地方技术标准的分部分项工程。</w:t>
            </w:r>
          </w:p>
        </w:tc>
        <w:tc>
          <w:tcPr>
            <w:tcW w:w="1222" w:type="dxa"/>
            <w:tcBorders>
              <w:top w:val="single" w:color="auto" w:sz="4" w:space="0"/>
              <w:left w:val="nil"/>
              <w:bottom w:val="single" w:color="auto" w:sz="4" w:space="0"/>
              <w:right w:val="single" w:color="auto" w:sz="4" w:space="0"/>
            </w:tcBorders>
            <w:vAlign w:val="center"/>
          </w:tcPr>
          <w:p w14:paraId="0A340D7C">
            <w:pPr>
              <w:widowControl/>
              <w:spacing w:after="120" w:line="480" w:lineRule="auto"/>
              <w:jc w:val="center"/>
              <w:rPr>
                <w:rFonts w:ascii="宋体" w:hAnsi="宋体" w:eastAsia="宋体" w:cs="宋体"/>
                <w:color w:val="auto"/>
                <w:kern w:val="0"/>
                <w:sz w:val="20"/>
                <w:szCs w:val="20"/>
                <w:highlight w:val="none"/>
              </w:rPr>
            </w:pPr>
            <w:r>
              <w:rPr>
                <w:rFonts w:ascii="宋体" w:hAnsi="宋体" w:eastAsia="宋体" w:cs="宋体"/>
                <w:color w:val="auto"/>
                <w:kern w:val="0"/>
                <w:sz w:val="24"/>
                <w:szCs w:val="36"/>
                <w:highlight w:val="none"/>
              </w:rPr>
              <w:t>(    )</w:t>
            </w:r>
          </w:p>
        </w:tc>
        <w:tc>
          <w:tcPr>
            <w:tcW w:w="1361" w:type="dxa"/>
            <w:tcBorders>
              <w:top w:val="single" w:color="auto" w:sz="4" w:space="0"/>
              <w:left w:val="nil"/>
              <w:bottom w:val="single" w:color="auto" w:sz="4" w:space="0"/>
              <w:right w:val="single" w:color="auto" w:sz="4" w:space="0"/>
            </w:tcBorders>
            <w:vAlign w:val="center"/>
          </w:tcPr>
          <w:p w14:paraId="6EF55EFE">
            <w:pPr>
              <w:widowControl/>
              <w:spacing w:after="120" w:line="480" w:lineRule="auto"/>
              <w:jc w:val="center"/>
              <w:rPr>
                <w:rFonts w:ascii="宋体" w:hAnsi="宋体" w:eastAsia="宋体" w:cs="宋体"/>
                <w:color w:val="auto"/>
                <w:kern w:val="0"/>
                <w:sz w:val="24"/>
                <w:szCs w:val="36"/>
                <w:highlight w:val="none"/>
              </w:rPr>
            </w:pPr>
            <w:r>
              <w:rPr>
                <w:rFonts w:ascii="宋体" w:hAnsi="宋体" w:eastAsia="宋体" w:cs="宋体"/>
                <w:color w:val="auto"/>
                <w:kern w:val="0"/>
                <w:sz w:val="24"/>
                <w:szCs w:val="36"/>
                <w:highlight w:val="none"/>
              </w:rPr>
              <w:t>(    )</w:t>
            </w:r>
          </w:p>
        </w:tc>
        <w:tc>
          <w:tcPr>
            <w:tcW w:w="797" w:type="dxa"/>
            <w:tcBorders>
              <w:top w:val="single" w:color="auto" w:sz="4" w:space="0"/>
              <w:left w:val="nil"/>
              <w:bottom w:val="single" w:color="auto" w:sz="4" w:space="0"/>
              <w:right w:val="single" w:color="auto" w:sz="4" w:space="0"/>
            </w:tcBorders>
            <w:vAlign w:val="center"/>
          </w:tcPr>
          <w:p w14:paraId="413C0E5D">
            <w:pPr>
              <w:jc w:val="center"/>
              <w:rPr>
                <w:rFonts w:ascii="宋体" w:hAnsi="宋体" w:eastAsia="宋体" w:cs="宋体"/>
                <w:color w:val="auto"/>
                <w:highlight w:val="none"/>
              </w:rPr>
            </w:pPr>
          </w:p>
        </w:tc>
      </w:tr>
    </w:tbl>
    <w:p w14:paraId="366B9143">
      <w:pPr>
        <w:topLinePunct/>
        <w:adjustRightInd w:val="0"/>
        <w:snapToGrid w:val="0"/>
        <w:spacing w:line="360" w:lineRule="auto"/>
        <w:ind w:firstLine="436" w:firstLineChars="200"/>
        <w:rPr>
          <w:rFonts w:ascii="宋体" w:hAnsi="宋体" w:eastAsia="宋体" w:cs="宋体"/>
          <w:color w:val="auto"/>
          <w:spacing w:val="4"/>
          <w:kern w:val="0"/>
          <w:szCs w:val="21"/>
          <w:highlight w:val="none"/>
        </w:rPr>
      </w:pPr>
    </w:p>
    <w:p w14:paraId="66278D9B">
      <w:pPr>
        <w:topLinePunct/>
        <w:adjustRightInd w:val="0"/>
        <w:snapToGrid w:val="0"/>
        <w:spacing w:line="360" w:lineRule="auto"/>
        <w:ind w:firstLine="436" w:firstLineChars="200"/>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注：（1）投标人同意招标人在“危险性较大的分部分项工程清单”中打“√”标识的，须在该项的“投标单位”列对应项打“√”标识并在投标文件中提供相应的安全管理措施，否则视作未按规定的格式填写，并作无效标处理。</w:t>
      </w:r>
    </w:p>
    <w:p w14:paraId="5E585F7E">
      <w:pPr>
        <w:topLinePunct/>
        <w:adjustRightInd w:val="0"/>
        <w:snapToGrid w:val="0"/>
        <w:spacing w:line="360" w:lineRule="auto"/>
        <w:ind w:firstLine="436" w:firstLineChars="200"/>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2）“危险性较大的分部分项工程清单”中“招标人”列为空白而投标人认为需要补充打“√”标识的，须在该项的“投标单位”列对应项打“√”标识并在投标文件中提供相应的安全管理措施，否则视作未按规定的格式填写，并作无效标处理。</w:t>
      </w:r>
    </w:p>
    <w:p w14:paraId="20234B0D">
      <w:pPr>
        <w:topLinePunct/>
        <w:adjustRightInd w:val="0"/>
        <w:snapToGrid w:val="0"/>
        <w:spacing w:line="360" w:lineRule="auto"/>
        <w:ind w:firstLine="436" w:firstLineChars="200"/>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（3）投标人不同意招标人在“危险性较大的分部分项工程清单”中打“√”标识的，须在该项的“投标单位”对应项打“×”标识并在备注栏填上相关说明，否则视作未按规定的格式填写，并作无效标处理。</w:t>
      </w:r>
    </w:p>
    <w:p w14:paraId="00A8CFA3">
      <w:pPr>
        <w:topLinePunct/>
        <w:adjustRightInd w:val="0"/>
        <w:snapToGrid w:val="0"/>
        <w:spacing w:line="360" w:lineRule="auto"/>
        <w:ind w:firstLine="436" w:firstLineChars="200"/>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（4）“招标人”及“投标单位”均为空白的“危险性较大的分部分项工程清单”项，但投标单位提供了相应的安全管理措施，视作未按规定的格式填写，并作无效标处理。</w:t>
      </w:r>
    </w:p>
    <w:p w14:paraId="21AB8AB7">
      <w:pPr>
        <w:topLinePunct/>
        <w:adjustRightInd w:val="0"/>
        <w:snapToGrid w:val="0"/>
        <w:spacing w:line="360" w:lineRule="auto"/>
        <w:ind w:firstLine="436" w:firstLineChars="200"/>
        <w:rPr>
          <w:rFonts w:ascii="宋体" w:hAnsi="宋体" w:eastAsia="宋体" w:cs="宋体"/>
          <w:color w:val="auto"/>
          <w:spacing w:val="4"/>
          <w:kern w:val="0"/>
          <w:szCs w:val="21"/>
          <w:highlight w:val="none"/>
        </w:rPr>
      </w:pPr>
      <w:r>
        <w:rPr>
          <w:rFonts w:hint="eastAsia" w:ascii="宋体" w:hAnsi="宋体" w:eastAsia="宋体" w:cs="宋体"/>
          <w:color w:val="auto"/>
          <w:spacing w:val="4"/>
          <w:kern w:val="0"/>
          <w:szCs w:val="21"/>
          <w:highlight w:val="none"/>
        </w:rPr>
        <w:t>（5）“招标人”及“投标单位”均为空白的“危险性较大的分部分项工程清单”项且投标人未提供相应的安全管理措施，不作无效标处理。</w:t>
      </w:r>
    </w:p>
    <w:p w14:paraId="48433B03">
      <w:pPr>
        <w:snapToGrid w:val="0"/>
        <w:spacing w:line="360" w:lineRule="auto"/>
        <w:ind w:firstLine="4320" w:firstLineChars="18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投标人名称（盖法人公章）：</w:t>
      </w:r>
    </w:p>
    <w:p w14:paraId="2E2524D9">
      <w:pPr>
        <w:snapToGrid w:val="0"/>
        <w:spacing w:line="360" w:lineRule="auto"/>
        <w:ind w:firstLine="4320" w:firstLineChars="1800"/>
        <w:rPr>
          <w:rFonts w:ascii="宋体" w:hAnsi="宋体" w:eastAsia="宋体" w:cs="宋体"/>
          <w:color w:val="auto"/>
          <w:sz w:val="24"/>
          <w:szCs w:val="20"/>
          <w:highlight w:val="none"/>
        </w:rPr>
      </w:pPr>
      <w:r>
        <w:rPr>
          <w:rFonts w:hint="eastAsia" w:ascii="宋体" w:hAnsi="宋体" w:eastAsia="宋体" w:cs="宋体"/>
          <w:color w:val="auto"/>
          <w:sz w:val="24"/>
          <w:szCs w:val="20"/>
          <w:highlight w:val="none"/>
        </w:rPr>
        <w:t>日期：</w:t>
      </w:r>
      <w:r>
        <w:rPr>
          <w:rFonts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rPr>
        <w:t>年</w:t>
      </w:r>
      <w:r>
        <w:rPr>
          <w:rFonts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rPr>
        <w:t>月</w:t>
      </w:r>
      <w:r>
        <w:rPr>
          <w:rFonts w:ascii="宋体" w:hAnsi="宋体" w:eastAsia="宋体" w:cs="宋体"/>
          <w:color w:val="auto"/>
          <w:sz w:val="24"/>
          <w:szCs w:val="20"/>
          <w:highlight w:val="none"/>
        </w:rPr>
        <w:t xml:space="preserve">   </w:t>
      </w:r>
      <w:r>
        <w:rPr>
          <w:rFonts w:hint="eastAsia" w:ascii="宋体" w:hAnsi="宋体" w:eastAsia="宋体" w:cs="宋体"/>
          <w:color w:val="auto"/>
          <w:sz w:val="24"/>
          <w:szCs w:val="20"/>
          <w:highlight w:val="none"/>
        </w:rPr>
        <w:t>日</w:t>
      </w:r>
    </w:p>
    <w:p w14:paraId="398778E1">
      <w:pPr>
        <w:rPr>
          <w:rFonts w:ascii="宋体" w:hAnsi="宋体" w:eastAsia="宋体" w:cs="宋体"/>
          <w:color w:val="auto"/>
          <w:sz w:val="32"/>
          <w:szCs w:val="32"/>
          <w:highlight w:val="none"/>
        </w:rPr>
      </w:pPr>
      <w:bookmarkStart w:id="52" w:name="_Toc26315"/>
      <w:r>
        <w:rPr>
          <w:rFonts w:ascii="宋体" w:hAnsi="宋体" w:eastAsia="宋体" w:cs="宋体"/>
          <w:color w:val="auto"/>
          <w:sz w:val="32"/>
          <w:szCs w:val="32"/>
          <w:highlight w:val="none"/>
        </w:rPr>
        <w:br w:type="page"/>
      </w:r>
    </w:p>
    <w:p w14:paraId="1C1049A8">
      <w:pPr>
        <w:snapToGrid w:val="0"/>
        <w:spacing w:line="360" w:lineRule="auto"/>
        <w:rPr>
          <w:rFonts w:ascii="宋体" w:hAnsi="宋体" w:eastAsia="宋体" w:cs="宋体"/>
          <w:bCs/>
          <w:color w:val="auto"/>
          <w:sz w:val="24"/>
          <w:highlight w:val="none"/>
        </w:rPr>
      </w:pPr>
      <w:r>
        <w:rPr>
          <w:rFonts w:hint="eastAsia" w:ascii="宋体" w:hAnsi="宋体" w:eastAsia="宋体" w:cs="宋体"/>
          <w:bCs/>
          <w:color w:val="auto"/>
          <w:kern w:val="0"/>
          <w:sz w:val="24"/>
          <w:highlight w:val="none"/>
        </w:rPr>
        <w:t>技术标格式十二</w:t>
      </w:r>
    </w:p>
    <w:p w14:paraId="5579261D">
      <w:pPr>
        <w:snapToGrid w:val="0"/>
        <w:spacing w:line="360" w:lineRule="auto"/>
        <w:jc w:val="center"/>
        <w:rPr>
          <w:rFonts w:ascii="宋体" w:hAnsi="宋体" w:eastAsia="宋体" w:cs="宋体"/>
          <w:bCs/>
          <w:color w:val="auto"/>
          <w:sz w:val="24"/>
          <w:highlight w:val="none"/>
        </w:rPr>
      </w:pPr>
    </w:p>
    <w:p w14:paraId="4F970743">
      <w:pPr>
        <w:snapToGrid w:val="0"/>
        <w:spacing w:line="360" w:lineRule="auto"/>
        <w:jc w:val="center"/>
        <w:rPr>
          <w:rFonts w:ascii="宋体" w:hAnsi="宋体" w:eastAsia="宋体" w:cs="宋体"/>
          <w:b/>
          <w:color w:val="auto"/>
          <w:sz w:val="36"/>
          <w:szCs w:val="36"/>
          <w:highlight w:val="none"/>
        </w:rPr>
      </w:pPr>
      <w:r>
        <w:rPr>
          <w:rFonts w:hint="eastAsia" w:ascii="宋体" w:hAnsi="宋体" w:eastAsia="宋体" w:cs="宋体"/>
          <w:b/>
          <w:color w:val="auto"/>
          <w:sz w:val="36"/>
          <w:szCs w:val="36"/>
          <w:highlight w:val="none"/>
        </w:rPr>
        <w:t>参与编制技术标投标文件人员名单</w:t>
      </w:r>
    </w:p>
    <w:tbl>
      <w:tblPr>
        <w:tblStyle w:val="8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470"/>
        <w:gridCol w:w="2520"/>
        <w:gridCol w:w="2415"/>
        <w:gridCol w:w="1448"/>
      </w:tblGrid>
      <w:tr w14:paraId="2DC5B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9116" w:type="dxa"/>
            <w:gridSpan w:val="5"/>
            <w:tcBorders>
              <w:top w:val="single" w:color="auto" w:sz="4" w:space="0"/>
              <w:left w:val="single" w:color="auto" w:sz="4" w:space="0"/>
              <w:bottom w:val="single" w:color="auto" w:sz="4" w:space="0"/>
              <w:right w:val="single" w:color="auto" w:sz="4" w:space="0"/>
            </w:tcBorders>
            <w:noWrap/>
            <w:vAlign w:val="center"/>
          </w:tcPr>
          <w:p w14:paraId="325130DD">
            <w:pPr>
              <w:tabs>
                <w:tab w:val="left" w:pos="720"/>
              </w:tabs>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投标单位名称</w:t>
            </w:r>
          </w:p>
        </w:tc>
      </w:tr>
      <w:tr w14:paraId="7C44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2B0FF6F0">
            <w:pPr>
              <w:tabs>
                <w:tab w:val="left" w:pos="720"/>
              </w:tabs>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470" w:type="dxa"/>
            <w:tcBorders>
              <w:top w:val="single" w:color="auto" w:sz="4" w:space="0"/>
              <w:left w:val="single" w:color="auto" w:sz="4" w:space="0"/>
              <w:bottom w:val="single" w:color="auto" w:sz="4" w:space="0"/>
              <w:right w:val="single" w:color="auto" w:sz="4" w:space="0"/>
            </w:tcBorders>
            <w:noWrap/>
            <w:vAlign w:val="center"/>
          </w:tcPr>
          <w:p w14:paraId="67AB21BE">
            <w:pPr>
              <w:tabs>
                <w:tab w:val="left" w:pos="720"/>
              </w:tabs>
              <w:snapToGrid w:val="0"/>
              <w:spacing w:after="120"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520" w:type="dxa"/>
            <w:tcBorders>
              <w:top w:val="single" w:color="auto" w:sz="4" w:space="0"/>
              <w:left w:val="single" w:color="auto" w:sz="4" w:space="0"/>
              <w:bottom w:val="single" w:color="auto" w:sz="4" w:space="0"/>
              <w:right w:val="single" w:color="auto" w:sz="4" w:space="0"/>
            </w:tcBorders>
            <w:noWrap/>
            <w:vAlign w:val="center"/>
          </w:tcPr>
          <w:p w14:paraId="7790BC7F">
            <w:pPr>
              <w:tabs>
                <w:tab w:val="left" w:pos="720"/>
              </w:tabs>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所承担工作</w:t>
            </w:r>
          </w:p>
        </w:tc>
        <w:tc>
          <w:tcPr>
            <w:tcW w:w="2415" w:type="dxa"/>
            <w:tcBorders>
              <w:top w:val="single" w:color="auto" w:sz="4" w:space="0"/>
              <w:left w:val="single" w:color="auto" w:sz="4" w:space="0"/>
              <w:bottom w:val="single" w:color="auto" w:sz="4" w:space="0"/>
              <w:right w:val="single" w:color="auto" w:sz="4" w:space="0"/>
            </w:tcBorders>
            <w:noWrap/>
            <w:vAlign w:val="center"/>
          </w:tcPr>
          <w:p w14:paraId="356BC633">
            <w:pPr>
              <w:tabs>
                <w:tab w:val="left" w:pos="720"/>
              </w:tabs>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身份证号码</w:t>
            </w:r>
          </w:p>
        </w:tc>
        <w:tc>
          <w:tcPr>
            <w:tcW w:w="1448" w:type="dxa"/>
            <w:tcBorders>
              <w:top w:val="single" w:color="auto" w:sz="4" w:space="0"/>
              <w:left w:val="single" w:color="auto" w:sz="4" w:space="0"/>
              <w:bottom w:val="single" w:color="auto" w:sz="4" w:space="0"/>
              <w:right w:val="single" w:color="auto" w:sz="4" w:space="0"/>
            </w:tcBorders>
            <w:noWrap/>
            <w:vAlign w:val="center"/>
          </w:tcPr>
          <w:p w14:paraId="02D3A2DC">
            <w:pPr>
              <w:tabs>
                <w:tab w:val="left" w:pos="720"/>
              </w:tabs>
              <w:snapToGrid w:val="0"/>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本人签名栏</w:t>
            </w:r>
          </w:p>
        </w:tc>
      </w:tr>
      <w:tr w14:paraId="50D03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1F83561B">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0506583E">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2A430EFD">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655F4C3B">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0ACC2FAD">
            <w:pPr>
              <w:tabs>
                <w:tab w:val="left" w:pos="720"/>
              </w:tabs>
              <w:snapToGrid w:val="0"/>
              <w:spacing w:line="360" w:lineRule="auto"/>
              <w:jc w:val="center"/>
              <w:rPr>
                <w:rFonts w:ascii="宋体" w:hAnsi="宋体" w:eastAsia="宋体" w:cs="宋体"/>
                <w:color w:val="auto"/>
                <w:szCs w:val="21"/>
                <w:highlight w:val="none"/>
              </w:rPr>
            </w:pPr>
          </w:p>
        </w:tc>
      </w:tr>
      <w:tr w14:paraId="48755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3A19F376">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4913D578">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681C64E8">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26D7182E">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04C316BE">
            <w:pPr>
              <w:tabs>
                <w:tab w:val="left" w:pos="720"/>
              </w:tabs>
              <w:snapToGrid w:val="0"/>
              <w:spacing w:line="360" w:lineRule="auto"/>
              <w:jc w:val="center"/>
              <w:rPr>
                <w:rFonts w:ascii="宋体" w:hAnsi="宋体" w:eastAsia="宋体" w:cs="宋体"/>
                <w:color w:val="auto"/>
                <w:szCs w:val="21"/>
                <w:highlight w:val="none"/>
              </w:rPr>
            </w:pPr>
          </w:p>
        </w:tc>
      </w:tr>
      <w:tr w14:paraId="34992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130841A0">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0A96D07A">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6CF1C7B1">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719B4184">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4734368A">
            <w:pPr>
              <w:tabs>
                <w:tab w:val="left" w:pos="720"/>
              </w:tabs>
              <w:snapToGrid w:val="0"/>
              <w:spacing w:line="360" w:lineRule="auto"/>
              <w:jc w:val="center"/>
              <w:rPr>
                <w:rFonts w:ascii="宋体" w:hAnsi="宋体" w:eastAsia="宋体" w:cs="宋体"/>
                <w:color w:val="auto"/>
                <w:szCs w:val="21"/>
                <w:highlight w:val="none"/>
              </w:rPr>
            </w:pPr>
          </w:p>
        </w:tc>
      </w:tr>
      <w:tr w14:paraId="3564F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04E869B4">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7F653FA8">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6EBAE5D2">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74C82B13">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6EBCE13">
            <w:pPr>
              <w:tabs>
                <w:tab w:val="left" w:pos="720"/>
              </w:tabs>
              <w:snapToGrid w:val="0"/>
              <w:spacing w:line="360" w:lineRule="auto"/>
              <w:jc w:val="center"/>
              <w:rPr>
                <w:rFonts w:ascii="宋体" w:hAnsi="宋体" w:eastAsia="宋体" w:cs="宋体"/>
                <w:color w:val="auto"/>
                <w:szCs w:val="21"/>
                <w:highlight w:val="none"/>
              </w:rPr>
            </w:pPr>
          </w:p>
        </w:tc>
      </w:tr>
      <w:tr w14:paraId="6754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4EA0DF24">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0DFB0312">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7C0B99AA">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4DF90218">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1E8671E5">
            <w:pPr>
              <w:tabs>
                <w:tab w:val="left" w:pos="720"/>
              </w:tabs>
              <w:snapToGrid w:val="0"/>
              <w:spacing w:line="360" w:lineRule="auto"/>
              <w:jc w:val="center"/>
              <w:rPr>
                <w:rFonts w:ascii="宋体" w:hAnsi="宋体" w:eastAsia="宋体" w:cs="宋体"/>
                <w:color w:val="auto"/>
                <w:szCs w:val="21"/>
                <w:highlight w:val="none"/>
              </w:rPr>
            </w:pPr>
          </w:p>
        </w:tc>
      </w:tr>
      <w:tr w14:paraId="66167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738F9191">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72CA1A84">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5AEC27D8">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0A56A99E">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2A7364FD">
            <w:pPr>
              <w:tabs>
                <w:tab w:val="left" w:pos="720"/>
              </w:tabs>
              <w:snapToGrid w:val="0"/>
              <w:spacing w:line="360" w:lineRule="auto"/>
              <w:jc w:val="center"/>
              <w:rPr>
                <w:rFonts w:ascii="宋体" w:hAnsi="宋体" w:eastAsia="宋体" w:cs="宋体"/>
                <w:color w:val="auto"/>
                <w:szCs w:val="21"/>
                <w:highlight w:val="none"/>
              </w:rPr>
            </w:pPr>
          </w:p>
        </w:tc>
      </w:tr>
      <w:tr w14:paraId="4A0F2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695DA133">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415A160F">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1905604A">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2DD14E18">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637F7495">
            <w:pPr>
              <w:tabs>
                <w:tab w:val="left" w:pos="720"/>
              </w:tabs>
              <w:snapToGrid w:val="0"/>
              <w:spacing w:line="360" w:lineRule="auto"/>
              <w:jc w:val="center"/>
              <w:rPr>
                <w:rFonts w:ascii="宋体" w:hAnsi="宋体" w:eastAsia="宋体" w:cs="宋体"/>
                <w:color w:val="auto"/>
                <w:szCs w:val="21"/>
                <w:highlight w:val="none"/>
              </w:rPr>
            </w:pPr>
          </w:p>
        </w:tc>
      </w:tr>
      <w:tr w14:paraId="35188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263" w:type="dxa"/>
            <w:tcBorders>
              <w:top w:val="single" w:color="auto" w:sz="4" w:space="0"/>
              <w:left w:val="single" w:color="auto" w:sz="4" w:space="0"/>
              <w:bottom w:val="single" w:color="auto" w:sz="4" w:space="0"/>
              <w:right w:val="single" w:color="auto" w:sz="4" w:space="0"/>
            </w:tcBorders>
            <w:noWrap/>
            <w:vAlign w:val="center"/>
          </w:tcPr>
          <w:p w14:paraId="350A07DB">
            <w:pPr>
              <w:tabs>
                <w:tab w:val="left" w:pos="720"/>
              </w:tabs>
              <w:snapToGrid w:val="0"/>
              <w:spacing w:line="360" w:lineRule="auto"/>
              <w:jc w:val="center"/>
              <w:rPr>
                <w:rFonts w:ascii="宋体" w:hAnsi="宋体" w:eastAsia="宋体" w:cs="宋体"/>
                <w:color w:val="auto"/>
                <w:szCs w:val="21"/>
                <w:highlight w:val="none"/>
              </w:rPr>
            </w:pPr>
          </w:p>
        </w:tc>
        <w:tc>
          <w:tcPr>
            <w:tcW w:w="1470" w:type="dxa"/>
            <w:tcBorders>
              <w:top w:val="single" w:color="auto" w:sz="4" w:space="0"/>
              <w:left w:val="single" w:color="auto" w:sz="4" w:space="0"/>
              <w:bottom w:val="single" w:color="auto" w:sz="4" w:space="0"/>
              <w:right w:val="single" w:color="auto" w:sz="4" w:space="0"/>
            </w:tcBorders>
            <w:noWrap/>
            <w:vAlign w:val="center"/>
          </w:tcPr>
          <w:p w14:paraId="582136AF">
            <w:pPr>
              <w:tabs>
                <w:tab w:val="left" w:pos="720"/>
              </w:tabs>
              <w:snapToGrid w:val="0"/>
              <w:spacing w:line="360" w:lineRule="auto"/>
              <w:jc w:val="center"/>
              <w:rPr>
                <w:rFonts w:ascii="宋体" w:hAnsi="宋体" w:eastAsia="宋体" w:cs="宋体"/>
                <w:color w:val="auto"/>
                <w:szCs w:val="21"/>
                <w:highlight w:val="none"/>
              </w:rPr>
            </w:pPr>
          </w:p>
        </w:tc>
        <w:tc>
          <w:tcPr>
            <w:tcW w:w="2520" w:type="dxa"/>
            <w:tcBorders>
              <w:top w:val="single" w:color="auto" w:sz="4" w:space="0"/>
              <w:left w:val="single" w:color="auto" w:sz="4" w:space="0"/>
              <w:bottom w:val="single" w:color="auto" w:sz="4" w:space="0"/>
              <w:right w:val="single" w:color="auto" w:sz="4" w:space="0"/>
            </w:tcBorders>
            <w:noWrap/>
            <w:vAlign w:val="center"/>
          </w:tcPr>
          <w:p w14:paraId="3929A80C">
            <w:pPr>
              <w:tabs>
                <w:tab w:val="left" w:pos="720"/>
              </w:tabs>
              <w:snapToGrid w:val="0"/>
              <w:spacing w:line="360" w:lineRule="auto"/>
              <w:jc w:val="center"/>
              <w:rPr>
                <w:rFonts w:ascii="宋体" w:hAnsi="宋体" w:eastAsia="宋体" w:cs="宋体"/>
                <w:color w:val="auto"/>
                <w:szCs w:val="21"/>
                <w:highlight w:val="none"/>
              </w:rPr>
            </w:pPr>
          </w:p>
        </w:tc>
        <w:tc>
          <w:tcPr>
            <w:tcW w:w="2415" w:type="dxa"/>
            <w:tcBorders>
              <w:top w:val="single" w:color="auto" w:sz="4" w:space="0"/>
              <w:left w:val="single" w:color="auto" w:sz="4" w:space="0"/>
              <w:bottom w:val="single" w:color="auto" w:sz="4" w:space="0"/>
              <w:right w:val="single" w:color="auto" w:sz="4" w:space="0"/>
            </w:tcBorders>
            <w:noWrap/>
            <w:vAlign w:val="center"/>
          </w:tcPr>
          <w:p w14:paraId="3C2E3FAD">
            <w:pPr>
              <w:tabs>
                <w:tab w:val="left" w:pos="720"/>
              </w:tabs>
              <w:snapToGrid w:val="0"/>
              <w:spacing w:line="360" w:lineRule="auto"/>
              <w:jc w:val="center"/>
              <w:rPr>
                <w:rFonts w:ascii="宋体" w:hAnsi="宋体" w:eastAsia="宋体" w:cs="宋体"/>
                <w:color w:val="auto"/>
                <w:szCs w:val="21"/>
                <w:highlight w:val="none"/>
              </w:rPr>
            </w:pPr>
          </w:p>
        </w:tc>
        <w:tc>
          <w:tcPr>
            <w:tcW w:w="1448" w:type="dxa"/>
            <w:tcBorders>
              <w:top w:val="single" w:color="auto" w:sz="4" w:space="0"/>
              <w:left w:val="single" w:color="auto" w:sz="4" w:space="0"/>
              <w:bottom w:val="single" w:color="auto" w:sz="4" w:space="0"/>
              <w:right w:val="single" w:color="auto" w:sz="4" w:space="0"/>
            </w:tcBorders>
            <w:noWrap/>
            <w:vAlign w:val="center"/>
          </w:tcPr>
          <w:p w14:paraId="33F18B32">
            <w:pPr>
              <w:tabs>
                <w:tab w:val="left" w:pos="720"/>
              </w:tabs>
              <w:snapToGrid w:val="0"/>
              <w:spacing w:line="360" w:lineRule="auto"/>
              <w:jc w:val="center"/>
              <w:rPr>
                <w:rFonts w:ascii="宋体" w:hAnsi="宋体" w:eastAsia="宋体" w:cs="宋体"/>
                <w:color w:val="auto"/>
                <w:szCs w:val="21"/>
                <w:highlight w:val="none"/>
              </w:rPr>
            </w:pPr>
          </w:p>
        </w:tc>
      </w:tr>
    </w:tbl>
    <w:p w14:paraId="1BD4B349">
      <w:pPr>
        <w:autoSpaceDE w:val="0"/>
        <w:autoSpaceDN w:val="0"/>
        <w:adjustRightInd w:val="0"/>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注：</w:t>
      </w:r>
      <w:r>
        <w:rPr>
          <w:rFonts w:ascii="宋体" w:hAnsi="宋体" w:eastAsia="宋体" w:cs="宋体"/>
          <w:color w:val="auto"/>
          <w:sz w:val="24"/>
          <w:highlight w:val="none"/>
        </w:rPr>
        <w:t>1.</w:t>
      </w:r>
      <w:r>
        <w:rPr>
          <w:rFonts w:hint="eastAsia" w:ascii="宋体" w:hAnsi="宋体" w:eastAsia="宋体" w:cs="宋体"/>
          <w:color w:val="auto"/>
          <w:sz w:val="24"/>
          <w:highlight w:val="none"/>
        </w:rPr>
        <w:t>参与编制技术标书所有人员名单应包括如编制技术投标方案、负责清样校对、负责打印及复印等所有人员在内的人员名单。</w:t>
      </w:r>
    </w:p>
    <w:p w14:paraId="0EB4162E">
      <w:pPr>
        <w:autoSpaceDE w:val="0"/>
        <w:autoSpaceDN w:val="0"/>
        <w:adjustRightInd w:val="0"/>
        <w:snapToGrid w:val="0"/>
        <w:spacing w:line="360" w:lineRule="auto"/>
        <w:ind w:firstLine="480" w:firstLineChars="200"/>
        <w:rPr>
          <w:rFonts w:ascii="宋体" w:hAnsi="宋体" w:eastAsia="宋体" w:cs="宋体"/>
          <w:color w:val="auto"/>
          <w:sz w:val="24"/>
          <w:highlight w:val="none"/>
        </w:rPr>
      </w:pPr>
      <w:r>
        <w:rPr>
          <w:rFonts w:ascii="宋体" w:hAnsi="宋体" w:eastAsia="宋体" w:cs="宋体"/>
          <w:color w:val="auto"/>
          <w:sz w:val="24"/>
          <w:highlight w:val="none"/>
        </w:rPr>
        <w:t>2.上述人员</w:t>
      </w:r>
      <w:r>
        <w:rPr>
          <w:rFonts w:hint="eastAsia" w:ascii="宋体" w:hAnsi="宋体" w:eastAsia="宋体" w:cs="宋体"/>
          <w:color w:val="auto"/>
          <w:sz w:val="24"/>
          <w:highlight w:val="none"/>
        </w:rPr>
        <w:t>须提供</w:t>
      </w:r>
      <w:r>
        <w:rPr>
          <w:rFonts w:hint="eastAsia" w:ascii="宋体" w:hAnsi="宋体" w:eastAsia="宋体" w:cs="宋体"/>
          <w:color w:val="auto"/>
          <w:sz w:val="24"/>
          <w:highlight w:val="none"/>
        </w:rPr>
        <w:t>离投标截止时间最近的至少</w:t>
      </w:r>
      <w:r>
        <w:rPr>
          <w:rFonts w:ascii="宋体" w:hAnsi="宋体" w:eastAsia="宋体" w:cs="宋体"/>
          <w:color w:val="auto"/>
          <w:sz w:val="24"/>
          <w:highlight w:val="none"/>
        </w:rPr>
        <w:t>1个月（2025年</w:t>
      </w:r>
      <w:r>
        <w:rPr>
          <w:rFonts w:hint="eastAsia" w:ascii="宋体" w:hAnsi="宋体" w:eastAsia="宋体" w:cs="宋体"/>
          <w:color w:val="auto"/>
          <w:sz w:val="24"/>
          <w:highlight w:val="none"/>
        </w:rPr>
        <w:t>9</w:t>
      </w:r>
      <w:r>
        <w:rPr>
          <w:rFonts w:ascii="宋体" w:hAnsi="宋体" w:eastAsia="宋体" w:cs="宋体"/>
          <w:color w:val="auto"/>
          <w:sz w:val="24"/>
          <w:highlight w:val="none"/>
        </w:rPr>
        <w:t>月或</w:t>
      </w:r>
      <w:r>
        <w:rPr>
          <w:rFonts w:hint="eastAsia" w:ascii="宋体" w:hAnsi="宋体" w:eastAsia="宋体" w:cs="宋体"/>
          <w:color w:val="auto"/>
          <w:sz w:val="24"/>
          <w:highlight w:val="none"/>
        </w:rPr>
        <w:t>10</w:t>
      </w:r>
      <w:r>
        <w:rPr>
          <w:rFonts w:ascii="宋体" w:hAnsi="宋体" w:eastAsia="宋体" w:cs="宋体"/>
          <w:color w:val="auto"/>
          <w:sz w:val="24"/>
          <w:highlight w:val="none"/>
        </w:rPr>
        <w:t>月）在本单位缴纳的</w:t>
      </w:r>
      <w:r>
        <w:rPr>
          <w:rFonts w:hint="eastAsia" w:ascii="宋体" w:hAnsi="宋体" w:eastAsia="宋体" w:cs="宋体"/>
          <w:color w:val="auto"/>
          <w:sz w:val="24"/>
          <w:highlight w:val="none"/>
        </w:rPr>
        <w:t>社保证明文件</w:t>
      </w:r>
      <w:r>
        <w:rPr>
          <w:rFonts w:hint="eastAsia" w:ascii="宋体" w:hAnsi="宋体" w:eastAsia="宋体" w:cs="宋体"/>
          <w:color w:val="auto"/>
          <w:sz w:val="24"/>
          <w:highlight w:val="none"/>
        </w:rPr>
        <w:t>。</w:t>
      </w:r>
    </w:p>
    <w:p w14:paraId="38CC2020">
      <w:pPr>
        <w:pStyle w:val="2"/>
        <w:tabs>
          <w:tab w:val="right" w:leader="dot" w:pos="9060"/>
        </w:tabs>
        <w:rPr>
          <w:rFonts w:ascii="宋体" w:hAnsi="宋体" w:eastAsia="宋体" w:cs="宋体"/>
          <w:color w:val="auto"/>
          <w:highlight w:val="none"/>
        </w:rPr>
      </w:pPr>
    </w:p>
    <w:p w14:paraId="037EE030">
      <w:pPr>
        <w:rPr>
          <w:rFonts w:ascii="宋体" w:hAnsi="宋体" w:eastAsia="宋体" w:cs="宋体"/>
          <w:color w:val="auto"/>
          <w:sz w:val="24"/>
          <w:highlight w:val="none"/>
        </w:rPr>
        <w:sectPr>
          <w:pgSz w:w="11906" w:h="16838"/>
          <w:pgMar w:top="1440" w:right="1440" w:bottom="1440" w:left="1440" w:header="851" w:footer="992" w:gutter="0"/>
          <w:cols w:space="0" w:num="1"/>
          <w:docGrid w:type="lines" w:linePitch="322" w:charSpace="0"/>
        </w:sectPr>
      </w:pPr>
    </w:p>
    <w:p w14:paraId="34DB8942">
      <w:pPr>
        <w:autoSpaceDE w:val="0"/>
        <w:autoSpaceDN w:val="0"/>
        <w:adjustRightInd w:val="0"/>
        <w:snapToGrid w:val="0"/>
        <w:spacing w:line="360" w:lineRule="auto"/>
        <w:jc w:val="center"/>
        <w:rPr>
          <w:rFonts w:ascii="宋体" w:hAnsi="宋体" w:eastAsia="宋体" w:cs="宋体"/>
          <w:color w:val="auto"/>
          <w:sz w:val="32"/>
          <w:szCs w:val="32"/>
          <w:highlight w:val="none"/>
          <w:lang w:val="zh-CN"/>
        </w:rPr>
      </w:pPr>
      <w:r>
        <w:rPr>
          <w:rFonts w:hint="eastAsia" w:ascii="宋体" w:hAnsi="宋体" w:eastAsia="宋体" w:cs="宋体"/>
          <w:color w:val="auto"/>
          <w:sz w:val="32"/>
          <w:szCs w:val="32"/>
          <w:highlight w:val="none"/>
        </w:rPr>
        <w:t>二、经济标投标文件格式</w:t>
      </w:r>
      <w:bookmarkEnd w:id="52"/>
    </w:p>
    <w:p w14:paraId="60D81498">
      <w:pPr>
        <w:widowControl/>
        <w:snapToGrid w:val="0"/>
        <w:spacing w:line="360" w:lineRule="auto"/>
        <w:jc w:val="left"/>
        <w:outlineLvl w:val="2"/>
        <w:rPr>
          <w:rFonts w:ascii="宋体" w:hAnsi="宋体" w:eastAsia="宋体" w:cs="宋体"/>
          <w:bCs/>
          <w:color w:val="auto"/>
          <w:spacing w:val="4"/>
          <w:sz w:val="24"/>
          <w:highlight w:val="none"/>
        </w:rPr>
      </w:pPr>
      <w:bookmarkStart w:id="53" w:name="_Toc16171"/>
    </w:p>
    <w:p w14:paraId="79ACAA9B">
      <w:pPr>
        <w:widowControl/>
        <w:snapToGrid w:val="0"/>
        <w:spacing w:line="360" w:lineRule="auto"/>
        <w:jc w:val="left"/>
        <w:outlineLvl w:val="2"/>
        <w:rPr>
          <w:rFonts w:ascii="宋体" w:hAnsi="宋体" w:eastAsia="宋体" w:cs="宋体"/>
          <w:b/>
          <w:bCs/>
          <w:color w:val="auto"/>
          <w:kern w:val="0"/>
          <w:sz w:val="44"/>
          <w:szCs w:val="44"/>
          <w:highlight w:val="none"/>
          <w:lang w:val="zh-CN"/>
        </w:rPr>
      </w:pPr>
      <w:r>
        <w:rPr>
          <w:rFonts w:hint="eastAsia" w:ascii="宋体" w:hAnsi="宋体" w:eastAsia="宋体" w:cs="宋体"/>
          <w:bCs/>
          <w:color w:val="auto"/>
          <w:spacing w:val="4"/>
          <w:sz w:val="24"/>
          <w:highlight w:val="none"/>
        </w:rPr>
        <w:t>经济标格式一</w:t>
      </w:r>
      <w:bookmarkEnd w:id="53"/>
    </w:p>
    <w:p w14:paraId="238816CA">
      <w:pPr>
        <w:widowControl/>
        <w:topLinePunct/>
        <w:adjustRightInd w:val="0"/>
        <w:snapToGrid w:val="0"/>
        <w:spacing w:line="360" w:lineRule="auto"/>
        <w:jc w:val="center"/>
        <w:outlineLvl w:val="1"/>
        <w:rPr>
          <w:rFonts w:ascii="宋体" w:hAnsi="宋体" w:eastAsia="宋体" w:cs="宋体"/>
          <w:b/>
          <w:bCs/>
          <w:color w:val="auto"/>
          <w:spacing w:val="4"/>
          <w:kern w:val="0"/>
          <w:sz w:val="36"/>
          <w:szCs w:val="36"/>
          <w:highlight w:val="none"/>
        </w:rPr>
      </w:pPr>
      <w:bookmarkStart w:id="54" w:name="_Toc21286"/>
    </w:p>
    <w:p w14:paraId="4DA383AD">
      <w:pPr>
        <w:widowControl/>
        <w:topLinePunct/>
        <w:adjustRightInd w:val="0"/>
        <w:snapToGrid w:val="0"/>
        <w:spacing w:line="360" w:lineRule="auto"/>
        <w:jc w:val="center"/>
        <w:outlineLvl w:val="1"/>
        <w:rPr>
          <w:rFonts w:ascii="宋体" w:hAnsi="宋体" w:eastAsia="宋体" w:cs="宋体"/>
          <w:b/>
          <w:bCs/>
          <w:color w:val="auto"/>
          <w:spacing w:val="4"/>
          <w:kern w:val="0"/>
          <w:sz w:val="36"/>
          <w:szCs w:val="36"/>
          <w:highlight w:val="none"/>
        </w:rPr>
      </w:pPr>
      <w:r>
        <w:rPr>
          <w:rFonts w:hint="eastAsia" w:ascii="宋体" w:hAnsi="宋体" w:eastAsia="宋体" w:cs="宋体"/>
          <w:b/>
          <w:bCs/>
          <w:color w:val="auto"/>
          <w:spacing w:val="4"/>
          <w:kern w:val="0"/>
          <w:sz w:val="36"/>
          <w:szCs w:val="36"/>
          <w:highlight w:val="none"/>
        </w:rPr>
        <w:t>广州建设工程施工招标投标书（经济标）</w:t>
      </w:r>
      <w:bookmarkEnd w:id="54"/>
    </w:p>
    <w:tbl>
      <w:tblPr>
        <w:tblStyle w:val="88"/>
        <w:tblW w:w="91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34"/>
        <w:gridCol w:w="5858"/>
      </w:tblGrid>
      <w:tr w14:paraId="6125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3334" w:type="dxa"/>
            <w:tcBorders>
              <w:top w:val="single" w:color="auto" w:sz="4" w:space="0"/>
              <w:left w:val="single" w:color="auto" w:sz="4" w:space="0"/>
              <w:bottom w:val="single" w:color="auto" w:sz="4" w:space="0"/>
              <w:right w:val="single" w:color="auto" w:sz="4" w:space="0"/>
            </w:tcBorders>
            <w:noWrap/>
            <w:vAlign w:val="center"/>
          </w:tcPr>
          <w:p w14:paraId="2DECB1ED">
            <w:pPr>
              <w:autoSpaceDE w:val="0"/>
              <w:autoSpaceDN w:val="0"/>
              <w:adjustRightInd w:val="0"/>
              <w:snapToGrid w:val="0"/>
              <w:jc w:val="center"/>
              <w:rPr>
                <w:rFonts w:ascii="宋体" w:hAnsi="宋体" w:eastAsia="宋体" w:cs="宋体"/>
                <w:bCs/>
                <w:color w:val="auto"/>
                <w:sz w:val="24"/>
                <w:highlight w:val="none"/>
                <w:lang w:val="zh-CN"/>
              </w:rPr>
            </w:pPr>
            <w:r>
              <w:rPr>
                <w:rFonts w:hint="eastAsia" w:ascii="宋体" w:hAnsi="宋体" w:eastAsia="宋体" w:cs="宋体"/>
                <w:color w:val="auto"/>
                <w:sz w:val="24"/>
                <w:highlight w:val="none"/>
                <w:lang w:val="zh-CN"/>
              </w:rPr>
              <w:t>工程名称</w:t>
            </w:r>
          </w:p>
        </w:tc>
        <w:tc>
          <w:tcPr>
            <w:tcW w:w="5858" w:type="dxa"/>
            <w:tcBorders>
              <w:top w:val="single" w:color="auto" w:sz="4" w:space="0"/>
              <w:left w:val="single" w:color="auto" w:sz="4" w:space="0"/>
              <w:bottom w:val="single" w:color="auto" w:sz="4" w:space="0"/>
              <w:right w:val="single" w:color="auto" w:sz="4" w:space="0"/>
            </w:tcBorders>
            <w:noWrap/>
            <w:vAlign w:val="center"/>
          </w:tcPr>
          <w:p w14:paraId="6F3B6593">
            <w:pPr>
              <w:autoSpaceDE w:val="0"/>
              <w:autoSpaceDN w:val="0"/>
              <w:adjustRightInd w:val="0"/>
              <w:snapToGrid w:val="0"/>
              <w:rPr>
                <w:rFonts w:ascii="宋体" w:hAnsi="宋体" w:eastAsia="宋体" w:cs="宋体"/>
                <w:bCs/>
                <w:color w:val="auto"/>
                <w:sz w:val="24"/>
                <w:highlight w:val="none"/>
                <w:lang w:val="zh-CN"/>
              </w:rPr>
            </w:pPr>
          </w:p>
        </w:tc>
      </w:tr>
      <w:tr w14:paraId="05937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14:paraId="3961D0E7">
            <w:pPr>
              <w:autoSpaceDE w:val="0"/>
              <w:autoSpaceDN w:val="0"/>
              <w:adjustRightInd w:val="0"/>
              <w:snapToGrid w:val="0"/>
              <w:jc w:val="center"/>
              <w:rPr>
                <w:rFonts w:ascii="宋体" w:hAnsi="宋体" w:eastAsia="宋体" w:cs="宋体"/>
                <w:bCs/>
                <w:color w:val="auto"/>
                <w:sz w:val="24"/>
                <w:highlight w:val="none"/>
                <w:lang w:val="zh-CN"/>
              </w:rPr>
            </w:pPr>
            <w:r>
              <w:rPr>
                <w:rFonts w:hint="eastAsia" w:ascii="宋体" w:hAnsi="宋体" w:eastAsia="宋体" w:cs="宋体"/>
                <w:color w:val="auto"/>
                <w:sz w:val="24"/>
                <w:highlight w:val="none"/>
                <w:lang w:val="zh-CN"/>
              </w:rPr>
              <w:t>投标总报价（元）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66B38305">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大写：</w:t>
            </w:r>
          </w:p>
        </w:tc>
      </w:tr>
      <w:tr w14:paraId="41EAF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14:paraId="04F5B6BE">
            <w:pPr>
              <w:widowControl/>
              <w:snapToGrid w:val="0"/>
              <w:jc w:val="center"/>
              <w:rPr>
                <w:rFonts w:ascii="宋体" w:hAnsi="宋体" w:eastAsia="宋体" w:cs="宋体"/>
                <w:bCs/>
                <w:color w:val="auto"/>
                <w:sz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20D40304">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小写：</w:t>
            </w:r>
          </w:p>
        </w:tc>
      </w:tr>
      <w:tr w14:paraId="74A0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3334" w:type="dxa"/>
            <w:vMerge w:val="restart"/>
            <w:tcBorders>
              <w:top w:val="single" w:color="auto" w:sz="4" w:space="0"/>
              <w:left w:val="single" w:color="auto" w:sz="4" w:space="0"/>
              <w:bottom w:val="single" w:color="auto" w:sz="4" w:space="0"/>
              <w:right w:val="single" w:color="auto" w:sz="4" w:space="0"/>
            </w:tcBorders>
            <w:noWrap/>
            <w:vAlign w:val="center"/>
          </w:tcPr>
          <w:p w14:paraId="672BDD3F">
            <w:pPr>
              <w:autoSpaceDE w:val="0"/>
              <w:autoSpaceDN w:val="0"/>
              <w:adjustRightInd w:val="0"/>
              <w:snapToGrid w:val="0"/>
              <w:spacing w:after="120" w:line="480" w:lineRule="auto"/>
              <w:jc w:val="center"/>
              <w:rPr>
                <w:rFonts w:ascii="宋体" w:hAnsi="宋体" w:eastAsia="宋体" w:cs="宋体"/>
                <w:bCs/>
                <w:color w:val="auto"/>
                <w:sz w:val="24"/>
                <w:highlight w:val="none"/>
                <w:lang w:val="zh-CN"/>
              </w:rPr>
            </w:pPr>
            <w:r>
              <w:rPr>
                <w:rFonts w:hint="eastAsia" w:ascii="宋体" w:hAnsi="宋体" w:eastAsia="宋体" w:cs="宋体"/>
                <w:color w:val="auto"/>
                <w:sz w:val="24"/>
                <w:highlight w:val="none"/>
                <w:lang w:val="zh-CN"/>
              </w:rPr>
              <w:t>其中：</w:t>
            </w:r>
            <w:r>
              <w:rPr>
                <w:rFonts w:hint="eastAsia" w:ascii="宋体" w:hAnsi="宋体" w:eastAsia="宋体" w:cs="宋体"/>
                <w:bCs/>
                <w:color w:val="auto"/>
                <w:sz w:val="24"/>
                <w:highlight w:val="none"/>
                <w:lang w:val="zh-CN"/>
              </w:rPr>
              <w:t>人工费</w:t>
            </w:r>
            <w:r>
              <w:rPr>
                <w:rFonts w:hint="eastAsia" w:ascii="宋体" w:hAnsi="宋体" w:eastAsia="宋体" w:cs="宋体"/>
                <w:color w:val="auto"/>
                <w:sz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36FFDEA1">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大写：</w:t>
            </w:r>
          </w:p>
        </w:tc>
      </w:tr>
      <w:tr w14:paraId="24895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top w:val="single" w:color="auto" w:sz="4" w:space="0"/>
              <w:left w:val="single" w:color="auto" w:sz="4" w:space="0"/>
              <w:bottom w:val="single" w:color="auto" w:sz="4" w:space="0"/>
              <w:right w:val="single" w:color="auto" w:sz="4" w:space="0"/>
            </w:tcBorders>
            <w:noWrap/>
            <w:vAlign w:val="center"/>
          </w:tcPr>
          <w:p w14:paraId="3F872DEB">
            <w:pPr>
              <w:widowControl/>
              <w:snapToGrid w:val="0"/>
              <w:jc w:val="center"/>
              <w:rPr>
                <w:rFonts w:ascii="宋体" w:hAnsi="宋体" w:eastAsia="宋体" w:cs="宋体"/>
                <w:bCs/>
                <w:color w:val="auto"/>
                <w:sz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389C8B6F">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小写：</w:t>
            </w:r>
          </w:p>
        </w:tc>
      </w:tr>
      <w:tr w14:paraId="1D626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top w:val="single" w:color="auto" w:sz="4" w:space="0"/>
              <w:left w:val="single" w:color="auto" w:sz="4" w:space="0"/>
              <w:right w:val="single" w:color="auto" w:sz="4" w:space="0"/>
            </w:tcBorders>
            <w:noWrap/>
            <w:vAlign w:val="center"/>
          </w:tcPr>
          <w:p w14:paraId="23A2488B">
            <w:pPr>
              <w:widowControl/>
              <w:snapToGrid w:val="0"/>
              <w:spacing w:after="120" w:line="480" w:lineRule="auto"/>
              <w:jc w:val="left"/>
              <w:rPr>
                <w:rFonts w:ascii="宋体" w:hAnsi="宋体" w:eastAsia="宋体" w:cs="宋体"/>
                <w:b/>
                <w:color w:val="auto"/>
                <w:sz w:val="24"/>
                <w:highlight w:val="none"/>
                <w:lang w:val="zh-CN"/>
              </w:rPr>
            </w:pPr>
            <w:r>
              <w:rPr>
                <w:rFonts w:hint="eastAsia" w:ascii="宋体" w:hAnsi="宋体" w:eastAsia="宋体" w:cs="宋体"/>
                <w:bCs/>
                <w:color w:val="auto"/>
                <w:sz w:val="24"/>
                <w:highlight w:val="none"/>
                <w:lang w:val="zh-CN"/>
              </w:rPr>
              <w:t>其中：</w:t>
            </w:r>
            <w:r>
              <w:rPr>
                <w:rFonts w:hint="eastAsia" w:ascii="宋体" w:hAnsi="宋体" w:eastAsia="宋体" w:cs="宋体"/>
                <w:color w:val="auto"/>
                <w:sz w:val="24"/>
                <w:highlight w:val="none"/>
                <w:lang w:val="zh-CN"/>
              </w:rPr>
              <w:t>绿色施工安全防护措施</w:t>
            </w:r>
            <w:r>
              <w:rPr>
                <w:rFonts w:hint="eastAsia" w:ascii="宋体" w:hAnsi="宋体" w:eastAsia="宋体" w:cs="宋体"/>
                <w:color w:val="auto"/>
                <w:sz w:val="24"/>
                <w:highlight w:val="none"/>
                <w:lang w:val="zh-CN"/>
              </w:rPr>
              <w:t>费（元）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46774720">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大写：</w:t>
            </w:r>
          </w:p>
        </w:tc>
      </w:tr>
      <w:tr w14:paraId="0697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right w:val="single" w:color="auto" w:sz="4" w:space="0"/>
            </w:tcBorders>
            <w:noWrap/>
            <w:vAlign w:val="center"/>
          </w:tcPr>
          <w:p w14:paraId="241C7366">
            <w:pPr>
              <w:widowControl/>
              <w:snapToGrid w:val="0"/>
              <w:jc w:val="left"/>
              <w:rPr>
                <w:rFonts w:ascii="宋体" w:hAnsi="宋体" w:eastAsia="宋体" w:cs="宋体"/>
                <w:bCs/>
                <w:color w:val="auto"/>
                <w:sz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24872C90">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小写：</w:t>
            </w:r>
          </w:p>
        </w:tc>
      </w:tr>
      <w:tr w14:paraId="0F049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14:paraId="45374C2F">
            <w:pPr>
              <w:widowControl/>
              <w:snapToGrid w:val="0"/>
              <w:spacing w:after="120" w:line="480" w:lineRule="auto"/>
              <w:jc w:val="left"/>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其中：暂列金额</w:t>
            </w:r>
            <w:r>
              <w:rPr>
                <w:rFonts w:hint="eastAsia" w:ascii="宋体" w:hAnsi="宋体" w:eastAsia="宋体" w:cs="宋体"/>
                <w:color w:val="auto"/>
                <w:sz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26942BEC">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大写：</w:t>
            </w:r>
          </w:p>
        </w:tc>
      </w:tr>
      <w:tr w14:paraId="18CB8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14:paraId="6AFF0B04">
            <w:pPr>
              <w:widowControl/>
              <w:snapToGrid w:val="0"/>
              <w:spacing w:line="360" w:lineRule="auto"/>
              <w:jc w:val="left"/>
              <w:rPr>
                <w:rFonts w:ascii="宋体" w:hAnsi="宋体" w:eastAsia="宋体" w:cs="宋体"/>
                <w:bCs/>
                <w:color w:val="auto"/>
                <w:sz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147FC0B2">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小写：</w:t>
            </w:r>
          </w:p>
        </w:tc>
      </w:tr>
      <w:tr w14:paraId="250E0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restart"/>
            <w:tcBorders>
              <w:left w:val="single" w:color="auto" w:sz="4" w:space="0"/>
              <w:right w:val="single" w:color="auto" w:sz="4" w:space="0"/>
            </w:tcBorders>
            <w:noWrap/>
            <w:vAlign w:val="center"/>
          </w:tcPr>
          <w:p w14:paraId="04015035">
            <w:pPr>
              <w:widowControl/>
              <w:snapToGrid w:val="0"/>
              <w:spacing w:after="120" w:line="480" w:lineRule="auto"/>
              <w:jc w:val="left"/>
              <w:rPr>
                <w:rFonts w:ascii="宋体" w:hAnsi="宋体" w:eastAsia="宋体" w:cs="宋体"/>
                <w:bCs/>
                <w:color w:val="auto"/>
                <w:sz w:val="24"/>
                <w:highlight w:val="none"/>
                <w:lang w:val="zh-CN"/>
              </w:rPr>
            </w:pPr>
            <w:r>
              <w:rPr>
                <w:rFonts w:hint="eastAsia" w:ascii="宋体" w:hAnsi="宋体" w:eastAsia="宋体" w:cs="宋体"/>
                <w:bCs/>
                <w:color w:val="auto"/>
                <w:sz w:val="24"/>
                <w:highlight w:val="none"/>
                <w:lang w:val="zh-CN"/>
              </w:rPr>
              <w:t>其中：暂估价</w:t>
            </w:r>
            <w:r>
              <w:rPr>
                <w:rFonts w:hint="eastAsia" w:ascii="宋体" w:hAnsi="宋体" w:eastAsia="宋体" w:cs="宋体"/>
                <w:color w:val="auto"/>
                <w:sz w:val="24"/>
                <w:highlight w:val="none"/>
                <w:lang w:val="zh-CN"/>
              </w:rPr>
              <w:t>（元）</w:t>
            </w:r>
          </w:p>
        </w:tc>
        <w:tc>
          <w:tcPr>
            <w:tcW w:w="5858" w:type="dxa"/>
            <w:tcBorders>
              <w:top w:val="single" w:color="auto" w:sz="4" w:space="0"/>
              <w:left w:val="single" w:color="auto" w:sz="4" w:space="0"/>
              <w:bottom w:val="single" w:color="auto" w:sz="4" w:space="0"/>
              <w:right w:val="single" w:color="auto" w:sz="4" w:space="0"/>
            </w:tcBorders>
            <w:noWrap/>
            <w:vAlign w:val="center"/>
          </w:tcPr>
          <w:p w14:paraId="0032E5BB">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大写：</w:t>
            </w:r>
          </w:p>
        </w:tc>
      </w:tr>
      <w:tr w14:paraId="0243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334" w:type="dxa"/>
            <w:vMerge w:val="continue"/>
            <w:tcBorders>
              <w:left w:val="single" w:color="auto" w:sz="4" w:space="0"/>
              <w:bottom w:val="single" w:color="auto" w:sz="4" w:space="0"/>
              <w:right w:val="single" w:color="auto" w:sz="4" w:space="0"/>
            </w:tcBorders>
            <w:noWrap/>
            <w:vAlign w:val="center"/>
          </w:tcPr>
          <w:p w14:paraId="3786A8AE">
            <w:pPr>
              <w:widowControl/>
              <w:snapToGrid w:val="0"/>
              <w:spacing w:line="360" w:lineRule="auto"/>
              <w:jc w:val="left"/>
              <w:rPr>
                <w:rFonts w:ascii="宋体" w:hAnsi="宋体" w:eastAsia="宋体" w:cs="宋体"/>
                <w:bCs/>
                <w:color w:val="auto"/>
                <w:sz w:val="24"/>
                <w:highlight w:val="none"/>
                <w:lang w:val="zh-CN"/>
              </w:rPr>
            </w:pPr>
          </w:p>
        </w:tc>
        <w:tc>
          <w:tcPr>
            <w:tcW w:w="5858" w:type="dxa"/>
            <w:tcBorders>
              <w:top w:val="single" w:color="auto" w:sz="4" w:space="0"/>
              <w:left w:val="single" w:color="auto" w:sz="4" w:space="0"/>
              <w:bottom w:val="single" w:color="auto" w:sz="4" w:space="0"/>
              <w:right w:val="single" w:color="auto" w:sz="4" w:space="0"/>
            </w:tcBorders>
            <w:noWrap/>
            <w:vAlign w:val="center"/>
          </w:tcPr>
          <w:p w14:paraId="7539BDE0">
            <w:pPr>
              <w:autoSpaceDE w:val="0"/>
              <w:autoSpaceDN w:val="0"/>
              <w:adjustRightInd w:val="0"/>
              <w:snapToGrid w:val="0"/>
              <w:spacing w:after="120" w:line="480" w:lineRule="auto"/>
              <w:rPr>
                <w:rFonts w:ascii="宋体" w:hAnsi="宋体" w:eastAsia="宋体" w:cs="宋体"/>
                <w:bCs/>
                <w:color w:val="auto"/>
                <w:sz w:val="24"/>
                <w:highlight w:val="none"/>
                <w:lang w:val="zh-CN"/>
              </w:rPr>
            </w:pPr>
            <w:r>
              <w:rPr>
                <w:rFonts w:hint="eastAsia" w:ascii="宋体" w:hAnsi="宋体" w:eastAsia="宋体" w:cs="宋体"/>
                <w:color w:val="auto"/>
                <w:sz w:val="24"/>
                <w:highlight w:val="none"/>
              </w:rPr>
              <w:t>小写：</w:t>
            </w:r>
          </w:p>
        </w:tc>
      </w:tr>
    </w:tbl>
    <w:p w14:paraId="24A2F260">
      <w:pPr>
        <w:widowControl/>
        <w:snapToGrid w:val="0"/>
        <w:spacing w:line="360" w:lineRule="auto"/>
        <w:jc w:val="left"/>
        <w:outlineLvl w:val="2"/>
        <w:rPr>
          <w:rFonts w:ascii="宋体" w:hAnsi="宋体" w:eastAsia="宋体" w:cs="宋体"/>
          <w:color w:val="auto"/>
          <w:kern w:val="0"/>
          <w:sz w:val="24"/>
          <w:highlight w:val="none"/>
        </w:rPr>
      </w:pPr>
    </w:p>
    <w:p w14:paraId="1A949A3C">
      <w:pPr>
        <w:widowControl/>
        <w:snapToGrid w:val="0"/>
        <w:spacing w:line="360" w:lineRule="auto"/>
        <w:jc w:val="left"/>
        <w:outlineLvl w:val="2"/>
        <w:rPr>
          <w:rFonts w:ascii="宋体" w:hAnsi="宋体" w:eastAsia="宋体" w:cs="宋体"/>
          <w:bCs/>
          <w:color w:val="auto"/>
          <w:kern w:val="0"/>
          <w:sz w:val="24"/>
          <w:highlight w:val="none"/>
        </w:rPr>
      </w:pPr>
      <w:r>
        <w:rPr>
          <w:rFonts w:ascii="宋体" w:hAnsi="宋体" w:eastAsia="宋体" w:cs="宋体"/>
          <w:color w:val="auto"/>
          <w:kern w:val="0"/>
          <w:sz w:val="24"/>
          <w:highlight w:val="none"/>
        </w:rPr>
        <w:br w:type="page"/>
      </w:r>
      <w:bookmarkStart w:id="55" w:name="_Toc30992"/>
      <w:r>
        <w:rPr>
          <w:rFonts w:hint="eastAsia" w:ascii="宋体" w:hAnsi="宋体" w:eastAsia="宋体" w:cs="宋体"/>
          <w:bCs/>
          <w:color w:val="auto"/>
          <w:spacing w:val="4"/>
          <w:sz w:val="24"/>
          <w:highlight w:val="none"/>
        </w:rPr>
        <w:t>经济标格式二</w:t>
      </w:r>
      <w:bookmarkEnd w:id="55"/>
    </w:p>
    <w:p w14:paraId="659C99AA">
      <w:pPr>
        <w:widowControl/>
        <w:topLinePunct/>
        <w:adjustRightInd w:val="0"/>
        <w:snapToGrid w:val="0"/>
        <w:spacing w:line="360" w:lineRule="auto"/>
        <w:jc w:val="center"/>
        <w:outlineLvl w:val="1"/>
        <w:rPr>
          <w:rFonts w:ascii="宋体" w:hAnsi="宋体" w:eastAsia="宋体" w:cs="宋体"/>
          <w:b/>
          <w:bCs/>
          <w:color w:val="auto"/>
          <w:spacing w:val="4"/>
          <w:kern w:val="0"/>
          <w:sz w:val="36"/>
          <w:szCs w:val="36"/>
          <w:highlight w:val="none"/>
        </w:rPr>
      </w:pPr>
      <w:bookmarkStart w:id="56" w:name="_Toc30258"/>
      <w:r>
        <w:rPr>
          <w:rFonts w:hint="eastAsia" w:ascii="宋体" w:hAnsi="宋体" w:eastAsia="宋体" w:cs="宋体"/>
          <w:b/>
          <w:bCs/>
          <w:color w:val="auto"/>
          <w:spacing w:val="4"/>
          <w:kern w:val="0"/>
          <w:sz w:val="36"/>
          <w:szCs w:val="36"/>
          <w:highlight w:val="none"/>
        </w:rPr>
        <w:t>参与编制经济标投标文件人员名单</w:t>
      </w:r>
      <w:bookmarkEnd w:id="56"/>
    </w:p>
    <w:tbl>
      <w:tblPr>
        <w:tblStyle w:val="8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41"/>
        <w:gridCol w:w="2461"/>
        <w:gridCol w:w="2359"/>
        <w:gridCol w:w="1419"/>
      </w:tblGrid>
      <w:tr w14:paraId="22AA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9" w:type="dxa"/>
            <w:gridSpan w:val="5"/>
            <w:noWrap/>
            <w:vAlign w:val="center"/>
          </w:tcPr>
          <w:p w14:paraId="7142DD89">
            <w:pPr>
              <w:tabs>
                <w:tab w:val="left" w:pos="720"/>
              </w:tabs>
              <w:snapToGrid w:val="0"/>
              <w:jc w:val="center"/>
              <w:rPr>
                <w:rFonts w:ascii="宋体" w:hAnsi="宋体" w:eastAsia="宋体" w:cs="宋体"/>
                <w:color w:val="auto"/>
                <w:sz w:val="24"/>
                <w:highlight w:val="none"/>
              </w:rPr>
            </w:pPr>
            <w:r>
              <w:rPr>
                <w:rFonts w:hint="eastAsia" w:ascii="宋体" w:hAnsi="宋体" w:eastAsia="宋体" w:cs="宋体"/>
                <w:color w:val="auto"/>
                <w:sz w:val="24"/>
                <w:highlight w:val="none"/>
              </w:rPr>
              <w:t>投标单位名称</w:t>
            </w:r>
          </w:p>
        </w:tc>
      </w:tr>
      <w:tr w14:paraId="1C8C4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50B1CA76">
            <w:pPr>
              <w:tabs>
                <w:tab w:val="left" w:pos="720"/>
              </w:tabs>
              <w:snapToGrid w:val="0"/>
              <w:jc w:val="center"/>
              <w:rPr>
                <w:rFonts w:ascii="宋体" w:hAnsi="宋体" w:eastAsia="宋体" w:cs="宋体"/>
                <w:color w:val="auto"/>
                <w:sz w:val="24"/>
                <w:highlight w:val="none"/>
              </w:rPr>
            </w:pPr>
            <w:r>
              <w:rPr>
                <w:rFonts w:hint="eastAsia" w:ascii="宋体" w:hAnsi="宋体" w:eastAsia="宋体" w:cs="宋体"/>
                <w:color w:val="auto"/>
                <w:sz w:val="24"/>
                <w:highlight w:val="none"/>
              </w:rPr>
              <w:t>姓名</w:t>
            </w:r>
          </w:p>
        </w:tc>
        <w:tc>
          <w:tcPr>
            <w:tcW w:w="1441" w:type="dxa"/>
            <w:noWrap/>
            <w:vAlign w:val="center"/>
          </w:tcPr>
          <w:p w14:paraId="0D008F32">
            <w:pPr>
              <w:tabs>
                <w:tab w:val="left" w:pos="720"/>
              </w:tabs>
              <w:snapToGrid w:val="0"/>
              <w:spacing w:after="120" w:line="480" w:lineRule="auto"/>
              <w:jc w:val="center"/>
              <w:rPr>
                <w:rFonts w:ascii="宋体" w:hAnsi="宋体" w:eastAsia="宋体" w:cs="宋体"/>
                <w:color w:val="auto"/>
                <w:sz w:val="24"/>
                <w:highlight w:val="none"/>
              </w:rPr>
            </w:pPr>
            <w:r>
              <w:rPr>
                <w:rFonts w:hint="eastAsia" w:ascii="宋体" w:hAnsi="宋体" w:eastAsia="宋体" w:cs="宋体"/>
                <w:color w:val="auto"/>
                <w:sz w:val="24"/>
                <w:highlight w:val="none"/>
              </w:rPr>
              <w:t>职务</w:t>
            </w:r>
          </w:p>
        </w:tc>
        <w:tc>
          <w:tcPr>
            <w:tcW w:w="2461" w:type="dxa"/>
            <w:noWrap/>
            <w:vAlign w:val="center"/>
          </w:tcPr>
          <w:p w14:paraId="4EE5615C">
            <w:pPr>
              <w:tabs>
                <w:tab w:val="left" w:pos="720"/>
              </w:tabs>
              <w:snapToGrid w:val="0"/>
              <w:jc w:val="center"/>
              <w:rPr>
                <w:rFonts w:ascii="宋体" w:hAnsi="宋体" w:eastAsia="宋体" w:cs="宋体"/>
                <w:color w:val="auto"/>
                <w:sz w:val="24"/>
                <w:highlight w:val="none"/>
              </w:rPr>
            </w:pPr>
            <w:r>
              <w:rPr>
                <w:rFonts w:hint="eastAsia" w:ascii="宋体" w:hAnsi="宋体" w:eastAsia="宋体" w:cs="宋体"/>
                <w:color w:val="auto"/>
                <w:sz w:val="24"/>
                <w:highlight w:val="none"/>
              </w:rPr>
              <w:t>所承担工作</w:t>
            </w:r>
          </w:p>
        </w:tc>
        <w:tc>
          <w:tcPr>
            <w:tcW w:w="2359" w:type="dxa"/>
            <w:noWrap/>
            <w:vAlign w:val="center"/>
          </w:tcPr>
          <w:p w14:paraId="5A12FD92">
            <w:pPr>
              <w:tabs>
                <w:tab w:val="left" w:pos="720"/>
              </w:tabs>
              <w:snapToGrid w:val="0"/>
              <w:jc w:val="center"/>
              <w:rPr>
                <w:rFonts w:ascii="宋体" w:hAnsi="宋体" w:eastAsia="宋体" w:cs="宋体"/>
                <w:color w:val="auto"/>
                <w:sz w:val="24"/>
                <w:highlight w:val="none"/>
              </w:rPr>
            </w:pPr>
            <w:r>
              <w:rPr>
                <w:rFonts w:hint="eastAsia" w:ascii="宋体" w:hAnsi="宋体" w:eastAsia="宋体" w:cs="宋体"/>
                <w:color w:val="auto"/>
                <w:sz w:val="24"/>
                <w:highlight w:val="none"/>
              </w:rPr>
              <w:t>身份证号码</w:t>
            </w:r>
          </w:p>
        </w:tc>
        <w:tc>
          <w:tcPr>
            <w:tcW w:w="1419" w:type="dxa"/>
            <w:noWrap/>
            <w:vAlign w:val="center"/>
          </w:tcPr>
          <w:p w14:paraId="087745DB">
            <w:pPr>
              <w:tabs>
                <w:tab w:val="left" w:pos="720"/>
              </w:tabs>
              <w:snapToGrid w:val="0"/>
              <w:jc w:val="center"/>
              <w:rPr>
                <w:rFonts w:ascii="宋体" w:hAnsi="宋体" w:eastAsia="宋体" w:cs="宋体"/>
                <w:color w:val="auto"/>
                <w:sz w:val="24"/>
                <w:highlight w:val="none"/>
              </w:rPr>
            </w:pPr>
            <w:r>
              <w:rPr>
                <w:rFonts w:hint="eastAsia" w:ascii="宋体" w:hAnsi="宋体" w:eastAsia="宋体" w:cs="宋体"/>
                <w:color w:val="auto"/>
                <w:sz w:val="24"/>
                <w:highlight w:val="none"/>
              </w:rPr>
              <w:t>本人签名栏</w:t>
            </w:r>
          </w:p>
        </w:tc>
      </w:tr>
      <w:tr w14:paraId="429D4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6A8A8EDD">
            <w:pPr>
              <w:tabs>
                <w:tab w:val="left" w:pos="720"/>
              </w:tabs>
              <w:snapToGrid w:val="0"/>
              <w:jc w:val="center"/>
              <w:rPr>
                <w:rFonts w:ascii="宋体" w:hAnsi="宋体" w:eastAsia="宋体" w:cs="宋体"/>
                <w:color w:val="auto"/>
                <w:sz w:val="24"/>
                <w:highlight w:val="none"/>
              </w:rPr>
            </w:pPr>
          </w:p>
        </w:tc>
        <w:tc>
          <w:tcPr>
            <w:tcW w:w="1441" w:type="dxa"/>
            <w:noWrap/>
            <w:vAlign w:val="center"/>
          </w:tcPr>
          <w:p w14:paraId="28A36B61">
            <w:pPr>
              <w:tabs>
                <w:tab w:val="left" w:pos="720"/>
              </w:tabs>
              <w:snapToGrid w:val="0"/>
              <w:jc w:val="center"/>
              <w:rPr>
                <w:rFonts w:ascii="宋体" w:hAnsi="宋体" w:eastAsia="宋体" w:cs="宋体"/>
                <w:color w:val="auto"/>
                <w:sz w:val="24"/>
                <w:highlight w:val="none"/>
              </w:rPr>
            </w:pPr>
          </w:p>
        </w:tc>
        <w:tc>
          <w:tcPr>
            <w:tcW w:w="2461" w:type="dxa"/>
            <w:noWrap/>
            <w:vAlign w:val="center"/>
          </w:tcPr>
          <w:p w14:paraId="69E83B5D">
            <w:pPr>
              <w:tabs>
                <w:tab w:val="left" w:pos="720"/>
              </w:tabs>
              <w:snapToGrid w:val="0"/>
              <w:jc w:val="center"/>
              <w:rPr>
                <w:rFonts w:ascii="宋体" w:hAnsi="宋体" w:eastAsia="宋体" w:cs="宋体"/>
                <w:color w:val="auto"/>
                <w:sz w:val="24"/>
                <w:highlight w:val="none"/>
              </w:rPr>
            </w:pPr>
          </w:p>
        </w:tc>
        <w:tc>
          <w:tcPr>
            <w:tcW w:w="2359" w:type="dxa"/>
            <w:noWrap/>
            <w:vAlign w:val="center"/>
          </w:tcPr>
          <w:p w14:paraId="6E661D95">
            <w:pPr>
              <w:tabs>
                <w:tab w:val="left" w:pos="720"/>
              </w:tabs>
              <w:snapToGrid w:val="0"/>
              <w:jc w:val="center"/>
              <w:rPr>
                <w:rFonts w:ascii="宋体" w:hAnsi="宋体" w:eastAsia="宋体" w:cs="宋体"/>
                <w:color w:val="auto"/>
                <w:sz w:val="24"/>
                <w:highlight w:val="none"/>
              </w:rPr>
            </w:pPr>
          </w:p>
        </w:tc>
        <w:tc>
          <w:tcPr>
            <w:tcW w:w="1419" w:type="dxa"/>
            <w:noWrap/>
            <w:vAlign w:val="center"/>
          </w:tcPr>
          <w:p w14:paraId="30069F65">
            <w:pPr>
              <w:tabs>
                <w:tab w:val="left" w:pos="720"/>
              </w:tabs>
              <w:snapToGrid w:val="0"/>
              <w:jc w:val="center"/>
              <w:rPr>
                <w:rFonts w:ascii="宋体" w:hAnsi="宋体" w:eastAsia="宋体" w:cs="宋体"/>
                <w:color w:val="auto"/>
                <w:sz w:val="24"/>
                <w:highlight w:val="none"/>
              </w:rPr>
            </w:pPr>
          </w:p>
        </w:tc>
      </w:tr>
      <w:tr w14:paraId="7AE45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5CFEDB3A">
            <w:pPr>
              <w:tabs>
                <w:tab w:val="left" w:pos="720"/>
              </w:tabs>
              <w:snapToGrid w:val="0"/>
              <w:jc w:val="center"/>
              <w:rPr>
                <w:rFonts w:ascii="宋体" w:hAnsi="宋体" w:eastAsia="宋体" w:cs="宋体"/>
                <w:color w:val="auto"/>
                <w:sz w:val="24"/>
                <w:highlight w:val="none"/>
              </w:rPr>
            </w:pPr>
          </w:p>
        </w:tc>
        <w:tc>
          <w:tcPr>
            <w:tcW w:w="1441" w:type="dxa"/>
            <w:noWrap/>
            <w:vAlign w:val="center"/>
          </w:tcPr>
          <w:p w14:paraId="360910F2">
            <w:pPr>
              <w:tabs>
                <w:tab w:val="left" w:pos="720"/>
              </w:tabs>
              <w:snapToGrid w:val="0"/>
              <w:jc w:val="center"/>
              <w:rPr>
                <w:rFonts w:ascii="宋体" w:hAnsi="宋体" w:eastAsia="宋体" w:cs="宋体"/>
                <w:color w:val="auto"/>
                <w:sz w:val="24"/>
                <w:highlight w:val="none"/>
              </w:rPr>
            </w:pPr>
          </w:p>
        </w:tc>
        <w:tc>
          <w:tcPr>
            <w:tcW w:w="2461" w:type="dxa"/>
            <w:noWrap/>
            <w:vAlign w:val="center"/>
          </w:tcPr>
          <w:p w14:paraId="4FD0CC8D">
            <w:pPr>
              <w:tabs>
                <w:tab w:val="left" w:pos="720"/>
              </w:tabs>
              <w:snapToGrid w:val="0"/>
              <w:jc w:val="center"/>
              <w:rPr>
                <w:rFonts w:ascii="宋体" w:hAnsi="宋体" w:eastAsia="宋体" w:cs="宋体"/>
                <w:color w:val="auto"/>
                <w:sz w:val="24"/>
                <w:highlight w:val="none"/>
              </w:rPr>
            </w:pPr>
          </w:p>
        </w:tc>
        <w:tc>
          <w:tcPr>
            <w:tcW w:w="2359" w:type="dxa"/>
            <w:noWrap/>
            <w:vAlign w:val="center"/>
          </w:tcPr>
          <w:p w14:paraId="688DC691">
            <w:pPr>
              <w:tabs>
                <w:tab w:val="left" w:pos="720"/>
              </w:tabs>
              <w:snapToGrid w:val="0"/>
              <w:jc w:val="center"/>
              <w:rPr>
                <w:rFonts w:ascii="宋体" w:hAnsi="宋体" w:eastAsia="宋体" w:cs="宋体"/>
                <w:color w:val="auto"/>
                <w:sz w:val="24"/>
                <w:highlight w:val="none"/>
              </w:rPr>
            </w:pPr>
          </w:p>
        </w:tc>
        <w:tc>
          <w:tcPr>
            <w:tcW w:w="1419" w:type="dxa"/>
            <w:noWrap/>
            <w:vAlign w:val="center"/>
          </w:tcPr>
          <w:p w14:paraId="3D8D8AEE">
            <w:pPr>
              <w:tabs>
                <w:tab w:val="left" w:pos="720"/>
              </w:tabs>
              <w:snapToGrid w:val="0"/>
              <w:jc w:val="center"/>
              <w:rPr>
                <w:rFonts w:ascii="宋体" w:hAnsi="宋体" w:eastAsia="宋体" w:cs="宋体"/>
                <w:color w:val="auto"/>
                <w:sz w:val="24"/>
                <w:highlight w:val="none"/>
              </w:rPr>
            </w:pPr>
          </w:p>
        </w:tc>
      </w:tr>
      <w:tr w14:paraId="0622B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04461C4E">
            <w:pPr>
              <w:tabs>
                <w:tab w:val="left" w:pos="720"/>
              </w:tabs>
              <w:snapToGrid w:val="0"/>
              <w:jc w:val="center"/>
              <w:rPr>
                <w:rFonts w:ascii="宋体" w:hAnsi="宋体" w:eastAsia="宋体" w:cs="宋体"/>
                <w:color w:val="auto"/>
                <w:sz w:val="24"/>
                <w:highlight w:val="none"/>
              </w:rPr>
            </w:pPr>
          </w:p>
        </w:tc>
        <w:tc>
          <w:tcPr>
            <w:tcW w:w="1441" w:type="dxa"/>
            <w:noWrap/>
            <w:vAlign w:val="center"/>
          </w:tcPr>
          <w:p w14:paraId="0316762C">
            <w:pPr>
              <w:tabs>
                <w:tab w:val="left" w:pos="720"/>
              </w:tabs>
              <w:snapToGrid w:val="0"/>
              <w:jc w:val="center"/>
              <w:rPr>
                <w:rFonts w:ascii="宋体" w:hAnsi="宋体" w:eastAsia="宋体" w:cs="宋体"/>
                <w:color w:val="auto"/>
                <w:sz w:val="24"/>
                <w:highlight w:val="none"/>
              </w:rPr>
            </w:pPr>
          </w:p>
        </w:tc>
        <w:tc>
          <w:tcPr>
            <w:tcW w:w="2461" w:type="dxa"/>
            <w:noWrap/>
            <w:vAlign w:val="center"/>
          </w:tcPr>
          <w:p w14:paraId="028BB4BB">
            <w:pPr>
              <w:tabs>
                <w:tab w:val="left" w:pos="720"/>
              </w:tabs>
              <w:snapToGrid w:val="0"/>
              <w:jc w:val="center"/>
              <w:rPr>
                <w:rFonts w:ascii="宋体" w:hAnsi="宋体" w:eastAsia="宋体" w:cs="宋体"/>
                <w:color w:val="auto"/>
                <w:sz w:val="24"/>
                <w:highlight w:val="none"/>
              </w:rPr>
            </w:pPr>
          </w:p>
        </w:tc>
        <w:tc>
          <w:tcPr>
            <w:tcW w:w="2359" w:type="dxa"/>
            <w:noWrap/>
            <w:vAlign w:val="center"/>
          </w:tcPr>
          <w:p w14:paraId="3C6B8EA7">
            <w:pPr>
              <w:tabs>
                <w:tab w:val="left" w:pos="720"/>
              </w:tabs>
              <w:snapToGrid w:val="0"/>
              <w:jc w:val="center"/>
              <w:rPr>
                <w:rFonts w:ascii="宋体" w:hAnsi="宋体" w:eastAsia="宋体" w:cs="宋体"/>
                <w:color w:val="auto"/>
                <w:sz w:val="24"/>
                <w:highlight w:val="none"/>
              </w:rPr>
            </w:pPr>
          </w:p>
        </w:tc>
        <w:tc>
          <w:tcPr>
            <w:tcW w:w="1419" w:type="dxa"/>
            <w:noWrap/>
            <w:vAlign w:val="center"/>
          </w:tcPr>
          <w:p w14:paraId="04BFB045">
            <w:pPr>
              <w:tabs>
                <w:tab w:val="left" w:pos="720"/>
              </w:tabs>
              <w:snapToGrid w:val="0"/>
              <w:jc w:val="center"/>
              <w:rPr>
                <w:rFonts w:ascii="宋体" w:hAnsi="宋体" w:eastAsia="宋体" w:cs="宋体"/>
                <w:color w:val="auto"/>
                <w:sz w:val="24"/>
                <w:highlight w:val="none"/>
              </w:rPr>
            </w:pPr>
          </w:p>
        </w:tc>
      </w:tr>
      <w:tr w14:paraId="47474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2947D811">
            <w:pPr>
              <w:tabs>
                <w:tab w:val="left" w:pos="720"/>
              </w:tabs>
              <w:snapToGrid w:val="0"/>
              <w:jc w:val="center"/>
              <w:rPr>
                <w:rFonts w:ascii="宋体" w:hAnsi="宋体" w:eastAsia="宋体" w:cs="宋体"/>
                <w:color w:val="auto"/>
                <w:sz w:val="24"/>
                <w:highlight w:val="none"/>
              </w:rPr>
            </w:pPr>
          </w:p>
        </w:tc>
        <w:tc>
          <w:tcPr>
            <w:tcW w:w="1441" w:type="dxa"/>
            <w:noWrap/>
            <w:vAlign w:val="center"/>
          </w:tcPr>
          <w:p w14:paraId="1757FB01">
            <w:pPr>
              <w:tabs>
                <w:tab w:val="left" w:pos="720"/>
              </w:tabs>
              <w:snapToGrid w:val="0"/>
              <w:jc w:val="center"/>
              <w:rPr>
                <w:rFonts w:ascii="宋体" w:hAnsi="宋体" w:eastAsia="宋体" w:cs="宋体"/>
                <w:color w:val="auto"/>
                <w:sz w:val="24"/>
                <w:highlight w:val="none"/>
              </w:rPr>
            </w:pPr>
          </w:p>
        </w:tc>
        <w:tc>
          <w:tcPr>
            <w:tcW w:w="2461" w:type="dxa"/>
            <w:noWrap/>
            <w:vAlign w:val="center"/>
          </w:tcPr>
          <w:p w14:paraId="7130CF67">
            <w:pPr>
              <w:tabs>
                <w:tab w:val="left" w:pos="720"/>
              </w:tabs>
              <w:snapToGrid w:val="0"/>
              <w:jc w:val="center"/>
              <w:rPr>
                <w:rFonts w:ascii="宋体" w:hAnsi="宋体" w:eastAsia="宋体" w:cs="宋体"/>
                <w:color w:val="auto"/>
                <w:sz w:val="24"/>
                <w:highlight w:val="none"/>
              </w:rPr>
            </w:pPr>
          </w:p>
        </w:tc>
        <w:tc>
          <w:tcPr>
            <w:tcW w:w="2359" w:type="dxa"/>
            <w:noWrap/>
            <w:vAlign w:val="center"/>
          </w:tcPr>
          <w:p w14:paraId="75DBF240">
            <w:pPr>
              <w:tabs>
                <w:tab w:val="left" w:pos="720"/>
              </w:tabs>
              <w:snapToGrid w:val="0"/>
              <w:jc w:val="center"/>
              <w:rPr>
                <w:rFonts w:ascii="宋体" w:hAnsi="宋体" w:eastAsia="宋体" w:cs="宋体"/>
                <w:color w:val="auto"/>
                <w:sz w:val="24"/>
                <w:highlight w:val="none"/>
              </w:rPr>
            </w:pPr>
          </w:p>
        </w:tc>
        <w:tc>
          <w:tcPr>
            <w:tcW w:w="1419" w:type="dxa"/>
            <w:noWrap/>
            <w:vAlign w:val="center"/>
          </w:tcPr>
          <w:p w14:paraId="62D69BC2">
            <w:pPr>
              <w:tabs>
                <w:tab w:val="left" w:pos="720"/>
              </w:tabs>
              <w:snapToGrid w:val="0"/>
              <w:jc w:val="center"/>
              <w:rPr>
                <w:rFonts w:ascii="宋体" w:hAnsi="宋体" w:eastAsia="宋体" w:cs="宋体"/>
                <w:color w:val="auto"/>
                <w:sz w:val="24"/>
                <w:highlight w:val="none"/>
              </w:rPr>
            </w:pPr>
          </w:p>
        </w:tc>
      </w:tr>
      <w:tr w14:paraId="697E6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039E0E1E">
            <w:pPr>
              <w:tabs>
                <w:tab w:val="left" w:pos="720"/>
              </w:tabs>
              <w:snapToGrid w:val="0"/>
              <w:jc w:val="center"/>
              <w:rPr>
                <w:rFonts w:ascii="宋体" w:hAnsi="宋体" w:eastAsia="宋体" w:cs="宋体"/>
                <w:color w:val="auto"/>
                <w:sz w:val="24"/>
                <w:highlight w:val="none"/>
              </w:rPr>
            </w:pPr>
          </w:p>
        </w:tc>
        <w:tc>
          <w:tcPr>
            <w:tcW w:w="1441" w:type="dxa"/>
            <w:noWrap/>
            <w:vAlign w:val="center"/>
          </w:tcPr>
          <w:p w14:paraId="028D28DF">
            <w:pPr>
              <w:tabs>
                <w:tab w:val="left" w:pos="720"/>
              </w:tabs>
              <w:snapToGrid w:val="0"/>
              <w:jc w:val="center"/>
              <w:rPr>
                <w:rFonts w:ascii="宋体" w:hAnsi="宋体" w:eastAsia="宋体" w:cs="宋体"/>
                <w:color w:val="auto"/>
                <w:sz w:val="24"/>
                <w:highlight w:val="none"/>
              </w:rPr>
            </w:pPr>
          </w:p>
        </w:tc>
        <w:tc>
          <w:tcPr>
            <w:tcW w:w="2461" w:type="dxa"/>
            <w:noWrap/>
            <w:vAlign w:val="center"/>
          </w:tcPr>
          <w:p w14:paraId="1ED5F21B">
            <w:pPr>
              <w:tabs>
                <w:tab w:val="left" w:pos="720"/>
              </w:tabs>
              <w:snapToGrid w:val="0"/>
              <w:jc w:val="center"/>
              <w:rPr>
                <w:rFonts w:ascii="宋体" w:hAnsi="宋体" w:eastAsia="宋体" w:cs="宋体"/>
                <w:color w:val="auto"/>
                <w:sz w:val="24"/>
                <w:highlight w:val="none"/>
              </w:rPr>
            </w:pPr>
          </w:p>
        </w:tc>
        <w:tc>
          <w:tcPr>
            <w:tcW w:w="2359" w:type="dxa"/>
            <w:noWrap/>
            <w:vAlign w:val="center"/>
          </w:tcPr>
          <w:p w14:paraId="090B56AE">
            <w:pPr>
              <w:tabs>
                <w:tab w:val="left" w:pos="720"/>
              </w:tabs>
              <w:snapToGrid w:val="0"/>
              <w:jc w:val="center"/>
              <w:rPr>
                <w:rFonts w:ascii="宋体" w:hAnsi="宋体" w:eastAsia="宋体" w:cs="宋体"/>
                <w:color w:val="auto"/>
                <w:sz w:val="24"/>
                <w:highlight w:val="none"/>
              </w:rPr>
            </w:pPr>
          </w:p>
        </w:tc>
        <w:tc>
          <w:tcPr>
            <w:tcW w:w="1419" w:type="dxa"/>
            <w:noWrap/>
            <w:vAlign w:val="center"/>
          </w:tcPr>
          <w:p w14:paraId="474530F7">
            <w:pPr>
              <w:tabs>
                <w:tab w:val="left" w:pos="720"/>
              </w:tabs>
              <w:snapToGrid w:val="0"/>
              <w:jc w:val="center"/>
              <w:rPr>
                <w:rFonts w:ascii="宋体" w:hAnsi="宋体" w:eastAsia="宋体" w:cs="宋体"/>
                <w:color w:val="auto"/>
                <w:sz w:val="24"/>
                <w:highlight w:val="none"/>
              </w:rPr>
            </w:pPr>
          </w:p>
        </w:tc>
      </w:tr>
      <w:tr w14:paraId="32495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4D6FD7E7">
            <w:pPr>
              <w:tabs>
                <w:tab w:val="left" w:pos="720"/>
              </w:tabs>
              <w:snapToGrid w:val="0"/>
              <w:jc w:val="center"/>
              <w:rPr>
                <w:rFonts w:ascii="宋体" w:hAnsi="宋体" w:eastAsia="宋体" w:cs="宋体"/>
                <w:color w:val="auto"/>
                <w:sz w:val="24"/>
                <w:highlight w:val="none"/>
              </w:rPr>
            </w:pPr>
          </w:p>
        </w:tc>
        <w:tc>
          <w:tcPr>
            <w:tcW w:w="1441" w:type="dxa"/>
            <w:noWrap/>
            <w:vAlign w:val="center"/>
          </w:tcPr>
          <w:p w14:paraId="33AD2C60">
            <w:pPr>
              <w:tabs>
                <w:tab w:val="left" w:pos="720"/>
              </w:tabs>
              <w:snapToGrid w:val="0"/>
              <w:jc w:val="center"/>
              <w:rPr>
                <w:rFonts w:ascii="宋体" w:hAnsi="宋体" w:eastAsia="宋体" w:cs="宋体"/>
                <w:color w:val="auto"/>
                <w:sz w:val="24"/>
                <w:highlight w:val="none"/>
              </w:rPr>
            </w:pPr>
          </w:p>
        </w:tc>
        <w:tc>
          <w:tcPr>
            <w:tcW w:w="2461" w:type="dxa"/>
            <w:noWrap/>
            <w:vAlign w:val="center"/>
          </w:tcPr>
          <w:p w14:paraId="40F5D51F">
            <w:pPr>
              <w:tabs>
                <w:tab w:val="left" w:pos="720"/>
              </w:tabs>
              <w:snapToGrid w:val="0"/>
              <w:jc w:val="center"/>
              <w:rPr>
                <w:rFonts w:ascii="宋体" w:hAnsi="宋体" w:eastAsia="宋体" w:cs="宋体"/>
                <w:color w:val="auto"/>
                <w:sz w:val="24"/>
                <w:highlight w:val="none"/>
              </w:rPr>
            </w:pPr>
          </w:p>
        </w:tc>
        <w:tc>
          <w:tcPr>
            <w:tcW w:w="2359" w:type="dxa"/>
            <w:noWrap/>
            <w:vAlign w:val="center"/>
          </w:tcPr>
          <w:p w14:paraId="33330F04">
            <w:pPr>
              <w:tabs>
                <w:tab w:val="left" w:pos="720"/>
              </w:tabs>
              <w:snapToGrid w:val="0"/>
              <w:jc w:val="center"/>
              <w:rPr>
                <w:rFonts w:ascii="宋体" w:hAnsi="宋体" w:eastAsia="宋体" w:cs="宋体"/>
                <w:color w:val="auto"/>
                <w:sz w:val="24"/>
                <w:highlight w:val="none"/>
              </w:rPr>
            </w:pPr>
          </w:p>
        </w:tc>
        <w:tc>
          <w:tcPr>
            <w:tcW w:w="1419" w:type="dxa"/>
            <w:noWrap/>
            <w:vAlign w:val="center"/>
          </w:tcPr>
          <w:p w14:paraId="521F57F0">
            <w:pPr>
              <w:tabs>
                <w:tab w:val="left" w:pos="720"/>
              </w:tabs>
              <w:snapToGrid w:val="0"/>
              <w:jc w:val="center"/>
              <w:rPr>
                <w:rFonts w:ascii="宋体" w:hAnsi="宋体" w:eastAsia="宋体" w:cs="宋体"/>
                <w:color w:val="auto"/>
                <w:sz w:val="24"/>
                <w:highlight w:val="none"/>
              </w:rPr>
            </w:pPr>
          </w:p>
        </w:tc>
      </w:tr>
      <w:tr w14:paraId="1066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7914E72F">
            <w:pPr>
              <w:tabs>
                <w:tab w:val="left" w:pos="720"/>
              </w:tabs>
              <w:snapToGrid w:val="0"/>
              <w:jc w:val="center"/>
              <w:rPr>
                <w:rFonts w:ascii="宋体" w:hAnsi="宋体" w:eastAsia="宋体" w:cs="宋体"/>
                <w:color w:val="auto"/>
                <w:sz w:val="24"/>
                <w:highlight w:val="none"/>
              </w:rPr>
            </w:pPr>
          </w:p>
        </w:tc>
        <w:tc>
          <w:tcPr>
            <w:tcW w:w="1441" w:type="dxa"/>
            <w:noWrap/>
            <w:vAlign w:val="center"/>
          </w:tcPr>
          <w:p w14:paraId="48BB345C">
            <w:pPr>
              <w:tabs>
                <w:tab w:val="left" w:pos="720"/>
              </w:tabs>
              <w:snapToGrid w:val="0"/>
              <w:jc w:val="center"/>
              <w:rPr>
                <w:rFonts w:ascii="宋体" w:hAnsi="宋体" w:eastAsia="宋体" w:cs="宋体"/>
                <w:color w:val="auto"/>
                <w:sz w:val="24"/>
                <w:highlight w:val="none"/>
              </w:rPr>
            </w:pPr>
          </w:p>
        </w:tc>
        <w:tc>
          <w:tcPr>
            <w:tcW w:w="2461" w:type="dxa"/>
            <w:noWrap/>
            <w:vAlign w:val="center"/>
          </w:tcPr>
          <w:p w14:paraId="03DD7CA5">
            <w:pPr>
              <w:tabs>
                <w:tab w:val="left" w:pos="720"/>
              </w:tabs>
              <w:snapToGrid w:val="0"/>
              <w:jc w:val="center"/>
              <w:rPr>
                <w:rFonts w:ascii="宋体" w:hAnsi="宋体" w:eastAsia="宋体" w:cs="宋体"/>
                <w:color w:val="auto"/>
                <w:sz w:val="24"/>
                <w:highlight w:val="none"/>
              </w:rPr>
            </w:pPr>
          </w:p>
        </w:tc>
        <w:tc>
          <w:tcPr>
            <w:tcW w:w="2359" w:type="dxa"/>
            <w:noWrap/>
            <w:vAlign w:val="center"/>
          </w:tcPr>
          <w:p w14:paraId="398927B8">
            <w:pPr>
              <w:tabs>
                <w:tab w:val="left" w:pos="720"/>
              </w:tabs>
              <w:snapToGrid w:val="0"/>
              <w:jc w:val="center"/>
              <w:rPr>
                <w:rFonts w:ascii="宋体" w:hAnsi="宋体" w:eastAsia="宋体" w:cs="宋体"/>
                <w:color w:val="auto"/>
                <w:sz w:val="24"/>
                <w:highlight w:val="none"/>
              </w:rPr>
            </w:pPr>
          </w:p>
        </w:tc>
        <w:tc>
          <w:tcPr>
            <w:tcW w:w="1419" w:type="dxa"/>
            <w:noWrap/>
            <w:vAlign w:val="center"/>
          </w:tcPr>
          <w:p w14:paraId="7D27AF8F">
            <w:pPr>
              <w:tabs>
                <w:tab w:val="left" w:pos="720"/>
              </w:tabs>
              <w:snapToGrid w:val="0"/>
              <w:jc w:val="center"/>
              <w:rPr>
                <w:rFonts w:ascii="宋体" w:hAnsi="宋体" w:eastAsia="宋体" w:cs="宋体"/>
                <w:color w:val="auto"/>
                <w:sz w:val="24"/>
                <w:highlight w:val="none"/>
              </w:rPr>
            </w:pPr>
          </w:p>
        </w:tc>
      </w:tr>
      <w:tr w14:paraId="4F47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9" w:type="dxa"/>
            <w:noWrap/>
            <w:vAlign w:val="center"/>
          </w:tcPr>
          <w:p w14:paraId="36BEADBD">
            <w:pPr>
              <w:tabs>
                <w:tab w:val="left" w:pos="720"/>
              </w:tabs>
              <w:snapToGrid w:val="0"/>
              <w:jc w:val="center"/>
              <w:rPr>
                <w:rFonts w:ascii="宋体" w:hAnsi="宋体" w:eastAsia="宋体" w:cs="宋体"/>
                <w:color w:val="auto"/>
                <w:sz w:val="24"/>
                <w:highlight w:val="none"/>
              </w:rPr>
            </w:pPr>
          </w:p>
        </w:tc>
        <w:tc>
          <w:tcPr>
            <w:tcW w:w="1441" w:type="dxa"/>
            <w:noWrap/>
            <w:vAlign w:val="center"/>
          </w:tcPr>
          <w:p w14:paraId="5692EDA6">
            <w:pPr>
              <w:tabs>
                <w:tab w:val="left" w:pos="720"/>
              </w:tabs>
              <w:snapToGrid w:val="0"/>
              <w:jc w:val="center"/>
              <w:rPr>
                <w:rFonts w:ascii="宋体" w:hAnsi="宋体" w:eastAsia="宋体" w:cs="宋体"/>
                <w:color w:val="auto"/>
                <w:sz w:val="24"/>
                <w:highlight w:val="none"/>
              </w:rPr>
            </w:pPr>
          </w:p>
        </w:tc>
        <w:tc>
          <w:tcPr>
            <w:tcW w:w="2461" w:type="dxa"/>
            <w:noWrap/>
            <w:vAlign w:val="center"/>
          </w:tcPr>
          <w:p w14:paraId="43E24869">
            <w:pPr>
              <w:tabs>
                <w:tab w:val="left" w:pos="720"/>
              </w:tabs>
              <w:snapToGrid w:val="0"/>
              <w:jc w:val="center"/>
              <w:rPr>
                <w:rFonts w:ascii="宋体" w:hAnsi="宋体" w:eastAsia="宋体" w:cs="宋体"/>
                <w:color w:val="auto"/>
                <w:sz w:val="24"/>
                <w:highlight w:val="none"/>
              </w:rPr>
            </w:pPr>
          </w:p>
        </w:tc>
        <w:tc>
          <w:tcPr>
            <w:tcW w:w="2359" w:type="dxa"/>
            <w:noWrap/>
            <w:vAlign w:val="center"/>
          </w:tcPr>
          <w:p w14:paraId="350D4420">
            <w:pPr>
              <w:tabs>
                <w:tab w:val="left" w:pos="720"/>
              </w:tabs>
              <w:snapToGrid w:val="0"/>
              <w:jc w:val="center"/>
              <w:rPr>
                <w:rFonts w:ascii="宋体" w:hAnsi="宋体" w:eastAsia="宋体" w:cs="宋体"/>
                <w:color w:val="auto"/>
                <w:sz w:val="24"/>
                <w:highlight w:val="none"/>
              </w:rPr>
            </w:pPr>
          </w:p>
        </w:tc>
        <w:tc>
          <w:tcPr>
            <w:tcW w:w="1419" w:type="dxa"/>
            <w:noWrap/>
            <w:vAlign w:val="center"/>
          </w:tcPr>
          <w:p w14:paraId="57D4E96B">
            <w:pPr>
              <w:tabs>
                <w:tab w:val="left" w:pos="720"/>
              </w:tabs>
              <w:snapToGrid w:val="0"/>
              <w:jc w:val="center"/>
              <w:rPr>
                <w:rFonts w:ascii="宋体" w:hAnsi="宋体" w:eastAsia="宋体" w:cs="宋体"/>
                <w:color w:val="auto"/>
                <w:sz w:val="24"/>
                <w:highlight w:val="none"/>
              </w:rPr>
            </w:pPr>
          </w:p>
        </w:tc>
      </w:tr>
    </w:tbl>
    <w:p w14:paraId="18D7DB86">
      <w:pPr>
        <w:tabs>
          <w:tab w:val="left" w:pos="720"/>
        </w:tabs>
        <w:snapToGrid w:val="0"/>
        <w:spacing w:line="360" w:lineRule="auto"/>
        <w:rPr>
          <w:rFonts w:ascii="宋体" w:hAnsi="宋体" w:eastAsia="宋体" w:cs="宋体"/>
          <w:color w:val="auto"/>
          <w:sz w:val="24"/>
          <w:highlight w:val="none"/>
        </w:rPr>
      </w:pPr>
    </w:p>
    <w:p w14:paraId="65ABD121">
      <w:pPr>
        <w:topLinePunct/>
        <w:adjustRightInd w:val="0"/>
        <w:snapToGrid w:val="0"/>
        <w:spacing w:line="360" w:lineRule="auto"/>
        <w:ind w:firstLine="496" w:firstLineChars="200"/>
        <w:rPr>
          <w:rFonts w:ascii="宋体" w:hAnsi="宋体" w:eastAsia="宋体" w:cs="宋体"/>
          <w:color w:val="auto"/>
          <w:spacing w:val="4"/>
          <w:kern w:val="0"/>
          <w:sz w:val="24"/>
          <w:highlight w:val="none"/>
        </w:rPr>
      </w:pPr>
      <w:r>
        <w:rPr>
          <w:rFonts w:hint="eastAsia" w:ascii="宋体" w:hAnsi="宋体" w:eastAsia="宋体" w:cs="宋体"/>
          <w:color w:val="auto"/>
          <w:spacing w:val="4"/>
          <w:kern w:val="0"/>
          <w:sz w:val="24"/>
          <w:highlight w:val="none"/>
        </w:rPr>
        <w:t>注：</w:t>
      </w:r>
      <w:r>
        <w:rPr>
          <w:rFonts w:ascii="宋体" w:hAnsi="宋体" w:eastAsia="宋体" w:cs="宋体"/>
          <w:color w:val="auto"/>
          <w:spacing w:val="4"/>
          <w:kern w:val="0"/>
          <w:sz w:val="24"/>
          <w:highlight w:val="none"/>
        </w:rPr>
        <w:t>1.</w:t>
      </w:r>
      <w:r>
        <w:rPr>
          <w:rFonts w:hint="eastAsia" w:ascii="宋体" w:hAnsi="宋体" w:eastAsia="宋体" w:cs="宋体"/>
          <w:color w:val="auto"/>
          <w:spacing w:val="4"/>
          <w:kern w:val="0"/>
          <w:sz w:val="24"/>
          <w:highlight w:val="none"/>
        </w:rPr>
        <w:t>参与编制经济标书所有人员名单应包括如编制各种专业工程量清单投标报价、负责清样校对、负责打印及复印等所有人员在内的人员名单。</w:t>
      </w:r>
    </w:p>
    <w:p w14:paraId="762C0CBC">
      <w:pPr>
        <w:topLinePunct/>
        <w:adjustRightInd w:val="0"/>
        <w:snapToGrid w:val="0"/>
        <w:spacing w:line="360" w:lineRule="auto"/>
        <w:ind w:firstLine="496" w:firstLineChars="200"/>
        <w:rPr>
          <w:rFonts w:ascii="宋体" w:hAnsi="宋体" w:eastAsia="宋体" w:cs="宋体"/>
          <w:color w:val="auto"/>
          <w:spacing w:val="4"/>
          <w:kern w:val="0"/>
          <w:sz w:val="24"/>
          <w:highlight w:val="none"/>
        </w:rPr>
      </w:pPr>
      <w:r>
        <w:rPr>
          <w:rFonts w:ascii="宋体" w:hAnsi="宋体" w:eastAsia="宋体" w:cs="宋体"/>
          <w:color w:val="auto"/>
          <w:spacing w:val="4"/>
          <w:kern w:val="0"/>
          <w:sz w:val="24"/>
          <w:highlight w:val="none"/>
        </w:rPr>
        <w:t>2.上述人员</w:t>
      </w:r>
      <w:r>
        <w:rPr>
          <w:rFonts w:hint="eastAsia" w:ascii="宋体" w:hAnsi="宋体" w:eastAsia="宋体" w:cs="宋体"/>
          <w:color w:val="auto"/>
          <w:spacing w:val="4"/>
          <w:kern w:val="0"/>
          <w:sz w:val="24"/>
          <w:highlight w:val="none"/>
        </w:rPr>
        <w:t>须提供</w:t>
      </w:r>
      <w:r>
        <w:rPr>
          <w:rFonts w:hint="eastAsia" w:ascii="宋体" w:hAnsi="宋体" w:eastAsia="宋体" w:cs="宋体"/>
          <w:color w:val="auto"/>
          <w:spacing w:val="4"/>
          <w:kern w:val="0"/>
          <w:sz w:val="24"/>
          <w:highlight w:val="none"/>
        </w:rPr>
        <w:t>离投标截止时间最近的至少</w:t>
      </w:r>
      <w:r>
        <w:rPr>
          <w:rFonts w:ascii="宋体" w:hAnsi="宋体" w:eastAsia="宋体" w:cs="宋体"/>
          <w:color w:val="auto"/>
          <w:spacing w:val="4"/>
          <w:kern w:val="0"/>
          <w:sz w:val="24"/>
          <w:highlight w:val="none"/>
        </w:rPr>
        <w:t>1个月（2025年</w:t>
      </w:r>
      <w:r>
        <w:rPr>
          <w:rFonts w:hint="eastAsia" w:ascii="宋体" w:hAnsi="宋体" w:eastAsia="宋体" w:cs="宋体"/>
          <w:color w:val="auto"/>
          <w:spacing w:val="4"/>
          <w:kern w:val="0"/>
          <w:sz w:val="24"/>
          <w:highlight w:val="none"/>
        </w:rPr>
        <w:t>9</w:t>
      </w:r>
      <w:r>
        <w:rPr>
          <w:rFonts w:ascii="宋体" w:hAnsi="宋体" w:eastAsia="宋体" w:cs="宋体"/>
          <w:color w:val="auto"/>
          <w:spacing w:val="4"/>
          <w:kern w:val="0"/>
          <w:sz w:val="24"/>
          <w:highlight w:val="none"/>
        </w:rPr>
        <w:t>月或</w:t>
      </w:r>
      <w:r>
        <w:rPr>
          <w:rFonts w:hint="eastAsia" w:ascii="宋体" w:hAnsi="宋体" w:eastAsia="宋体" w:cs="宋体"/>
          <w:color w:val="auto"/>
          <w:spacing w:val="4"/>
          <w:kern w:val="0"/>
          <w:sz w:val="24"/>
          <w:highlight w:val="none"/>
        </w:rPr>
        <w:t>10</w:t>
      </w:r>
      <w:r>
        <w:rPr>
          <w:rFonts w:ascii="宋体" w:hAnsi="宋体" w:eastAsia="宋体" w:cs="宋体"/>
          <w:color w:val="auto"/>
          <w:spacing w:val="4"/>
          <w:kern w:val="0"/>
          <w:sz w:val="24"/>
          <w:highlight w:val="none"/>
        </w:rPr>
        <w:t>月）在本单位（委托编制投标文件报价的，指在委托单位）缴纳的</w:t>
      </w:r>
      <w:r>
        <w:rPr>
          <w:rFonts w:hint="eastAsia" w:ascii="宋体" w:hAnsi="宋体" w:eastAsia="宋体" w:cs="宋体"/>
          <w:color w:val="auto"/>
          <w:spacing w:val="4"/>
          <w:kern w:val="0"/>
          <w:sz w:val="24"/>
          <w:highlight w:val="none"/>
        </w:rPr>
        <w:t>社保证明文件</w:t>
      </w:r>
      <w:r>
        <w:rPr>
          <w:rFonts w:hint="eastAsia" w:ascii="宋体" w:hAnsi="宋体" w:eastAsia="宋体" w:cs="宋体"/>
          <w:color w:val="auto"/>
          <w:spacing w:val="4"/>
          <w:kern w:val="0"/>
          <w:sz w:val="24"/>
          <w:highlight w:val="none"/>
        </w:rPr>
        <w:t>。</w:t>
      </w:r>
    </w:p>
    <w:p w14:paraId="37C25920">
      <w:pPr>
        <w:snapToGrid w:val="0"/>
        <w:spacing w:line="360" w:lineRule="auto"/>
        <w:rPr>
          <w:rFonts w:ascii="宋体" w:hAnsi="宋体" w:eastAsia="宋体" w:cs="宋体"/>
          <w:color w:val="auto"/>
          <w:szCs w:val="21"/>
          <w:highlight w:val="none"/>
        </w:rPr>
      </w:pPr>
    </w:p>
    <w:p w14:paraId="4D3664D7">
      <w:pPr>
        <w:rPr>
          <w:rFonts w:ascii="宋体" w:hAnsi="宋体" w:eastAsia="宋体" w:cs="宋体"/>
          <w:bCs/>
          <w:color w:val="auto"/>
          <w:spacing w:val="4"/>
          <w:sz w:val="24"/>
          <w:highlight w:val="none"/>
        </w:rPr>
      </w:pPr>
      <w:r>
        <w:rPr>
          <w:rFonts w:ascii="宋体" w:hAnsi="宋体" w:eastAsia="宋体" w:cs="宋体"/>
          <w:bCs/>
          <w:color w:val="auto"/>
          <w:spacing w:val="4"/>
          <w:sz w:val="24"/>
          <w:highlight w:val="none"/>
        </w:rPr>
        <w:br w:type="page"/>
      </w:r>
    </w:p>
    <w:p w14:paraId="30023850">
      <w:pPr>
        <w:topLinePunct/>
        <w:adjustRightInd w:val="0"/>
        <w:snapToGrid w:val="0"/>
        <w:spacing w:line="360" w:lineRule="auto"/>
        <w:rPr>
          <w:rFonts w:ascii="宋体" w:hAnsi="宋体" w:eastAsia="宋体" w:cs="宋体"/>
          <w:color w:val="auto"/>
          <w:spacing w:val="4"/>
          <w:kern w:val="0"/>
          <w:sz w:val="24"/>
          <w:highlight w:val="none"/>
        </w:rPr>
      </w:pPr>
      <w:r>
        <w:rPr>
          <w:rFonts w:hint="eastAsia" w:ascii="宋体" w:hAnsi="宋体" w:eastAsia="宋体" w:cs="宋体"/>
          <w:bCs/>
          <w:color w:val="auto"/>
          <w:spacing w:val="4"/>
          <w:sz w:val="24"/>
          <w:highlight w:val="none"/>
        </w:rPr>
        <w:t>经济标格式三</w:t>
      </w:r>
    </w:p>
    <w:p w14:paraId="646A52C2">
      <w:pPr>
        <w:widowControl/>
        <w:topLinePunct/>
        <w:adjustRightInd w:val="0"/>
        <w:snapToGrid w:val="0"/>
        <w:spacing w:line="360" w:lineRule="auto"/>
        <w:jc w:val="center"/>
        <w:outlineLvl w:val="1"/>
        <w:rPr>
          <w:rFonts w:ascii="宋体" w:hAnsi="宋体" w:eastAsia="宋体" w:cs="宋体"/>
          <w:b/>
          <w:bCs/>
          <w:color w:val="auto"/>
          <w:spacing w:val="4"/>
          <w:kern w:val="0"/>
          <w:sz w:val="36"/>
          <w:szCs w:val="36"/>
          <w:highlight w:val="none"/>
        </w:rPr>
      </w:pPr>
      <w:bookmarkStart w:id="57" w:name="_Toc13531"/>
      <w:r>
        <w:rPr>
          <w:rFonts w:hint="eastAsia" w:ascii="宋体" w:hAnsi="宋体" w:eastAsia="宋体" w:cs="宋体"/>
          <w:b/>
          <w:bCs/>
          <w:color w:val="auto"/>
          <w:spacing w:val="4"/>
          <w:kern w:val="0"/>
          <w:sz w:val="36"/>
          <w:szCs w:val="36"/>
          <w:highlight w:val="none"/>
        </w:rPr>
        <w:t>对投标文件编制的承诺</w:t>
      </w:r>
      <w:bookmarkEnd w:id="57"/>
    </w:p>
    <w:p w14:paraId="2BB4D675">
      <w:pPr>
        <w:snapToGrid w:val="0"/>
        <w:spacing w:line="360" w:lineRule="auto"/>
        <w:ind w:left="-2" w:leftChars="-1" w:firstLine="540" w:firstLineChars="225"/>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本公司授权</w:t>
      </w:r>
      <w:r>
        <w:rPr>
          <w:rFonts w:ascii="宋体" w:hAnsi="宋体" w:eastAsia="宋体" w:cs="宋体"/>
          <w:i/>
          <w:iCs/>
          <w:color w:val="auto"/>
          <w:kern w:val="0"/>
          <w:sz w:val="24"/>
          <w:highlight w:val="none"/>
          <w:u w:val="single"/>
        </w:rPr>
        <w:t xml:space="preserve">        </w:t>
      </w:r>
      <w:r>
        <w:rPr>
          <w:rFonts w:hint="eastAsia" w:ascii="宋体" w:hAnsi="宋体" w:eastAsia="宋体" w:cs="宋体"/>
          <w:color w:val="auto"/>
          <w:kern w:val="0"/>
          <w:sz w:val="24"/>
          <w:highlight w:val="none"/>
          <w:u w:val="single"/>
        </w:rPr>
        <w:t>（身份证号：</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负责对投标文件的编制及内容进行解释、说明，并承诺以下事项：</w:t>
      </w:r>
    </w:p>
    <w:p w14:paraId="71DD2E54">
      <w:pPr>
        <w:snapToGrid w:val="0"/>
        <w:spacing w:line="360" w:lineRule="auto"/>
        <w:ind w:left="-2" w:leftChars="-1" w:firstLine="540" w:firstLineChars="225"/>
        <w:rPr>
          <w:rFonts w:ascii="宋体" w:hAnsi="宋体" w:eastAsia="宋体" w:cs="宋体"/>
          <w:color w:val="auto"/>
          <w:kern w:val="0"/>
          <w:sz w:val="24"/>
          <w:highlight w:val="none"/>
        </w:rPr>
      </w:pPr>
      <w:r>
        <w:rPr>
          <w:rFonts w:ascii="宋体" w:hAnsi="宋体" w:eastAsia="宋体" w:cs="宋体"/>
          <w:color w:val="auto"/>
          <w:kern w:val="0"/>
          <w:sz w:val="24"/>
          <w:highlight w:val="none"/>
        </w:rPr>
        <w:t>1.被授权人清楚投标文件编制的具体情况，包括技术方案文件、工程量清单、以及投标文件的加密打包的理解；</w:t>
      </w:r>
    </w:p>
    <w:p w14:paraId="174E9106">
      <w:pPr>
        <w:snapToGrid w:val="0"/>
        <w:spacing w:line="360" w:lineRule="auto"/>
        <w:ind w:left="-2" w:leftChars="-1" w:firstLine="540" w:firstLineChars="225"/>
        <w:rPr>
          <w:rFonts w:ascii="宋体" w:hAnsi="宋体" w:eastAsia="宋体" w:cs="宋体"/>
          <w:color w:val="auto"/>
          <w:kern w:val="0"/>
          <w:sz w:val="24"/>
          <w:highlight w:val="none"/>
        </w:rPr>
      </w:pPr>
      <w:r>
        <w:rPr>
          <w:rFonts w:ascii="宋体" w:hAnsi="宋体" w:eastAsia="宋体" w:cs="宋体"/>
          <w:color w:val="auto"/>
          <w:kern w:val="0"/>
          <w:sz w:val="24"/>
          <w:highlight w:val="none"/>
        </w:rPr>
        <w:t>2.在本项目开标至评标结束前，努力确保被授权人在项目评标所在地附近；</w:t>
      </w:r>
    </w:p>
    <w:p w14:paraId="782925C2">
      <w:pPr>
        <w:snapToGrid w:val="0"/>
        <w:spacing w:line="360" w:lineRule="auto"/>
        <w:ind w:left="-2" w:leftChars="-1" w:firstLine="540" w:firstLineChars="225"/>
        <w:rPr>
          <w:rFonts w:ascii="宋体" w:hAnsi="宋体" w:eastAsia="宋体" w:cs="宋体"/>
          <w:color w:val="auto"/>
          <w:kern w:val="0"/>
          <w:sz w:val="24"/>
          <w:highlight w:val="none"/>
        </w:rPr>
      </w:pPr>
      <w:r>
        <w:rPr>
          <w:rFonts w:ascii="宋体" w:hAnsi="宋体" w:eastAsia="宋体" w:cs="宋体"/>
          <w:color w:val="auto"/>
          <w:kern w:val="0"/>
          <w:sz w:val="24"/>
          <w:highlight w:val="none"/>
        </w:rPr>
        <w:t>3.从评标委员会要求澄清起二小时内，被授权人应如实地书面澄清。</w:t>
      </w:r>
    </w:p>
    <w:p w14:paraId="1FB03A20">
      <w:pPr>
        <w:snapToGrid w:val="0"/>
        <w:spacing w:line="360" w:lineRule="auto"/>
        <w:ind w:left="-2" w:leftChars="-1" w:firstLine="540" w:firstLineChars="225"/>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如由于未遵守上述承诺内容之一导致无法进行澄清的，我公司认可和接受评标委员会作出的评审结论。</w:t>
      </w:r>
    </w:p>
    <w:p w14:paraId="20A4839E">
      <w:pPr>
        <w:snapToGrid w:val="0"/>
        <w:spacing w:line="360" w:lineRule="auto"/>
        <w:ind w:firstLine="360" w:firstLineChars="150"/>
        <w:rPr>
          <w:rFonts w:ascii="宋体" w:hAnsi="宋体" w:eastAsia="宋体" w:cs="宋体"/>
          <w:color w:val="auto"/>
          <w:kern w:val="0"/>
          <w:sz w:val="24"/>
          <w:highlight w:val="none"/>
        </w:rPr>
      </w:pPr>
    </w:p>
    <w:p w14:paraId="3C7380A6">
      <w:pPr>
        <w:snapToGrid w:val="0"/>
        <w:spacing w:line="360" w:lineRule="auto"/>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附件：《投标文件编制情况》</w:t>
      </w:r>
    </w:p>
    <w:p w14:paraId="6149481A">
      <w:pPr>
        <w:snapToGrid w:val="0"/>
        <w:spacing w:line="360" w:lineRule="auto"/>
        <w:ind w:right="90" w:firstLine="3240" w:firstLineChars="1350"/>
        <w:rPr>
          <w:rFonts w:ascii="宋体" w:hAnsi="宋体" w:eastAsia="宋体" w:cs="宋体"/>
          <w:color w:val="auto"/>
          <w:sz w:val="24"/>
          <w:highlight w:val="none"/>
        </w:rPr>
      </w:pPr>
    </w:p>
    <w:p w14:paraId="17903AF2">
      <w:pPr>
        <w:snapToGrid w:val="0"/>
        <w:spacing w:line="360" w:lineRule="auto"/>
        <w:ind w:right="90" w:firstLine="3960" w:firstLineChars="1650"/>
        <w:rPr>
          <w:rFonts w:ascii="宋体" w:hAnsi="宋体" w:eastAsia="宋体" w:cs="宋体"/>
          <w:color w:val="auto"/>
          <w:sz w:val="24"/>
          <w:highlight w:val="none"/>
          <w:u w:val="single"/>
        </w:rPr>
      </w:pPr>
      <w:r>
        <w:rPr>
          <w:rFonts w:hint="eastAsia" w:ascii="宋体" w:hAnsi="宋体" w:eastAsia="宋体" w:cs="宋体"/>
          <w:color w:val="auto"/>
          <w:sz w:val="24"/>
          <w:highlight w:val="none"/>
        </w:rPr>
        <w:t>投标人名称（盖法人公章）：</w:t>
      </w:r>
    </w:p>
    <w:p w14:paraId="22A4B82D">
      <w:pPr>
        <w:snapToGrid w:val="0"/>
        <w:spacing w:line="360" w:lineRule="auto"/>
        <w:ind w:firstLine="4080" w:firstLineChars="1700"/>
        <w:outlineLvl w:val="1"/>
        <w:rPr>
          <w:rFonts w:ascii="宋体" w:hAnsi="宋体" w:eastAsia="宋体" w:cs="宋体"/>
          <w:color w:val="auto"/>
          <w:sz w:val="24"/>
          <w:highlight w:val="none"/>
        </w:rPr>
      </w:pPr>
      <w:bookmarkStart w:id="58" w:name="_Toc3751"/>
      <w:r>
        <w:rPr>
          <w:rFonts w:hint="eastAsia" w:ascii="宋体" w:hAnsi="宋体" w:eastAsia="宋体" w:cs="宋体"/>
          <w:color w:val="auto"/>
          <w:sz w:val="24"/>
          <w:highlight w:val="none"/>
        </w:rPr>
        <w:t>日期：</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年</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月</w:t>
      </w:r>
      <w:r>
        <w:rPr>
          <w:rFonts w:ascii="宋体" w:hAnsi="宋体" w:eastAsia="宋体" w:cs="宋体"/>
          <w:color w:val="auto"/>
          <w:sz w:val="24"/>
          <w:highlight w:val="none"/>
        </w:rPr>
        <w:t xml:space="preserve">   </w:t>
      </w:r>
      <w:r>
        <w:rPr>
          <w:rFonts w:hint="eastAsia" w:ascii="宋体" w:hAnsi="宋体" w:eastAsia="宋体" w:cs="宋体"/>
          <w:color w:val="auto"/>
          <w:sz w:val="24"/>
          <w:highlight w:val="none"/>
        </w:rPr>
        <w:t>日</w:t>
      </w:r>
      <w:bookmarkEnd w:id="58"/>
    </w:p>
    <w:p w14:paraId="32150AC7">
      <w:pPr>
        <w:rPr>
          <w:rFonts w:ascii="宋体" w:hAnsi="宋体" w:eastAsia="宋体" w:cs="宋体"/>
          <w:color w:val="auto"/>
          <w:szCs w:val="21"/>
          <w:highlight w:val="none"/>
        </w:rPr>
      </w:pPr>
    </w:p>
    <w:p w14:paraId="6ADE1F94">
      <w:pPr>
        <w:widowControl/>
        <w:topLinePunct/>
        <w:adjustRightInd w:val="0"/>
        <w:snapToGrid w:val="0"/>
        <w:spacing w:line="360" w:lineRule="auto"/>
        <w:jc w:val="center"/>
        <w:outlineLvl w:val="1"/>
        <w:rPr>
          <w:rFonts w:ascii="宋体" w:hAnsi="宋体" w:eastAsia="宋体" w:cs="宋体"/>
          <w:b/>
          <w:bCs/>
          <w:color w:val="auto"/>
          <w:spacing w:val="4"/>
          <w:kern w:val="0"/>
          <w:sz w:val="36"/>
          <w:szCs w:val="36"/>
          <w:highlight w:val="none"/>
        </w:rPr>
      </w:pPr>
      <w:bookmarkStart w:id="59" w:name="_Toc22554"/>
      <w:r>
        <w:rPr>
          <w:rFonts w:hint="eastAsia" w:ascii="宋体" w:hAnsi="宋体" w:eastAsia="宋体" w:cs="宋体"/>
          <w:b/>
          <w:bCs/>
          <w:color w:val="auto"/>
          <w:spacing w:val="4"/>
          <w:kern w:val="0"/>
          <w:sz w:val="36"/>
          <w:szCs w:val="36"/>
          <w:highlight w:val="none"/>
        </w:rPr>
        <w:t>投标文件编制情况</w:t>
      </w:r>
      <w:bookmarkEnd w:id="59"/>
    </w:p>
    <w:p w14:paraId="78AA3403">
      <w:pPr>
        <w:snapToGrid w:val="0"/>
        <w:spacing w:line="360" w:lineRule="auto"/>
        <w:ind w:firstLine="480" w:firstLineChars="200"/>
        <w:rPr>
          <w:rFonts w:ascii="宋体" w:hAnsi="宋体" w:eastAsia="宋体" w:cs="宋体"/>
          <w:color w:val="auto"/>
          <w:kern w:val="0"/>
          <w:sz w:val="24"/>
          <w:highlight w:val="none"/>
          <w:u w:val="single"/>
        </w:rPr>
      </w:pPr>
      <w:r>
        <w:rPr>
          <w:rFonts w:ascii="宋体" w:hAnsi="宋体" w:eastAsia="宋体" w:cs="宋体"/>
          <w:color w:val="auto"/>
          <w:kern w:val="0"/>
          <w:sz w:val="24"/>
          <w:highlight w:val="none"/>
        </w:rPr>
        <w:t>1.投标文件报价编制方式</w:t>
      </w:r>
      <w:r>
        <w:rPr>
          <w:rFonts w:hint="eastAsia" w:ascii="宋体" w:hAnsi="宋体" w:eastAsia="宋体" w:cs="宋体"/>
          <w:color w:val="auto"/>
          <w:kern w:val="0"/>
          <w:sz w:val="24"/>
          <w:highlight w:val="none"/>
        </w:rPr>
        <w:t>：</w:t>
      </w:r>
      <w:r>
        <w:rPr>
          <w:rFonts w:ascii="宋体" w:hAnsi="宋体" w:eastAsia="宋体" w:cs="宋体"/>
          <w:color w:val="auto"/>
          <w:kern w:val="0"/>
          <w:sz w:val="24"/>
          <w:highlight w:val="none"/>
        </w:rPr>
        <w:t xml:space="preserve"> □自行编制的，编制的负责人：</w:t>
      </w:r>
      <w:r>
        <w:rPr>
          <w:rFonts w:hint="eastAsia" w:ascii="宋体" w:hAnsi="宋体" w:eastAsia="宋体" w:cs="宋体"/>
          <w:color w:val="auto"/>
          <w:kern w:val="0"/>
          <w:sz w:val="24"/>
          <w:highlight w:val="none"/>
          <w:u w:val="single"/>
        </w:rPr>
        <w:t>（盖造价工程师执业专用章，执业单位应与投标人一致）</w:t>
      </w:r>
      <w:r>
        <w:rPr>
          <w:rFonts w:hint="eastAsia" w:ascii="宋体" w:hAnsi="宋体" w:eastAsia="宋体" w:cs="宋体"/>
          <w:color w:val="auto"/>
          <w:kern w:val="0"/>
          <w:sz w:val="24"/>
          <w:highlight w:val="none"/>
        </w:rPr>
        <w:t>。□委托编制的，受委托单位</w:t>
      </w:r>
      <w:r>
        <w:rPr>
          <w:rFonts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，编制的负责人：</w:t>
      </w:r>
      <w:r>
        <w:rPr>
          <w:rFonts w:hint="eastAsia" w:ascii="宋体" w:hAnsi="宋体" w:eastAsia="宋体" w:cs="宋体"/>
          <w:color w:val="auto"/>
          <w:kern w:val="0"/>
          <w:sz w:val="24"/>
          <w:highlight w:val="none"/>
          <w:u w:val="single"/>
        </w:rPr>
        <w:t>（盖造价工程师执业专用章，执业单位应与受委托单位一致）</w:t>
      </w:r>
      <w:r>
        <w:rPr>
          <w:rFonts w:hint="eastAsia" w:ascii="宋体" w:hAnsi="宋体" w:eastAsia="宋体" w:cs="宋体"/>
          <w:color w:val="auto"/>
          <w:kern w:val="0"/>
          <w:sz w:val="24"/>
          <w:highlight w:val="none"/>
        </w:rPr>
        <w:t>。</w:t>
      </w:r>
    </w:p>
    <w:p w14:paraId="4290FAFF">
      <w:pPr>
        <w:snapToGrid w:val="0"/>
        <w:spacing w:line="360" w:lineRule="auto"/>
        <w:ind w:firstLine="480" w:firstLineChars="200"/>
        <w:rPr>
          <w:rFonts w:ascii="宋体" w:hAnsi="宋体" w:eastAsia="宋体" w:cs="宋体"/>
          <w:color w:val="auto"/>
          <w:kern w:val="0"/>
          <w:sz w:val="24"/>
          <w:highlight w:val="none"/>
        </w:rPr>
      </w:pPr>
      <w:r>
        <w:rPr>
          <w:rFonts w:ascii="宋体" w:hAnsi="宋体" w:eastAsia="宋体" w:cs="宋体"/>
          <w:color w:val="auto"/>
          <w:kern w:val="0"/>
          <w:sz w:val="24"/>
          <w:highlight w:val="none"/>
        </w:rPr>
        <w:t>2.投标文件加密打包的电脑情况</w:t>
      </w:r>
    </w:p>
    <w:tbl>
      <w:tblPr>
        <w:tblStyle w:val="88"/>
        <w:tblW w:w="0" w:type="auto"/>
        <w:tblInd w:w="0" w:type="dxa"/>
        <w:tblLayout w:type="fixed"/>
        <w:tblCellMar>
          <w:top w:w="0" w:type="dxa"/>
          <w:left w:w="108" w:type="dxa"/>
          <w:bottom w:w="0" w:type="dxa"/>
          <w:right w:w="108" w:type="dxa"/>
        </w:tblCellMar>
      </w:tblPr>
      <w:tblGrid>
        <w:gridCol w:w="9234"/>
      </w:tblGrid>
      <w:tr w14:paraId="472E0C72">
        <w:tblPrEx>
          <w:tblCellMar>
            <w:top w:w="0" w:type="dxa"/>
            <w:left w:w="108" w:type="dxa"/>
            <w:bottom w:w="0" w:type="dxa"/>
            <w:right w:w="108" w:type="dxa"/>
          </w:tblCellMar>
        </w:tblPrEx>
        <w:trPr>
          <w:trHeight w:val="2185" w:hRule="atLeast"/>
        </w:trPr>
        <w:tc>
          <w:tcPr>
            <w:tcW w:w="9234" w:type="dxa"/>
            <w:noWrap/>
          </w:tcPr>
          <w:p w14:paraId="2C422F38">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投标文件加密打包的电脑自有□外包□其他□</w:t>
            </w:r>
          </w:p>
          <w:p w14:paraId="31AA7C48">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电脑类型</w:t>
            </w:r>
          </w:p>
          <w:p w14:paraId="3C552DD5">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电脑所属单位</w:t>
            </w:r>
          </w:p>
          <w:p w14:paraId="46206372">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电脑所在地址（如××市××区</w:t>
            </w:r>
            <w:r>
              <w:rPr>
                <w:rFonts w:ascii="宋体" w:hAnsi="宋体" w:eastAsia="宋体" w:cs="宋体"/>
                <w:color w:val="auto"/>
                <w:sz w:val="24"/>
                <w:highlight w:val="none"/>
              </w:rPr>
              <w:t xml:space="preserve">(县) </w:t>
            </w:r>
            <w:r>
              <w:rPr>
                <w:rFonts w:hint="eastAsia" w:ascii="宋体" w:hAnsi="宋体" w:eastAsia="宋体" w:cs="宋体"/>
                <w:color w:val="auto"/>
                <w:sz w:val="24"/>
                <w:highlight w:val="none"/>
              </w:rPr>
              <w:t>××街（路）××号××大厦××房）</w:t>
            </w:r>
          </w:p>
        </w:tc>
      </w:tr>
    </w:tbl>
    <w:p w14:paraId="434EFA1A">
      <w:pPr>
        <w:snapToGrid w:val="0"/>
        <w:rPr>
          <w:rFonts w:ascii="宋体" w:hAnsi="宋体" w:eastAsia="宋体" w:cs="宋体"/>
          <w:color w:val="auto"/>
          <w:szCs w:val="21"/>
          <w:highlight w:val="none"/>
        </w:rPr>
      </w:pPr>
    </w:p>
    <w:p w14:paraId="33E8B41C">
      <w:pPr>
        <w:pStyle w:val="22"/>
        <w:ind w:firstLine="0" w:firstLineChars="0"/>
        <w:rPr>
          <w:rFonts w:ascii="宋体" w:hAnsi="宋体" w:eastAsia="宋体" w:cs="宋体"/>
          <w:color w:val="auto"/>
          <w:szCs w:val="21"/>
          <w:highlight w:val="none"/>
        </w:rPr>
      </w:pPr>
    </w:p>
    <w:p w14:paraId="66367700">
      <w:pPr>
        <w:rPr>
          <w:rFonts w:ascii="宋体" w:hAnsi="宋体" w:eastAsia="宋体" w:cs="宋体"/>
          <w:color w:val="auto"/>
          <w:highlight w:val="none"/>
        </w:rPr>
        <w:sectPr>
          <w:pgSz w:w="11906" w:h="16838"/>
          <w:pgMar w:top="1440" w:right="1440" w:bottom="1440" w:left="1440" w:header="851" w:footer="992" w:gutter="0"/>
          <w:cols w:space="0" w:num="1"/>
          <w:docGrid w:type="lines" w:linePitch="322" w:charSpace="0"/>
        </w:sectPr>
      </w:pPr>
    </w:p>
    <w:p w14:paraId="34D497A9">
      <w:pPr>
        <w:pStyle w:val="22"/>
        <w:ind w:firstLine="0" w:firstLineChars="0"/>
        <w:rPr>
          <w:rFonts w:ascii="宋体" w:hAnsi="宋体" w:eastAsia="宋体" w:cs="宋体"/>
          <w:color w:val="auto"/>
          <w:highlight w:val="none"/>
        </w:rPr>
      </w:pPr>
    </w:p>
    <w:p w14:paraId="55DA609C">
      <w:pPr>
        <w:tabs>
          <w:tab w:val="left" w:pos="720"/>
        </w:tabs>
        <w:snapToGrid w:val="0"/>
        <w:spacing w:line="360" w:lineRule="auto"/>
        <w:jc w:val="center"/>
        <w:rPr>
          <w:rStyle w:val="250"/>
          <w:rFonts w:ascii="宋体" w:hAnsi="宋体" w:eastAsia="宋体" w:cs="宋体"/>
          <w:color w:val="auto"/>
          <w:sz w:val="32"/>
          <w:szCs w:val="32"/>
          <w:highlight w:val="none"/>
        </w:rPr>
      </w:pPr>
      <w:bookmarkStart w:id="60" w:name="_Toc2272568"/>
      <w:bookmarkStart w:id="61" w:name="_Toc9312"/>
      <w:bookmarkStart w:id="62" w:name="_Toc2272569"/>
      <w:r>
        <w:rPr>
          <w:rStyle w:val="250"/>
          <w:rFonts w:hint="eastAsia" w:ascii="宋体" w:hAnsi="宋体" w:eastAsia="宋体" w:cs="宋体"/>
          <w:color w:val="auto"/>
          <w:sz w:val="32"/>
          <w:szCs w:val="32"/>
          <w:highlight w:val="none"/>
        </w:rPr>
        <w:t>第五章</w:t>
      </w:r>
      <w:r>
        <w:rPr>
          <w:rStyle w:val="250"/>
          <w:rFonts w:ascii="宋体" w:hAnsi="宋体" w:eastAsia="宋体" w:cs="宋体"/>
          <w:color w:val="auto"/>
          <w:sz w:val="32"/>
          <w:szCs w:val="32"/>
          <w:highlight w:val="none"/>
        </w:rPr>
        <w:t xml:space="preserve">  </w:t>
      </w:r>
      <w:r>
        <w:rPr>
          <w:rStyle w:val="250"/>
          <w:rFonts w:hint="eastAsia" w:ascii="宋体" w:hAnsi="宋体" w:eastAsia="宋体" w:cs="宋体"/>
          <w:color w:val="auto"/>
          <w:sz w:val="32"/>
          <w:szCs w:val="32"/>
          <w:highlight w:val="none"/>
        </w:rPr>
        <w:t>技术条件（工程建设标准）</w:t>
      </w:r>
      <w:bookmarkEnd w:id="60"/>
    </w:p>
    <w:bookmarkEnd w:id="61"/>
    <w:p w14:paraId="7224D9EB">
      <w:pPr>
        <w:snapToGrid w:val="0"/>
        <w:rPr>
          <w:rFonts w:ascii="宋体" w:hAnsi="宋体" w:eastAsia="宋体" w:cs="宋体"/>
          <w:b/>
          <w:color w:val="auto"/>
          <w:sz w:val="24"/>
          <w:highlight w:val="none"/>
        </w:rPr>
      </w:pPr>
    </w:p>
    <w:p w14:paraId="2503FB18">
      <w:pPr>
        <w:snapToGri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一、标准</w:t>
      </w:r>
    </w:p>
    <w:p w14:paraId="1744C56B">
      <w:pPr>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以现行的中华人民共和国及有关部委颁布的标准、规范、和规程。若施工时期建设主管部门颁布新的规范、标准，则按照新的规范、标准执行。</w:t>
      </w:r>
    </w:p>
    <w:p w14:paraId="5F3A65BB">
      <w:pPr>
        <w:snapToGrid w:val="0"/>
        <w:spacing w:line="440" w:lineRule="exact"/>
        <w:rPr>
          <w:rFonts w:ascii="宋体" w:hAnsi="宋体" w:eastAsia="宋体" w:cs="宋体"/>
          <w:b/>
          <w:color w:val="auto"/>
          <w:sz w:val="24"/>
          <w:highlight w:val="none"/>
        </w:rPr>
      </w:pPr>
    </w:p>
    <w:p w14:paraId="3A1CBBD3">
      <w:pPr>
        <w:snapToGri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二、施工组织设计要点</w:t>
      </w:r>
    </w:p>
    <w:p w14:paraId="28003E8D">
      <w:pPr>
        <w:snapToGrid w:val="0"/>
        <w:spacing w:line="44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如果中标，中标人应按项目的进展需求，并在规定的时间内按要点要求，编制详细的施工组织设计，作为工程施工的指导性文件，向建设单位提交一式四份的《施工组织设计方案》，内容包括（不限于）以下：</w:t>
      </w:r>
    </w:p>
    <w:p w14:paraId="7FE25280">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（一）工程概况及特点</w:t>
      </w:r>
    </w:p>
    <w:p w14:paraId="5344276B">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1.1 </w:t>
      </w:r>
      <w:r>
        <w:rPr>
          <w:rFonts w:hint="eastAsia" w:ascii="宋体" w:hAnsi="宋体" w:eastAsia="宋体" w:cs="宋体"/>
          <w:color w:val="auto"/>
          <w:sz w:val="24"/>
          <w:highlight w:val="none"/>
        </w:rPr>
        <w:t>工程概况</w:t>
      </w:r>
    </w:p>
    <w:p w14:paraId="2E6EC753">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工程简述，工程规模，工程承包范围，地质及地貌状况，自然环境，交通情况等。</w:t>
      </w:r>
    </w:p>
    <w:p w14:paraId="2BA60AB2">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1.2 </w:t>
      </w:r>
      <w:r>
        <w:rPr>
          <w:rFonts w:hint="eastAsia" w:ascii="宋体" w:hAnsi="宋体" w:eastAsia="宋体" w:cs="宋体"/>
          <w:color w:val="auto"/>
          <w:sz w:val="24"/>
          <w:highlight w:val="none"/>
        </w:rPr>
        <w:t>工程特点</w:t>
      </w:r>
    </w:p>
    <w:p w14:paraId="3DB1F4A5">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设计特点、工程特点、影响施工的主要和特殊环节分析等。</w:t>
      </w:r>
    </w:p>
    <w:p w14:paraId="7C7935BC">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（二）施工现场组织机构</w:t>
      </w:r>
    </w:p>
    <w:p w14:paraId="0C57E65F">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2.1 </w:t>
      </w:r>
      <w:r>
        <w:rPr>
          <w:rFonts w:hint="eastAsia" w:ascii="宋体" w:hAnsi="宋体" w:eastAsia="宋体" w:cs="宋体"/>
          <w:color w:val="auto"/>
          <w:sz w:val="24"/>
          <w:highlight w:val="none"/>
        </w:rPr>
        <w:t>组织机构关系图</w:t>
      </w:r>
    </w:p>
    <w:p w14:paraId="6B1AC36E">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2.2 </w:t>
      </w:r>
      <w:r>
        <w:rPr>
          <w:rFonts w:hint="eastAsia" w:ascii="宋体" w:hAnsi="宋体" w:eastAsia="宋体" w:cs="宋体"/>
          <w:color w:val="auto"/>
          <w:sz w:val="24"/>
          <w:highlight w:val="none"/>
        </w:rPr>
        <w:t>工程主要负责人简介。</w:t>
      </w:r>
    </w:p>
    <w:p w14:paraId="4566136F">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（三）施工现场总平面布置图</w:t>
      </w:r>
    </w:p>
    <w:p w14:paraId="5FFC8110">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3.1 </w:t>
      </w:r>
      <w:r>
        <w:rPr>
          <w:rFonts w:hint="eastAsia" w:ascii="宋体" w:hAnsi="宋体" w:eastAsia="宋体" w:cs="宋体"/>
          <w:color w:val="auto"/>
          <w:sz w:val="24"/>
          <w:highlight w:val="none"/>
        </w:rPr>
        <w:t>施工现场平面布置图</w:t>
      </w:r>
    </w:p>
    <w:p w14:paraId="6DC357C5">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平面布置要求内容全面，充分利用现场条件，合理布置施工队、材料站、指挥部等。确定现场指挥部（工程处）和工区的驻地，材料站的设置，施工工区与施工班驻地，主要交通道路和通讯设施。平面布置图采用</w:t>
      </w:r>
      <w:r>
        <w:rPr>
          <w:rFonts w:ascii="宋体" w:hAnsi="宋体" w:eastAsia="宋体" w:cs="宋体"/>
          <w:color w:val="auto"/>
          <w:sz w:val="24"/>
          <w:highlight w:val="none"/>
        </w:rPr>
        <w:t>A3纸，图面要求线条清晰、标志明确。</w:t>
      </w:r>
    </w:p>
    <w:p w14:paraId="28716748">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（四）施工方案</w:t>
      </w:r>
    </w:p>
    <w:p w14:paraId="115D9D92">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4.1 </w:t>
      </w:r>
      <w:r>
        <w:rPr>
          <w:rFonts w:hint="eastAsia" w:ascii="宋体" w:hAnsi="宋体" w:eastAsia="宋体" w:cs="宋体"/>
          <w:color w:val="auto"/>
          <w:sz w:val="24"/>
          <w:highlight w:val="none"/>
        </w:rPr>
        <w:t>施工准备</w:t>
      </w:r>
    </w:p>
    <w:p w14:paraId="2EA00C2D">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简要叙述施工技术资料、材料、通讯、施工场地的准备，施工机械、施工力量的配置，以及生活设施等的准备情况。主要施工机械设备表。</w:t>
      </w:r>
    </w:p>
    <w:p w14:paraId="20D99F15">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4.2 </w:t>
      </w:r>
      <w:r>
        <w:rPr>
          <w:rFonts w:hint="eastAsia" w:ascii="宋体" w:hAnsi="宋体" w:eastAsia="宋体" w:cs="宋体"/>
          <w:color w:val="auto"/>
          <w:sz w:val="24"/>
          <w:highlight w:val="none"/>
        </w:rPr>
        <w:t>施工工序总体安排</w:t>
      </w:r>
    </w:p>
    <w:p w14:paraId="53760BD7">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4.3 </w:t>
      </w:r>
      <w:r>
        <w:rPr>
          <w:rFonts w:hint="eastAsia" w:ascii="宋体" w:hAnsi="宋体" w:eastAsia="宋体" w:cs="宋体"/>
          <w:color w:val="auto"/>
          <w:sz w:val="24"/>
          <w:highlight w:val="none"/>
        </w:rPr>
        <w:t>主要工序和特殊工序的施工方法和施工效率估计，潜在问题的分析。</w:t>
      </w:r>
    </w:p>
    <w:p w14:paraId="649CDB6D">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4.4 </w:t>
      </w:r>
      <w:r>
        <w:rPr>
          <w:rFonts w:hint="eastAsia" w:ascii="宋体" w:hAnsi="宋体" w:eastAsia="宋体" w:cs="宋体"/>
          <w:color w:val="auto"/>
          <w:sz w:val="24"/>
          <w:highlight w:val="none"/>
        </w:rPr>
        <w:t>工程成本的控制措施为控制成本，提高效益，拟采取的措施。</w:t>
      </w:r>
    </w:p>
    <w:p w14:paraId="772DAC4E">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（五）工期及施工进度计划</w:t>
      </w:r>
    </w:p>
    <w:p w14:paraId="215FC0A5">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5.1 </w:t>
      </w:r>
      <w:r>
        <w:rPr>
          <w:rFonts w:hint="eastAsia" w:ascii="宋体" w:hAnsi="宋体" w:eastAsia="宋体" w:cs="宋体"/>
          <w:color w:val="auto"/>
          <w:sz w:val="24"/>
          <w:highlight w:val="none"/>
        </w:rPr>
        <w:t>工期规划及要求</w:t>
      </w:r>
    </w:p>
    <w:p w14:paraId="6E45A9A9">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用横道图反映各主要施工过程的计划进度，深度达到全面、准确、清楚的描述工程实施过程，从中可衍生出各种施工资源计划及其过程管理信息。</w:t>
      </w:r>
    </w:p>
    <w:p w14:paraId="3991AFF6">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5.2 </w:t>
      </w:r>
      <w:r>
        <w:rPr>
          <w:rFonts w:hint="eastAsia" w:ascii="宋体" w:hAnsi="宋体" w:eastAsia="宋体" w:cs="宋体"/>
          <w:color w:val="auto"/>
          <w:sz w:val="24"/>
          <w:highlight w:val="none"/>
        </w:rPr>
        <w:t>施工进度计划网络图</w:t>
      </w:r>
    </w:p>
    <w:p w14:paraId="44715A2A">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施工网络图应明确工程开工、竣工日期，工程施工的关键路线，并针对关键工序，提出确保工期拟采取的措施。</w:t>
      </w:r>
    </w:p>
    <w:p w14:paraId="461663FB">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5.3 </w:t>
      </w:r>
      <w:r>
        <w:rPr>
          <w:rFonts w:hint="eastAsia" w:ascii="宋体" w:hAnsi="宋体" w:eastAsia="宋体" w:cs="宋体"/>
          <w:color w:val="auto"/>
          <w:sz w:val="24"/>
          <w:highlight w:val="none"/>
        </w:rPr>
        <w:t>施工资源（人力、材料、机具、场地及进场道路、公共关系）计划</w:t>
      </w:r>
    </w:p>
    <w:p w14:paraId="75CE6B2C">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5.4 </w:t>
      </w:r>
      <w:r>
        <w:rPr>
          <w:rFonts w:hint="eastAsia" w:ascii="宋体" w:hAnsi="宋体" w:eastAsia="宋体" w:cs="宋体"/>
          <w:color w:val="auto"/>
          <w:sz w:val="24"/>
          <w:highlight w:val="none"/>
        </w:rPr>
        <w:t>施工进度计划分析</w:t>
      </w:r>
    </w:p>
    <w:p w14:paraId="7E1B5F07">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计划潜在问题，计划中的潜力及其开发途径等。</w:t>
      </w:r>
    </w:p>
    <w:p w14:paraId="4B2B3799">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5.5 </w:t>
      </w:r>
      <w:r>
        <w:rPr>
          <w:rFonts w:hint="eastAsia" w:ascii="宋体" w:hAnsi="宋体" w:eastAsia="宋体" w:cs="宋体"/>
          <w:color w:val="auto"/>
          <w:sz w:val="24"/>
          <w:highlight w:val="none"/>
        </w:rPr>
        <w:t>计划控制</w:t>
      </w:r>
    </w:p>
    <w:p w14:paraId="764B617A">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程序、方法及制度等。</w:t>
      </w:r>
    </w:p>
    <w:p w14:paraId="6814EFFB">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（六）质量目标、质量保证体系及技术组织措施</w:t>
      </w:r>
    </w:p>
    <w:p w14:paraId="25DDD942">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6.1 </w:t>
      </w:r>
      <w:r>
        <w:rPr>
          <w:rFonts w:hint="eastAsia" w:ascii="宋体" w:hAnsi="宋体" w:eastAsia="宋体" w:cs="宋体"/>
          <w:color w:val="auto"/>
          <w:sz w:val="24"/>
          <w:highlight w:val="none"/>
        </w:rPr>
        <w:t>质量目标</w:t>
      </w:r>
    </w:p>
    <w:p w14:paraId="56DFCAE6">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本工程要求的质量目标：工程质量达到国家或行业质量检验评定的合格标准。</w:t>
      </w:r>
    </w:p>
    <w:p w14:paraId="46B3E12F">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用单位工程和分项工程合格率、优良品率表示，欲达到的工程质量等级。</w:t>
      </w:r>
    </w:p>
    <w:p w14:paraId="782F88F4">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6.2 </w:t>
      </w:r>
      <w:r>
        <w:rPr>
          <w:rFonts w:hint="eastAsia" w:ascii="宋体" w:hAnsi="宋体" w:eastAsia="宋体" w:cs="宋体"/>
          <w:color w:val="auto"/>
          <w:sz w:val="24"/>
          <w:highlight w:val="none"/>
        </w:rPr>
        <w:t>质量管理组织机构及主要职责</w:t>
      </w:r>
    </w:p>
    <w:p w14:paraId="120A30FB">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用框图表示质量管理组织机构，并简要叙述各质量管理部门的主要职责。</w:t>
      </w:r>
    </w:p>
    <w:p w14:paraId="2F13323C">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6.3 </w:t>
      </w:r>
      <w:r>
        <w:rPr>
          <w:rFonts w:hint="eastAsia" w:ascii="宋体" w:hAnsi="宋体" w:eastAsia="宋体" w:cs="宋体"/>
          <w:color w:val="auto"/>
          <w:sz w:val="24"/>
          <w:highlight w:val="none"/>
        </w:rPr>
        <w:t>质量管理的措施</w:t>
      </w:r>
    </w:p>
    <w:p w14:paraId="5C6DF928">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简要叙述质量管理的措施和关键工序的质量控制。</w:t>
      </w:r>
    </w:p>
    <w:p w14:paraId="131505F2">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6.4 </w:t>
      </w:r>
      <w:r>
        <w:rPr>
          <w:rFonts w:hint="eastAsia" w:ascii="宋体" w:hAnsi="宋体" w:eastAsia="宋体" w:cs="宋体"/>
          <w:color w:val="auto"/>
          <w:sz w:val="24"/>
          <w:highlight w:val="none"/>
        </w:rPr>
        <w:t>质量管理及检验的标准</w:t>
      </w:r>
    </w:p>
    <w:p w14:paraId="3B0060CC">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执行的主要质量标准、规范。</w:t>
      </w:r>
    </w:p>
    <w:p w14:paraId="53EB0B7B">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6.5 </w:t>
      </w:r>
      <w:r>
        <w:rPr>
          <w:rFonts w:hint="eastAsia" w:ascii="宋体" w:hAnsi="宋体" w:eastAsia="宋体" w:cs="宋体"/>
          <w:color w:val="auto"/>
          <w:sz w:val="24"/>
          <w:highlight w:val="none"/>
        </w:rPr>
        <w:t>质量保证技术措施</w:t>
      </w:r>
    </w:p>
    <w:p w14:paraId="25327B36">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针对本工程特点，分析质量薄弱环节，拟将采取的技术措施。</w:t>
      </w:r>
    </w:p>
    <w:p w14:paraId="72C99125">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（七）安全目标、安全保证体系及技术组织措施</w:t>
      </w:r>
    </w:p>
    <w:p w14:paraId="095AEED2">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7.1 </w:t>
      </w:r>
      <w:r>
        <w:rPr>
          <w:rFonts w:hint="eastAsia" w:ascii="宋体" w:hAnsi="宋体" w:eastAsia="宋体" w:cs="宋体"/>
          <w:color w:val="auto"/>
          <w:sz w:val="24"/>
          <w:highlight w:val="none"/>
        </w:rPr>
        <w:t>安全管理目标</w:t>
      </w:r>
    </w:p>
    <w:p w14:paraId="7D8E67ED">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7.2 </w:t>
      </w:r>
      <w:r>
        <w:rPr>
          <w:rFonts w:hint="eastAsia" w:ascii="宋体" w:hAnsi="宋体" w:eastAsia="宋体" w:cs="宋体"/>
          <w:color w:val="auto"/>
          <w:sz w:val="24"/>
          <w:highlight w:val="none"/>
        </w:rPr>
        <w:t>安全管理组织机构及主要职责</w:t>
      </w:r>
    </w:p>
    <w:p w14:paraId="164142C4">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用框图表示安全管理组织机构，并简要叙述各安全管理部门及人员的主要职责。</w:t>
      </w:r>
    </w:p>
    <w:p w14:paraId="0B826ADA">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7.3 </w:t>
      </w:r>
      <w:r>
        <w:rPr>
          <w:rFonts w:hint="eastAsia" w:ascii="宋体" w:hAnsi="宋体" w:eastAsia="宋体" w:cs="宋体"/>
          <w:color w:val="auto"/>
          <w:sz w:val="24"/>
          <w:highlight w:val="none"/>
        </w:rPr>
        <w:t>安全管理制度及办法</w:t>
      </w:r>
    </w:p>
    <w:p w14:paraId="171DF8D7">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7.4 </w:t>
      </w:r>
      <w:r>
        <w:rPr>
          <w:rFonts w:hint="eastAsia" w:ascii="宋体" w:hAnsi="宋体" w:eastAsia="宋体" w:cs="宋体"/>
          <w:color w:val="auto"/>
          <w:sz w:val="24"/>
          <w:highlight w:val="none"/>
        </w:rPr>
        <w:t>安全组织技术措施</w:t>
      </w:r>
    </w:p>
    <w:p w14:paraId="07348EA6">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针对本工程特点，分析安全薄弱环节，拟将采取的技术措施。</w:t>
      </w:r>
    </w:p>
    <w:p w14:paraId="7D228B78">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7.5 </w:t>
      </w:r>
      <w:r>
        <w:rPr>
          <w:rFonts w:hint="eastAsia" w:ascii="宋体" w:hAnsi="宋体" w:eastAsia="宋体" w:cs="宋体"/>
          <w:color w:val="auto"/>
          <w:sz w:val="24"/>
          <w:highlight w:val="none"/>
        </w:rPr>
        <w:t>重要施工方案和特殊施工工序的安全过程控制</w:t>
      </w:r>
    </w:p>
    <w:p w14:paraId="6E409BC0">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7.6 </w:t>
      </w:r>
      <w:r>
        <w:rPr>
          <w:rFonts w:hint="eastAsia" w:ascii="宋体" w:hAnsi="宋体" w:eastAsia="宋体" w:cs="宋体"/>
          <w:color w:val="auto"/>
          <w:sz w:val="24"/>
          <w:highlight w:val="none"/>
        </w:rPr>
        <w:t>严格执行《建筑施工安全检查标准》</w:t>
      </w:r>
      <w:r>
        <w:rPr>
          <w:rFonts w:ascii="宋体" w:hAnsi="宋体" w:eastAsia="宋体" w:cs="宋体"/>
          <w:color w:val="auto"/>
          <w:sz w:val="24"/>
          <w:highlight w:val="none"/>
        </w:rPr>
        <w:t>(JGJ59-2021)和省、市建设主管部门有关文明施工的规定。并按照甲方要求安排工作时间，在施工中尽量减少噪音，必要时采取有效的隔音措施，混凝土浇灌需连续不间断作业时，按有关规定申报夜间施工许可证。</w:t>
      </w:r>
    </w:p>
    <w:p w14:paraId="65B0DEBC">
      <w:pPr>
        <w:snapToGrid w:val="0"/>
        <w:spacing w:line="440" w:lineRule="exact"/>
        <w:ind w:firstLine="424" w:firstLineChars="177"/>
        <w:rPr>
          <w:rFonts w:ascii="宋体" w:hAnsi="宋体" w:eastAsia="宋体" w:cs="宋体"/>
          <w:color w:val="auto"/>
          <w:sz w:val="24"/>
          <w:highlight w:val="none"/>
        </w:rPr>
      </w:pPr>
      <w:bookmarkStart w:id="63" w:name="_Hlt531956504"/>
      <w:r>
        <w:rPr>
          <w:rFonts w:hint="eastAsia" w:ascii="宋体" w:hAnsi="宋体" w:eastAsia="宋体" w:cs="宋体"/>
          <w:color w:val="auto"/>
          <w:sz w:val="24"/>
          <w:highlight w:val="none"/>
        </w:rPr>
        <w:t>安全生产目标：杜绝本项目施工人员重大伤亡事故。</w:t>
      </w:r>
      <w:bookmarkEnd w:id="63"/>
    </w:p>
    <w:p w14:paraId="3892655B">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文明施工目标：标准化管理。</w:t>
      </w:r>
    </w:p>
    <w:p w14:paraId="3244EB0E">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（八）环境保护及文明施工</w:t>
      </w:r>
    </w:p>
    <w:p w14:paraId="45CF0D0E">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8.1 </w:t>
      </w:r>
      <w:r>
        <w:rPr>
          <w:rFonts w:hint="eastAsia" w:ascii="宋体" w:hAnsi="宋体" w:eastAsia="宋体" w:cs="宋体"/>
          <w:color w:val="auto"/>
          <w:sz w:val="24"/>
          <w:highlight w:val="none"/>
        </w:rPr>
        <w:t>环境保护</w:t>
      </w:r>
    </w:p>
    <w:p w14:paraId="69B685B7">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分析因施工可能引起的环境保护方面的问题。</w:t>
      </w:r>
    </w:p>
    <w:p w14:paraId="5ABF407D">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8.2 </w:t>
      </w:r>
      <w:r>
        <w:rPr>
          <w:rFonts w:hint="eastAsia" w:ascii="宋体" w:hAnsi="宋体" w:eastAsia="宋体" w:cs="宋体"/>
          <w:color w:val="auto"/>
          <w:sz w:val="24"/>
          <w:highlight w:val="none"/>
        </w:rPr>
        <w:t>加强施工管理、严格保护环境</w:t>
      </w:r>
    </w:p>
    <w:p w14:paraId="3E1844ED">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提出环境保护的目标及采取的具体措施。</w:t>
      </w:r>
    </w:p>
    <w:p w14:paraId="7ED46496">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8.3 </w:t>
      </w:r>
      <w:r>
        <w:rPr>
          <w:rFonts w:hint="eastAsia" w:ascii="宋体" w:hAnsi="宋体" w:eastAsia="宋体" w:cs="宋体"/>
          <w:color w:val="auto"/>
          <w:sz w:val="24"/>
          <w:highlight w:val="none"/>
        </w:rPr>
        <w:t>文明施工的目标、组织机构和实施方案</w:t>
      </w:r>
    </w:p>
    <w:p w14:paraId="0C5B5151">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8.4 </w:t>
      </w:r>
      <w:r>
        <w:rPr>
          <w:rFonts w:hint="eastAsia" w:ascii="宋体" w:hAnsi="宋体" w:eastAsia="宋体" w:cs="宋体"/>
          <w:color w:val="auto"/>
          <w:sz w:val="24"/>
          <w:highlight w:val="none"/>
        </w:rPr>
        <w:t>文明施工考核、管理办法</w:t>
      </w:r>
    </w:p>
    <w:p w14:paraId="53EC728F">
      <w:pPr>
        <w:snapToGrid w:val="0"/>
        <w:spacing w:line="440" w:lineRule="exact"/>
        <w:ind w:firstLine="424" w:firstLineChars="177"/>
        <w:rPr>
          <w:rFonts w:ascii="宋体" w:hAnsi="宋体" w:eastAsia="宋体" w:cs="宋体"/>
          <w:color w:val="auto"/>
          <w:sz w:val="24"/>
          <w:highlight w:val="none"/>
        </w:rPr>
      </w:pPr>
      <w:r>
        <w:rPr>
          <w:rFonts w:hint="eastAsia" w:ascii="宋体" w:hAnsi="宋体" w:eastAsia="宋体" w:cs="宋体"/>
          <w:color w:val="auto"/>
          <w:sz w:val="24"/>
          <w:highlight w:val="none"/>
        </w:rPr>
        <w:t>（九）计划、统计和信息管理</w:t>
      </w:r>
    </w:p>
    <w:p w14:paraId="56E06988">
      <w:pPr>
        <w:snapToGrid w:val="0"/>
        <w:spacing w:line="440" w:lineRule="exact"/>
        <w:ind w:firstLine="424" w:firstLineChars="177"/>
        <w:rPr>
          <w:rFonts w:ascii="宋体" w:hAnsi="宋体" w:eastAsia="宋体" w:cs="宋体"/>
          <w:color w:val="auto"/>
          <w:sz w:val="24"/>
          <w:highlight w:val="none"/>
        </w:rPr>
      </w:pPr>
      <w:r>
        <w:rPr>
          <w:rFonts w:ascii="宋体" w:hAnsi="宋体" w:eastAsia="宋体" w:cs="宋体"/>
          <w:color w:val="auto"/>
          <w:sz w:val="24"/>
          <w:highlight w:val="none"/>
        </w:rPr>
        <w:t xml:space="preserve">9.1 </w:t>
      </w:r>
      <w:r>
        <w:rPr>
          <w:rFonts w:hint="eastAsia" w:ascii="宋体" w:hAnsi="宋体" w:eastAsia="宋体" w:cs="宋体"/>
          <w:color w:val="auto"/>
          <w:sz w:val="24"/>
          <w:highlight w:val="none"/>
        </w:rPr>
        <w:t>计划、统计报表的编制与传递；</w:t>
      </w:r>
    </w:p>
    <w:p w14:paraId="51DB62DB">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 xml:space="preserve">9.2 </w:t>
      </w:r>
      <w:r>
        <w:rPr>
          <w:rFonts w:hint="eastAsia" w:ascii="宋体" w:hAnsi="宋体" w:eastAsia="宋体" w:cs="宋体"/>
          <w:color w:val="auto"/>
          <w:sz w:val="24"/>
          <w:highlight w:val="none"/>
        </w:rPr>
        <w:t>信息管理</w:t>
      </w:r>
    </w:p>
    <w:p w14:paraId="13B27632">
      <w:pPr>
        <w:snapToGrid w:val="0"/>
        <w:spacing w:line="440" w:lineRule="exact"/>
        <w:ind w:firstLine="424" w:firstLineChars="177"/>
        <w:jc w:val="left"/>
        <w:rPr>
          <w:rFonts w:ascii="宋体" w:hAnsi="宋体" w:eastAsia="宋体" w:cs="宋体"/>
          <w:color w:val="auto"/>
          <w:sz w:val="24"/>
          <w:highlight w:val="none"/>
        </w:rPr>
      </w:pPr>
      <w:r>
        <w:rPr>
          <w:rFonts w:hint="eastAsia" w:ascii="宋体" w:hAnsi="宋体" w:eastAsia="宋体" w:cs="宋体"/>
          <w:color w:val="auto"/>
          <w:sz w:val="24"/>
          <w:highlight w:val="none"/>
        </w:rPr>
        <w:t>提出信息管理的目标及拟将采取的措施。</w:t>
      </w:r>
    </w:p>
    <w:p w14:paraId="5FD49A93">
      <w:pPr>
        <w:snapToGrid w:val="0"/>
        <w:spacing w:line="440" w:lineRule="exact"/>
        <w:ind w:firstLine="424" w:firstLineChars="177"/>
        <w:jc w:val="left"/>
        <w:rPr>
          <w:rFonts w:ascii="宋体" w:hAnsi="宋体" w:eastAsia="宋体" w:cs="宋体"/>
          <w:color w:val="auto"/>
          <w:sz w:val="24"/>
          <w:highlight w:val="none"/>
        </w:rPr>
      </w:pPr>
      <w:r>
        <w:rPr>
          <w:rFonts w:hint="eastAsia" w:ascii="宋体" w:hAnsi="宋体" w:eastAsia="宋体" w:cs="宋体"/>
          <w:color w:val="auto"/>
          <w:sz w:val="24"/>
          <w:highlight w:val="none"/>
        </w:rPr>
        <w:t>（十）建筑垃圾减量及利用要求</w:t>
      </w:r>
    </w:p>
    <w:p w14:paraId="40105EAA">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10.1根据《广东省建筑垃圾管理条例》，工程施工单位应当编制建筑垃圾处理方案，采取污染防治措施，并在开工前报工程所在地县级人民政府建筑垃圾主管部门备案。建筑垃圾处理方案内容有调整的，应当及时报告接受备案的部门。</w:t>
      </w:r>
    </w:p>
    <w:p w14:paraId="0AC4362C">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10.2建筑垃圾处理方案应当包括下列内容：</w:t>
      </w:r>
    </w:p>
    <w:p w14:paraId="59C323C1">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10.2.1工程概况和施工单位基本信息；</w:t>
      </w:r>
    </w:p>
    <w:p w14:paraId="2B0C6C34">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10.2.2建筑垃圾产生量与种类；</w:t>
      </w:r>
    </w:p>
    <w:p w14:paraId="72D89691">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10.2.3建筑垃圾源头减量、分类收集、综合利用、污染防治的措施和目标；</w:t>
      </w:r>
    </w:p>
    <w:p w14:paraId="20FC03EA">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10.2.4需要外运的建筑垃圾种类、数量与运输的时间、路线、方式和运输单位；</w:t>
      </w:r>
    </w:p>
    <w:p w14:paraId="1975B7C1">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10.2.5建筑垃圾回填、消纳、综合利用场所名称；</w:t>
      </w:r>
    </w:p>
    <w:p w14:paraId="751ED164">
      <w:pPr>
        <w:snapToGrid w:val="0"/>
        <w:spacing w:line="440" w:lineRule="exact"/>
        <w:ind w:firstLine="424" w:firstLineChars="177"/>
        <w:jc w:val="left"/>
        <w:rPr>
          <w:rFonts w:ascii="宋体" w:hAnsi="宋体" w:eastAsia="宋体" w:cs="宋体"/>
          <w:color w:val="auto"/>
          <w:sz w:val="24"/>
          <w:highlight w:val="none"/>
        </w:rPr>
      </w:pPr>
      <w:r>
        <w:rPr>
          <w:rFonts w:ascii="宋体" w:hAnsi="宋体" w:eastAsia="宋体" w:cs="宋体"/>
          <w:color w:val="auto"/>
          <w:sz w:val="24"/>
          <w:highlight w:val="none"/>
        </w:rPr>
        <w:t>10.2.6法律、法规规定的其他内容。</w:t>
      </w:r>
    </w:p>
    <w:p w14:paraId="1A2F1EEB">
      <w:pPr>
        <w:snapToGrid w:val="0"/>
        <w:spacing w:line="440" w:lineRule="exact"/>
        <w:ind w:firstLine="424" w:firstLineChars="177"/>
        <w:jc w:val="left"/>
        <w:rPr>
          <w:rFonts w:ascii="宋体" w:hAnsi="宋体" w:eastAsia="宋体" w:cs="宋体"/>
          <w:color w:val="auto"/>
          <w:sz w:val="24"/>
          <w:highlight w:val="none"/>
        </w:rPr>
      </w:pPr>
    </w:p>
    <w:p w14:paraId="40A97850">
      <w:pPr>
        <w:snapToGrid w:val="0"/>
        <w:spacing w:line="440" w:lineRule="exact"/>
        <w:rPr>
          <w:rFonts w:ascii="宋体" w:hAnsi="宋体" w:eastAsia="宋体" w:cs="宋体"/>
          <w:b/>
          <w:color w:val="auto"/>
          <w:sz w:val="24"/>
          <w:highlight w:val="none"/>
        </w:rPr>
      </w:pPr>
      <w:r>
        <w:rPr>
          <w:rFonts w:hint="eastAsia" w:ascii="宋体" w:hAnsi="宋体" w:eastAsia="宋体" w:cs="宋体"/>
          <w:b/>
          <w:color w:val="auto"/>
          <w:sz w:val="24"/>
          <w:highlight w:val="none"/>
        </w:rPr>
        <w:t>三、主要材料设备推荐品牌按《参考品牌》要求（另册发出）。</w:t>
      </w:r>
    </w:p>
    <w:p w14:paraId="20807730">
      <w:pPr>
        <w:snapToGrid w:val="0"/>
        <w:spacing w:line="360" w:lineRule="auto"/>
        <w:jc w:val="center"/>
        <w:rPr>
          <w:rFonts w:ascii="宋体" w:hAnsi="宋体" w:eastAsia="宋体" w:cs="宋体"/>
          <w:color w:val="auto"/>
          <w:sz w:val="24"/>
          <w:highlight w:val="none"/>
        </w:rPr>
      </w:pPr>
      <w:bookmarkStart w:id="64" w:name="_Toc9353"/>
      <w:r>
        <w:rPr>
          <w:rFonts w:ascii="宋体" w:hAnsi="宋体" w:eastAsia="宋体" w:cs="宋体"/>
          <w:color w:val="auto"/>
          <w:sz w:val="24"/>
          <w:highlight w:val="none"/>
        </w:rPr>
        <w:br w:type="page"/>
      </w:r>
    </w:p>
    <w:p w14:paraId="4CFC82B0">
      <w:pPr>
        <w:tabs>
          <w:tab w:val="left" w:pos="720"/>
        </w:tabs>
        <w:jc w:val="center"/>
        <w:rPr>
          <w:rStyle w:val="250"/>
          <w:rFonts w:ascii="宋体" w:hAnsi="宋体" w:eastAsia="宋体" w:cs="宋体"/>
          <w:color w:val="auto"/>
          <w:sz w:val="32"/>
          <w:szCs w:val="32"/>
          <w:highlight w:val="none"/>
        </w:rPr>
      </w:pPr>
      <w:r>
        <w:rPr>
          <w:rStyle w:val="250"/>
          <w:rFonts w:hint="eastAsia" w:ascii="宋体" w:hAnsi="宋体" w:eastAsia="宋体" w:cs="宋体"/>
          <w:color w:val="auto"/>
          <w:sz w:val="32"/>
          <w:szCs w:val="32"/>
          <w:highlight w:val="none"/>
        </w:rPr>
        <w:t>第六章</w:t>
      </w:r>
      <w:r>
        <w:rPr>
          <w:rStyle w:val="250"/>
          <w:rFonts w:ascii="宋体" w:hAnsi="宋体" w:eastAsia="宋体" w:cs="宋体"/>
          <w:color w:val="auto"/>
          <w:sz w:val="32"/>
          <w:szCs w:val="32"/>
          <w:highlight w:val="none"/>
        </w:rPr>
        <w:t xml:space="preserve">  </w:t>
      </w:r>
      <w:r>
        <w:rPr>
          <w:rStyle w:val="250"/>
          <w:rFonts w:hint="eastAsia" w:ascii="宋体" w:hAnsi="宋体" w:eastAsia="宋体" w:cs="宋体"/>
          <w:color w:val="auto"/>
          <w:sz w:val="32"/>
          <w:szCs w:val="32"/>
          <w:highlight w:val="none"/>
        </w:rPr>
        <w:t>图纸及勘察资料</w:t>
      </w:r>
      <w:bookmarkEnd w:id="62"/>
      <w:bookmarkEnd w:id="64"/>
    </w:p>
    <w:p w14:paraId="4AAA2C16">
      <w:pPr>
        <w:snapToGrid w:val="0"/>
        <w:spacing w:line="360" w:lineRule="auto"/>
        <w:rPr>
          <w:rFonts w:ascii="宋体" w:hAnsi="宋体" w:eastAsia="宋体" w:cs="宋体"/>
          <w:color w:val="auto"/>
          <w:sz w:val="24"/>
          <w:highlight w:val="none"/>
        </w:rPr>
      </w:pPr>
    </w:p>
    <w:p w14:paraId="53BB0A1F">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注：本章由招标人自行制定。</w:t>
      </w:r>
    </w:p>
    <w:p w14:paraId="0E5675AD">
      <w:pPr>
        <w:snapToGrid w:val="0"/>
        <w:spacing w:line="360" w:lineRule="auto"/>
        <w:jc w:val="center"/>
        <w:rPr>
          <w:rFonts w:ascii="宋体" w:hAnsi="宋体" w:eastAsia="宋体" w:cs="宋体"/>
          <w:b/>
          <w:color w:val="auto"/>
          <w:sz w:val="24"/>
          <w:highlight w:val="none"/>
        </w:rPr>
      </w:pPr>
      <w:r>
        <w:rPr>
          <w:rFonts w:hint="eastAsia" w:ascii="宋体" w:hAnsi="宋体" w:eastAsia="宋体" w:cs="宋体"/>
          <w:color w:val="auto"/>
          <w:sz w:val="24"/>
          <w:highlight w:val="none"/>
        </w:rPr>
        <w:t>（另册）</w:t>
      </w:r>
    </w:p>
    <w:p w14:paraId="36203E91">
      <w:pPr>
        <w:snapToGrid w:val="0"/>
        <w:spacing w:line="360" w:lineRule="auto"/>
        <w:ind w:firstLine="360" w:firstLineChars="150"/>
        <w:rPr>
          <w:rFonts w:ascii="宋体" w:hAnsi="宋体" w:eastAsia="宋体" w:cs="宋体"/>
          <w:color w:val="auto"/>
          <w:kern w:val="0"/>
          <w:sz w:val="24"/>
          <w:highlight w:val="none"/>
        </w:rPr>
      </w:pPr>
    </w:p>
    <w:p w14:paraId="26F7A6D8">
      <w:pPr>
        <w:snapToGrid w:val="0"/>
        <w:spacing w:line="360" w:lineRule="auto"/>
        <w:ind w:firstLine="360" w:firstLineChars="150"/>
        <w:rPr>
          <w:rFonts w:ascii="宋体" w:hAnsi="宋体" w:eastAsia="宋体" w:cs="宋体"/>
          <w:color w:val="auto"/>
          <w:kern w:val="0"/>
          <w:sz w:val="24"/>
          <w:highlight w:val="none"/>
        </w:rPr>
      </w:pPr>
    </w:p>
    <w:p w14:paraId="15F0EEFB">
      <w:pPr>
        <w:pStyle w:val="4"/>
        <w:tabs>
          <w:tab w:val="left" w:pos="0"/>
        </w:tabs>
        <w:snapToGrid w:val="0"/>
        <w:spacing w:before="0" w:after="0"/>
        <w:jc w:val="center"/>
        <w:rPr>
          <w:rStyle w:val="250"/>
          <w:rFonts w:ascii="宋体" w:hAnsi="宋体" w:eastAsia="宋体" w:cs="宋体"/>
          <w:b/>
          <w:bCs/>
          <w:color w:val="auto"/>
          <w:sz w:val="32"/>
          <w:szCs w:val="32"/>
          <w:highlight w:val="none"/>
        </w:rPr>
      </w:pPr>
      <w:r>
        <w:rPr>
          <w:rFonts w:ascii="宋体" w:hAnsi="宋体" w:eastAsia="宋体" w:cs="宋体"/>
          <w:color w:val="auto"/>
          <w:sz w:val="24"/>
          <w:highlight w:val="none"/>
        </w:rPr>
        <w:br w:type="page"/>
      </w:r>
      <w:bookmarkStart w:id="65" w:name="_Toc2272570"/>
      <w:bookmarkStart w:id="66" w:name="_Toc22481"/>
      <w:r>
        <w:rPr>
          <w:rStyle w:val="250"/>
          <w:rFonts w:hint="eastAsia" w:ascii="宋体" w:hAnsi="宋体" w:eastAsia="宋体" w:cs="宋体"/>
          <w:b/>
          <w:bCs/>
          <w:color w:val="auto"/>
          <w:sz w:val="32"/>
          <w:szCs w:val="32"/>
          <w:highlight w:val="none"/>
        </w:rPr>
        <w:t>第七章</w:t>
      </w:r>
      <w:r>
        <w:rPr>
          <w:rStyle w:val="250"/>
          <w:rFonts w:ascii="宋体" w:hAnsi="宋体" w:eastAsia="宋体" w:cs="宋体"/>
          <w:b/>
          <w:bCs/>
          <w:color w:val="auto"/>
          <w:sz w:val="32"/>
          <w:szCs w:val="32"/>
          <w:highlight w:val="none"/>
        </w:rPr>
        <w:t xml:space="preserve">  </w:t>
      </w:r>
      <w:r>
        <w:rPr>
          <w:rStyle w:val="250"/>
          <w:rFonts w:hint="eastAsia" w:ascii="宋体" w:hAnsi="宋体" w:eastAsia="宋体" w:cs="宋体"/>
          <w:b/>
          <w:bCs/>
          <w:color w:val="auto"/>
          <w:sz w:val="32"/>
          <w:szCs w:val="32"/>
          <w:highlight w:val="none"/>
        </w:rPr>
        <w:t>工程量清单</w:t>
      </w:r>
      <w:bookmarkEnd w:id="65"/>
      <w:bookmarkEnd w:id="66"/>
    </w:p>
    <w:p w14:paraId="6B323A9B">
      <w:pPr>
        <w:snapToGrid w:val="0"/>
        <w:spacing w:line="360" w:lineRule="auto"/>
        <w:rPr>
          <w:rFonts w:ascii="宋体" w:hAnsi="宋体" w:eastAsia="宋体" w:cs="宋体"/>
          <w:color w:val="auto"/>
          <w:sz w:val="24"/>
          <w:highlight w:val="none"/>
        </w:rPr>
      </w:pPr>
    </w:p>
    <w:p w14:paraId="6858926D">
      <w:pPr>
        <w:snapToGrid w:val="0"/>
        <w:spacing w:line="360" w:lineRule="auto"/>
        <w:rPr>
          <w:rFonts w:ascii="宋体" w:hAnsi="宋体" w:eastAsia="宋体" w:cs="宋体"/>
          <w:color w:val="auto"/>
          <w:sz w:val="24"/>
          <w:highlight w:val="none"/>
        </w:rPr>
      </w:pPr>
      <w:r>
        <w:rPr>
          <w:rFonts w:hint="eastAsia" w:ascii="宋体" w:hAnsi="宋体" w:eastAsia="宋体" w:cs="宋体"/>
          <w:color w:val="auto"/>
          <w:sz w:val="24"/>
          <w:highlight w:val="none"/>
        </w:rPr>
        <w:t>注：本章由招标人自行制定。</w:t>
      </w:r>
    </w:p>
    <w:p w14:paraId="66626B5D">
      <w:pPr>
        <w:snapToGrid w:val="0"/>
        <w:spacing w:line="360" w:lineRule="auto"/>
        <w:jc w:val="center"/>
        <w:rPr>
          <w:rFonts w:ascii="宋体" w:hAnsi="宋体" w:eastAsia="宋体" w:cs="宋体"/>
          <w:b/>
          <w:color w:val="auto"/>
          <w:sz w:val="24"/>
          <w:highlight w:val="none"/>
        </w:rPr>
      </w:pPr>
      <w:r>
        <w:rPr>
          <w:rFonts w:hint="eastAsia" w:ascii="宋体" w:hAnsi="宋体" w:eastAsia="宋体" w:cs="宋体"/>
          <w:color w:val="auto"/>
          <w:sz w:val="24"/>
          <w:highlight w:val="none"/>
        </w:rPr>
        <w:t>（另册）</w:t>
      </w:r>
    </w:p>
    <w:p w14:paraId="3899BCB2">
      <w:pPr>
        <w:spacing w:line="360" w:lineRule="auto"/>
        <w:jc w:val="left"/>
        <w:rPr>
          <w:rFonts w:ascii="宋体" w:hAnsi="宋体" w:eastAsia="宋体" w:cs="宋体"/>
          <w:color w:val="auto"/>
          <w:sz w:val="24"/>
          <w:szCs w:val="28"/>
          <w:highlight w:val="none"/>
        </w:rPr>
      </w:pPr>
    </w:p>
    <w:p w14:paraId="34618C65">
      <w:pPr>
        <w:spacing w:line="360" w:lineRule="auto"/>
        <w:jc w:val="left"/>
        <w:rPr>
          <w:rFonts w:ascii="宋体" w:hAnsi="宋体" w:eastAsia="宋体" w:cs="宋体"/>
          <w:color w:val="auto"/>
          <w:sz w:val="24"/>
          <w:szCs w:val="28"/>
          <w:highlight w:val="none"/>
        </w:rPr>
      </w:pPr>
    </w:p>
    <w:p w14:paraId="072A65D5">
      <w:pPr>
        <w:pStyle w:val="4"/>
        <w:tabs>
          <w:tab w:val="left" w:pos="0"/>
        </w:tabs>
        <w:snapToGrid w:val="0"/>
        <w:spacing w:before="0" w:after="0"/>
        <w:jc w:val="center"/>
        <w:rPr>
          <w:rFonts w:ascii="宋体" w:hAnsi="宋体" w:eastAsia="宋体" w:cs="宋体"/>
          <w:color w:val="auto"/>
          <w:sz w:val="24"/>
          <w:highlight w:val="none"/>
        </w:rPr>
      </w:pPr>
      <w:r>
        <w:rPr>
          <w:rFonts w:ascii="宋体" w:hAnsi="宋体" w:eastAsia="宋体" w:cs="宋体"/>
          <w:color w:val="auto"/>
          <w:sz w:val="24"/>
          <w:highlight w:val="none"/>
        </w:rPr>
        <w:br w:type="page"/>
      </w:r>
      <w:bookmarkStart w:id="67" w:name="_Toc3710"/>
      <w:bookmarkStart w:id="68" w:name="_Toc2272571"/>
      <w:r>
        <w:rPr>
          <w:rStyle w:val="250"/>
          <w:rFonts w:hint="eastAsia" w:ascii="宋体" w:hAnsi="宋体" w:eastAsia="宋体" w:cs="宋体"/>
          <w:b/>
          <w:bCs/>
          <w:color w:val="auto"/>
          <w:sz w:val="32"/>
          <w:szCs w:val="32"/>
          <w:highlight w:val="none"/>
        </w:rPr>
        <w:t>第八章</w:t>
      </w:r>
      <w:r>
        <w:rPr>
          <w:rStyle w:val="250"/>
          <w:rFonts w:ascii="宋体" w:hAnsi="宋体" w:eastAsia="宋体" w:cs="宋体"/>
          <w:b/>
          <w:bCs/>
          <w:color w:val="auto"/>
          <w:sz w:val="32"/>
          <w:szCs w:val="32"/>
          <w:highlight w:val="none"/>
        </w:rPr>
        <w:t xml:space="preserve">  </w:t>
      </w:r>
      <w:r>
        <w:rPr>
          <w:rStyle w:val="250"/>
          <w:rFonts w:hint="eastAsia" w:ascii="宋体" w:hAnsi="宋体" w:eastAsia="宋体" w:cs="宋体"/>
          <w:b/>
          <w:bCs/>
          <w:color w:val="auto"/>
          <w:sz w:val="32"/>
          <w:szCs w:val="32"/>
          <w:highlight w:val="none"/>
        </w:rPr>
        <w:t>最高投标限价</w:t>
      </w:r>
      <w:bookmarkEnd w:id="67"/>
      <w:bookmarkEnd w:id="68"/>
    </w:p>
    <w:p w14:paraId="50B8B768">
      <w:pPr>
        <w:snapToGrid w:val="0"/>
        <w:spacing w:line="360" w:lineRule="auto"/>
        <w:ind w:firstLine="480"/>
        <w:rPr>
          <w:rFonts w:ascii="宋体" w:hAnsi="宋体" w:eastAsia="宋体" w:cs="宋体"/>
          <w:color w:val="auto"/>
          <w:sz w:val="24"/>
          <w:highlight w:val="none"/>
        </w:rPr>
      </w:pPr>
    </w:p>
    <w:p w14:paraId="55600F12">
      <w:pPr>
        <w:snapToGrid w:val="0"/>
        <w:spacing w:line="360" w:lineRule="auto"/>
        <w:ind w:firstLine="480"/>
        <w:rPr>
          <w:rFonts w:ascii="宋体" w:hAnsi="宋体" w:eastAsia="宋体" w:cs="宋体"/>
          <w:color w:val="auto"/>
          <w:sz w:val="24"/>
          <w:highlight w:val="none"/>
        </w:rPr>
      </w:pPr>
      <w:r>
        <w:rPr>
          <w:rFonts w:hint="eastAsia" w:ascii="宋体" w:hAnsi="宋体" w:eastAsia="宋体" w:cs="宋体"/>
          <w:color w:val="auto"/>
          <w:sz w:val="24"/>
          <w:highlight w:val="none"/>
        </w:rPr>
        <w:t>招标人应当在发布招标文件时，公布最高投标限价的总价，分部分项工程费、措施项目费、其他项目费、规费和税金，以及</w:t>
      </w:r>
      <w:r>
        <w:rPr>
          <w:rFonts w:hint="eastAsia" w:ascii="宋体" w:hAnsi="宋体" w:eastAsia="宋体" w:cs="宋体"/>
          <w:color w:val="auto"/>
          <w:sz w:val="24"/>
          <w:highlight w:val="none"/>
        </w:rPr>
        <w:t>绿色施工安全防护措施费</w:t>
      </w:r>
      <w:r>
        <w:rPr>
          <w:rFonts w:hint="eastAsia" w:ascii="宋体" w:hAnsi="宋体" w:eastAsia="宋体" w:cs="宋体"/>
          <w:color w:val="auto"/>
          <w:sz w:val="24"/>
          <w:highlight w:val="none"/>
        </w:rPr>
        <w:t>、暂列金额等投标人不可竞争的固定报价。</w:t>
      </w:r>
    </w:p>
    <w:p w14:paraId="460819CC">
      <w:pPr>
        <w:snapToGrid w:val="0"/>
        <w:spacing w:line="360" w:lineRule="auto"/>
        <w:jc w:val="center"/>
        <w:rPr>
          <w:rFonts w:ascii="宋体" w:hAnsi="宋体" w:eastAsia="宋体" w:cs="宋体"/>
          <w:color w:val="auto"/>
          <w:sz w:val="24"/>
          <w:highlight w:val="none"/>
          <w:u w:val="single"/>
        </w:rPr>
      </w:pPr>
      <w:r>
        <w:rPr>
          <w:rFonts w:hint="eastAsia" w:ascii="宋体" w:hAnsi="宋体" w:eastAsia="宋体" w:cs="宋体"/>
          <w:color w:val="auto"/>
          <w:sz w:val="24"/>
          <w:highlight w:val="none"/>
          <w:u w:val="single"/>
        </w:rPr>
        <w:t>（另册）</w:t>
      </w:r>
    </w:p>
    <w:p w14:paraId="2180D83B">
      <w:pPr>
        <w:snapToGrid w:val="0"/>
        <w:spacing w:line="360" w:lineRule="auto"/>
        <w:ind w:firstLine="480"/>
        <w:rPr>
          <w:rFonts w:ascii="宋体" w:hAnsi="宋体" w:eastAsia="宋体" w:cs="宋体"/>
          <w:color w:val="auto"/>
          <w:sz w:val="24"/>
          <w:highlight w:val="none"/>
          <w:u w:val="single"/>
        </w:rPr>
      </w:pPr>
    </w:p>
    <w:p w14:paraId="67236C77">
      <w:pPr>
        <w:snapToGrid w:val="0"/>
        <w:spacing w:line="360" w:lineRule="auto"/>
        <w:rPr>
          <w:rFonts w:ascii="宋体" w:hAnsi="宋体" w:eastAsia="宋体" w:cs="宋体"/>
          <w:color w:val="auto"/>
          <w:highlight w:val="none"/>
        </w:rPr>
      </w:pPr>
    </w:p>
    <w:p w14:paraId="4EF18A77">
      <w:pPr>
        <w:snapToGrid w:val="0"/>
        <w:spacing w:line="360" w:lineRule="auto"/>
        <w:rPr>
          <w:rFonts w:ascii="宋体" w:hAnsi="宋体" w:eastAsia="宋体" w:cs="宋体"/>
          <w:color w:val="auto"/>
          <w:highlight w:val="none"/>
        </w:rPr>
      </w:pPr>
    </w:p>
    <w:p w14:paraId="60D2D6D6">
      <w:pPr>
        <w:rPr>
          <w:rFonts w:ascii="宋体" w:hAnsi="宋体" w:eastAsia="宋体" w:cs="宋体"/>
          <w:color w:val="auto"/>
          <w:highlight w:val="none"/>
        </w:rPr>
      </w:pPr>
    </w:p>
    <w:p w14:paraId="4416E2E1">
      <w:pPr>
        <w:rPr>
          <w:color w:val="auto"/>
          <w:highlight w:val="none"/>
        </w:rPr>
      </w:pPr>
    </w:p>
    <w:sectPr>
      <w:pgSz w:w="11906" w:h="16838"/>
      <w:pgMar w:top="1440" w:right="1440" w:bottom="1440" w:left="1440" w:header="851" w:footer="992" w:gutter="0"/>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1EF27F5C-E032-41AA-95FA-A51F26EBBB9B}"/>
  </w:font>
  <w:font w:name="黑体">
    <w:panose1 w:val="02010609060101010101"/>
    <w:charset w:val="86"/>
    <w:family w:val="auto"/>
    <w:pitch w:val="default"/>
    <w:sig w:usb0="800002BF" w:usb1="38CF7CFA" w:usb2="00000016" w:usb3="00000000" w:csb0="00040001" w:csb1="00000000"/>
    <w:embedRegular r:id="rId2" w:fontKey="{191DD208-E25A-4C45-8C40-C8D6D205241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汉仪正圆 55简">
    <w:altName w:val="宋体"/>
    <w:panose1 w:val="00000000000000000000"/>
    <w:charset w:val="86"/>
    <w:family w:val="auto"/>
    <w:pitch w:val="default"/>
    <w:sig w:usb0="00000000" w:usb1="00000000" w:usb2="00000016" w:usb3="00000000" w:csb0="0004009F" w:csb1="00000000"/>
    <w:embedRegular r:id="rId3" w:fontKey="{4738CCCB-AC62-44E9-B31F-7927C18668FC}"/>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embedRegular r:id="rId4" w:fontKey="{AC267A95-6C68-4DEB-BD94-697814E255CE}"/>
  </w:font>
  <w:font w:name="仿宋">
    <w:panose1 w:val="02010609060101010101"/>
    <w:charset w:val="86"/>
    <w:family w:val="modern"/>
    <w:pitch w:val="default"/>
    <w:sig w:usb0="800002BF" w:usb1="38CF7CFA" w:usb2="00000016" w:usb3="00000000" w:csb0="00040001" w:csb1="00000000"/>
    <w:embedRegular r:id="rId5" w:fontKey="{BBA9309C-1CC9-4B48-8F8F-5691025F8756}"/>
  </w:font>
  <w:font w:name="Tahoma">
    <w:panose1 w:val="020B0604030504040204"/>
    <w:charset w:val="00"/>
    <w:family w:val="swiss"/>
    <w:pitch w:val="default"/>
    <w:sig w:usb0="E1002EFF" w:usb1="C000605B" w:usb2="00000029" w:usb3="00000000" w:csb0="200101FF" w:csb1="20280000"/>
  </w:font>
  <w:font w:name="方正大标宋简体">
    <w:altName w:val="微软雅黑"/>
    <w:panose1 w:val="00000000000000000000"/>
    <w:charset w:val="86"/>
    <w:family w:val="script"/>
    <w:pitch w:val="default"/>
    <w:sig w:usb0="00000000" w:usb1="00000000" w:usb2="00000000" w:usb3="00000000" w:csb0="00040000" w:csb1="00000000"/>
    <w:embedRegular r:id="rId6" w:fontKey="{72B83D2D-8E95-4BDE-9B07-FF6FD8F8F1FD}"/>
  </w:font>
  <w:font w:name="微软雅黑">
    <w:panose1 w:val="020B0503020204020204"/>
    <w:charset w:val="86"/>
    <w:family w:val="swiss"/>
    <w:pitch w:val="default"/>
    <w:sig w:usb0="80000287" w:usb1="280F3C52" w:usb2="00000016" w:usb3="00000000" w:csb0="0004001F" w:csb1="00000000"/>
    <w:embedRegular r:id="rId7" w:fontKey="{BB7C29D6-49A1-4945-AA5A-CC070F96BCC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AF52D">
    <w:pPr>
      <w:pStyle w:val="56"/>
      <w:ind w:firstLine="392"/>
      <w:rPr>
        <w:rStyle w:val="234"/>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11A25">
    <w:pPr>
      <w:pStyle w:val="56"/>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AC77D">
    <w:pPr>
      <w:pStyle w:val="56"/>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396875" cy="311150"/>
              <wp:effectExtent l="0" t="0" r="0" b="0"/>
              <wp:wrapNone/>
              <wp:docPr id="6" name="文本框 1"/>
              <wp:cNvGraphicFramePr/>
              <a:graphic xmlns:a="http://schemas.openxmlformats.org/drawingml/2006/main">
                <a:graphicData uri="http://schemas.microsoft.com/office/word/2010/wordprocessingShape">
                  <wps:wsp>
                    <wps:cNvSpPr txBox="1"/>
                    <wps:spPr>
                      <a:xfrm>
                        <a:off x="0" y="0"/>
                        <a:ext cx="396875" cy="311150"/>
                      </a:xfrm>
                      <a:prstGeom prst="rect">
                        <a:avLst/>
                      </a:prstGeom>
                      <a:noFill/>
                      <a:ln>
                        <a:noFill/>
                      </a:ln>
                      <a:effectLst/>
                    </wps:spPr>
                    <wps:txbx>
                      <w:txbxContent>
                        <w:p w14:paraId="7C52073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wps:txbx>
                    <wps:bodyPr wrap="square" lIns="0" tIns="0" rIns="0" bIns="0" anchor="t" anchorCtr="0" upright="1"/>
                  </wps:wsp>
                </a:graphicData>
              </a:graphic>
            </wp:anchor>
          </w:drawing>
        </mc:Choice>
        <mc:Fallback>
          <w:pict>
            <v:shape id="文本框 1" o:spid="_x0000_s1026" o:spt="202" type="#_x0000_t202" style="position:absolute;left:0pt;margin-top:0pt;height:24.5pt;width:31.25pt;mso-position-horizontal:center;mso-position-horizontal-relative:margin;z-index:251659264;mso-width-relative:page;mso-height-relative:page;" filled="f" stroked="f" coordsize="21600,21600" o:gfxdata="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qckEHUAAAAAwEAAA8AAAAAAAAAAQAgAAAA&#10;IgAAAGRycy9kb3ducmV2LnhtbFBLAQIUABQAAAAIAIdO4kDxHJQ61gEAAKYDAAAOAAAAAAAAAAEA&#10;IAAAACMBAABkcnMvZTJvRG9jLnhtbFBLBQYAAAAABgAGAFkBAABrBQAAAAA=&#10;">
              <v:fill on="f" focussize="0,0"/>
              <v:stroke on="f"/>
              <v:imagedata o:title=""/>
              <o:lock v:ext="edit" aspectratio="f"/>
              <v:textbox inset="0mm,0mm,0mm,0mm">
                <w:txbxContent>
                  <w:p w14:paraId="7C520730">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76</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76E3A">
    <w:pPr>
      <w:pStyle w:val="56"/>
      <w:ind w:firstLine="392"/>
      <w:rPr>
        <w:rStyle w:val="234"/>
      </w:rPr>
    </w:pPr>
    <w:r>
      <w:fldChar w:fldCharType="begin"/>
    </w:r>
    <w:r>
      <w:rPr>
        <w:rStyle w:val="234"/>
      </w:rPr>
      <w:instrText xml:space="preserve">PAGE  </w:instrText>
    </w:r>
    <w:r>
      <w:fldChar w:fldCharType="separate"/>
    </w:r>
    <w:r>
      <w:rPr>
        <w:rStyle w:val="234"/>
        <w:rFonts w:hint="eastAsia"/>
      </w:rPr>
      <w:t>一</w:t>
    </w:r>
    <w:r>
      <w:rPr>
        <w:rStyle w:val="234"/>
      </w:rPr>
      <w:t>–2</w:t>
    </w:r>
    <w:r>
      <w:fldChar w:fldCharType="end"/>
    </w:r>
  </w:p>
  <w:p w14:paraId="446F424F">
    <w:pPr>
      <w:pStyle w:val="56"/>
      <w:ind w:firstLine="392"/>
    </w:pPr>
    <w: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7C60A">
    <w:pPr>
      <w:pStyle w:val="56"/>
      <w:ind w:firstLine="39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065560">
    <w:pPr>
      <w:pStyle w:val="5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660F2">
                          <w:pPr>
                            <w:pStyle w:val="5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fill on="f" focussize="0,0"/>
              <v:stroke on="f" weight="0.5pt"/>
              <v:imagedata o:title=""/>
              <o:lock v:ext="edit" aspectratio="f"/>
              <v:textbox inset="0mm,0mm,0mm,0mm" style="mso-fit-shape-to-text:t;">
                <w:txbxContent>
                  <w:p w14:paraId="02E660F2">
                    <w:pPr>
                      <w:pStyle w:val="5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D38F5">
    <w:pPr>
      <w:pStyle w:val="56"/>
      <w:jc w:val="center"/>
    </w:pPr>
    <w:r>
      <w:fldChar w:fldCharType="begin"/>
    </w:r>
    <w:r>
      <w:instrText xml:space="preserve"> PAGE   \* MERGEFORMAT </w:instrText>
    </w:r>
    <w:r>
      <w:fldChar w:fldCharType="separate"/>
    </w:r>
    <w:r>
      <w:rPr>
        <w:lang w:val="zh-CN"/>
      </w:rPr>
      <w:t>51</w:t>
    </w:r>
    <w:r>
      <w:rPr>
        <w:lang w:val="zh-C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3E0C9">
    <w:pPr>
      <w:pStyle w:val="56"/>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AF00C1">
                          <w:pPr>
                            <w:pStyle w:val="56"/>
                            <w:jc w:val="center"/>
                          </w:pPr>
                          <w:r>
                            <w:fldChar w:fldCharType="begin"/>
                          </w:r>
                          <w:r>
                            <w:instrText xml:space="preserve"> PAGE   \* MERGEFORMAT </w:instrText>
                          </w:r>
                          <w:r>
                            <w:fldChar w:fldCharType="separate"/>
                          </w:r>
                          <w:r>
                            <w:rPr>
                              <w:lang w:val="zh-CN"/>
                            </w:rPr>
                            <w:t>63</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rd1wwq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Mrd1wwqAgAAVwQAAA4AAAAAAAAAAQAgAAAAHwEAAGRycy9lMm9Eb2MueG1sUEsFBgAAAAAGAAYA&#10;WQEAALsFAAAAAA==&#10;">
              <v:fill on="f" focussize="0,0"/>
              <v:stroke on="f" weight="0.5pt"/>
              <v:imagedata o:title=""/>
              <o:lock v:ext="edit" aspectratio="f"/>
              <v:textbox inset="0mm,0mm,0mm,0mm" style="mso-fit-shape-to-text:t;">
                <w:txbxContent>
                  <w:p w14:paraId="66AF00C1">
                    <w:pPr>
                      <w:pStyle w:val="56"/>
                      <w:jc w:val="center"/>
                    </w:pPr>
                    <w:r>
                      <w:fldChar w:fldCharType="begin"/>
                    </w:r>
                    <w:r>
                      <w:instrText xml:space="preserve"> PAGE   \* MERGEFORMAT </w:instrText>
                    </w:r>
                    <w:r>
                      <w:fldChar w:fldCharType="separate"/>
                    </w:r>
                    <w:r>
                      <w:rPr>
                        <w:lang w:val="zh-CN"/>
                      </w:rPr>
                      <w:t>63</w:t>
                    </w:r>
                    <w:r>
                      <w:rPr>
                        <w:lang w:val="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0E44C8">
    <w:pPr>
      <w:pStyle w:val="56"/>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B9ACC">
                          <w:pPr>
                            <w:pStyle w:val="56"/>
                            <w:jc w:val="center"/>
                          </w:pPr>
                          <w:r>
                            <w:fldChar w:fldCharType="begin"/>
                          </w:r>
                          <w:r>
                            <w:instrText xml:space="preserve"> PAGE   \* MERGEFORMAT </w:instrText>
                          </w:r>
                          <w:r>
                            <w:fldChar w:fldCharType="separate"/>
                          </w:r>
                          <w:r>
                            <w:rPr>
                              <w:lang w:val="zh-CN"/>
                            </w:rPr>
                            <w:t>74</w:t>
                          </w:r>
                          <w:r>
                            <w:rPr>
                              <w:lang w:val="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267B9ACC">
                    <w:pPr>
                      <w:pStyle w:val="56"/>
                      <w:jc w:val="center"/>
                    </w:pPr>
                    <w:r>
                      <w:fldChar w:fldCharType="begin"/>
                    </w:r>
                    <w:r>
                      <w:instrText xml:space="preserve"> PAGE   \* MERGEFORMAT </w:instrText>
                    </w:r>
                    <w:r>
                      <w:fldChar w:fldCharType="separate"/>
                    </w:r>
                    <w:r>
                      <w:rPr>
                        <w:lang w:val="zh-CN"/>
                      </w:rPr>
                      <w:t>74</w:t>
                    </w:r>
                    <w:r>
                      <w:rPr>
                        <w:lang w:val="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9DB5C">
    <w:pPr>
      <w:pStyle w:val="56"/>
      <w:jc w:val="center"/>
    </w:pPr>
    <w:r>
      <w:fldChar w:fldCharType="begin"/>
    </w:r>
    <w:r>
      <w:instrText xml:space="preserve"> PAGE   \* MERGEFORMAT </w:instrText>
    </w:r>
    <w:r>
      <w:fldChar w:fldCharType="separate"/>
    </w:r>
    <w:r>
      <w:t>75</w:t>
    </w:r>
    <w:r>
      <w:fldChar w:fldCharType="end"/>
    </w:r>
  </w:p>
  <w:p w14:paraId="4AE9AE63">
    <w:pPr>
      <w:pStyle w:val="56"/>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BC6574">
    <w:pPr>
      <w:pStyle w:val="5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6982">
    <w:pPr>
      <w:pStyle w:val="58"/>
      <w:ind w:firstLine="392"/>
    </w:pPr>
    <w:r>
      <w:rPr>
        <w:rFonts w:hint="eastAsia"/>
      </w:rPr>
      <w:t>横枝岗路道路排水改造工程招标文件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B8D304">
    <w:pPr>
      <w:pStyle w:val="5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FA645">
    <w:pPr>
      <w:pStyle w:val="5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758C8E">
    <w:pPr>
      <w:pStyle w:val="5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613D0F">
    <w:pPr>
      <w:pStyle w:val="5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D12158"/>
    <w:multiLevelType w:val="singleLevel"/>
    <w:tmpl w:val="90D12158"/>
    <w:lvl w:ilvl="0" w:tentative="0">
      <w:start w:val="1"/>
      <w:numFmt w:val="bullet"/>
      <w:pStyle w:val="18"/>
      <w:lvlText w:val=""/>
      <w:lvlJc w:val="left"/>
      <w:pPr>
        <w:tabs>
          <w:tab w:val="left" w:pos="1620"/>
        </w:tabs>
        <w:ind w:left="1620" w:hanging="360"/>
      </w:pPr>
      <w:rPr>
        <w:rFonts w:hint="default" w:ascii="Wingdings" w:hAnsi="Wingdings"/>
      </w:rPr>
    </w:lvl>
  </w:abstractNum>
  <w:abstractNum w:abstractNumId="1">
    <w:nsid w:val="D6FAFE41"/>
    <w:multiLevelType w:val="singleLevel"/>
    <w:tmpl w:val="D6FAFE41"/>
    <w:lvl w:ilvl="0" w:tentative="0">
      <w:start w:val="1"/>
      <w:numFmt w:val="decimal"/>
      <w:pStyle w:val="48"/>
      <w:lvlText w:val="%1."/>
      <w:lvlJc w:val="left"/>
      <w:pPr>
        <w:tabs>
          <w:tab w:val="left" w:pos="1620"/>
        </w:tabs>
        <w:ind w:left="1620" w:hanging="360"/>
      </w:pPr>
    </w:lvl>
  </w:abstractNum>
  <w:abstractNum w:abstractNumId="2">
    <w:nsid w:val="DC649B7E"/>
    <w:multiLevelType w:val="singleLevel"/>
    <w:tmpl w:val="DC649B7E"/>
    <w:lvl w:ilvl="0" w:tentative="0">
      <w:start w:val="1"/>
      <w:numFmt w:val="chineseCounting"/>
      <w:suff w:val="nothing"/>
      <w:lvlText w:val="%1、"/>
      <w:lvlJc w:val="left"/>
      <w:rPr>
        <w:rFonts w:hint="eastAsia"/>
      </w:rPr>
    </w:lvl>
  </w:abstractNum>
  <w:abstractNum w:abstractNumId="3">
    <w:nsid w:val="DC78CE72"/>
    <w:multiLevelType w:val="singleLevel"/>
    <w:tmpl w:val="DC78CE72"/>
    <w:lvl w:ilvl="0" w:tentative="0">
      <w:start w:val="1"/>
      <w:numFmt w:val="decimal"/>
      <w:pStyle w:val="455"/>
      <w:lvlText w:val="[%1]"/>
      <w:lvlJc w:val="left"/>
      <w:pPr>
        <w:tabs>
          <w:tab w:val="left" w:pos="420"/>
        </w:tabs>
        <w:ind w:left="425" w:hanging="425"/>
      </w:pPr>
      <w:rPr>
        <w:rFonts w:hint="default"/>
      </w:rPr>
    </w:lvl>
  </w:abstractNum>
  <w:abstractNum w:abstractNumId="4">
    <w:nsid w:val="EC67CF0B"/>
    <w:multiLevelType w:val="singleLevel"/>
    <w:tmpl w:val="EC67CF0B"/>
    <w:lvl w:ilvl="0" w:tentative="0">
      <w:start w:val="1"/>
      <w:numFmt w:val="bullet"/>
      <w:pStyle w:val="47"/>
      <w:lvlText w:val=""/>
      <w:lvlJc w:val="left"/>
      <w:pPr>
        <w:tabs>
          <w:tab w:val="left" w:pos="2040"/>
        </w:tabs>
        <w:ind w:left="2040" w:hanging="360"/>
      </w:pPr>
      <w:rPr>
        <w:rFonts w:hint="default" w:ascii="Wingdings" w:hAnsi="Wingdings"/>
      </w:rPr>
    </w:lvl>
  </w:abstractNum>
  <w:abstractNum w:abstractNumId="5">
    <w:nsid w:val="EF81268F"/>
    <w:multiLevelType w:val="singleLevel"/>
    <w:tmpl w:val="EF81268F"/>
    <w:lvl w:ilvl="0" w:tentative="0">
      <w:start w:val="1"/>
      <w:numFmt w:val="decimal"/>
      <w:pStyle w:val="459"/>
      <w:suff w:val="space"/>
      <w:lvlText w:val="图%1"/>
      <w:lvlJc w:val="left"/>
      <w:pPr>
        <w:ind w:left="425" w:hanging="425"/>
      </w:pPr>
      <w:rPr>
        <w:rFonts w:hint="default"/>
      </w:rPr>
    </w:lvl>
  </w:abstractNum>
  <w:abstractNum w:abstractNumId="6">
    <w:nsid w:val="00000004"/>
    <w:multiLevelType w:val="multilevel"/>
    <w:tmpl w:val="0000000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6"/>
    <w:multiLevelType w:val="singleLevel"/>
    <w:tmpl w:val="00000006"/>
    <w:lvl w:ilvl="0" w:tentative="0">
      <w:start w:val="1"/>
      <w:numFmt w:val="decimal"/>
      <w:suff w:val="nothing"/>
      <w:lvlText w:val="（%1）"/>
      <w:lvlJc w:val="left"/>
    </w:lvl>
  </w:abstractNum>
  <w:abstractNum w:abstractNumId="8">
    <w:nsid w:val="00000009"/>
    <w:multiLevelType w:val="singleLevel"/>
    <w:tmpl w:val="00000009"/>
    <w:lvl w:ilvl="0" w:tentative="0">
      <w:start w:val="1"/>
      <w:numFmt w:val="decimal"/>
      <w:suff w:val="nothing"/>
      <w:lvlText w:val="（%1）"/>
      <w:lvlJc w:val="left"/>
    </w:lvl>
  </w:abstractNum>
  <w:abstractNum w:abstractNumId="9">
    <w:nsid w:val="0000000C"/>
    <w:multiLevelType w:val="singleLevel"/>
    <w:tmpl w:val="0000000C"/>
    <w:lvl w:ilvl="0" w:tentative="0">
      <w:start w:val="1"/>
      <w:numFmt w:val="decimal"/>
      <w:suff w:val="nothing"/>
      <w:lvlText w:val="（%1）"/>
      <w:lvlJc w:val="left"/>
    </w:lvl>
  </w:abstractNum>
  <w:abstractNum w:abstractNumId="10">
    <w:nsid w:val="00000010"/>
    <w:multiLevelType w:val="multilevel"/>
    <w:tmpl w:val="00000010"/>
    <w:lvl w:ilvl="0" w:tentative="0">
      <w:start w:val="1"/>
      <w:numFmt w:val="decimal"/>
      <w:lvlText w:val="（%1）"/>
      <w:lvlJc w:val="left"/>
      <w:pPr>
        <w:ind w:left="1080" w:hanging="720"/>
      </w:pPr>
      <w:rPr>
        <w:rFonts w:hint="default"/>
        <w:color w:val="000000"/>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1">
    <w:nsid w:val="01BB16A0"/>
    <w:multiLevelType w:val="singleLevel"/>
    <w:tmpl w:val="01BB16A0"/>
    <w:lvl w:ilvl="0" w:tentative="0">
      <w:start w:val="4"/>
      <w:numFmt w:val="chineseCounting"/>
      <w:suff w:val="space"/>
      <w:lvlText w:val="第%1部分"/>
      <w:lvlJc w:val="left"/>
      <w:rPr>
        <w:rFonts w:hint="eastAsia"/>
      </w:rPr>
    </w:lvl>
  </w:abstractNum>
  <w:abstractNum w:abstractNumId="12">
    <w:nsid w:val="0382B6CA"/>
    <w:multiLevelType w:val="singleLevel"/>
    <w:tmpl w:val="0382B6CA"/>
    <w:lvl w:ilvl="0" w:tentative="0">
      <w:start w:val="1"/>
      <w:numFmt w:val="decimal"/>
      <w:pStyle w:val="458"/>
      <w:suff w:val="space"/>
      <w:lvlText w:val="表%1"/>
      <w:lvlJc w:val="left"/>
      <w:pPr>
        <w:ind w:left="425" w:hanging="425"/>
      </w:pPr>
      <w:rPr>
        <w:rFonts w:hint="default"/>
      </w:rPr>
    </w:lvl>
  </w:abstractNum>
  <w:abstractNum w:abstractNumId="13">
    <w:nsid w:val="12D298AE"/>
    <w:multiLevelType w:val="singleLevel"/>
    <w:tmpl w:val="12D298AE"/>
    <w:lvl w:ilvl="0" w:tentative="0">
      <w:start w:val="1"/>
      <w:numFmt w:val="decimal"/>
      <w:pStyle w:val="15"/>
      <w:lvlText w:val="%1."/>
      <w:lvlJc w:val="left"/>
      <w:pPr>
        <w:tabs>
          <w:tab w:val="left" w:pos="780"/>
        </w:tabs>
        <w:ind w:left="780" w:hanging="360"/>
      </w:pPr>
    </w:lvl>
  </w:abstractNum>
  <w:abstractNum w:abstractNumId="14">
    <w:nsid w:val="14181B7E"/>
    <w:multiLevelType w:val="singleLevel"/>
    <w:tmpl w:val="14181B7E"/>
    <w:lvl w:ilvl="0" w:tentative="0">
      <w:start w:val="1"/>
      <w:numFmt w:val="decimal"/>
      <w:suff w:val="nothing"/>
      <w:lvlText w:val="%1、"/>
      <w:lvlJc w:val="left"/>
    </w:lvl>
  </w:abstractNum>
  <w:abstractNum w:abstractNumId="15">
    <w:nsid w:val="22B4D954"/>
    <w:multiLevelType w:val="singleLevel"/>
    <w:tmpl w:val="22B4D954"/>
    <w:lvl w:ilvl="0" w:tentative="0">
      <w:start w:val="1"/>
      <w:numFmt w:val="decimal"/>
      <w:pStyle w:val="21"/>
      <w:lvlText w:val="%1."/>
      <w:lvlJc w:val="left"/>
      <w:pPr>
        <w:tabs>
          <w:tab w:val="left" w:pos="360"/>
        </w:tabs>
        <w:ind w:left="360" w:hanging="360"/>
      </w:pPr>
    </w:lvl>
  </w:abstractNum>
  <w:abstractNum w:abstractNumId="16">
    <w:nsid w:val="3F3DD94F"/>
    <w:multiLevelType w:val="singleLevel"/>
    <w:tmpl w:val="3F3DD94F"/>
    <w:lvl w:ilvl="0" w:tentative="0">
      <w:start w:val="1"/>
      <w:numFmt w:val="decimal"/>
      <w:pStyle w:val="37"/>
      <w:lvlText w:val="%1."/>
      <w:lvlJc w:val="left"/>
      <w:pPr>
        <w:tabs>
          <w:tab w:val="left" w:pos="1200"/>
        </w:tabs>
        <w:ind w:left="1200" w:hanging="360"/>
      </w:pPr>
    </w:lvl>
  </w:abstractNum>
  <w:abstractNum w:abstractNumId="17">
    <w:nsid w:val="417E679F"/>
    <w:multiLevelType w:val="singleLevel"/>
    <w:tmpl w:val="417E679F"/>
    <w:lvl w:ilvl="0" w:tentative="0">
      <w:start w:val="1"/>
      <w:numFmt w:val="decimal"/>
      <w:pStyle w:val="66"/>
      <w:lvlText w:val="%1."/>
      <w:lvlJc w:val="left"/>
      <w:pPr>
        <w:tabs>
          <w:tab w:val="left" w:pos="2040"/>
        </w:tabs>
        <w:ind w:left="2040" w:hanging="360"/>
      </w:pPr>
    </w:lvl>
  </w:abstractNum>
  <w:abstractNum w:abstractNumId="18">
    <w:nsid w:val="5F4F22E9"/>
    <w:multiLevelType w:val="singleLevel"/>
    <w:tmpl w:val="5F4F22E9"/>
    <w:lvl w:ilvl="0" w:tentative="0">
      <w:start w:val="1"/>
      <w:numFmt w:val="bullet"/>
      <w:pStyle w:val="25"/>
      <w:lvlText w:val=""/>
      <w:lvlJc w:val="left"/>
      <w:pPr>
        <w:tabs>
          <w:tab w:val="left" w:pos="360"/>
        </w:tabs>
        <w:ind w:left="360" w:hanging="360"/>
      </w:pPr>
      <w:rPr>
        <w:rFonts w:hint="default" w:ascii="Wingdings" w:hAnsi="Wingdings"/>
      </w:rPr>
    </w:lvl>
  </w:abstractNum>
  <w:abstractNum w:abstractNumId="19">
    <w:nsid w:val="793FF840"/>
    <w:multiLevelType w:val="singleLevel"/>
    <w:tmpl w:val="793FF840"/>
    <w:lvl w:ilvl="0" w:tentative="0">
      <w:start w:val="1"/>
      <w:numFmt w:val="bullet"/>
      <w:pStyle w:val="41"/>
      <w:lvlText w:val=""/>
      <w:lvlJc w:val="left"/>
      <w:pPr>
        <w:tabs>
          <w:tab w:val="left" w:pos="780"/>
        </w:tabs>
        <w:ind w:left="780" w:hanging="360"/>
      </w:pPr>
      <w:rPr>
        <w:rFonts w:hint="default" w:ascii="Wingdings" w:hAnsi="Wingdings"/>
      </w:rPr>
    </w:lvl>
  </w:abstractNum>
  <w:abstractNum w:abstractNumId="20">
    <w:nsid w:val="7B9DAE66"/>
    <w:multiLevelType w:val="singleLevel"/>
    <w:tmpl w:val="7B9DAE66"/>
    <w:lvl w:ilvl="0" w:tentative="0">
      <w:start w:val="1"/>
      <w:numFmt w:val="bullet"/>
      <w:pStyle w:val="34"/>
      <w:lvlText w:val=""/>
      <w:lvlJc w:val="left"/>
      <w:pPr>
        <w:tabs>
          <w:tab w:val="left" w:pos="1200"/>
        </w:tabs>
        <w:ind w:left="1200" w:hanging="360"/>
      </w:pPr>
      <w:rPr>
        <w:rFonts w:hint="default" w:ascii="Wingdings" w:hAnsi="Wingdings"/>
      </w:rPr>
    </w:lvl>
  </w:abstractNum>
  <w:num w:numId="1">
    <w:abstractNumId w:val="13"/>
  </w:num>
  <w:num w:numId="2">
    <w:abstractNumId w:val="0"/>
  </w:num>
  <w:num w:numId="3">
    <w:abstractNumId w:val="15"/>
  </w:num>
  <w:num w:numId="4">
    <w:abstractNumId w:val="18"/>
  </w:num>
  <w:num w:numId="5">
    <w:abstractNumId w:val="20"/>
  </w:num>
  <w:num w:numId="6">
    <w:abstractNumId w:val="16"/>
  </w:num>
  <w:num w:numId="7">
    <w:abstractNumId w:val="19"/>
  </w:num>
  <w:num w:numId="8">
    <w:abstractNumId w:val="4"/>
  </w:num>
  <w:num w:numId="9">
    <w:abstractNumId w:val="1"/>
  </w:num>
  <w:num w:numId="10">
    <w:abstractNumId w:val="17"/>
  </w:num>
  <w:num w:numId="11">
    <w:abstractNumId w:val="3"/>
  </w:num>
  <w:num w:numId="12">
    <w:abstractNumId w:val="12"/>
  </w:num>
  <w:num w:numId="13">
    <w:abstractNumId w:val="5"/>
  </w:num>
  <w:num w:numId="14">
    <w:abstractNumId w:val="9"/>
  </w:num>
  <w:num w:numId="15">
    <w:abstractNumId w:val="8"/>
  </w:num>
  <w:num w:numId="16">
    <w:abstractNumId w:val="7"/>
  </w:num>
  <w:num w:numId="17">
    <w:abstractNumId w:val="11"/>
  </w:num>
  <w:num w:numId="18">
    <w:abstractNumId w:val="14"/>
  </w:num>
  <w:num w:numId="19">
    <w:abstractNumId w:val="2"/>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hideSpellingErrors/>
  <w:documentProtection w:enforcement="0"/>
  <w:defaultTabStop w:val="420"/>
  <w:drawingGridVerticalSpacing w:val="161"/>
  <w:displayVerticalDrawingGridEvery w:val="2"/>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yMmUwMzExYmYzZWYwMjBlZGI1YzE0MmEzYzBmNjcifQ=="/>
  </w:docVars>
  <w:rsids>
    <w:rsidRoot w:val="6ECA11E3"/>
    <w:rsid w:val="00002475"/>
    <w:rsid w:val="00030BA7"/>
    <w:rsid w:val="000449B5"/>
    <w:rsid w:val="000530AA"/>
    <w:rsid w:val="00057350"/>
    <w:rsid w:val="00062E7C"/>
    <w:rsid w:val="00067699"/>
    <w:rsid w:val="00067FBC"/>
    <w:rsid w:val="000871E7"/>
    <w:rsid w:val="00087D1E"/>
    <w:rsid w:val="00090A93"/>
    <w:rsid w:val="000A2452"/>
    <w:rsid w:val="000C3AA7"/>
    <w:rsid w:val="000F540A"/>
    <w:rsid w:val="001245DC"/>
    <w:rsid w:val="00131B1D"/>
    <w:rsid w:val="00132110"/>
    <w:rsid w:val="00141BE8"/>
    <w:rsid w:val="00141CEF"/>
    <w:rsid w:val="00147CD1"/>
    <w:rsid w:val="001542C4"/>
    <w:rsid w:val="00161690"/>
    <w:rsid w:val="001659A3"/>
    <w:rsid w:val="00173B81"/>
    <w:rsid w:val="00175646"/>
    <w:rsid w:val="00181259"/>
    <w:rsid w:val="0018560A"/>
    <w:rsid w:val="001879CF"/>
    <w:rsid w:val="001A1187"/>
    <w:rsid w:val="001B5D68"/>
    <w:rsid w:val="001B7AEB"/>
    <w:rsid w:val="001D099F"/>
    <w:rsid w:val="00203BB3"/>
    <w:rsid w:val="00233F06"/>
    <w:rsid w:val="00250673"/>
    <w:rsid w:val="00251ACA"/>
    <w:rsid w:val="0025252E"/>
    <w:rsid w:val="00253DE0"/>
    <w:rsid w:val="00284D36"/>
    <w:rsid w:val="0029076A"/>
    <w:rsid w:val="002964A0"/>
    <w:rsid w:val="00296D9C"/>
    <w:rsid w:val="002A3757"/>
    <w:rsid w:val="002B40C0"/>
    <w:rsid w:val="002B44AD"/>
    <w:rsid w:val="002D5672"/>
    <w:rsid w:val="002E4C68"/>
    <w:rsid w:val="002F5F83"/>
    <w:rsid w:val="00321257"/>
    <w:rsid w:val="003336FF"/>
    <w:rsid w:val="00336010"/>
    <w:rsid w:val="00344D23"/>
    <w:rsid w:val="00362C4A"/>
    <w:rsid w:val="00363F19"/>
    <w:rsid w:val="003640F8"/>
    <w:rsid w:val="00373C25"/>
    <w:rsid w:val="0037557F"/>
    <w:rsid w:val="00376B70"/>
    <w:rsid w:val="00384C73"/>
    <w:rsid w:val="003A2B07"/>
    <w:rsid w:val="003A4132"/>
    <w:rsid w:val="003C799A"/>
    <w:rsid w:val="003D401C"/>
    <w:rsid w:val="003D5750"/>
    <w:rsid w:val="003F43B8"/>
    <w:rsid w:val="003F449A"/>
    <w:rsid w:val="00402D69"/>
    <w:rsid w:val="0042233F"/>
    <w:rsid w:val="00422EB8"/>
    <w:rsid w:val="00423FB3"/>
    <w:rsid w:val="00450B5F"/>
    <w:rsid w:val="00452661"/>
    <w:rsid w:val="00453E67"/>
    <w:rsid w:val="004747DA"/>
    <w:rsid w:val="004902F0"/>
    <w:rsid w:val="004F2A87"/>
    <w:rsid w:val="004F7BCF"/>
    <w:rsid w:val="0051206E"/>
    <w:rsid w:val="00526CE4"/>
    <w:rsid w:val="0053634E"/>
    <w:rsid w:val="00562057"/>
    <w:rsid w:val="00564A11"/>
    <w:rsid w:val="00582E03"/>
    <w:rsid w:val="00592A19"/>
    <w:rsid w:val="005A1915"/>
    <w:rsid w:val="005A3BEE"/>
    <w:rsid w:val="005B0509"/>
    <w:rsid w:val="005B5E13"/>
    <w:rsid w:val="005C078C"/>
    <w:rsid w:val="005C46DA"/>
    <w:rsid w:val="005D6564"/>
    <w:rsid w:val="005E0FDA"/>
    <w:rsid w:val="005E5BD1"/>
    <w:rsid w:val="005E69D3"/>
    <w:rsid w:val="005F137A"/>
    <w:rsid w:val="00603A57"/>
    <w:rsid w:val="006043ED"/>
    <w:rsid w:val="00606DEB"/>
    <w:rsid w:val="00607089"/>
    <w:rsid w:val="00611183"/>
    <w:rsid w:val="00613EAB"/>
    <w:rsid w:val="00623FEC"/>
    <w:rsid w:val="00642F6B"/>
    <w:rsid w:val="00651036"/>
    <w:rsid w:val="00655C14"/>
    <w:rsid w:val="0066421B"/>
    <w:rsid w:val="006705B8"/>
    <w:rsid w:val="00670D81"/>
    <w:rsid w:val="006718A3"/>
    <w:rsid w:val="00683D36"/>
    <w:rsid w:val="0068566B"/>
    <w:rsid w:val="00687853"/>
    <w:rsid w:val="00687EFC"/>
    <w:rsid w:val="006918CB"/>
    <w:rsid w:val="0069580A"/>
    <w:rsid w:val="006975F8"/>
    <w:rsid w:val="006A67E1"/>
    <w:rsid w:val="006B1747"/>
    <w:rsid w:val="006B369A"/>
    <w:rsid w:val="006C2010"/>
    <w:rsid w:val="006E00AF"/>
    <w:rsid w:val="00702174"/>
    <w:rsid w:val="00702270"/>
    <w:rsid w:val="007045EF"/>
    <w:rsid w:val="00707709"/>
    <w:rsid w:val="00722A5C"/>
    <w:rsid w:val="00733C73"/>
    <w:rsid w:val="007542BA"/>
    <w:rsid w:val="00757B52"/>
    <w:rsid w:val="00766329"/>
    <w:rsid w:val="007763C8"/>
    <w:rsid w:val="00777711"/>
    <w:rsid w:val="00793570"/>
    <w:rsid w:val="007946F9"/>
    <w:rsid w:val="007B6353"/>
    <w:rsid w:val="007C629C"/>
    <w:rsid w:val="007D07F6"/>
    <w:rsid w:val="007D1265"/>
    <w:rsid w:val="007D60C2"/>
    <w:rsid w:val="007F260F"/>
    <w:rsid w:val="008038C6"/>
    <w:rsid w:val="00822A28"/>
    <w:rsid w:val="00825DD8"/>
    <w:rsid w:val="00835A01"/>
    <w:rsid w:val="00840E97"/>
    <w:rsid w:val="00850CD1"/>
    <w:rsid w:val="00857111"/>
    <w:rsid w:val="008719AE"/>
    <w:rsid w:val="00875C7A"/>
    <w:rsid w:val="0087773F"/>
    <w:rsid w:val="00884899"/>
    <w:rsid w:val="0088634A"/>
    <w:rsid w:val="008C1090"/>
    <w:rsid w:val="008C178D"/>
    <w:rsid w:val="008D5149"/>
    <w:rsid w:val="008D61A0"/>
    <w:rsid w:val="008D6561"/>
    <w:rsid w:val="008D7252"/>
    <w:rsid w:val="008F0647"/>
    <w:rsid w:val="008F44A7"/>
    <w:rsid w:val="008F56BF"/>
    <w:rsid w:val="008F64B0"/>
    <w:rsid w:val="009020C9"/>
    <w:rsid w:val="00903CEE"/>
    <w:rsid w:val="00921E13"/>
    <w:rsid w:val="00927002"/>
    <w:rsid w:val="00931C40"/>
    <w:rsid w:val="00937917"/>
    <w:rsid w:val="009415FB"/>
    <w:rsid w:val="00945D7E"/>
    <w:rsid w:val="00950EFC"/>
    <w:rsid w:val="00962706"/>
    <w:rsid w:val="00963C17"/>
    <w:rsid w:val="009677FE"/>
    <w:rsid w:val="0097357D"/>
    <w:rsid w:val="00974BE2"/>
    <w:rsid w:val="00980F0F"/>
    <w:rsid w:val="00984671"/>
    <w:rsid w:val="009870AB"/>
    <w:rsid w:val="009971DB"/>
    <w:rsid w:val="009A3A18"/>
    <w:rsid w:val="009B4D8E"/>
    <w:rsid w:val="009C587B"/>
    <w:rsid w:val="009C61A9"/>
    <w:rsid w:val="009C6215"/>
    <w:rsid w:val="009E4998"/>
    <w:rsid w:val="009F0C83"/>
    <w:rsid w:val="00A11B2B"/>
    <w:rsid w:val="00A1716B"/>
    <w:rsid w:val="00A20298"/>
    <w:rsid w:val="00A20E19"/>
    <w:rsid w:val="00A24B21"/>
    <w:rsid w:val="00A30ACB"/>
    <w:rsid w:val="00A33DAE"/>
    <w:rsid w:val="00A44AE3"/>
    <w:rsid w:val="00A4710C"/>
    <w:rsid w:val="00A57997"/>
    <w:rsid w:val="00A60792"/>
    <w:rsid w:val="00A62687"/>
    <w:rsid w:val="00A64360"/>
    <w:rsid w:val="00A701B5"/>
    <w:rsid w:val="00A7319E"/>
    <w:rsid w:val="00A80F2E"/>
    <w:rsid w:val="00AB3CE8"/>
    <w:rsid w:val="00AC4B76"/>
    <w:rsid w:val="00AD3BAA"/>
    <w:rsid w:val="00AE214E"/>
    <w:rsid w:val="00AF316D"/>
    <w:rsid w:val="00B01335"/>
    <w:rsid w:val="00B07216"/>
    <w:rsid w:val="00B175F7"/>
    <w:rsid w:val="00B3039D"/>
    <w:rsid w:val="00B35725"/>
    <w:rsid w:val="00B40D44"/>
    <w:rsid w:val="00B45664"/>
    <w:rsid w:val="00B46088"/>
    <w:rsid w:val="00B46ABF"/>
    <w:rsid w:val="00B5276A"/>
    <w:rsid w:val="00B554A4"/>
    <w:rsid w:val="00B72F2C"/>
    <w:rsid w:val="00B90CBC"/>
    <w:rsid w:val="00BA0120"/>
    <w:rsid w:val="00BA0813"/>
    <w:rsid w:val="00BA2FA2"/>
    <w:rsid w:val="00BB6012"/>
    <w:rsid w:val="00BC6DE7"/>
    <w:rsid w:val="00BF0D9D"/>
    <w:rsid w:val="00BF132E"/>
    <w:rsid w:val="00C0644F"/>
    <w:rsid w:val="00C461C5"/>
    <w:rsid w:val="00C54D37"/>
    <w:rsid w:val="00C7344B"/>
    <w:rsid w:val="00C83C9B"/>
    <w:rsid w:val="00C92668"/>
    <w:rsid w:val="00C96234"/>
    <w:rsid w:val="00CA197C"/>
    <w:rsid w:val="00CA3ADE"/>
    <w:rsid w:val="00CC4271"/>
    <w:rsid w:val="00CC4864"/>
    <w:rsid w:val="00CC5A9C"/>
    <w:rsid w:val="00CD1790"/>
    <w:rsid w:val="00CE7840"/>
    <w:rsid w:val="00D02356"/>
    <w:rsid w:val="00D15B42"/>
    <w:rsid w:val="00D35936"/>
    <w:rsid w:val="00D404B3"/>
    <w:rsid w:val="00D42137"/>
    <w:rsid w:val="00D514CE"/>
    <w:rsid w:val="00D552BD"/>
    <w:rsid w:val="00D56B60"/>
    <w:rsid w:val="00D87BAB"/>
    <w:rsid w:val="00D939B5"/>
    <w:rsid w:val="00D95AE5"/>
    <w:rsid w:val="00D96823"/>
    <w:rsid w:val="00DC4FE8"/>
    <w:rsid w:val="00DC5358"/>
    <w:rsid w:val="00DC7FEC"/>
    <w:rsid w:val="00DD1A7B"/>
    <w:rsid w:val="00DD2BBB"/>
    <w:rsid w:val="00DE2E4F"/>
    <w:rsid w:val="00E00B5D"/>
    <w:rsid w:val="00E32FB1"/>
    <w:rsid w:val="00E46DBE"/>
    <w:rsid w:val="00E46FED"/>
    <w:rsid w:val="00E55C59"/>
    <w:rsid w:val="00E76038"/>
    <w:rsid w:val="00E856FE"/>
    <w:rsid w:val="00E97703"/>
    <w:rsid w:val="00EA1790"/>
    <w:rsid w:val="00EA5263"/>
    <w:rsid w:val="00EA580C"/>
    <w:rsid w:val="00EB1E3D"/>
    <w:rsid w:val="00EC73C3"/>
    <w:rsid w:val="00EE310D"/>
    <w:rsid w:val="00EF58DA"/>
    <w:rsid w:val="00EF601A"/>
    <w:rsid w:val="00F10B47"/>
    <w:rsid w:val="00F20F22"/>
    <w:rsid w:val="00F309C7"/>
    <w:rsid w:val="00F34728"/>
    <w:rsid w:val="00F3514E"/>
    <w:rsid w:val="00F4378A"/>
    <w:rsid w:val="00F52B2A"/>
    <w:rsid w:val="00F56310"/>
    <w:rsid w:val="00F60CAF"/>
    <w:rsid w:val="00F70157"/>
    <w:rsid w:val="00F71E90"/>
    <w:rsid w:val="00FA1E91"/>
    <w:rsid w:val="00FA41A6"/>
    <w:rsid w:val="00FC0A1E"/>
    <w:rsid w:val="00FF477D"/>
    <w:rsid w:val="012B0DF9"/>
    <w:rsid w:val="016025FC"/>
    <w:rsid w:val="019D4E55"/>
    <w:rsid w:val="01A83C46"/>
    <w:rsid w:val="01B3097E"/>
    <w:rsid w:val="01B81995"/>
    <w:rsid w:val="02182ED7"/>
    <w:rsid w:val="022C5CCC"/>
    <w:rsid w:val="02823D95"/>
    <w:rsid w:val="029562D6"/>
    <w:rsid w:val="02EF1E8A"/>
    <w:rsid w:val="04352076"/>
    <w:rsid w:val="04446019"/>
    <w:rsid w:val="048B2A85"/>
    <w:rsid w:val="04F74C3F"/>
    <w:rsid w:val="04F875A0"/>
    <w:rsid w:val="05045364"/>
    <w:rsid w:val="051C0402"/>
    <w:rsid w:val="05266D05"/>
    <w:rsid w:val="05571F68"/>
    <w:rsid w:val="057B6B0A"/>
    <w:rsid w:val="06011F07"/>
    <w:rsid w:val="06351F74"/>
    <w:rsid w:val="06950CBD"/>
    <w:rsid w:val="06B900B8"/>
    <w:rsid w:val="06C27BA7"/>
    <w:rsid w:val="07146C2B"/>
    <w:rsid w:val="0782145E"/>
    <w:rsid w:val="07867FE9"/>
    <w:rsid w:val="079E5DD1"/>
    <w:rsid w:val="07DE427B"/>
    <w:rsid w:val="07F77C97"/>
    <w:rsid w:val="080D6E43"/>
    <w:rsid w:val="082A3964"/>
    <w:rsid w:val="085D113C"/>
    <w:rsid w:val="089B79AC"/>
    <w:rsid w:val="09285B97"/>
    <w:rsid w:val="099A1FD0"/>
    <w:rsid w:val="0A081EEC"/>
    <w:rsid w:val="0A1B49A5"/>
    <w:rsid w:val="0A2544F6"/>
    <w:rsid w:val="0A4E2023"/>
    <w:rsid w:val="0A6014F4"/>
    <w:rsid w:val="0A6A568E"/>
    <w:rsid w:val="0A7D43AC"/>
    <w:rsid w:val="0AB00EA5"/>
    <w:rsid w:val="0B2A34D9"/>
    <w:rsid w:val="0B631E61"/>
    <w:rsid w:val="0B7B1FE3"/>
    <w:rsid w:val="0BC301D9"/>
    <w:rsid w:val="0BCB0E68"/>
    <w:rsid w:val="0C395792"/>
    <w:rsid w:val="0C5B233E"/>
    <w:rsid w:val="0C7B320A"/>
    <w:rsid w:val="0C8278CB"/>
    <w:rsid w:val="0CA77331"/>
    <w:rsid w:val="0CB96280"/>
    <w:rsid w:val="0CD4440C"/>
    <w:rsid w:val="0D15439D"/>
    <w:rsid w:val="0D1F07B3"/>
    <w:rsid w:val="0D47449D"/>
    <w:rsid w:val="0D4E63D6"/>
    <w:rsid w:val="0D8422D0"/>
    <w:rsid w:val="0DEB5823"/>
    <w:rsid w:val="0E9508C6"/>
    <w:rsid w:val="0EAE1EA5"/>
    <w:rsid w:val="0F0C69BC"/>
    <w:rsid w:val="0F3D2FCE"/>
    <w:rsid w:val="0F7D081D"/>
    <w:rsid w:val="100D0BBD"/>
    <w:rsid w:val="10537FDE"/>
    <w:rsid w:val="105F163C"/>
    <w:rsid w:val="10E02E12"/>
    <w:rsid w:val="115A7A4D"/>
    <w:rsid w:val="11647F5F"/>
    <w:rsid w:val="11BF336F"/>
    <w:rsid w:val="12255CD4"/>
    <w:rsid w:val="123B7E78"/>
    <w:rsid w:val="1283026C"/>
    <w:rsid w:val="128A7BF7"/>
    <w:rsid w:val="12C43AFC"/>
    <w:rsid w:val="134231CE"/>
    <w:rsid w:val="13494BFB"/>
    <w:rsid w:val="13B9388F"/>
    <w:rsid w:val="14166484"/>
    <w:rsid w:val="1484618D"/>
    <w:rsid w:val="14981C27"/>
    <w:rsid w:val="14D02C0A"/>
    <w:rsid w:val="15472268"/>
    <w:rsid w:val="15830BD9"/>
    <w:rsid w:val="159609C1"/>
    <w:rsid w:val="15B75AF7"/>
    <w:rsid w:val="15CB46A6"/>
    <w:rsid w:val="15CC6A4F"/>
    <w:rsid w:val="164026E0"/>
    <w:rsid w:val="164D02A2"/>
    <w:rsid w:val="16671CCB"/>
    <w:rsid w:val="16815D1C"/>
    <w:rsid w:val="16EA1425"/>
    <w:rsid w:val="1728413E"/>
    <w:rsid w:val="1745083A"/>
    <w:rsid w:val="174F244F"/>
    <w:rsid w:val="177C0994"/>
    <w:rsid w:val="178A7F7B"/>
    <w:rsid w:val="17AA5713"/>
    <w:rsid w:val="17BD5C5B"/>
    <w:rsid w:val="17FF34EC"/>
    <w:rsid w:val="185B3BE3"/>
    <w:rsid w:val="186A77A6"/>
    <w:rsid w:val="18A24E51"/>
    <w:rsid w:val="19866520"/>
    <w:rsid w:val="19AC22AE"/>
    <w:rsid w:val="19BA0760"/>
    <w:rsid w:val="19C3747C"/>
    <w:rsid w:val="19D662F2"/>
    <w:rsid w:val="1AE15146"/>
    <w:rsid w:val="1B0F20CB"/>
    <w:rsid w:val="1B394F38"/>
    <w:rsid w:val="1B8973D1"/>
    <w:rsid w:val="1B99757B"/>
    <w:rsid w:val="1BE13D18"/>
    <w:rsid w:val="1C2E0CC8"/>
    <w:rsid w:val="1C5B13F8"/>
    <w:rsid w:val="1C88068E"/>
    <w:rsid w:val="1D100F23"/>
    <w:rsid w:val="1D2F1B6F"/>
    <w:rsid w:val="1D34296E"/>
    <w:rsid w:val="1D430810"/>
    <w:rsid w:val="1D554B87"/>
    <w:rsid w:val="1D8D798A"/>
    <w:rsid w:val="1DD96785"/>
    <w:rsid w:val="1DFF6B1C"/>
    <w:rsid w:val="1E263889"/>
    <w:rsid w:val="1E436F14"/>
    <w:rsid w:val="1E5B7F7C"/>
    <w:rsid w:val="1E651EA7"/>
    <w:rsid w:val="1E65704C"/>
    <w:rsid w:val="1EBD055F"/>
    <w:rsid w:val="1EE753C6"/>
    <w:rsid w:val="1EEC53C1"/>
    <w:rsid w:val="1EF614DB"/>
    <w:rsid w:val="1F037ABF"/>
    <w:rsid w:val="1F0C58DF"/>
    <w:rsid w:val="1F3E6060"/>
    <w:rsid w:val="1F8025E1"/>
    <w:rsid w:val="1FBD6F7C"/>
    <w:rsid w:val="1FD50B49"/>
    <w:rsid w:val="1FEF24C5"/>
    <w:rsid w:val="1FFF1208"/>
    <w:rsid w:val="201F2242"/>
    <w:rsid w:val="203D2686"/>
    <w:rsid w:val="206636BD"/>
    <w:rsid w:val="20B274B1"/>
    <w:rsid w:val="20B816B5"/>
    <w:rsid w:val="20B932A5"/>
    <w:rsid w:val="20F766A2"/>
    <w:rsid w:val="211D31AF"/>
    <w:rsid w:val="212D7572"/>
    <w:rsid w:val="213F231A"/>
    <w:rsid w:val="21470119"/>
    <w:rsid w:val="21687C5B"/>
    <w:rsid w:val="21750403"/>
    <w:rsid w:val="217911FA"/>
    <w:rsid w:val="2184175C"/>
    <w:rsid w:val="221413B9"/>
    <w:rsid w:val="22242D54"/>
    <w:rsid w:val="223D0F38"/>
    <w:rsid w:val="223F7CBE"/>
    <w:rsid w:val="22464D3A"/>
    <w:rsid w:val="225A62E9"/>
    <w:rsid w:val="22981523"/>
    <w:rsid w:val="229B6D53"/>
    <w:rsid w:val="22B3118F"/>
    <w:rsid w:val="230D3D84"/>
    <w:rsid w:val="23241235"/>
    <w:rsid w:val="233E1DDF"/>
    <w:rsid w:val="236569E5"/>
    <w:rsid w:val="23831BB7"/>
    <w:rsid w:val="23E3562A"/>
    <w:rsid w:val="243F6D24"/>
    <w:rsid w:val="24527C03"/>
    <w:rsid w:val="247C4C34"/>
    <w:rsid w:val="24AC2947"/>
    <w:rsid w:val="24E14FCD"/>
    <w:rsid w:val="24FC3F2A"/>
    <w:rsid w:val="25040446"/>
    <w:rsid w:val="2546353E"/>
    <w:rsid w:val="254774AC"/>
    <w:rsid w:val="254F5042"/>
    <w:rsid w:val="255F65A3"/>
    <w:rsid w:val="258626E3"/>
    <w:rsid w:val="25EB1F7C"/>
    <w:rsid w:val="25F4564B"/>
    <w:rsid w:val="25F969F8"/>
    <w:rsid w:val="26123616"/>
    <w:rsid w:val="2628488E"/>
    <w:rsid w:val="26796F4A"/>
    <w:rsid w:val="26935D28"/>
    <w:rsid w:val="26A2321B"/>
    <w:rsid w:val="26A624FC"/>
    <w:rsid w:val="26AE0482"/>
    <w:rsid w:val="26BE3237"/>
    <w:rsid w:val="26CF1507"/>
    <w:rsid w:val="26D63BC5"/>
    <w:rsid w:val="271504FE"/>
    <w:rsid w:val="27262C32"/>
    <w:rsid w:val="273861E8"/>
    <w:rsid w:val="273D00F1"/>
    <w:rsid w:val="276B18D7"/>
    <w:rsid w:val="27A1606E"/>
    <w:rsid w:val="27A95429"/>
    <w:rsid w:val="27BA76BA"/>
    <w:rsid w:val="28D7460F"/>
    <w:rsid w:val="29465F48"/>
    <w:rsid w:val="29496766"/>
    <w:rsid w:val="2973448D"/>
    <w:rsid w:val="29E61671"/>
    <w:rsid w:val="2A3E56F6"/>
    <w:rsid w:val="2A633263"/>
    <w:rsid w:val="2A675350"/>
    <w:rsid w:val="2B2A5829"/>
    <w:rsid w:val="2B2C7808"/>
    <w:rsid w:val="2B4A417A"/>
    <w:rsid w:val="2BDF4B0D"/>
    <w:rsid w:val="2C2C5AB4"/>
    <w:rsid w:val="2C99503A"/>
    <w:rsid w:val="2CD06DD8"/>
    <w:rsid w:val="2D102879"/>
    <w:rsid w:val="2D14731D"/>
    <w:rsid w:val="2D413CE5"/>
    <w:rsid w:val="2D4A2D95"/>
    <w:rsid w:val="2D7B31C8"/>
    <w:rsid w:val="2D9E7E85"/>
    <w:rsid w:val="2DCE2518"/>
    <w:rsid w:val="2E0B749A"/>
    <w:rsid w:val="2E112C5C"/>
    <w:rsid w:val="2E340801"/>
    <w:rsid w:val="2E8203DE"/>
    <w:rsid w:val="2E9B2390"/>
    <w:rsid w:val="2EB27755"/>
    <w:rsid w:val="2EC863C7"/>
    <w:rsid w:val="2EFA19CE"/>
    <w:rsid w:val="2F2A2D4D"/>
    <w:rsid w:val="2F5E19D9"/>
    <w:rsid w:val="2F654979"/>
    <w:rsid w:val="2FB7406E"/>
    <w:rsid w:val="2FC751F2"/>
    <w:rsid w:val="2FD75B1D"/>
    <w:rsid w:val="2FDB1D24"/>
    <w:rsid w:val="2FEA6375"/>
    <w:rsid w:val="3010766D"/>
    <w:rsid w:val="3054538E"/>
    <w:rsid w:val="30753757"/>
    <w:rsid w:val="30D53BBD"/>
    <w:rsid w:val="31131091"/>
    <w:rsid w:val="311744A7"/>
    <w:rsid w:val="312476AC"/>
    <w:rsid w:val="313D7346"/>
    <w:rsid w:val="31C477D6"/>
    <w:rsid w:val="322B465C"/>
    <w:rsid w:val="32C06869"/>
    <w:rsid w:val="32ED471A"/>
    <w:rsid w:val="3331759D"/>
    <w:rsid w:val="33624015"/>
    <w:rsid w:val="33AB0F87"/>
    <w:rsid w:val="33BA52ED"/>
    <w:rsid w:val="33CB0C74"/>
    <w:rsid w:val="34244371"/>
    <w:rsid w:val="34E15963"/>
    <w:rsid w:val="34EF1615"/>
    <w:rsid w:val="35727C2D"/>
    <w:rsid w:val="359B0B00"/>
    <w:rsid w:val="35B212FA"/>
    <w:rsid w:val="35CD711E"/>
    <w:rsid w:val="35CE47D2"/>
    <w:rsid w:val="35CF536D"/>
    <w:rsid w:val="35D65462"/>
    <w:rsid w:val="3624775F"/>
    <w:rsid w:val="36933369"/>
    <w:rsid w:val="36A25157"/>
    <w:rsid w:val="36BD576F"/>
    <w:rsid w:val="36D36F20"/>
    <w:rsid w:val="36DB190F"/>
    <w:rsid w:val="36F823B4"/>
    <w:rsid w:val="3701042F"/>
    <w:rsid w:val="370138CA"/>
    <w:rsid w:val="371422F1"/>
    <w:rsid w:val="371D536D"/>
    <w:rsid w:val="37373A04"/>
    <w:rsid w:val="37682375"/>
    <w:rsid w:val="37ED0850"/>
    <w:rsid w:val="37F232A7"/>
    <w:rsid w:val="38136029"/>
    <w:rsid w:val="387E2D8D"/>
    <w:rsid w:val="389425B0"/>
    <w:rsid w:val="389E45F0"/>
    <w:rsid w:val="38C015D8"/>
    <w:rsid w:val="38C62993"/>
    <w:rsid w:val="391B523E"/>
    <w:rsid w:val="39595C88"/>
    <w:rsid w:val="39926182"/>
    <w:rsid w:val="39FA4B0D"/>
    <w:rsid w:val="3A0A5499"/>
    <w:rsid w:val="3A2F1883"/>
    <w:rsid w:val="3A580D71"/>
    <w:rsid w:val="3A647D60"/>
    <w:rsid w:val="3A815E0A"/>
    <w:rsid w:val="3AB14612"/>
    <w:rsid w:val="3AC6527A"/>
    <w:rsid w:val="3ADC4083"/>
    <w:rsid w:val="3ADF03A2"/>
    <w:rsid w:val="3B2B6D8A"/>
    <w:rsid w:val="3B615D4B"/>
    <w:rsid w:val="3B9F7E82"/>
    <w:rsid w:val="3BF45CEC"/>
    <w:rsid w:val="3C466D4E"/>
    <w:rsid w:val="3C525E6D"/>
    <w:rsid w:val="3C9B0F57"/>
    <w:rsid w:val="3CB03D04"/>
    <w:rsid w:val="3CB84BBF"/>
    <w:rsid w:val="3CEC0482"/>
    <w:rsid w:val="3D0C77D1"/>
    <w:rsid w:val="3D1D0C51"/>
    <w:rsid w:val="3DAE273F"/>
    <w:rsid w:val="3DD504CF"/>
    <w:rsid w:val="3DE84B6C"/>
    <w:rsid w:val="3E135CE6"/>
    <w:rsid w:val="3E475944"/>
    <w:rsid w:val="3E813523"/>
    <w:rsid w:val="3EC17D95"/>
    <w:rsid w:val="3EDC0ECC"/>
    <w:rsid w:val="3F386265"/>
    <w:rsid w:val="3F5F279F"/>
    <w:rsid w:val="3F95034C"/>
    <w:rsid w:val="3FC36E01"/>
    <w:rsid w:val="3FEA2069"/>
    <w:rsid w:val="3FEF3F72"/>
    <w:rsid w:val="4010076F"/>
    <w:rsid w:val="402406BD"/>
    <w:rsid w:val="40662CB8"/>
    <w:rsid w:val="4067023A"/>
    <w:rsid w:val="407960B9"/>
    <w:rsid w:val="40AB650D"/>
    <w:rsid w:val="40F26D3D"/>
    <w:rsid w:val="412A3AB2"/>
    <w:rsid w:val="413E4F19"/>
    <w:rsid w:val="415E375B"/>
    <w:rsid w:val="41E622FE"/>
    <w:rsid w:val="41E81BDE"/>
    <w:rsid w:val="42555758"/>
    <w:rsid w:val="425C413F"/>
    <w:rsid w:val="428B04D9"/>
    <w:rsid w:val="428D6C56"/>
    <w:rsid w:val="42A5126A"/>
    <w:rsid w:val="42CE10AD"/>
    <w:rsid w:val="42D37FA3"/>
    <w:rsid w:val="42D41AA6"/>
    <w:rsid w:val="42D572D3"/>
    <w:rsid w:val="42EB101F"/>
    <w:rsid w:val="42F52F66"/>
    <w:rsid w:val="42FB288E"/>
    <w:rsid w:val="43212B30"/>
    <w:rsid w:val="434C2340"/>
    <w:rsid w:val="434D6E78"/>
    <w:rsid w:val="43566DE0"/>
    <w:rsid w:val="435C3C0F"/>
    <w:rsid w:val="43AF5C05"/>
    <w:rsid w:val="440E6793"/>
    <w:rsid w:val="4425491B"/>
    <w:rsid w:val="448B5B41"/>
    <w:rsid w:val="44BD25D7"/>
    <w:rsid w:val="450A60D4"/>
    <w:rsid w:val="4571572A"/>
    <w:rsid w:val="45773005"/>
    <w:rsid w:val="459A44BE"/>
    <w:rsid w:val="45CC1B37"/>
    <w:rsid w:val="464B166D"/>
    <w:rsid w:val="466963C3"/>
    <w:rsid w:val="467D6E06"/>
    <w:rsid w:val="468745ED"/>
    <w:rsid w:val="46CC47DE"/>
    <w:rsid w:val="46F956FF"/>
    <w:rsid w:val="4700361B"/>
    <w:rsid w:val="474210C7"/>
    <w:rsid w:val="47AB7721"/>
    <w:rsid w:val="47E72C10"/>
    <w:rsid w:val="47FE7C7B"/>
    <w:rsid w:val="483C5694"/>
    <w:rsid w:val="484F3AB2"/>
    <w:rsid w:val="48E85FE9"/>
    <w:rsid w:val="49125FFB"/>
    <w:rsid w:val="491C4628"/>
    <w:rsid w:val="492E0F85"/>
    <w:rsid w:val="49374014"/>
    <w:rsid w:val="49542533"/>
    <w:rsid w:val="497A283B"/>
    <w:rsid w:val="49FD2121"/>
    <w:rsid w:val="4A144EDF"/>
    <w:rsid w:val="4A2B42BD"/>
    <w:rsid w:val="4A3241BC"/>
    <w:rsid w:val="4A7E62C5"/>
    <w:rsid w:val="4AC24D5B"/>
    <w:rsid w:val="4B01452B"/>
    <w:rsid w:val="4B1C083A"/>
    <w:rsid w:val="4B236A53"/>
    <w:rsid w:val="4B2D45B0"/>
    <w:rsid w:val="4BCA036B"/>
    <w:rsid w:val="4BDC377E"/>
    <w:rsid w:val="4C017E1B"/>
    <w:rsid w:val="4C1363D0"/>
    <w:rsid w:val="4C3479F8"/>
    <w:rsid w:val="4C4B0ACB"/>
    <w:rsid w:val="4CDB7E70"/>
    <w:rsid w:val="4CDE38DC"/>
    <w:rsid w:val="4DB56DF9"/>
    <w:rsid w:val="4DD47E42"/>
    <w:rsid w:val="4DD66399"/>
    <w:rsid w:val="4E3C24E9"/>
    <w:rsid w:val="4E824922"/>
    <w:rsid w:val="4EB50C10"/>
    <w:rsid w:val="4EF8377D"/>
    <w:rsid w:val="4F0612C4"/>
    <w:rsid w:val="4F2E2832"/>
    <w:rsid w:val="4F324F36"/>
    <w:rsid w:val="4FE45773"/>
    <w:rsid w:val="4FE9510E"/>
    <w:rsid w:val="4FF02E34"/>
    <w:rsid w:val="50250266"/>
    <w:rsid w:val="50263CE3"/>
    <w:rsid w:val="50461608"/>
    <w:rsid w:val="508042D9"/>
    <w:rsid w:val="50A17CA4"/>
    <w:rsid w:val="50AD00DD"/>
    <w:rsid w:val="50BC61A9"/>
    <w:rsid w:val="50E81293"/>
    <w:rsid w:val="513E350D"/>
    <w:rsid w:val="517A41A6"/>
    <w:rsid w:val="519434E5"/>
    <w:rsid w:val="51E22D94"/>
    <w:rsid w:val="51F11680"/>
    <w:rsid w:val="522C172E"/>
    <w:rsid w:val="522F4A6C"/>
    <w:rsid w:val="524424F9"/>
    <w:rsid w:val="52532C9B"/>
    <w:rsid w:val="52AA6800"/>
    <w:rsid w:val="52BA10C9"/>
    <w:rsid w:val="52C00A54"/>
    <w:rsid w:val="52C16224"/>
    <w:rsid w:val="52DA15FD"/>
    <w:rsid w:val="52EF3383"/>
    <w:rsid w:val="5316330F"/>
    <w:rsid w:val="53525315"/>
    <w:rsid w:val="5356503E"/>
    <w:rsid w:val="53681F20"/>
    <w:rsid w:val="537072A8"/>
    <w:rsid w:val="53873BB8"/>
    <w:rsid w:val="53C07DB2"/>
    <w:rsid w:val="53E24AE6"/>
    <w:rsid w:val="54931516"/>
    <w:rsid w:val="54BB6C27"/>
    <w:rsid w:val="54F41C89"/>
    <w:rsid w:val="54F46459"/>
    <w:rsid w:val="550C072E"/>
    <w:rsid w:val="553C6CEB"/>
    <w:rsid w:val="55532F8B"/>
    <w:rsid w:val="55941547"/>
    <w:rsid w:val="559A36FF"/>
    <w:rsid w:val="55EB2205"/>
    <w:rsid w:val="567B088A"/>
    <w:rsid w:val="5689496C"/>
    <w:rsid w:val="56BD3C31"/>
    <w:rsid w:val="56E90F5B"/>
    <w:rsid w:val="56EC35C9"/>
    <w:rsid w:val="56FE536D"/>
    <w:rsid w:val="57174FB2"/>
    <w:rsid w:val="571B2AA2"/>
    <w:rsid w:val="5730129E"/>
    <w:rsid w:val="573434A1"/>
    <w:rsid w:val="573C16D0"/>
    <w:rsid w:val="576215A8"/>
    <w:rsid w:val="57B35F6D"/>
    <w:rsid w:val="57B462A2"/>
    <w:rsid w:val="57E417E0"/>
    <w:rsid w:val="57E42E17"/>
    <w:rsid w:val="582C7CB7"/>
    <w:rsid w:val="58482E44"/>
    <w:rsid w:val="585D4208"/>
    <w:rsid w:val="58634CBB"/>
    <w:rsid w:val="589B3CDA"/>
    <w:rsid w:val="58FA2E94"/>
    <w:rsid w:val="591311F4"/>
    <w:rsid w:val="591744C4"/>
    <w:rsid w:val="59727A97"/>
    <w:rsid w:val="598B6E78"/>
    <w:rsid w:val="59E3160A"/>
    <w:rsid w:val="59F36F78"/>
    <w:rsid w:val="5A222E87"/>
    <w:rsid w:val="5A246DC6"/>
    <w:rsid w:val="5A5D23AA"/>
    <w:rsid w:val="5A67064A"/>
    <w:rsid w:val="5A7125EE"/>
    <w:rsid w:val="5A9D1E29"/>
    <w:rsid w:val="5AF25EAC"/>
    <w:rsid w:val="5B622594"/>
    <w:rsid w:val="5B9938B6"/>
    <w:rsid w:val="5B9A46F8"/>
    <w:rsid w:val="5BA84668"/>
    <w:rsid w:val="5BE018CB"/>
    <w:rsid w:val="5C0E15D9"/>
    <w:rsid w:val="5C6F53A4"/>
    <w:rsid w:val="5CD94A7D"/>
    <w:rsid w:val="5D083339"/>
    <w:rsid w:val="5D465377"/>
    <w:rsid w:val="5D50269A"/>
    <w:rsid w:val="5D505083"/>
    <w:rsid w:val="5D7C7518"/>
    <w:rsid w:val="5E196F30"/>
    <w:rsid w:val="5E3552D9"/>
    <w:rsid w:val="5E793C16"/>
    <w:rsid w:val="5E814C0F"/>
    <w:rsid w:val="5EB01642"/>
    <w:rsid w:val="5EFD0600"/>
    <w:rsid w:val="5F192012"/>
    <w:rsid w:val="5F2F3AC7"/>
    <w:rsid w:val="5FDD1990"/>
    <w:rsid w:val="5FDE5D3B"/>
    <w:rsid w:val="601812AE"/>
    <w:rsid w:val="604C498D"/>
    <w:rsid w:val="60C16F3B"/>
    <w:rsid w:val="60F65306"/>
    <w:rsid w:val="612A0AF8"/>
    <w:rsid w:val="61B054B5"/>
    <w:rsid w:val="61FD4BCF"/>
    <w:rsid w:val="623E513D"/>
    <w:rsid w:val="624C33EF"/>
    <w:rsid w:val="62522A10"/>
    <w:rsid w:val="62EC076F"/>
    <w:rsid w:val="631B2E02"/>
    <w:rsid w:val="636E7A2E"/>
    <w:rsid w:val="637D18D6"/>
    <w:rsid w:val="63AD2A07"/>
    <w:rsid w:val="63E328D4"/>
    <w:rsid w:val="64076927"/>
    <w:rsid w:val="64106469"/>
    <w:rsid w:val="642168F6"/>
    <w:rsid w:val="643150EF"/>
    <w:rsid w:val="64943E02"/>
    <w:rsid w:val="649C269E"/>
    <w:rsid w:val="64A50DAF"/>
    <w:rsid w:val="64DD3107"/>
    <w:rsid w:val="64E97686"/>
    <w:rsid w:val="65143E8E"/>
    <w:rsid w:val="65312DB1"/>
    <w:rsid w:val="654B3E0B"/>
    <w:rsid w:val="65701DAF"/>
    <w:rsid w:val="65734A62"/>
    <w:rsid w:val="65EF6895"/>
    <w:rsid w:val="65F57186"/>
    <w:rsid w:val="66356F3C"/>
    <w:rsid w:val="666B39ED"/>
    <w:rsid w:val="668D2E4E"/>
    <w:rsid w:val="67224816"/>
    <w:rsid w:val="67235FBE"/>
    <w:rsid w:val="67420095"/>
    <w:rsid w:val="67697CCC"/>
    <w:rsid w:val="67A755AC"/>
    <w:rsid w:val="67BE6D26"/>
    <w:rsid w:val="67C044C4"/>
    <w:rsid w:val="67E857A9"/>
    <w:rsid w:val="68072700"/>
    <w:rsid w:val="68384D1D"/>
    <w:rsid w:val="684923CA"/>
    <w:rsid w:val="687E6A36"/>
    <w:rsid w:val="68DD2EC8"/>
    <w:rsid w:val="6926728F"/>
    <w:rsid w:val="69356E2B"/>
    <w:rsid w:val="69362DAC"/>
    <w:rsid w:val="696D5485"/>
    <w:rsid w:val="69910253"/>
    <w:rsid w:val="69AD2726"/>
    <w:rsid w:val="69C53915"/>
    <w:rsid w:val="69CF1EED"/>
    <w:rsid w:val="69D05529"/>
    <w:rsid w:val="69E629B4"/>
    <w:rsid w:val="69FB056C"/>
    <w:rsid w:val="6A303F94"/>
    <w:rsid w:val="6A6C430A"/>
    <w:rsid w:val="6A942CE9"/>
    <w:rsid w:val="6A9C3978"/>
    <w:rsid w:val="6AF873C8"/>
    <w:rsid w:val="6B1000B4"/>
    <w:rsid w:val="6B50669B"/>
    <w:rsid w:val="6B8725DB"/>
    <w:rsid w:val="6BCD756D"/>
    <w:rsid w:val="6C127F06"/>
    <w:rsid w:val="6C6256CC"/>
    <w:rsid w:val="6CB43A23"/>
    <w:rsid w:val="6CB90C75"/>
    <w:rsid w:val="6CBE48F7"/>
    <w:rsid w:val="6D48139B"/>
    <w:rsid w:val="6DA36D8A"/>
    <w:rsid w:val="6DD51EC1"/>
    <w:rsid w:val="6E021FD1"/>
    <w:rsid w:val="6E1E0266"/>
    <w:rsid w:val="6E4F0506"/>
    <w:rsid w:val="6E8977BA"/>
    <w:rsid w:val="6E8F15D9"/>
    <w:rsid w:val="6E953C97"/>
    <w:rsid w:val="6ECA11E3"/>
    <w:rsid w:val="6F007327"/>
    <w:rsid w:val="6F077D6E"/>
    <w:rsid w:val="6F434296"/>
    <w:rsid w:val="6F464419"/>
    <w:rsid w:val="6F5361F2"/>
    <w:rsid w:val="6FBA7BE3"/>
    <w:rsid w:val="6FDE5199"/>
    <w:rsid w:val="702B4B0F"/>
    <w:rsid w:val="70995B4F"/>
    <w:rsid w:val="71167A14"/>
    <w:rsid w:val="711C37A7"/>
    <w:rsid w:val="711D0E2F"/>
    <w:rsid w:val="714F4A2B"/>
    <w:rsid w:val="715274D7"/>
    <w:rsid w:val="71CF4C44"/>
    <w:rsid w:val="71FE04BF"/>
    <w:rsid w:val="72120F22"/>
    <w:rsid w:val="7246140B"/>
    <w:rsid w:val="728F7281"/>
    <w:rsid w:val="72930C07"/>
    <w:rsid w:val="729E05F7"/>
    <w:rsid w:val="72DB4A4B"/>
    <w:rsid w:val="72FB1927"/>
    <w:rsid w:val="737230F7"/>
    <w:rsid w:val="74031E70"/>
    <w:rsid w:val="74967468"/>
    <w:rsid w:val="74A36100"/>
    <w:rsid w:val="74C35F1C"/>
    <w:rsid w:val="75087A63"/>
    <w:rsid w:val="7577493F"/>
    <w:rsid w:val="75BE4EBA"/>
    <w:rsid w:val="76252C4D"/>
    <w:rsid w:val="763F1AD3"/>
    <w:rsid w:val="76683E52"/>
    <w:rsid w:val="766A24B2"/>
    <w:rsid w:val="76A07565"/>
    <w:rsid w:val="76D811AB"/>
    <w:rsid w:val="7709603C"/>
    <w:rsid w:val="771244E7"/>
    <w:rsid w:val="771479EA"/>
    <w:rsid w:val="773B39A1"/>
    <w:rsid w:val="774C75D7"/>
    <w:rsid w:val="775B27D0"/>
    <w:rsid w:val="776C5995"/>
    <w:rsid w:val="778833A0"/>
    <w:rsid w:val="77E05E39"/>
    <w:rsid w:val="781A5362"/>
    <w:rsid w:val="782B6736"/>
    <w:rsid w:val="783F0DAF"/>
    <w:rsid w:val="7858337E"/>
    <w:rsid w:val="788A03B6"/>
    <w:rsid w:val="78BC6AA1"/>
    <w:rsid w:val="78C16034"/>
    <w:rsid w:val="793E15F9"/>
    <w:rsid w:val="79892D64"/>
    <w:rsid w:val="798D1378"/>
    <w:rsid w:val="798F00FE"/>
    <w:rsid w:val="79A33E26"/>
    <w:rsid w:val="79B00633"/>
    <w:rsid w:val="79F44419"/>
    <w:rsid w:val="7A041C7B"/>
    <w:rsid w:val="7A1748A8"/>
    <w:rsid w:val="7A2A5D7E"/>
    <w:rsid w:val="7A316896"/>
    <w:rsid w:val="7A340040"/>
    <w:rsid w:val="7A36055E"/>
    <w:rsid w:val="7A360F8A"/>
    <w:rsid w:val="7A4E5572"/>
    <w:rsid w:val="7AA159BD"/>
    <w:rsid w:val="7B095F8D"/>
    <w:rsid w:val="7B352923"/>
    <w:rsid w:val="7B46413C"/>
    <w:rsid w:val="7B9F686F"/>
    <w:rsid w:val="7BB320E2"/>
    <w:rsid w:val="7BD712BD"/>
    <w:rsid w:val="7C4C3032"/>
    <w:rsid w:val="7C9F72EF"/>
    <w:rsid w:val="7CE87DA1"/>
    <w:rsid w:val="7D175611"/>
    <w:rsid w:val="7D4E22FA"/>
    <w:rsid w:val="7D6A4C5A"/>
    <w:rsid w:val="7DA720A4"/>
    <w:rsid w:val="7E141BF3"/>
    <w:rsid w:val="7E391383"/>
    <w:rsid w:val="7E7D7343"/>
    <w:rsid w:val="7E9E7B50"/>
    <w:rsid w:val="7EAF6879"/>
    <w:rsid w:val="7F0E027B"/>
    <w:rsid w:val="7F6776A3"/>
    <w:rsid w:val="7F7D6FBD"/>
    <w:rsid w:val="7F8903C9"/>
    <w:rsid w:val="7F9D0298"/>
    <w:rsid w:val="7FEA3E31"/>
    <w:rsid w:val="7FFD24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qFormat="1" w:uiPriority="0" w:name="Table Simple 1"/>
    <w:lsdException w:qFormat="1" w:uiPriority="0" w:name="Table Simple 2"/>
    <w:lsdException w:qFormat="1" w:uiPriority="0" w:name="Table Simple 3"/>
    <w:lsdException w:qFormat="1" w:uiPriority="0" w:name="Table Classic 1"/>
    <w:lsdException w:qFormat="1" w:uiPriority="0" w:name="Table Classic 2"/>
    <w:lsdException w:qFormat="1" w:uiPriority="0" w:name="Table Classic 3"/>
    <w:lsdException w:qFormat="1" w:uiPriority="0" w:name="Table Classic 4"/>
    <w:lsdException w:qFormat="1" w:uiPriority="0" w:name="Table Colorful 1"/>
    <w:lsdException w:qFormat="1" w:uiPriority="0" w:name="Table Colorful 2"/>
    <w:lsdException w:qFormat="1" w:uiPriority="0" w:name="Table Colorful 3"/>
    <w:lsdException w:qFormat="1" w:uiPriority="0" w:name="Table Columns 1"/>
    <w:lsdException w:qFormat="1" w:uiPriority="0" w:name="Table Columns 2"/>
    <w:lsdException w:qFormat="1" w:uiPriority="0" w:name="Table Columns 3"/>
    <w:lsdException w:qFormat="1" w:uiPriority="0" w:name="Table Columns 4"/>
    <w:lsdException w:qFormat="1" w:uiPriority="0" w:name="Table Columns 5"/>
    <w:lsdException w:qFormat="1" w:uiPriority="0" w:name="Table Grid 1"/>
    <w:lsdException w:qFormat="1" w:uiPriority="0" w:name="Table Grid 2"/>
    <w:lsdException w:qFormat="1" w:uiPriority="0" w:name="Table Grid 3"/>
    <w:lsdException w:qFormat="1" w:uiPriority="0" w:name="Table Grid 4"/>
    <w:lsdException w:qFormat="1" w:uiPriority="0" w:name="Table Grid 5"/>
    <w:lsdException w:qFormat="1" w:uiPriority="0" w:name="Table Grid 6"/>
    <w:lsdException w:qFormat="1" w:uiPriority="0" w:name="Table Grid 7"/>
    <w:lsdException w:qFormat="1" w:uiPriority="0" w:name="Table Grid 8"/>
    <w:lsdException w:qFormat="1" w:uiPriority="0" w:name="Table List 1"/>
    <w:lsdException w:qFormat="1" w:uiPriority="0" w:name="Table List 2"/>
    <w:lsdException w:qFormat="1" w:uiPriority="0" w:name="Table List 3"/>
    <w:lsdException w:qFormat="1" w:uiPriority="0" w:name="Table List 4"/>
    <w:lsdException w:qFormat="1" w:uiPriority="0" w:name="Table List 5"/>
    <w:lsdException w:qFormat="1" w:uiPriority="0" w:name="Table List 6"/>
    <w:lsdException w:qFormat="1" w:uiPriority="0" w:name="Table List 7"/>
    <w:lsdException w:qFormat="1" w:uiPriority="0" w:name="Table List 8"/>
    <w:lsdException w:qFormat="1" w:uiPriority="0" w:name="Table 3D effects 1"/>
    <w:lsdException w:qFormat="1" w:uiPriority="0" w:name="Table 3D effects 2"/>
    <w:lsdException w:qFormat="1" w:uiPriority="0" w:name="Table 3D effects 3"/>
    <w:lsdException w:qFormat="1" w:uiPriority="0" w:name="Table Contemporary"/>
    <w:lsdException w:qFormat="1" w:uiPriority="0" w:name="Table Elegant"/>
    <w:lsdException w:qFormat="1" w:uiPriority="0" w:name="Table Professional"/>
    <w:lsdException w:qFormat="1" w:uiPriority="0" w:name="Table Subtle 1"/>
    <w:lsdException w:qFormat="1" w:uiPriority="0" w:name="Table Subtle 2"/>
    <w:lsdException w:qFormat="1" w:uiPriority="0" w:name="Table Web 1"/>
    <w:lsdException w:qFormat="1" w:uiPriority="0" w:name="Table Web 2"/>
    <w:lsdException w:qFormat="1" w:uiPriority="0" w:name="Table Web 3"/>
    <w:lsdException w:qFormat="1" w:unhideWhenUsed="0" w:uiPriority="0" w:semiHidden="0" w:name="Balloon Text"/>
    <w:lsdException w:qFormat="1" w:unhideWhenUsed="0" w:uiPriority="0" w:semiHidden="0" w:name="Table Grid"/>
    <w:lsdException w:qFormat="1" w:uiPriority="0" w:name="Table Theme"/>
    <w:lsdException w:qFormat="1" w:unhideWhenUsed="0" w:uiPriority="0"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link w:val="250"/>
    <w:qFormat/>
    <w:uiPriority w:val="0"/>
    <w:pPr>
      <w:keepNext/>
      <w:keepLines/>
      <w:spacing w:before="340" w:after="330" w:line="576" w:lineRule="auto"/>
      <w:outlineLvl w:val="0"/>
    </w:pPr>
    <w:rPr>
      <w:b/>
      <w:kern w:val="44"/>
      <w:sz w:val="44"/>
    </w:rPr>
  </w:style>
  <w:style w:type="paragraph" w:styleId="5">
    <w:name w:val="heading 2"/>
    <w:basedOn w:val="1"/>
    <w:next w:val="1"/>
    <w:link w:val="278"/>
    <w:unhideWhenUsed/>
    <w:qFormat/>
    <w:uiPriority w:val="0"/>
    <w:pPr>
      <w:keepNext/>
      <w:keepLines/>
      <w:spacing w:before="260" w:after="260" w:line="413" w:lineRule="auto"/>
      <w:outlineLvl w:val="1"/>
    </w:pPr>
    <w:rPr>
      <w:rFonts w:ascii="Arial" w:hAnsi="Arial" w:eastAsia="黑体"/>
      <w:b/>
      <w:sz w:val="32"/>
    </w:rPr>
  </w:style>
  <w:style w:type="paragraph" w:styleId="6">
    <w:name w:val="heading 3"/>
    <w:basedOn w:val="1"/>
    <w:next w:val="1"/>
    <w:semiHidden/>
    <w:unhideWhenUsed/>
    <w:qFormat/>
    <w:uiPriority w:val="0"/>
    <w:pPr>
      <w:keepNext/>
      <w:keepLines/>
      <w:spacing w:before="260" w:after="260" w:line="413" w:lineRule="auto"/>
      <w:outlineLvl w:val="2"/>
    </w:pPr>
    <w:rPr>
      <w:b/>
      <w:sz w:val="32"/>
    </w:rPr>
  </w:style>
  <w:style w:type="paragraph" w:styleId="7">
    <w:name w:val="heading 4"/>
    <w:basedOn w:val="1"/>
    <w:next w:val="1"/>
    <w:link w:val="271"/>
    <w:semiHidden/>
    <w:unhideWhenUsed/>
    <w:qFormat/>
    <w:uiPriority w:val="0"/>
    <w:pPr>
      <w:keepNext/>
      <w:keepLines/>
      <w:spacing w:before="280" w:after="290" w:line="372" w:lineRule="auto"/>
      <w:outlineLvl w:val="3"/>
    </w:pPr>
    <w:rPr>
      <w:rFonts w:ascii="Arial" w:hAnsi="Arial" w:eastAsia="黑体"/>
      <w:b/>
      <w:sz w:val="28"/>
    </w:rPr>
  </w:style>
  <w:style w:type="paragraph" w:styleId="8">
    <w:name w:val="heading 5"/>
    <w:basedOn w:val="1"/>
    <w:next w:val="1"/>
    <w:link w:val="272"/>
    <w:semiHidden/>
    <w:unhideWhenUsed/>
    <w:qFormat/>
    <w:uiPriority w:val="0"/>
    <w:pPr>
      <w:keepNext/>
      <w:keepLines/>
      <w:spacing w:before="280" w:after="290" w:line="372" w:lineRule="auto"/>
      <w:outlineLvl w:val="4"/>
    </w:pPr>
    <w:rPr>
      <w:b/>
      <w:sz w:val="28"/>
    </w:rPr>
  </w:style>
  <w:style w:type="paragraph" w:styleId="9">
    <w:name w:val="heading 6"/>
    <w:basedOn w:val="1"/>
    <w:next w:val="1"/>
    <w:semiHidden/>
    <w:unhideWhenUsed/>
    <w:qFormat/>
    <w:uiPriority w:val="0"/>
    <w:pPr>
      <w:keepNext/>
      <w:keepLines/>
      <w:spacing w:before="240" w:after="64" w:line="317" w:lineRule="auto"/>
      <w:outlineLvl w:val="5"/>
    </w:pPr>
    <w:rPr>
      <w:rFonts w:ascii="Arial" w:hAnsi="Arial" w:eastAsia="黑体"/>
      <w:b/>
      <w:sz w:val="24"/>
    </w:rPr>
  </w:style>
  <w:style w:type="paragraph" w:styleId="10">
    <w:name w:val="heading 7"/>
    <w:basedOn w:val="1"/>
    <w:next w:val="1"/>
    <w:link w:val="273"/>
    <w:semiHidden/>
    <w:unhideWhenUsed/>
    <w:qFormat/>
    <w:uiPriority w:val="0"/>
    <w:pPr>
      <w:keepNext/>
      <w:keepLines/>
      <w:spacing w:before="240" w:after="64" w:line="317" w:lineRule="auto"/>
      <w:outlineLvl w:val="6"/>
    </w:pPr>
    <w:rPr>
      <w:b/>
      <w:sz w:val="24"/>
    </w:rPr>
  </w:style>
  <w:style w:type="paragraph" w:styleId="11">
    <w:name w:val="heading 8"/>
    <w:basedOn w:val="1"/>
    <w:next w:val="1"/>
    <w:link w:val="274"/>
    <w:semiHidden/>
    <w:unhideWhenUsed/>
    <w:qFormat/>
    <w:uiPriority w:val="0"/>
    <w:pPr>
      <w:keepNext/>
      <w:keepLines/>
      <w:spacing w:before="240" w:after="64" w:line="317" w:lineRule="auto"/>
      <w:outlineLvl w:val="7"/>
    </w:pPr>
    <w:rPr>
      <w:rFonts w:ascii="Arial" w:hAnsi="Arial" w:eastAsia="黑体"/>
      <w:sz w:val="24"/>
    </w:rPr>
  </w:style>
  <w:style w:type="paragraph" w:styleId="12">
    <w:name w:val="heading 9"/>
    <w:basedOn w:val="1"/>
    <w:next w:val="1"/>
    <w:link w:val="275"/>
    <w:semiHidden/>
    <w:unhideWhenUsed/>
    <w:qFormat/>
    <w:uiPriority w:val="0"/>
    <w:pPr>
      <w:keepNext/>
      <w:keepLines/>
      <w:spacing w:before="240" w:after="64" w:line="317" w:lineRule="auto"/>
      <w:outlineLvl w:val="8"/>
    </w:pPr>
    <w:rPr>
      <w:rFonts w:ascii="Arial" w:hAnsi="Arial" w:eastAsia="黑体"/>
    </w:rPr>
  </w:style>
  <w:style w:type="character" w:default="1" w:styleId="231">
    <w:name w:val="Default Paragraph Font"/>
    <w:semiHidden/>
    <w:unhideWhenUsed/>
    <w:uiPriority w:val="1"/>
  </w:style>
  <w:style w:type="table" w:default="1" w:styleId="88">
    <w:name w:val="Normal Table"/>
    <w:semiHidden/>
    <w:unhideWhenUsed/>
    <w:uiPriority w:val="99"/>
    <w:tblPr>
      <w:tblCellMar>
        <w:top w:w="0" w:type="dxa"/>
        <w:left w:w="108" w:type="dxa"/>
        <w:bottom w:w="0" w:type="dxa"/>
        <w:right w:w="108" w:type="dxa"/>
      </w:tblCellMar>
    </w:tblPr>
  </w:style>
  <w:style w:type="paragraph" w:styleId="2">
    <w:name w:val="toc 2"/>
    <w:basedOn w:val="1"/>
    <w:next w:val="1"/>
    <w:qFormat/>
    <w:uiPriority w:val="0"/>
    <w:pPr>
      <w:ind w:left="420" w:leftChars="200"/>
    </w:pPr>
  </w:style>
  <w:style w:type="paragraph" w:styleId="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bidi="ar-SA"/>
    </w:rPr>
  </w:style>
  <w:style w:type="paragraph" w:styleId="13">
    <w:name w:val="List 3"/>
    <w:basedOn w:val="1"/>
    <w:qFormat/>
    <w:uiPriority w:val="0"/>
    <w:pPr>
      <w:ind w:left="100" w:leftChars="400" w:hanging="200" w:hangingChars="200"/>
    </w:pPr>
  </w:style>
  <w:style w:type="paragraph" w:styleId="14">
    <w:name w:val="toc 7"/>
    <w:basedOn w:val="1"/>
    <w:next w:val="1"/>
    <w:qFormat/>
    <w:uiPriority w:val="0"/>
    <w:pPr>
      <w:ind w:left="2520" w:leftChars="1200"/>
    </w:pPr>
  </w:style>
  <w:style w:type="paragraph" w:styleId="15">
    <w:name w:val="List Number 2"/>
    <w:basedOn w:val="1"/>
    <w:qFormat/>
    <w:uiPriority w:val="0"/>
    <w:pPr>
      <w:numPr>
        <w:ilvl w:val="0"/>
        <w:numId w:val="1"/>
      </w:numPr>
    </w:pPr>
  </w:style>
  <w:style w:type="paragraph" w:styleId="16">
    <w:name w:val="table of authorities"/>
    <w:basedOn w:val="1"/>
    <w:next w:val="1"/>
    <w:qFormat/>
    <w:uiPriority w:val="0"/>
    <w:pPr>
      <w:ind w:left="420" w:leftChars="200"/>
    </w:pPr>
  </w:style>
  <w:style w:type="paragraph" w:styleId="17">
    <w:name w:val="Note Heading"/>
    <w:basedOn w:val="1"/>
    <w:next w:val="1"/>
    <w:qFormat/>
    <w:uiPriority w:val="0"/>
    <w:pPr>
      <w:jc w:val="center"/>
    </w:pPr>
  </w:style>
  <w:style w:type="paragraph" w:styleId="18">
    <w:name w:val="List Bullet 4"/>
    <w:basedOn w:val="1"/>
    <w:qFormat/>
    <w:uiPriority w:val="0"/>
    <w:pPr>
      <w:numPr>
        <w:ilvl w:val="0"/>
        <w:numId w:val="2"/>
      </w:numPr>
    </w:pPr>
  </w:style>
  <w:style w:type="paragraph" w:styleId="19">
    <w:name w:val="index 8"/>
    <w:basedOn w:val="1"/>
    <w:next w:val="1"/>
    <w:qFormat/>
    <w:uiPriority w:val="0"/>
    <w:pPr>
      <w:ind w:left="1400" w:leftChars="1400"/>
    </w:pPr>
  </w:style>
  <w:style w:type="paragraph" w:styleId="20">
    <w:name w:val="E-mail Signature"/>
    <w:basedOn w:val="1"/>
    <w:qFormat/>
    <w:uiPriority w:val="0"/>
  </w:style>
  <w:style w:type="paragraph" w:styleId="21">
    <w:name w:val="List Number"/>
    <w:basedOn w:val="1"/>
    <w:qFormat/>
    <w:uiPriority w:val="0"/>
    <w:pPr>
      <w:numPr>
        <w:ilvl w:val="0"/>
        <w:numId w:val="3"/>
      </w:numPr>
    </w:pPr>
  </w:style>
  <w:style w:type="paragraph" w:styleId="22">
    <w:name w:val="Normal Indent"/>
    <w:basedOn w:val="1"/>
    <w:next w:val="1"/>
    <w:qFormat/>
    <w:uiPriority w:val="0"/>
    <w:pPr>
      <w:ind w:firstLine="420" w:firstLineChars="200"/>
    </w:pPr>
  </w:style>
  <w:style w:type="paragraph" w:styleId="23">
    <w:name w:val="caption"/>
    <w:basedOn w:val="1"/>
    <w:next w:val="1"/>
    <w:semiHidden/>
    <w:unhideWhenUsed/>
    <w:qFormat/>
    <w:uiPriority w:val="0"/>
    <w:rPr>
      <w:rFonts w:ascii="Arial" w:hAnsi="Arial" w:eastAsia="黑体"/>
      <w:sz w:val="20"/>
    </w:rPr>
  </w:style>
  <w:style w:type="paragraph" w:styleId="24">
    <w:name w:val="index 5"/>
    <w:basedOn w:val="1"/>
    <w:next w:val="1"/>
    <w:qFormat/>
    <w:uiPriority w:val="0"/>
    <w:pPr>
      <w:ind w:left="800" w:leftChars="800"/>
    </w:pPr>
  </w:style>
  <w:style w:type="paragraph" w:styleId="25">
    <w:name w:val="List Bullet"/>
    <w:basedOn w:val="1"/>
    <w:qFormat/>
    <w:uiPriority w:val="0"/>
    <w:pPr>
      <w:numPr>
        <w:ilvl w:val="0"/>
        <w:numId w:val="4"/>
      </w:numPr>
    </w:pPr>
  </w:style>
  <w:style w:type="paragraph" w:styleId="26">
    <w:name w:val="envelope address"/>
    <w:basedOn w:val="1"/>
    <w:qFormat/>
    <w:uiPriority w:val="0"/>
    <w:pPr>
      <w:snapToGrid w:val="0"/>
      <w:ind w:left="100" w:leftChars="1400"/>
    </w:pPr>
    <w:rPr>
      <w:rFonts w:ascii="Arial" w:hAnsi="Arial"/>
      <w:sz w:val="24"/>
    </w:rPr>
  </w:style>
  <w:style w:type="paragraph" w:styleId="27">
    <w:name w:val="Document Map"/>
    <w:basedOn w:val="1"/>
    <w:qFormat/>
    <w:uiPriority w:val="0"/>
    <w:pPr>
      <w:shd w:val="clear" w:color="auto" w:fill="000080"/>
    </w:pPr>
  </w:style>
  <w:style w:type="paragraph" w:styleId="28">
    <w:name w:val="toa heading"/>
    <w:basedOn w:val="1"/>
    <w:next w:val="1"/>
    <w:qFormat/>
    <w:uiPriority w:val="0"/>
    <w:pPr>
      <w:spacing w:before="120"/>
    </w:pPr>
    <w:rPr>
      <w:rFonts w:ascii="Arial" w:hAnsi="Arial"/>
      <w:sz w:val="24"/>
    </w:rPr>
  </w:style>
  <w:style w:type="paragraph" w:styleId="29">
    <w:name w:val="annotation text"/>
    <w:basedOn w:val="1"/>
    <w:link w:val="268"/>
    <w:qFormat/>
    <w:uiPriority w:val="0"/>
    <w:pPr>
      <w:jc w:val="left"/>
    </w:pPr>
  </w:style>
  <w:style w:type="paragraph" w:styleId="30">
    <w:name w:val="index 6"/>
    <w:basedOn w:val="1"/>
    <w:next w:val="1"/>
    <w:qFormat/>
    <w:uiPriority w:val="0"/>
    <w:pPr>
      <w:ind w:left="1000" w:leftChars="1000"/>
    </w:pPr>
  </w:style>
  <w:style w:type="paragraph" w:styleId="31">
    <w:name w:val="Salutation"/>
    <w:basedOn w:val="1"/>
    <w:next w:val="1"/>
    <w:qFormat/>
    <w:uiPriority w:val="0"/>
  </w:style>
  <w:style w:type="paragraph" w:styleId="32">
    <w:name w:val="Body Text 3"/>
    <w:basedOn w:val="1"/>
    <w:qFormat/>
    <w:uiPriority w:val="0"/>
    <w:pPr>
      <w:spacing w:after="120"/>
    </w:pPr>
    <w:rPr>
      <w:sz w:val="16"/>
    </w:rPr>
  </w:style>
  <w:style w:type="paragraph" w:styleId="33">
    <w:name w:val="Closing"/>
    <w:basedOn w:val="1"/>
    <w:qFormat/>
    <w:uiPriority w:val="0"/>
    <w:pPr>
      <w:ind w:left="100" w:leftChars="2100"/>
    </w:pPr>
  </w:style>
  <w:style w:type="paragraph" w:styleId="34">
    <w:name w:val="List Bullet 3"/>
    <w:basedOn w:val="1"/>
    <w:qFormat/>
    <w:uiPriority w:val="0"/>
    <w:pPr>
      <w:numPr>
        <w:ilvl w:val="0"/>
        <w:numId w:val="5"/>
      </w:numPr>
    </w:pPr>
  </w:style>
  <w:style w:type="paragraph" w:styleId="35">
    <w:name w:val="Body Text"/>
    <w:basedOn w:val="1"/>
    <w:link w:val="279"/>
    <w:qFormat/>
    <w:uiPriority w:val="0"/>
    <w:pPr>
      <w:spacing w:after="120"/>
    </w:pPr>
  </w:style>
  <w:style w:type="paragraph" w:styleId="36">
    <w:name w:val="Body Text Indent"/>
    <w:basedOn w:val="1"/>
    <w:link w:val="280"/>
    <w:qFormat/>
    <w:uiPriority w:val="0"/>
    <w:pPr>
      <w:spacing w:after="120"/>
      <w:ind w:left="420" w:leftChars="200"/>
    </w:pPr>
  </w:style>
  <w:style w:type="paragraph" w:styleId="37">
    <w:name w:val="List Number 3"/>
    <w:basedOn w:val="1"/>
    <w:qFormat/>
    <w:uiPriority w:val="0"/>
    <w:pPr>
      <w:numPr>
        <w:ilvl w:val="0"/>
        <w:numId w:val="6"/>
      </w:numPr>
    </w:pPr>
  </w:style>
  <w:style w:type="paragraph" w:styleId="38">
    <w:name w:val="List 2"/>
    <w:basedOn w:val="1"/>
    <w:qFormat/>
    <w:uiPriority w:val="0"/>
    <w:pPr>
      <w:ind w:left="100" w:leftChars="200" w:hanging="200" w:hangingChars="200"/>
    </w:pPr>
  </w:style>
  <w:style w:type="paragraph" w:styleId="39">
    <w:name w:val="List Continue"/>
    <w:basedOn w:val="1"/>
    <w:qFormat/>
    <w:uiPriority w:val="0"/>
    <w:pPr>
      <w:spacing w:after="120"/>
      <w:ind w:left="420" w:leftChars="200"/>
    </w:pPr>
  </w:style>
  <w:style w:type="paragraph" w:styleId="40">
    <w:name w:val="Block Text"/>
    <w:basedOn w:val="1"/>
    <w:qFormat/>
    <w:uiPriority w:val="0"/>
    <w:pPr>
      <w:spacing w:after="120"/>
      <w:ind w:left="1440" w:leftChars="700" w:right="700" w:rightChars="700"/>
    </w:pPr>
  </w:style>
  <w:style w:type="paragraph" w:styleId="41">
    <w:name w:val="List Bullet 2"/>
    <w:basedOn w:val="1"/>
    <w:qFormat/>
    <w:uiPriority w:val="0"/>
    <w:pPr>
      <w:numPr>
        <w:ilvl w:val="0"/>
        <w:numId w:val="7"/>
      </w:numPr>
    </w:pPr>
  </w:style>
  <w:style w:type="paragraph" w:styleId="42">
    <w:name w:val="HTML Address"/>
    <w:basedOn w:val="1"/>
    <w:qFormat/>
    <w:uiPriority w:val="0"/>
    <w:rPr>
      <w:i/>
    </w:rPr>
  </w:style>
  <w:style w:type="paragraph" w:styleId="43">
    <w:name w:val="index 4"/>
    <w:basedOn w:val="1"/>
    <w:next w:val="1"/>
    <w:qFormat/>
    <w:uiPriority w:val="0"/>
    <w:pPr>
      <w:ind w:left="600" w:leftChars="600"/>
    </w:pPr>
  </w:style>
  <w:style w:type="paragraph" w:styleId="44">
    <w:name w:val="toc 5"/>
    <w:basedOn w:val="1"/>
    <w:next w:val="1"/>
    <w:qFormat/>
    <w:uiPriority w:val="0"/>
    <w:pPr>
      <w:ind w:left="1680" w:leftChars="800"/>
    </w:pPr>
  </w:style>
  <w:style w:type="paragraph" w:styleId="45">
    <w:name w:val="toc 3"/>
    <w:basedOn w:val="1"/>
    <w:next w:val="1"/>
    <w:qFormat/>
    <w:uiPriority w:val="0"/>
    <w:pPr>
      <w:ind w:left="840" w:leftChars="400"/>
    </w:pPr>
  </w:style>
  <w:style w:type="paragraph" w:styleId="46">
    <w:name w:val="Plain Text"/>
    <w:basedOn w:val="1"/>
    <w:next w:val="1"/>
    <w:link w:val="281"/>
    <w:qFormat/>
    <w:uiPriority w:val="0"/>
    <w:rPr>
      <w:rFonts w:ascii="宋体" w:hAnsi="Courier New"/>
    </w:rPr>
  </w:style>
  <w:style w:type="paragraph" w:styleId="47">
    <w:name w:val="List Bullet 5"/>
    <w:basedOn w:val="1"/>
    <w:qFormat/>
    <w:uiPriority w:val="0"/>
    <w:pPr>
      <w:numPr>
        <w:ilvl w:val="0"/>
        <w:numId w:val="8"/>
      </w:numPr>
    </w:pPr>
  </w:style>
  <w:style w:type="paragraph" w:styleId="48">
    <w:name w:val="List Number 4"/>
    <w:basedOn w:val="1"/>
    <w:qFormat/>
    <w:uiPriority w:val="0"/>
    <w:pPr>
      <w:numPr>
        <w:ilvl w:val="0"/>
        <w:numId w:val="9"/>
      </w:numPr>
    </w:pPr>
  </w:style>
  <w:style w:type="paragraph" w:styleId="49">
    <w:name w:val="toc 8"/>
    <w:basedOn w:val="1"/>
    <w:next w:val="1"/>
    <w:qFormat/>
    <w:uiPriority w:val="0"/>
    <w:pPr>
      <w:ind w:left="2940" w:leftChars="1400"/>
    </w:pPr>
  </w:style>
  <w:style w:type="paragraph" w:styleId="50">
    <w:name w:val="index 3"/>
    <w:basedOn w:val="1"/>
    <w:next w:val="1"/>
    <w:qFormat/>
    <w:uiPriority w:val="0"/>
    <w:pPr>
      <w:ind w:left="400" w:leftChars="400"/>
    </w:pPr>
  </w:style>
  <w:style w:type="paragraph" w:styleId="51">
    <w:name w:val="Date"/>
    <w:basedOn w:val="1"/>
    <w:next w:val="1"/>
    <w:qFormat/>
    <w:uiPriority w:val="0"/>
    <w:pPr>
      <w:ind w:left="100" w:leftChars="2500"/>
    </w:pPr>
  </w:style>
  <w:style w:type="paragraph" w:styleId="52">
    <w:name w:val="Body Text Indent 2"/>
    <w:basedOn w:val="1"/>
    <w:link w:val="276"/>
    <w:qFormat/>
    <w:uiPriority w:val="0"/>
    <w:pPr>
      <w:spacing w:after="120" w:line="480" w:lineRule="auto"/>
      <w:ind w:left="420" w:leftChars="200"/>
    </w:pPr>
  </w:style>
  <w:style w:type="paragraph" w:styleId="53">
    <w:name w:val="endnote text"/>
    <w:basedOn w:val="1"/>
    <w:qFormat/>
    <w:uiPriority w:val="0"/>
    <w:pPr>
      <w:snapToGrid w:val="0"/>
      <w:jc w:val="left"/>
    </w:pPr>
  </w:style>
  <w:style w:type="paragraph" w:styleId="54">
    <w:name w:val="List Continue 5"/>
    <w:basedOn w:val="1"/>
    <w:qFormat/>
    <w:uiPriority w:val="0"/>
    <w:pPr>
      <w:spacing w:after="120"/>
      <w:ind w:left="2100" w:leftChars="1000"/>
    </w:pPr>
  </w:style>
  <w:style w:type="paragraph" w:styleId="55">
    <w:name w:val="Balloon Text"/>
    <w:basedOn w:val="1"/>
    <w:link w:val="270"/>
    <w:qFormat/>
    <w:uiPriority w:val="0"/>
    <w:rPr>
      <w:sz w:val="18"/>
    </w:rPr>
  </w:style>
  <w:style w:type="paragraph" w:styleId="56">
    <w:name w:val="footer"/>
    <w:basedOn w:val="1"/>
    <w:link w:val="282"/>
    <w:qFormat/>
    <w:uiPriority w:val="0"/>
    <w:pPr>
      <w:tabs>
        <w:tab w:val="center" w:pos="4153"/>
        <w:tab w:val="right" w:pos="8306"/>
      </w:tabs>
      <w:snapToGrid w:val="0"/>
      <w:jc w:val="left"/>
    </w:pPr>
    <w:rPr>
      <w:sz w:val="18"/>
    </w:rPr>
  </w:style>
  <w:style w:type="paragraph" w:styleId="57">
    <w:name w:val="envelope return"/>
    <w:basedOn w:val="1"/>
    <w:qFormat/>
    <w:uiPriority w:val="0"/>
    <w:pPr>
      <w:snapToGrid w:val="0"/>
    </w:pPr>
    <w:rPr>
      <w:rFonts w:ascii="Arial" w:hAnsi="Arial"/>
    </w:rPr>
  </w:style>
  <w:style w:type="paragraph" w:styleId="58">
    <w:name w:val="header"/>
    <w:basedOn w:val="1"/>
    <w:link w:val="28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9">
    <w:name w:val="Signature"/>
    <w:basedOn w:val="1"/>
    <w:qFormat/>
    <w:uiPriority w:val="0"/>
    <w:pPr>
      <w:ind w:left="100" w:leftChars="2100"/>
    </w:pPr>
  </w:style>
  <w:style w:type="paragraph" w:styleId="60">
    <w:name w:val="toc 1"/>
    <w:basedOn w:val="1"/>
    <w:next w:val="1"/>
    <w:qFormat/>
    <w:uiPriority w:val="0"/>
  </w:style>
  <w:style w:type="paragraph" w:styleId="61">
    <w:name w:val="List Continue 4"/>
    <w:basedOn w:val="1"/>
    <w:qFormat/>
    <w:uiPriority w:val="0"/>
    <w:pPr>
      <w:spacing w:after="120"/>
      <w:ind w:left="1680" w:leftChars="800"/>
    </w:pPr>
  </w:style>
  <w:style w:type="paragraph" w:styleId="62">
    <w:name w:val="toc 4"/>
    <w:basedOn w:val="1"/>
    <w:next w:val="1"/>
    <w:qFormat/>
    <w:uiPriority w:val="0"/>
    <w:pPr>
      <w:ind w:left="1260" w:leftChars="600"/>
    </w:pPr>
  </w:style>
  <w:style w:type="paragraph" w:styleId="63">
    <w:name w:val="index heading"/>
    <w:basedOn w:val="1"/>
    <w:next w:val="64"/>
    <w:qFormat/>
    <w:uiPriority w:val="0"/>
    <w:rPr>
      <w:rFonts w:ascii="Arial" w:hAnsi="Arial"/>
      <w:b/>
    </w:rPr>
  </w:style>
  <w:style w:type="paragraph" w:styleId="64">
    <w:name w:val="index 1"/>
    <w:basedOn w:val="1"/>
    <w:next w:val="1"/>
    <w:qFormat/>
    <w:uiPriority w:val="0"/>
  </w:style>
  <w:style w:type="paragraph" w:styleId="65">
    <w:name w:val="Subtitle"/>
    <w:basedOn w:val="1"/>
    <w:qFormat/>
    <w:uiPriority w:val="0"/>
    <w:pPr>
      <w:spacing w:before="240" w:after="60" w:line="312" w:lineRule="auto"/>
      <w:jc w:val="center"/>
      <w:outlineLvl w:val="1"/>
    </w:pPr>
    <w:rPr>
      <w:rFonts w:ascii="Arial" w:hAnsi="Arial"/>
      <w:b/>
      <w:kern w:val="28"/>
      <w:sz w:val="32"/>
    </w:rPr>
  </w:style>
  <w:style w:type="paragraph" w:styleId="66">
    <w:name w:val="List Number 5"/>
    <w:basedOn w:val="1"/>
    <w:qFormat/>
    <w:uiPriority w:val="0"/>
    <w:pPr>
      <w:numPr>
        <w:ilvl w:val="0"/>
        <w:numId w:val="10"/>
      </w:numPr>
    </w:pPr>
  </w:style>
  <w:style w:type="paragraph" w:styleId="67">
    <w:name w:val="List"/>
    <w:basedOn w:val="1"/>
    <w:qFormat/>
    <w:uiPriority w:val="0"/>
    <w:pPr>
      <w:ind w:left="200" w:hanging="200" w:hangingChars="200"/>
    </w:pPr>
  </w:style>
  <w:style w:type="paragraph" w:styleId="68">
    <w:name w:val="footnote text"/>
    <w:basedOn w:val="1"/>
    <w:qFormat/>
    <w:uiPriority w:val="0"/>
    <w:pPr>
      <w:snapToGrid w:val="0"/>
      <w:jc w:val="left"/>
    </w:pPr>
    <w:rPr>
      <w:sz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pPr>
  </w:style>
  <w:style w:type="paragraph" w:styleId="71">
    <w:name w:val="Body Text Indent 3"/>
    <w:basedOn w:val="1"/>
    <w:link w:val="277"/>
    <w:qFormat/>
    <w:uiPriority w:val="0"/>
    <w:pPr>
      <w:spacing w:after="120"/>
      <w:ind w:left="420" w:leftChars="200"/>
    </w:pPr>
    <w:rPr>
      <w:sz w:val="16"/>
    </w:rPr>
  </w:style>
  <w:style w:type="paragraph" w:styleId="72">
    <w:name w:val="index 7"/>
    <w:basedOn w:val="1"/>
    <w:next w:val="1"/>
    <w:qFormat/>
    <w:uiPriority w:val="0"/>
    <w:pPr>
      <w:ind w:left="1200" w:leftChars="1200"/>
    </w:pPr>
  </w:style>
  <w:style w:type="paragraph" w:styleId="73">
    <w:name w:val="index 9"/>
    <w:basedOn w:val="1"/>
    <w:next w:val="1"/>
    <w:qFormat/>
    <w:uiPriority w:val="0"/>
    <w:pPr>
      <w:ind w:left="1600" w:leftChars="1600"/>
    </w:pPr>
  </w:style>
  <w:style w:type="paragraph" w:styleId="74">
    <w:name w:val="table of figures"/>
    <w:basedOn w:val="1"/>
    <w:next w:val="1"/>
    <w:qFormat/>
    <w:uiPriority w:val="0"/>
    <w:pPr>
      <w:ind w:left="200" w:leftChars="200" w:hanging="200" w:hangingChars="200"/>
    </w:pPr>
  </w:style>
  <w:style w:type="paragraph" w:styleId="75">
    <w:name w:val="toc 9"/>
    <w:basedOn w:val="1"/>
    <w:next w:val="1"/>
    <w:qFormat/>
    <w:uiPriority w:val="0"/>
    <w:pPr>
      <w:ind w:left="3360" w:leftChars="1600"/>
    </w:pPr>
  </w:style>
  <w:style w:type="paragraph" w:styleId="76">
    <w:name w:val="Body Text 2"/>
    <w:basedOn w:val="1"/>
    <w:qFormat/>
    <w:uiPriority w:val="0"/>
    <w:pPr>
      <w:spacing w:after="120" w:line="480" w:lineRule="auto"/>
    </w:pPr>
  </w:style>
  <w:style w:type="paragraph" w:styleId="77">
    <w:name w:val="List 4"/>
    <w:basedOn w:val="1"/>
    <w:qFormat/>
    <w:uiPriority w:val="0"/>
    <w:pPr>
      <w:ind w:left="100" w:leftChars="600" w:hanging="200" w:hangingChars="200"/>
    </w:pPr>
  </w:style>
  <w:style w:type="paragraph" w:styleId="78">
    <w:name w:val="List Continue 2"/>
    <w:basedOn w:val="1"/>
    <w:qFormat/>
    <w:uiPriority w:val="0"/>
    <w:pPr>
      <w:spacing w:after="120"/>
      <w:ind w:left="840" w:leftChars="400"/>
    </w:pPr>
  </w:style>
  <w:style w:type="paragraph" w:styleId="7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80">
    <w:name w:val="HTML Preformatted"/>
    <w:basedOn w:val="1"/>
    <w:qFormat/>
    <w:uiPriority w:val="0"/>
    <w:rPr>
      <w:rFonts w:ascii="Courier New" w:hAnsi="Courier New"/>
      <w:sz w:val="20"/>
    </w:rPr>
  </w:style>
  <w:style w:type="paragraph" w:styleId="81">
    <w:name w:val="Normal (Web)"/>
    <w:basedOn w:val="1"/>
    <w:qFormat/>
    <w:uiPriority w:val="0"/>
    <w:rPr>
      <w:sz w:val="24"/>
    </w:rPr>
  </w:style>
  <w:style w:type="paragraph" w:styleId="82">
    <w:name w:val="List Continue 3"/>
    <w:basedOn w:val="1"/>
    <w:qFormat/>
    <w:uiPriority w:val="0"/>
    <w:pPr>
      <w:spacing w:after="120"/>
      <w:ind w:left="1260" w:leftChars="600"/>
    </w:pPr>
  </w:style>
  <w:style w:type="paragraph" w:styleId="83">
    <w:name w:val="index 2"/>
    <w:basedOn w:val="1"/>
    <w:next w:val="1"/>
    <w:qFormat/>
    <w:uiPriority w:val="0"/>
    <w:pPr>
      <w:ind w:left="200" w:leftChars="200"/>
    </w:pPr>
  </w:style>
  <w:style w:type="paragraph" w:styleId="84">
    <w:name w:val="Title"/>
    <w:basedOn w:val="1"/>
    <w:qFormat/>
    <w:uiPriority w:val="0"/>
    <w:pPr>
      <w:spacing w:before="240" w:after="60"/>
      <w:jc w:val="center"/>
      <w:outlineLvl w:val="0"/>
    </w:pPr>
    <w:rPr>
      <w:rFonts w:ascii="Arial" w:hAnsi="Arial"/>
      <w:b/>
      <w:sz w:val="32"/>
    </w:rPr>
  </w:style>
  <w:style w:type="paragraph" w:styleId="85">
    <w:name w:val="annotation subject"/>
    <w:basedOn w:val="29"/>
    <w:next w:val="29"/>
    <w:link w:val="269"/>
    <w:qFormat/>
    <w:uiPriority w:val="0"/>
    <w:rPr>
      <w:b/>
    </w:rPr>
  </w:style>
  <w:style w:type="paragraph" w:styleId="86">
    <w:name w:val="Body Text First Indent"/>
    <w:basedOn w:val="35"/>
    <w:link w:val="284"/>
    <w:qFormat/>
    <w:uiPriority w:val="0"/>
    <w:pPr>
      <w:ind w:firstLine="420" w:firstLineChars="100"/>
    </w:pPr>
  </w:style>
  <w:style w:type="paragraph" w:styleId="87">
    <w:name w:val="Body Text First Indent 2"/>
    <w:basedOn w:val="36"/>
    <w:qFormat/>
    <w:uiPriority w:val="0"/>
    <w:pPr>
      <w:ind w:firstLine="420" w:firstLineChars="200"/>
    </w:p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0">
    <w:name w:val="Table Theme"/>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91">
    <w:name w:val="Table Colorful 1"/>
    <w:basedOn w:val="88"/>
    <w:semiHidden/>
    <w:unhideWhenUsed/>
    <w:qFormat/>
    <w:uiPriority w:val="0"/>
    <w:pPr>
      <w:widowControl w:val="0"/>
      <w:adjustRightInd w:val="0"/>
      <w:snapToGrid w:val="0"/>
      <w:spacing w:after="50" w:afterLines="50" w:line="288" w:lineRule="auto"/>
      <w:ind w:firstLine="200" w:firstLineChars="200"/>
      <w:jc w:val="both"/>
      <w:textAlignment w:val="bottom"/>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CellMar>
        <w:top w:w="0" w:type="dxa"/>
        <w:left w:w="108" w:type="dxa"/>
        <w:bottom w:w="0" w:type="dxa"/>
        <w:right w:w="108" w:type="dxa"/>
      </w:tblCellMar>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bottom w:val="single" w:color="000000" w:sz="12" w:space="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8" w:space="0"/>
        <w:left w:val="single" w:color="000000" w:sz="18" w:space="0"/>
        <w:bottom w:val="single" w:color="000000" w:sz="18" w:space="0"/>
        <w:right w:val="single" w:color="000000" w:sz="18" w:space="0"/>
        <w:insideH w:val="single" w:color="C0C0C0" w:sz="6" w:space="0"/>
      </w:tblBorders>
      <w:tblCellMar>
        <w:top w:w="0" w:type="dxa"/>
        <w:left w:w="108" w:type="dxa"/>
        <w:bottom w:w="0" w:type="dxa"/>
        <w:right w:w="108" w:type="dxa"/>
      </w:tblCellMar>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bottom w:val="single" w:color="000000" w:sz="12" w:space="0"/>
      </w:tblBorders>
      <w:tblCellMar>
        <w:top w:w="0" w:type="dxa"/>
        <w:left w:w="108" w:type="dxa"/>
        <w:bottom w:w="0" w:type="dxa"/>
        <w:right w:w="108" w:type="dxa"/>
      </w:tblCellMar>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0"/>
    <w:pPr>
      <w:widowControl w:val="0"/>
      <w:adjustRightInd w:val="0"/>
      <w:snapToGrid w:val="0"/>
      <w:spacing w:after="50" w:afterLines="50" w:line="288" w:lineRule="auto"/>
      <w:ind w:firstLine="200" w:firstLineChars="200"/>
      <w:jc w:val="both"/>
      <w:textAlignment w:val="bottom"/>
    </w:pPr>
    <w:rPr>
      <w:color w:val="000080"/>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left w:val="single" w:color="000000" w:sz="6" w:space="0"/>
        <w:bottom w:val="single" w:color="000000" w:sz="12" w:space="0"/>
        <w:right w:val="single" w:color="000000" w:sz="6" w:space="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8000" w:sz="12" w:space="0"/>
        <w:bottom w:val="single" w:color="008000" w:sz="12" w:space="0"/>
      </w:tblBorders>
      <w:tblCellMar>
        <w:top w:w="0" w:type="dxa"/>
        <w:left w:w="108" w:type="dxa"/>
        <w:bottom w:w="0" w:type="dxa"/>
        <w:right w:w="108" w:type="dxa"/>
      </w:tblCellMar>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Mar>
        <w:top w:w="0" w:type="dxa"/>
        <w:left w:w="108" w:type="dxa"/>
        <w:bottom w:w="0" w:type="dxa"/>
        <w:right w:w="108" w:type="dxa"/>
      </w:tblCellMa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Mar>
        <w:top w:w="0" w:type="dxa"/>
        <w:left w:w="108" w:type="dxa"/>
        <w:bottom w:w="0" w:type="dxa"/>
        <w:right w:w="108" w:type="dxa"/>
      </w:tblCellMar>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left w:val="single" w:color="000000" w:sz="6" w:space="0"/>
        <w:right w:val="single" w:color="000000" w:sz="6" w:space="0"/>
      </w:tblBorders>
      <w:tblCellMar>
        <w:top w:w="0" w:type="dxa"/>
        <w:left w:w="108" w:type="dxa"/>
        <w:bottom w:w="0" w:type="dxa"/>
        <w:right w:w="108" w:type="dxa"/>
      </w:tblCellMar>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Mar>
        <w:top w:w="0" w:type="dxa"/>
        <w:left w:w="108" w:type="dxa"/>
        <w:bottom w:w="0" w:type="dxa"/>
        <w:right w:w="108" w:type="dxa"/>
      </w:tblCellMa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Mar>
        <w:top w:w="0" w:type="dxa"/>
        <w:left w:w="108" w:type="dxa"/>
        <w:bottom w:w="0" w:type="dxa"/>
        <w:right w:w="108" w:type="dxa"/>
      </w:tblCellMar>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Mar>
        <w:top w:w="0" w:type="dxa"/>
        <w:left w:w="108" w:type="dxa"/>
        <w:bottom w:w="0" w:type="dxa"/>
        <w:right w:w="108" w:type="dxa"/>
      </w:tblCellMar>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8080" w:sz="12" w:space="0"/>
        <w:left w:val="single" w:color="008080" w:sz="6" w:space="0"/>
        <w:bottom w:val="single" w:color="008080" w:sz="12" w:space="0"/>
        <w:right w:val="single" w:color="008080" w:sz="6" w:space="0"/>
      </w:tblBorders>
      <w:tblCellMar>
        <w:top w:w="0" w:type="dxa"/>
        <w:left w:w="108" w:type="dxa"/>
        <w:bottom w:w="0" w:type="dxa"/>
        <w:right w:w="108" w:type="dxa"/>
      </w:tblCellMar>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bottom w:val="single" w:color="808080" w:sz="12" w:space="0"/>
      </w:tblBorders>
      <w:tblCellMar>
        <w:top w:w="0" w:type="dxa"/>
        <w:left w:w="108" w:type="dxa"/>
        <w:bottom w:w="0" w:type="dxa"/>
        <w:right w:w="108" w:type="dxa"/>
      </w:tblCellMar>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bottom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left w:val="single" w:color="000000" w:sz="12" w:space="0"/>
        <w:bottom w:val="single" w:color="000000" w:sz="12" w:space="0"/>
        <w:right w:val="single" w:color="000000" w:sz="12" w:space="0"/>
        <w:insideH w:val="single" w:color="000000" w:sz="6" w:space="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6" w:space="0"/>
        <w:left w:val="single" w:color="000000" w:sz="6" w:space="0"/>
        <w:bottom w:val="single" w:color="000000" w:sz="6" w:space="0"/>
        <w:right w:val="single" w:color="000000" w:sz="6" w:space="0"/>
        <w:insideH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6" w:space="0"/>
        <w:left w:val="single" w:color="000000" w:sz="6" w:space="0"/>
        <w:bottom w:val="single" w:color="000000" w:sz="6" w:space="0"/>
        <w:right w:val="single" w:color="000000" w:sz="6" w:space="0"/>
      </w:tblBorders>
      <w:tblCellMar>
        <w:top w:w="0" w:type="dxa"/>
        <w:left w:w="108" w:type="dxa"/>
        <w:bottom w:w="0" w:type="dxa"/>
        <w:right w:w="108" w:type="dxa"/>
      </w:tblCellMar>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8000" w:sz="12" w:space="0"/>
        <w:left w:val="single" w:color="008000" w:sz="6" w:space="0"/>
        <w:bottom w:val="single" w:color="008000" w:sz="12" w:space="0"/>
        <w:right w:val="single" w:color="008000" w:sz="6" w:space="0"/>
        <w:insideH w:val="single" w:color="000000" w:sz="6" w:space="0"/>
      </w:tblBorders>
      <w:tblCellMar>
        <w:top w:w="0" w:type="dxa"/>
        <w:left w:w="108" w:type="dxa"/>
        <w:bottom w:w="0" w:type="dxa"/>
        <w:right w:w="108" w:type="dxa"/>
      </w:tblCellMar>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6" w:space="0"/>
        <w:left w:val="single" w:color="000000" w:sz="6" w:space="0"/>
        <w:bottom w:val="single" w:color="000000" w:sz="6" w:space="0"/>
        <w:right w:val="single" w:color="000000" w:sz="6" w:space="0"/>
        <w:insideV w:val="single" w:color="000000" w:sz="6" w:space="0"/>
      </w:tblBorders>
      <w:tblCellMar>
        <w:top w:w="0" w:type="dxa"/>
        <w:left w:w="108" w:type="dxa"/>
        <w:bottom w:w="0" w:type="dxa"/>
        <w:right w:w="108" w:type="dxa"/>
      </w:tblCellMar>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insideH w:val="single" w:color="FFFFFF" w:sz="18" w:space="0"/>
        <w:insideV w:val="single" w:color="FFFFFF" w:sz="18" w:space="0"/>
      </w:tblBorders>
      <w:tblCellMar>
        <w:top w:w="0" w:type="dxa"/>
        <w:left w:w="108" w:type="dxa"/>
        <w:bottom w:w="0" w:type="dxa"/>
        <w:right w:w="108" w:type="dxa"/>
      </w:tblCellMar>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semiHidden/>
    <w:unhideWhenUsed/>
    <w:qFormat/>
    <w:uiPriority w:val="0"/>
    <w:pPr>
      <w:widowControl w:val="0"/>
      <w:adjustRightInd w:val="0"/>
      <w:snapToGrid w:val="0"/>
      <w:spacing w:after="50" w:afterLines="50" w:line="288" w:lineRule="auto"/>
      <w:ind w:firstLine="200" w:firstLineChars="200"/>
      <w:jc w:val="both"/>
      <w:textAlignment w:val="bottom"/>
    </w:pPr>
    <w:rPr>
      <w:b/>
      <w:bCs/>
    </w:rPr>
    <w:tblPr>
      <w:tblBorders>
        <w:top w:val="single" w:color="000000" w:sz="12" w:space="0"/>
        <w:left w:val="single" w:color="000000" w:sz="12" w:space="0"/>
        <w:bottom w:val="single" w:color="000000" w:sz="12" w:space="0"/>
        <w:right w:val="single" w:color="000000" w:sz="12" w:space="0"/>
      </w:tblBorders>
      <w:tblCellMar>
        <w:top w:w="0" w:type="dxa"/>
        <w:left w:w="108" w:type="dxa"/>
        <w:bottom w:w="0" w:type="dxa"/>
        <w:right w:w="108" w:type="dxa"/>
      </w:tblCellMar>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semiHidden/>
    <w:unhideWhenUsed/>
    <w:qFormat/>
    <w:uiPriority w:val="0"/>
    <w:pPr>
      <w:widowControl w:val="0"/>
      <w:adjustRightInd w:val="0"/>
      <w:snapToGrid w:val="0"/>
      <w:spacing w:after="50" w:afterLines="50" w:line="288" w:lineRule="auto"/>
      <w:ind w:firstLine="200" w:firstLineChars="200"/>
      <w:jc w:val="both"/>
      <w:textAlignment w:val="bottom"/>
    </w:pPr>
    <w:rPr>
      <w:b/>
      <w:bCs/>
    </w:rPr>
    <w:tblPr>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semiHidden/>
    <w:unhideWhenUsed/>
    <w:qFormat/>
    <w:uiPriority w:val="0"/>
    <w:pPr>
      <w:widowControl w:val="0"/>
      <w:adjustRightInd w:val="0"/>
      <w:snapToGrid w:val="0"/>
      <w:spacing w:after="50" w:afterLines="50" w:line="288" w:lineRule="auto"/>
      <w:ind w:firstLine="200" w:firstLineChars="200"/>
      <w:jc w:val="both"/>
      <w:textAlignment w:val="bottom"/>
    </w:pPr>
    <w:rPr>
      <w:b/>
      <w:bCs/>
    </w:rPr>
    <w:tblPr>
      <w:tblBorders>
        <w:top w:val="single" w:color="000080" w:sz="6" w:space="0"/>
        <w:left w:val="single" w:color="000080" w:sz="6" w:space="0"/>
        <w:bottom w:val="single" w:color="000080" w:sz="6" w:space="0"/>
        <w:right w:val="single" w:color="000080" w:sz="6" w:space="0"/>
        <w:insideV w:val="single" w:color="000080" w:sz="6" w:space="0"/>
      </w:tblBorders>
      <w:tblCellMar>
        <w:top w:w="0" w:type="dxa"/>
        <w:left w:w="108" w:type="dxa"/>
        <w:bottom w:w="0" w:type="dxa"/>
        <w:right w:w="108" w:type="dxa"/>
      </w:tblCellMar>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Mar>
        <w:top w:w="0" w:type="dxa"/>
        <w:left w:w="108" w:type="dxa"/>
        <w:bottom w:w="0" w:type="dxa"/>
        <w:right w:w="108" w:type="dxa"/>
      </w:tblCellMar>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808080" w:sz="12" w:space="0"/>
        <w:left w:val="single" w:color="808080" w:sz="12" w:space="0"/>
        <w:bottom w:val="single" w:color="808080" w:sz="12" w:space="0"/>
        <w:right w:val="single" w:color="808080" w:sz="12" w:space="0"/>
        <w:insideV w:val="single" w:color="C0C0C0" w:sz="6" w:space="0"/>
      </w:tblBorders>
      <w:tblCellMar>
        <w:top w:w="0" w:type="dxa"/>
        <w:left w:w="108" w:type="dxa"/>
        <w:bottom w:w="0" w:type="dxa"/>
        <w:right w:w="108" w:type="dxa"/>
      </w:tblCellMar>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6" w:space="0"/>
        <w:left w:val="single" w:color="000000" w:sz="12" w:space="0"/>
        <w:bottom w:val="single" w:color="000000" w:sz="6"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left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12" w:space="0"/>
        <w:left w:val="single" w:color="000000" w:sz="12" w:space="0"/>
        <w:bottom w:val="single" w:color="000000" w:sz="12" w:space="0"/>
        <w:right w:val="single" w:color="000000" w:sz="12" w:space="0"/>
        <w:insideV w:val="single" w:color="000000" w:sz="6" w:space="0"/>
      </w:tblBorders>
      <w:tblCellMar>
        <w:top w:w="0" w:type="dxa"/>
        <w:left w:w="108" w:type="dxa"/>
        <w:bottom w:w="0" w:type="dxa"/>
        <w:right w:w="108" w:type="dxa"/>
      </w:tblCellMar>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0"/>
    <w:pPr>
      <w:widowControl w:val="0"/>
      <w:adjustRightInd w:val="0"/>
      <w:snapToGrid w:val="0"/>
      <w:spacing w:after="50" w:afterLines="50" w:line="288" w:lineRule="auto"/>
      <w:ind w:firstLine="200" w:firstLineChars="200"/>
      <w:jc w:val="both"/>
      <w:textAlignment w:val="bottom"/>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semiHidden/>
    <w:unhideWhenUsed/>
    <w:qFormat/>
    <w:uiPriority w:val="0"/>
    <w:pPr>
      <w:widowControl w:val="0"/>
      <w:adjustRightInd w:val="0"/>
      <w:snapToGrid w:val="0"/>
      <w:spacing w:after="50" w:afterLines="50" w:line="288" w:lineRule="auto"/>
      <w:ind w:firstLine="200" w:firstLineChars="200"/>
      <w:jc w:val="both"/>
      <w:textAlignment w:val="bottom"/>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semiHidden/>
    <w:unhideWhenUsed/>
    <w:qFormat/>
    <w:uiPriority w:val="60"/>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semiHidden/>
    <w:unhideWhenUsed/>
    <w:qFormat/>
    <w:uiPriority w:val="60"/>
    <w:rPr>
      <w:color w:val="2E54A1" w:themeColor="accent1" w:themeShade="BF"/>
    </w:rPr>
    <w:tblPr>
      <w:tblBorders>
        <w:top w:val="single" w:color="4874CB" w:themeColor="accent1" w:sz="8" w:space="0"/>
        <w:bottom w:val="single" w:color="4874CB"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874CB" w:themeColor="accent1" w:sz="8" w:space="0"/>
          <w:left w:val="nil"/>
          <w:bottom w:val="single" w:color="4874CB" w:themeColor="accent1" w:sz="8" w:space="0"/>
          <w:right w:val="nil"/>
          <w:insideH w:val="nil"/>
          <w:insideV w:val="nil"/>
        </w:tcBorders>
      </w:tcPr>
    </w:tblStylePr>
    <w:tblStylePr w:type="lastRow">
      <w:pPr>
        <w:spacing w:before="0" w:after="0" w:line="240" w:lineRule="auto"/>
      </w:pPr>
      <w:rPr>
        <w:b/>
        <w:bCs/>
      </w:rPr>
      <w:tblPr/>
      <w:tcPr>
        <w:tcBorders>
          <w:top w:val="single" w:color="4874CB" w:themeColor="accent1" w:sz="8" w:space="0"/>
          <w:left w:val="nil"/>
          <w:bottom w:val="single" w:color="4874CB"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left w:val="nil"/>
          <w:right w:val="nil"/>
          <w:insideH w:val="nil"/>
          <w:insideV w:val="nil"/>
        </w:tcBorders>
        <w:shd w:val="clear" w:color="auto" w:fill="D1DCF2" w:themeFill="accent1" w:themeFillTint="3F"/>
      </w:tcPr>
    </w:tblStylePr>
  </w:style>
  <w:style w:type="table" w:styleId="135">
    <w:name w:val="Light Shading Accent 2"/>
    <w:basedOn w:val="88"/>
    <w:semiHidden/>
    <w:unhideWhenUsed/>
    <w:qFormat/>
    <w:uiPriority w:val="60"/>
    <w:rPr>
      <w:color w:val="C65F10" w:themeColor="accent2" w:themeShade="BF"/>
    </w:rPr>
    <w:tblPr>
      <w:tblBorders>
        <w:top w:val="single" w:color="EE822F" w:themeColor="accent2" w:sz="8" w:space="0"/>
        <w:bottom w:val="single" w:color="EE822F"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E822F" w:themeColor="accent2" w:sz="8" w:space="0"/>
          <w:left w:val="nil"/>
          <w:bottom w:val="single" w:color="EE822F" w:themeColor="accent2" w:sz="8" w:space="0"/>
          <w:right w:val="nil"/>
          <w:insideH w:val="nil"/>
          <w:insideV w:val="nil"/>
        </w:tcBorders>
      </w:tcPr>
    </w:tblStylePr>
    <w:tblStylePr w:type="lastRow">
      <w:pPr>
        <w:spacing w:before="0" w:after="0" w:line="240" w:lineRule="auto"/>
      </w:pPr>
      <w:rPr>
        <w:b/>
        <w:bCs/>
      </w:rPr>
      <w:tblPr/>
      <w:tcPr>
        <w:tcBorders>
          <w:top w:val="single" w:color="EE822F" w:themeColor="accent2" w:sz="8" w:space="0"/>
          <w:left w:val="nil"/>
          <w:bottom w:val="single" w:color="EE822F"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E0CB" w:themeFill="accent2" w:themeFillTint="3F"/>
      </w:tcPr>
    </w:tblStylePr>
    <w:tblStylePr w:type="band1Horz">
      <w:tblPr/>
      <w:tcPr>
        <w:tcBorders>
          <w:left w:val="nil"/>
          <w:right w:val="nil"/>
          <w:insideH w:val="nil"/>
          <w:insideV w:val="nil"/>
        </w:tcBorders>
        <w:shd w:val="clear" w:color="auto" w:fill="FAE0CB" w:themeFill="accent2" w:themeFillTint="3F"/>
      </w:tcPr>
    </w:tblStylePr>
  </w:style>
  <w:style w:type="table" w:styleId="136">
    <w:name w:val="Light Shading Accent 3"/>
    <w:basedOn w:val="88"/>
    <w:semiHidden/>
    <w:unhideWhenUsed/>
    <w:qFormat/>
    <w:uiPriority w:val="60"/>
    <w:rPr>
      <w:color w:val="B68C02" w:themeColor="accent3" w:themeShade="BF"/>
    </w:rPr>
    <w:tblPr>
      <w:tblBorders>
        <w:top w:val="single" w:color="F2BA02" w:themeColor="accent3" w:sz="8" w:space="0"/>
        <w:bottom w:val="single" w:color="F2BA02"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2BA02" w:themeColor="accent3" w:sz="8" w:space="0"/>
          <w:left w:val="nil"/>
          <w:bottom w:val="single" w:color="F2BA02" w:themeColor="accent3" w:sz="8" w:space="0"/>
          <w:right w:val="nil"/>
          <w:insideH w:val="nil"/>
          <w:insideV w:val="nil"/>
        </w:tcBorders>
      </w:tcPr>
    </w:tblStylePr>
    <w:tblStylePr w:type="lastRow">
      <w:pPr>
        <w:spacing w:before="0" w:after="0" w:line="240" w:lineRule="auto"/>
      </w:pPr>
      <w:rPr>
        <w:b/>
        <w:bCs/>
      </w:rPr>
      <w:tblPr/>
      <w:tcPr>
        <w:tcBorders>
          <w:top w:val="single" w:color="F2BA02" w:themeColor="accent3" w:sz="8" w:space="0"/>
          <w:left w:val="nil"/>
          <w:bottom w:val="single" w:color="F2BA02"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left w:val="nil"/>
          <w:right w:val="nil"/>
          <w:insideH w:val="nil"/>
          <w:insideV w:val="nil"/>
        </w:tcBorders>
        <w:shd w:val="clear" w:color="auto" w:fill="FEEFBD" w:themeFill="accent3" w:themeFillTint="3F"/>
      </w:tcPr>
    </w:tblStylePr>
  </w:style>
  <w:style w:type="table" w:styleId="137">
    <w:name w:val="Light Shading Accent 4"/>
    <w:basedOn w:val="88"/>
    <w:semiHidden/>
    <w:unhideWhenUsed/>
    <w:qFormat/>
    <w:uiPriority w:val="60"/>
    <w:rPr>
      <w:color w:val="588E32" w:themeColor="accent4" w:themeShade="BF"/>
    </w:rPr>
    <w:tblPr>
      <w:tblBorders>
        <w:top w:val="single" w:color="75BD42" w:themeColor="accent4" w:sz="8" w:space="0"/>
        <w:bottom w:val="single" w:color="75BD4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75BD42" w:themeColor="accent4" w:sz="8" w:space="0"/>
          <w:left w:val="nil"/>
          <w:bottom w:val="single" w:color="75BD42" w:themeColor="accent4" w:sz="8" w:space="0"/>
          <w:right w:val="nil"/>
          <w:insideH w:val="nil"/>
          <w:insideV w:val="nil"/>
        </w:tcBorders>
      </w:tcPr>
    </w:tblStylePr>
    <w:tblStylePr w:type="lastRow">
      <w:pPr>
        <w:spacing w:before="0" w:after="0" w:line="240" w:lineRule="auto"/>
      </w:pPr>
      <w:rPr>
        <w:b/>
        <w:bCs/>
      </w:rPr>
      <w:tblPr/>
      <w:tcPr>
        <w:tcBorders>
          <w:top w:val="single" w:color="75BD42" w:themeColor="accent4" w:sz="8" w:space="0"/>
          <w:left w:val="nil"/>
          <w:bottom w:val="single" w:color="75BD4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left w:val="nil"/>
          <w:right w:val="nil"/>
          <w:insideH w:val="nil"/>
          <w:insideV w:val="nil"/>
        </w:tcBorders>
        <w:shd w:val="clear" w:color="auto" w:fill="DCEED0" w:themeFill="accent4" w:themeFillTint="3F"/>
      </w:tcPr>
    </w:tblStylePr>
  </w:style>
  <w:style w:type="table" w:styleId="138">
    <w:name w:val="Light Shading Accent 5"/>
    <w:basedOn w:val="88"/>
    <w:semiHidden/>
    <w:unhideWhenUsed/>
    <w:qFormat/>
    <w:uiPriority w:val="60"/>
    <w:rPr>
      <w:color w:val="249087" w:themeColor="accent5" w:themeShade="BF"/>
    </w:rPr>
    <w:tblPr>
      <w:tblBorders>
        <w:top w:val="single" w:color="30C0B4" w:themeColor="accent5" w:sz="8" w:space="0"/>
        <w:bottom w:val="single" w:color="30C0B4"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30C0B4" w:themeColor="accent5" w:sz="8" w:space="0"/>
          <w:left w:val="nil"/>
          <w:bottom w:val="single" w:color="30C0B4" w:themeColor="accent5" w:sz="8" w:space="0"/>
          <w:right w:val="nil"/>
          <w:insideH w:val="nil"/>
          <w:insideV w:val="nil"/>
        </w:tcBorders>
      </w:tcPr>
    </w:tblStylePr>
    <w:tblStylePr w:type="lastRow">
      <w:pPr>
        <w:spacing w:before="0" w:after="0" w:line="240" w:lineRule="auto"/>
      </w:pPr>
      <w:rPr>
        <w:b/>
        <w:bCs/>
      </w:rPr>
      <w:tblPr/>
      <w:tcPr>
        <w:tcBorders>
          <w:top w:val="single" w:color="30C0B4" w:themeColor="accent5" w:sz="8" w:space="0"/>
          <w:left w:val="nil"/>
          <w:bottom w:val="single" w:color="30C0B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left w:val="nil"/>
          <w:right w:val="nil"/>
          <w:insideH w:val="nil"/>
          <w:insideV w:val="nil"/>
        </w:tcBorders>
        <w:shd w:val="clear" w:color="auto" w:fill="C9F1EE" w:themeFill="accent5" w:themeFillTint="3F"/>
      </w:tcPr>
    </w:tblStylePr>
  </w:style>
  <w:style w:type="table" w:styleId="139">
    <w:name w:val="Light Shading Accent 6"/>
    <w:basedOn w:val="88"/>
    <w:semiHidden/>
    <w:unhideWhenUsed/>
    <w:qFormat/>
    <w:uiPriority w:val="60"/>
    <w:rPr>
      <w:color w:val="C81D31" w:themeColor="accent6" w:themeShade="BF"/>
    </w:rPr>
    <w:tblPr>
      <w:tblBorders>
        <w:top w:val="single" w:color="E54C5E" w:themeColor="accent6" w:sz="8" w:space="0"/>
        <w:bottom w:val="single" w:color="E54C5E"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E54C5E" w:themeColor="accent6" w:sz="8" w:space="0"/>
          <w:left w:val="nil"/>
          <w:bottom w:val="single" w:color="E54C5E" w:themeColor="accent6" w:sz="8" w:space="0"/>
          <w:right w:val="nil"/>
          <w:insideH w:val="nil"/>
          <w:insideV w:val="nil"/>
        </w:tcBorders>
      </w:tcPr>
    </w:tblStylePr>
    <w:tblStylePr w:type="lastRow">
      <w:pPr>
        <w:spacing w:before="0" w:after="0" w:line="240" w:lineRule="auto"/>
      </w:pPr>
      <w:rPr>
        <w:b/>
        <w:bCs/>
      </w:rPr>
      <w:tblPr/>
      <w:tcPr>
        <w:tcBorders>
          <w:top w:val="single" w:color="E54C5E" w:themeColor="accent6" w:sz="8" w:space="0"/>
          <w:left w:val="nil"/>
          <w:bottom w:val="single" w:color="E54C5E"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left w:val="nil"/>
          <w:right w:val="nil"/>
          <w:insideH w:val="nil"/>
          <w:insideV w:val="nil"/>
        </w:tcBorders>
        <w:shd w:val="clear" w:color="auto" w:fill="F8D2D7" w:themeFill="accent6" w:themeFillTint="3F"/>
      </w:tcPr>
    </w:tblStylePr>
  </w:style>
  <w:style w:type="table" w:styleId="140">
    <w:name w:val="Light List"/>
    <w:basedOn w:val="88"/>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semiHidden/>
    <w:unhideWhenUsed/>
    <w:qFormat/>
    <w:uiPriority w:val="61"/>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4874CB" w:themeFill="accent1"/>
      </w:tcPr>
    </w:tblStylePr>
    <w:tblStylePr w:type="lastRow">
      <w:pPr>
        <w:spacing w:before="0" w:after="0" w:line="240" w:lineRule="auto"/>
      </w:pPr>
      <w:rPr>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tcBorders>
      </w:tcPr>
    </w:tblStylePr>
    <w:tblStylePr w:type="firstCol">
      <w:rPr>
        <w:b/>
        <w:bCs/>
      </w:rPr>
    </w:tblStylePr>
    <w:tblStylePr w:type="lastCol">
      <w:rPr>
        <w:b/>
        <w:bCs/>
      </w:r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style>
  <w:style w:type="table" w:styleId="142">
    <w:name w:val="Light List Accent 2"/>
    <w:basedOn w:val="88"/>
    <w:semiHidden/>
    <w:unhideWhenUsed/>
    <w:qFormat/>
    <w:uiPriority w:val="61"/>
    <w:tblPr>
      <w:tblBorders>
        <w:top w:val="single" w:color="EE822F" w:themeColor="accent2" w:sz="8" w:space="0"/>
        <w:left w:val="single" w:color="EE822F" w:themeColor="accent2" w:sz="8" w:space="0"/>
        <w:bottom w:val="single" w:color="EE822F" w:themeColor="accent2" w:sz="8" w:space="0"/>
        <w:right w:val="single" w:color="EE822F" w:themeColor="accent2"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EE822F" w:themeFill="accent2"/>
      </w:tcPr>
    </w:tblStylePr>
    <w:tblStylePr w:type="lastRow">
      <w:pPr>
        <w:spacing w:before="0" w:after="0" w:line="240" w:lineRule="auto"/>
      </w:pPr>
      <w:rPr>
        <w:b/>
        <w:bCs/>
      </w:rPr>
      <w:tblPr/>
      <w:tcPr>
        <w:tcBorders>
          <w:top w:val="double" w:color="EE822F" w:themeColor="accent2" w:sz="6" w:space="0"/>
          <w:left w:val="single" w:color="EE822F" w:themeColor="accent2" w:sz="8" w:space="0"/>
          <w:bottom w:val="single" w:color="EE822F" w:themeColor="accent2" w:sz="8" w:space="0"/>
          <w:right w:val="single" w:color="EE822F" w:themeColor="accent2" w:sz="8" w:space="0"/>
        </w:tcBorders>
      </w:tcPr>
    </w:tblStylePr>
    <w:tblStylePr w:type="firstCol">
      <w:rPr>
        <w:b/>
        <w:bCs/>
      </w:rPr>
    </w:tblStylePr>
    <w:tblStylePr w:type="lastCol">
      <w:rPr>
        <w:b/>
        <w:bCs/>
      </w:rPr>
    </w:tblStylePr>
    <w:tblStylePr w:type="band1Vert">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tblStylePr w:type="band1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style>
  <w:style w:type="table" w:styleId="143">
    <w:name w:val="Light List Accent 3"/>
    <w:basedOn w:val="88"/>
    <w:semiHidden/>
    <w:unhideWhenUsed/>
    <w:qFormat/>
    <w:uiPriority w:val="61"/>
    <w:tblPr>
      <w:tblBorders>
        <w:top w:val="single" w:color="F2BA02" w:themeColor="accent3" w:sz="8" w:space="0"/>
        <w:left w:val="single" w:color="F2BA02" w:themeColor="accent3" w:sz="8" w:space="0"/>
        <w:bottom w:val="single" w:color="F2BA02" w:themeColor="accent3" w:sz="8" w:space="0"/>
        <w:right w:val="single" w:color="F2BA02" w:themeColor="accent3"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F2BA02" w:themeFill="accent3"/>
      </w:tcPr>
    </w:tblStylePr>
    <w:tblStylePr w:type="lastRow">
      <w:pPr>
        <w:spacing w:before="0" w:after="0" w:line="240" w:lineRule="auto"/>
      </w:pPr>
      <w:rPr>
        <w:b/>
        <w:bCs/>
      </w:rPr>
      <w:tblPr/>
      <w:tcPr>
        <w:tcBorders>
          <w:top w:val="double" w:color="F2BA02" w:themeColor="accent3" w:sz="6" w:space="0"/>
          <w:left w:val="single" w:color="F2BA02" w:themeColor="accent3" w:sz="8" w:space="0"/>
          <w:bottom w:val="single" w:color="F2BA02" w:themeColor="accent3" w:sz="8" w:space="0"/>
          <w:right w:val="single" w:color="F2BA02" w:themeColor="accent3" w:sz="8" w:space="0"/>
        </w:tcBorders>
      </w:tcPr>
    </w:tblStylePr>
    <w:tblStylePr w:type="firstCol">
      <w:rPr>
        <w:b/>
        <w:bCs/>
      </w:rPr>
    </w:tblStylePr>
    <w:tblStylePr w:type="lastCol">
      <w:rPr>
        <w:b/>
        <w:bCs/>
      </w:rPr>
    </w:tblStylePr>
    <w:tblStylePr w:type="band1Vert">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tblStylePr w:type="band1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style>
  <w:style w:type="table" w:styleId="144">
    <w:name w:val="Light List Accent 4"/>
    <w:basedOn w:val="88"/>
    <w:semiHidden/>
    <w:unhideWhenUsed/>
    <w:qFormat/>
    <w:uiPriority w:val="61"/>
    <w:tblPr>
      <w:tblBorders>
        <w:top w:val="single" w:color="75BD42" w:themeColor="accent4" w:sz="8" w:space="0"/>
        <w:left w:val="single" w:color="75BD42" w:themeColor="accent4" w:sz="8" w:space="0"/>
        <w:bottom w:val="single" w:color="75BD42" w:themeColor="accent4" w:sz="8" w:space="0"/>
        <w:right w:val="single" w:color="75BD42" w:themeColor="accent4"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75BD42" w:themeFill="accent4"/>
      </w:tcPr>
    </w:tblStylePr>
    <w:tblStylePr w:type="lastRow">
      <w:pPr>
        <w:spacing w:before="0" w:after="0" w:line="240" w:lineRule="auto"/>
      </w:pPr>
      <w:rPr>
        <w:b/>
        <w:bCs/>
      </w:rPr>
      <w:tblPr/>
      <w:tcPr>
        <w:tcBorders>
          <w:top w:val="double" w:color="75BD42" w:themeColor="accent4" w:sz="6" w:space="0"/>
          <w:left w:val="single" w:color="75BD42" w:themeColor="accent4" w:sz="8" w:space="0"/>
          <w:bottom w:val="single" w:color="75BD42" w:themeColor="accent4" w:sz="8" w:space="0"/>
          <w:right w:val="single" w:color="75BD42" w:themeColor="accent4" w:sz="8" w:space="0"/>
        </w:tcBorders>
      </w:tcPr>
    </w:tblStylePr>
    <w:tblStylePr w:type="firstCol">
      <w:rPr>
        <w:b/>
        <w:bCs/>
      </w:rPr>
    </w:tblStylePr>
    <w:tblStylePr w:type="lastCol">
      <w:rPr>
        <w:b/>
        <w:bCs/>
      </w:rPr>
    </w:tblStylePr>
    <w:tblStylePr w:type="band1Vert">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tblStylePr w:type="band1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style>
  <w:style w:type="table" w:styleId="145">
    <w:name w:val="Light List Accent 5"/>
    <w:basedOn w:val="88"/>
    <w:semiHidden/>
    <w:unhideWhenUsed/>
    <w:qFormat/>
    <w:uiPriority w:val="61"/>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30C0B4" w:themeFill="accent5"/>
      </w:tcPr>
    </w:tblStylePr>
    <w:tblStylePr w:type="lastRow">
      <w:pPr>
        <w:spacing w:before="0" w:after="0" w:line="240" w:lineRule="auto"/>
      </w:pPr>
      <w:rPr>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tcBorders>
      </w:tcPr>
    </w:tblStylePr>
    <w:tblStylePr w:type="firstCol">
      <w:rPr>
        <w:b/>
        <w:bCs/>
      </w:rPr>
    </w:tblStylePr>
    <w:tblStylePr w:type="lastCol">
      <w:rPr>
        <w:b/>
        <w:bCs/>
      </w:r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style>
  <w:style w:type="table" w:styleId="146">
    <w:name w:val="Light List Accent 6"/>
    <w:basedOn w:val="88"/>
    <w:semiHidden/>
    <w:unhideWhenUsed/>
    <w:qFormat/>
    <w:uiPriority w:val="61"/>
    <w:tblPr>
      <w:tblBorders>
        <w:top w:val="single" w:color="E54C5E" w:themeColor="accent6" w:sz="8" w:space="0"/>
        <w:left w:val="single" w:color="E54C5E" w:themeColor="accent6" w:sz="8" w:space="0"/>
        <w:bottom w:val="single" w:color="E54C5E" w:themeColor="accent6" w:sz="8" w:space="0"/>
        <w:right w:val="single" w:color="E54C5E" w:themeColor="accent6"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shd w:val="clear" w:color="auto" w:fill="E54C5E" w:themeFill="accent6"/>
      </w:tcPr>
    </w:tblStylePr>
    <w:tblStylePr w:type="lastRow">
      <w:pPr>
        <w:spacing w:before="0" w:after="0" w:line="240" w:lineRule="auto"/>
      </w:pPr>
      <w:rPr>
        <w:b/>
        <w:bCs/>
      </w:rPr>
      <w:tblPr/>
      <w:tcPr>
        <w:tcBorders>
          <w:top w:val="double" w:color="E54C5E" w:themeColor="accent6" w:sz="6" w:space="0"/>
          <w:left w:val="single" w:color="E54C5E" w:themeColor="accent6" w:sz="8" w:space="0"/>
          <w:bottom w:val="single" w:color="E54C5E" w:themeColor="accent6" w:sz="8" w:space="0"/>
          <w:right w:val="single" w:color="E54C5E" w:themeColor="accent6" w:sz="8" w:space="0"/>
        </w:tcBorders>
      </w:tcPr>
    </w:tblStylePr>
    <w:tblStylePr w:type="firstCol">
      <w:rPr>
        <w:b/>
        <w:bCs/>
      </w:rPr>
    </w:tblStylePr>
    <w:tblStylePr w:type="lastCol">
      <w:rPr>
        <w:b/>
        <w:bCs/>
      </w:rPr>
    </w:tblStylePr>
    <w:tblStylePr w:type="band1Vert">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tblStylePr w:type="band1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style>
  <w:style w:type="table" w:styleId="147">
    <w:name w:val="Light Grid"/>
    <w:basedOn w:val="88"/>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semiHidden/>
    <w:unhideWhenUsed/>
    <w:qFormat/>
    <w:uiPriority w:val="62"/>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18" w:space="0"/>
          <w:right w:val="single" w:color="4874CB"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874CB" w:themeColor="accent1" w:sz="6" w:space="0"/>
          <w:left w:val="single" w:color="4874CB" w:themeColor="accent1" w:sz="8" w:space="0"/>
          <w:bottom w:val="single" w:color="4874CB" w:themeColor="accent1" w:sz="8" w:space="0"/>
          <w:right w:val="single" w:color="4874CB"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tcPr>
    </w:tblStylePr>
    <w:tblStylePr w:type="band1Vert">
      <w:tblPr/>
      <w:tcPr>
        <w:tcBorders>
          <w:top w:val="single" w:color="4874CB" w:themeColor="accent1" w:sz="8" w:space="0"/>
          <w:left w:val="single" w:color="4874CB" w:themeColor="accent1" w:sz="8" w:space="0"/>
          <w:bottom w:val="single" w:color="4874CB" w:themeColor="accent1" w:sz="8" w:space="0"/>
          <w:right w:val="single" w:color="4874CB" w:themeColor="accent1" w:sz="8" w:space="0"/>
        </w:tcBorders>
        <w:shd w:val="clear" w:color="auto" w:fill="D1DCF2" w:themeFill="accent1" w:themeFillTint="3F"/>
      </w:tcPr>
    </w:tblStylePr>
    <w:tblStylePr w:type="band1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shd w:val="clear" w:color="auto" w:fill="D1DCF2" w:themeFill="accent1" w:themeFillTint="3F"/>
      </w:tcPr>
    </w:tblStylePr>
    <w:tblStylePr w:type="band2Horz">
      <w:tblPr/>
      <w:tcPr>
        <w:tcBorders>
          <w:top w:val="single" w:color="4874CB" w:themeColor="accent1" w:sz="8" w:space="0"/>
          <w:left w:val="single" w:color="4874CB" w:themeColor="accent1" w:sz="8" w:space="0"/>
          <w:bottom w:val="single" w:color="4874CB" w:themeColor="accent1" w:sz="8" w:space="0"/>
          <w:right w:val="single" w:color="4874CB" w:themeColor="accent1" w:sz="8" w:space="0"/>
          <w:insideV w:val="single" w:sz="8" w:space="0"/>
        </w:tcBorders>
      </w:tcPr>
    </w:tblStylePr>
  </w:style>
  <w:style w:type="table" w:styleId="149">
    <w:name w:val="Light Grid Accent 2"/>
    <w:basedOn w:val="88"/>
    <w:semiHidden/>
    <w:unhideWhenUsed/>
    <w:qFormat/>
    <w:uiPriority w:val="62"/>
    <w:tblPr>
      <w:tblBorders>
        <w:top w:val="single" w:color="EE822F" w:themeColor="accent2" w:sz="8" w:space="0"/>
        <w:left w:val="single" w:color="EE822F" w:themeColor="accent2" w:sz="8" w:space="0"/>
        <w:bottom w:val="single" w:color="EE822F" w:themeColor="accent2" w:sz="8" w:space="0"/>
        <w:right w:val="single" w:color="EE822F" w:themeColor="accent2" w:sz="8" w:space="0"/>
        <w:insideH w:val="single" w:color="EE822F" w:themeColor="accent2" w:sz="8" w:space="0"/>
        <w:insideV w:val="single" w:color="EE822F"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E822F" w:themeColor="accent2" w:sz="8" w:space="0"/>
          <w:left w:val="single" w:color="EE822F" w:themeColor="accent2" w:sz="8" w:space="0"/>
          <w:bottom w:val="single" w:color="EE822F" w:themeColor="accent2" w:sz="18" w:space="0"/>
          <w:right w:val="single" w:color="EE822F"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E822F" w:themeColor="accent2" w:sz="6" w:space="0"/>
          <w:left w:val="single" w:color="EE822F" w:themeColor="accent2" w:sz="8" w:space="0"/>
          <w:bottom w:val="single" w:color="EE822F" w:themeColor="accent2" w:sz="8" w:space="0"/>
          <w:right w:val="single" w:color="EE822F"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tcPr>
    </w:tblStylePr>
    <w:tblStylePr w:type="band1Vert">
      <w:tblPr/>
      <w:tcPr>
        <w:tcBorders>
          <w:top w:val="single" w:color="EE822F" w:themeColor="accent2" w:sz="8" w:space="0"/>
          <w:left w:val="single" w:color="EE822F" w:themeColor="accent2" w:sz="8" w:space="0"/>
          <w:bottom w:val="single" w:color="EE822F" w:themeColor="accent2" w:sz="8" w:space="0"/>
          <w:right w:val="single" w:color="EE822F" w:themeColor="accent2" w:sz="8" w:space="0"/>
        </w:tcBorders>
        <w:shd w:val="clear" w:color="auto" w:fill="FAE0CB" w:themeFill="accent2" w:themeFillTint="3F"/>
      </w:tcPr>
    </w:tblStylePr>
    <w:tblStylePr w:type="band1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insideV w:val="single" w:sz="8" w:space="0"/>
        </w:tcBorders>
        <w:shd w:val="clear" w:color="auto" w:fill="FAE0CB" w:themeFill="accent2" w:themeFillTint="3F"/>
      </w:tcPr>
    </w:tblStylePr>
    <w:tblStylePr w:type="band2Horz">
      <w:tblPr/>
      <w:tcPr>
        <w:tcBorders>
          <w:top w:val="single" w:color="EE822F" w:themeColor="accent2" w:sz="8" w:space="0"/>
          <w:left w:val="single" w:color="EE822F" w:themeColor="accent2" w:sz="8" w:space="0"/>
          <w:bottom w:val="single" w:color="EE822F" w:themeColor="accent2" w:sz="8" w:space="0"/>
          <w:right w:val="single" w:color="EE822F" w:themeColor="accent2" w:sz="8" w:space="0"/>
          <w:insideV w:val="single" w:sz="8" w:space="0"/>
        </w:tcBorders>
      </w:tcPr>
    </w:tblStylePr>
  </w:style>
  <w:style w:type="table" w:styleId="150">
    <w:name w:val="Light Grid Accent 3"/>
    <w:basedOn w:val="88"/>
    <w:semiHidden/>
    <w:unhideWhenUsed/>
    <w:qFormat/>
    <w:uiPriority w:val="62"/>
    <w:tblPr>
      <w:tblBorders>
        <w:top w:val="single" w:color="F2BA02" w:themeColor="accent3" w:sz="8" w:space="0"/>
        <w:left w:val="single" w:color="F2BA02" w:themeColor="accent3" w:sz="8" w:space="0"/>
        <w:bottom w:val="single" w:color="F2BA02" w:themeColor="accent3" w:sz="8" w:space="0"/>
        <w:right w:val="single" w:color="F2BA02" w:themeColor="accent3" w:sz="8" w:space="0"/>
        <w:insideH w:val="single" w:color="F2BA02" w:themeColor="accent3" w:sz="8" w:space="0"/>
        <w:insideV w:val="single" w:color="F2BA02"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2BA02" w:themeColor="accent3" w:sz="8" w:space="0"/>
          <w:left w:val="single" w:color="F2BA02" w:themeColor="accent3" w:sz="8" w:space="0"/>
          <w:bottom w:val="single" w:color="F2BA02" w:themeColor="accent3" w:sz="18" w:space="0"/>
          <w:right w:val="single" w:color="F2BA02"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2BA02" w:themeColor="accent3" w:sz="6" w:space="0"/>
          <w:left w:val="single" w:color="F2BA02" w:themeColor="accent3" w:sz="8" w:space="0"/>
          <w:bottom w:val="single" w:color="F2BA02" w:themeColor="accent3" w:sz="8" w:space="0"/>
          <w:right w:val="single" w:color="F2BA02"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tcPr>
    </w:tblStylePr>
    <w:tblStylePr w:type="band1Vert">
      <w:tblPr/>
      <w:tcPr>
        <w:tcBorders>
          <w:top w:val="single" w:color="F2BA02" w:themeColor="accent3" w:sz="8" w:space="0"/>
          <w:left w:val="single" w:color="F2BA02" w:themeColor="accent3" w:sz="8" w:space="0"/>
          <w:bottom w:val="single" w:color="F2BA02" w:themeColor="accent3" w:sz="8" w:space="0"/>
          <w:right w:val="single" w:color="F2BA02" w:themeColor="accent3" w:sz="8" w:space="0"/>
        </w:tcBorders>
        <w:shd w:val="clear" w:color="auto" w:fill="FEEFBD" w:themeFill="accent3" w:themeFillTint="3F"/>
      </w:tcPr>
    </w:tblStylePr>
    <w:tblStylePr w:type="band1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insideV w:val="single" w:sz="8" w:space="0"/>
        </w:tcBorders>
        <w:shd w:val="clear" w:color="auto" w:fill="FEEFBD" w:themeFill="accent3" w:themeFillTint="3F"/>
      </w:tcPr>
    </w:tblStylePr>
    <w:tblStylePr w:type="band2Horz">
      <w:tblPr/>
      <w:tcPr>
        <w:tcBorders>
          <w:top w:val="single" w:color="F2BA02" w:themeColor="accent3" w:sz="8" w:space="0"/>
          <w:left w:val="single" w:color="F2BA02" w:themeColor="accent3" w:sz="8" w:space="0"/>
          <w:bottom w:val="single" w:color="F2BA02" w:themeColor="accent3" w:sz="8" w:space="0"/>
          <w:right w:val="single" w:color="F2BA02" w:themeColor="accent3" w:sz="8" w:space="0"/>
          <w:insideV w:val="single" w:sz="8" w:space="0"/>
        </w:tcBorders>
      </w:tcPr>
    </w:tblStylePr>
  </w:style>
  <w:style w:type="table" w:styleId="151">
    <w:name w:val="Light Grid Accent 4"/>
    <w:basedOn w:val="88"/>
    <w:semiHidden/>
    <w:unhideWhenUsed/>
    <w:qFormat/>
    <w:uiPriority w:val="62"/>
    <w:tblPr>
      <w:tblBorders>
        <w:top w:val="single" w:color="75BD42" w:themeColor="accent4" w:sz="8" w:space="0"/>
        <w:left w:val="single" w:color="75BD42" w:themeColor="accent4" w:sz="8" w:space="0"/>
        <w:bottom w:val="single" w:color="75BD42" w:themeColor="accent4" w:sz="8" w:space="0"/>
        <w:right w:val="single" w:color="75BD42" w:themeColor="accent4" w:sz="8" w:space="0"/>
        <w:insideH w:val="single" w:color="75BD42" w:themeColor="accent4" w:sz="8" w:space="0"/>
        <w:insideV w:val="single" w:color="75BD4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75BD42" w:themeColor="accent4" w:sz="8" w:space="0"/>
          <w:left w:val="single" w:color="75BD42" w:themeColor="accent4" w:sz="8" w:space="0"/>
          <w:bottom w:val="single" w:color="75BD42" w:themeColor="accent4" w:sz="18" w:space="0"/>
          <w:right w:val="single" w:color="75BD42"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5BD42" w:themeColor="accent4" w:sz="6" w:space="0"/>
          <w:left w:val="single" w:color="75BD42" w:themeColor="accent4" w:sz="8" w:space="0"/>
          <w:bottom w:val="single" w:color="75BD42" w:themeColor="accent4" w:sz="8" w:space="0"/>
          <w:right w:val="single" w:color="75BD42"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tcPr>
    </w:tblStylePr>
    <w:tblStylePr w:type="band1Vert">
      <w:tblPr/>
      <w:tcPr>
        <w:tcBorders>
          <w:top w:val="single" w:color="75BD42" w:themeColor="accent4" w:sz="8" w:space="0"/>
          <w:left w:val="single" w:color="75BD42" w:themeColor="accent4" w:sz="8" w:space="0"/>
          <w:bottom w:val="single" w:color="75BD42" w:themeColor="accent4" w:sz="8" w:space="0"/>
          <w:right w:val="single" w:color="75BD42" w:themeColor="accent4" w:sz="8" w:space="0"/>
        </w:tcBorders>
        <w:shd w:val="clear" w:color="auto" w:fill="DCEED0" w:themeFill="accent4" w:themeFillTint="3F"/>
      </w:tcPr>
    </w:tblStylePr>
    <w:tblStylePr w:type="band1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insideV w:val="single" w:sz="8" w:space="0"/>
        </w:tcBorders>
        <w:shd w:val="clear" w:color="auto" w:fill="DCEED0" w:themeFill="accent4" w:themeFillTint="3F"/>
      </w:tcPr>
    </w:tblStylePr>
    <w:tblStylePr w:type="band2Horz">
      <w:tblPr/>
      <w:tcPr>
        <w:tcBorders>
          <w:top w:val="single" w:color="75BD42" w:themeColor="accent4" w:sz="8" w:space="0"/>
          <w:left w:val="single" w:color="75BD42" w:themeColor="accent4" w:sz="8" w:space="0"/>
          <w:bottom w:val="single" w:color="75BD42" w:themeColor="accent4" w:sz="8" w:space="0"/>
          <w:right w:val="single" w:color="75BD42" w:themeColor="accent4" w:sz="8" w:space="0"/>
          <w:insideV w:val="single" w:sz="8" w:space="0"/>
        </w:tcBorders>
      </w:tcPr>
    </w:tblStylePr>
  </w:style>
  <w:style w:type="table" w:styleId="152">
    <w:name w:val="Light Grid Accent 5"/>
    <w:basedOn w:val="88"/>
    <w:semiHidden/>
    <w:unhideWhenUsed/>
    <w:qFormat/>
    <w:uiPriority w:val="62"/>
    <w:tblPr>
      <w:tblBorders>
        <w:top w:val="single" w:color="30C0B4" w:themeColor="accent5" w:sz="8" w:space="0"/>
        <w:left w:val="single" w:color="30C0B4" w:themeColor="accent5" w:sz="8" w:space="0"/>
        <w:bottom w:val="single" w:color="30C0B4" w:themeColor="accent5" w:sz="8" w:space="0"/>
        <w:right w:val="single" w:color="30C0B4" w:themeColor="accent5" w:sz="8" w:space="0"/>
        <w:insideH w:val="single" w:color="30C0B4" w:themeColor="accent5" w:sz="8" w:space="0"/>
        <w:insideV w:val="single" w:color="30C0B4"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30C0B4" w:themeColor="accent5" w:sz="8" w:space="0"/>
          <w:left w:val="single" w:color="30C0B4" w:themeColor="accent5" w:sz="8" w:space="0"/>
          <w:bottom w:val="single" w:color="30C0B4" w:themeColor="accent5" w:sz="18" w:space="0"/>
          <w:right w:val="single" w:color="30C0B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30C0B4" w:themeColor="accent5" w:sz="6" w:space="0"/>
          <w:left w:val="single" w:color="30C0B4" w:themeColor="accent5" w:sz="8" w:space="0"/>
          <w:bottom w:val="single" w:color="30C0B4" w:themeColor="accent5" w:sz="8" w:space="0"/>
          <w:right w:val="single" w:color="30C0B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tcPr>
    </w:tblStylePr>
    <w:tblStylePr w:type="band1Vert">
      <w:tblPr/>
      <w:tcPr>
        <w:tcBorders>
          <w:top w:val="single" w:color="30C0B4" w:themeColor="accent5" w:sz="8" w:space="0"/>
          <w:left w:val="single" w:color="30C0B4" w:themeColor="accent5" w:sz="8" w:space="0"/>
          <w:bottom w:val="single" w:color="30C0B4" w:themeColor="accent5" w:sz="8" w:space="0"/>
          <w:right w:val="single" w:color="30C0B4" w:themeColor="accent5" w:sz="8" w:space="0"/>
        </w:tcBorders>
        <w:shd w:val="clear" w:color="auto" w:fill="C9F1EE" w:themeFill="accent5" w:themeFillTint="3F"/>
      </w:tcPr>
    </w:tblStylePr>
    <w:tblStylePr w:type="band1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insideV w:val="single" w:sz="8" w:space="0"/>
        </w:tcBorders>
        <w:shd w:val="clear" w:color="auto" w:fill="C9F1EE" w:themeFill="accent5" w:themeFillTint="3F"/>
      </w:tcPr>
    </w:tblStylePr>
    <w:tblStylePr w:type="band2Horz">
      <w:tblPr/>
      <w:tcPr>
        <w:tcBorders>
          <w:top w:val="single" w:color="30C0B4" w:themeColor="accent5" w:sz="8" w:space="0"/>
          <w:left w:val="single" w:color="30C0B4" w:themeColor="accent5" w:sz="8" w:space="0"/>
          <w:bottom w:val="single" w:color="30C0B4" w:themeColor="accent5" w:sz="8" w:space="0"/>
          <w:right w:val="single" w:color="30C0B4" w:themeColor="accent5" w:sz="8" w:space="0"/>
          <w:insideV w:val="single" w:sz="8" w:space="0"/>
        </w:tcBorders>
      </w:tcPr>
    </w:tblStylePr>
  </w:style>
  <w:style w:type="table" w:styleId="153">
    <w:name w:val="Light Grid Accent 6"/>
    <w:basedOn w:val="88"/>
    <w:semiHidden/>
    <w:unhideWhenUsed/>
    <w:qFormat/>
    <w:uiPriority w:val="62"/>
    <w:tblPr>
      <w:tblBorders>
        <w:top w:val="single" w:color="E54C5E" w:themeColor="accent6" w:sz="8" w:space="0"/>
        <w:left w:val="single" w:color="E54C5E" w:themeColor="accent6" w:sz="8" w:space="0"/>
        <w:bottom w:val="single" w:color="E54C5E" w:themeColor="accent6" w:sz="8" w:space="0"/>
        <w:right w:val="single" w:color="E54C5E" w:themeColor="accent6" w:sz="8" w:space="0"/>
        <w:insideH w:val="single" w:color="E54C5E" w:themeColor="accent6" w:sz="8" w:space="0"/>
        <w:insideV w:val="single" w:color="E54C5E"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E54C5E" w:themeColor="accent6" w:sz="8" w:space="0"/>
          <w:left w:val="single" w:color="E54C5E" w:themeColor="accent6" w:sz="8" w:space="0"/>
          <w:bottom w:val="single" w:color="E54C5E" w:themeColor="accent6" w:sz="18" w:space="0"/>
          <w:right w:val="single" w:color="E54C5E"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54C5E" w:themeColor="accent6" w:sz="6" w:space="0"/>
          <w:left w:val="single" w:color="E54C5E" w:themeColor="accent6" w:sz="8" w:space="0"/>
          <w:bottom w:val="single" w:color="E54C5E" w:themeColor="accent6" w:sz="8" w:space="0"/>
          <w:right w:val="single" w:color="E54C5E"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tcPr>
    </w:tblStylePr>
    <w:tblStylePr w:type="band1Vert">
      <w:tblPr/>
      <w:tcPr>
        <w:tcBorders>
          <w:top w:val="single" w:color="E54C5E" w:themeColor="accent6" w:sz="8" w:space="0"/>
          <w:left w:val="single" w:color="E54C5E" w:themeColor="accent6" w:sz="8" w:space="0"/>
          <w:bottom w:val="single" w:color="E54C5E" w:themeColor="accent6" w:sz="8" w:space="0"/>
          <w:right w:val="single" w:color="E54C5E" w:themeColor="accent6" w:sz="8" w:space="0"/>
        </w:tcBorders>
        <w:shd w:val="clear" w:color="auto" w:fill="F8D2D7" w:themeFill="accent6" w:themeFillTint="3F"/>
      </w:tcPr>
    </w:tblStylePr>
    <w:tblStylePr w:type="band1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insideV w:val="single" w:sz="8" w:space="0"/>
        </w:tcBorders>
        <w:shd w:val="clear" w:color="auto" w:fill="F8D2D7" w:themeFill="accent6" w:themeFillTint="3F"/>
      </w:tcPr>
    </w:tblStylePr>
    <w:tblStylePr w:type="band2Horz">
      <w:tblPr/>
      <w:tcPr>
        <w:tcBorders>
          <w:top w:val="single" w:color="E54C5E" w:themeColor="accent6" w:sz="8" w:space="0"/>
          <w:left w:val="single" w:color="E54C5E" w:themeColor="accent6" w:sz="8" w:space="0"/>
          <w:bottom w:val="single" w:color="E54C5E" w:themeColor="accent6" w:sz="8" w:space="0"/>
          <w:right w:val="single" w:color="E54C5E" w:themeColor="accent6" w:sz="8" w:space="0"/>
          <w:insideV w:val="single" w:sz="8" w:space="0"/>
        </w:tcBorders>
      </w:tcPr>
    </w:tblStylePr>
  </w:style>
  <w:style w:type="table" w:styleId="154">
    <w:name w:val="Medium Shading 1"/>
    <w:basedOn w:val="88"/>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semiHidden/>
    <w:unhideWhenUsed/>
    <w:qFormat/>
    <w:uiPriority w:val="63"/>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shd w:val="clear" w:color="auto" w:fill="4874CB" w:themeFill="accent1"/>
      </w:tcPr>
    </w:tblStylePr>
    <w:tblStylePr w:type="lastRow">
      <w:pPr>
        <w:spacing w:before="0" w:after="0" w:line="240" w:lineRule="auto"/>
      </w:pPr>
      <w:rPr>
        <w:b/>
        <w:bCs/>
      </w:rPr>
      <w:tblPr/>
      <w:tcPr>
        <w:tcBorders>
          <w:top w:val="double" w:color="7596D8" w:themeColor="accent1" w:themeTint="BF" w:sz="6" w:space="0"/>
          <w:left w:val="single" w:color="7596D8" w:themeColor="accent1" w:themeTint="BF" w:sz="8" w:space="0"/>
          <w:bottom w:val="single" w:color="7596D8" w:themeColor="accent1" w:themeTint="BF" w:sz="8" w:space="0"/>
          <w:right w:val="single" w:color="7596D8"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1DCF2" w:themeFill="accent1" w:themeFillTint="3F"/>
      </w:tcPr>
    </w:tblStylePr>
    <w:tblStylePr w:type="band1Horz">
      <w:tblPr/>
      <w:tcPr>
        <w:tcBorders>
          <w:insideH w:val="nil"/>
          <w:insideV w:val="nil"/>
        </w:tcBorders>
        <w:shd w:val="clear" w:color="auto" w:fill="D1DCF2" w:themeFill="accent1" w:themeFillTint="3F"/>
      </w:tcPr>
    </w:tblStylePr>
    <w:tblStylePr w:type="band2Horz">
      <w:tblPr/>
      <w:tcPr>
        <w:tcBorders>
          <w:insideH w:val="nil"/>
          <w:insideV w:val="nil"/>
        </w:tcBorders>
      </w:tcPr>
    </w:tblStylePr>
  </w:style>
  <w:style w:type="table" w:styleId="156">
    <w:name w:val="Medium Shading 1 Accent 2"/>
    <w:basedOn w:val="88"/>
    <w:semiHidden/>
    <w:unhideWhenUsed/>
    <w:qFormat/>
    <w:uiPriority w:val="63"/>
    <w:tblPr>
      <w:tbl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single" w:color="F2A163" w:themeColor="accent2"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nil"/>
          <w:insideV w:val="nil"/>
        </w:tcBorders>
        <w:shd w:val="clear" w:color="auto" w:fill="EE822F" w:themeFill="accent2"/>
      </w:tcPr>
    </w:tblStylePr>
    <w:tblStylePr w:type="lastRow">
      <w:pPr>
        <w:spacing w:before="0" w:after="0" w:line="240" w:lineRule="auto"/>
      </w:pPr>
      <w:rPr>
        <w:b/>
        <w:bCs/>
      </w:rPr>
      <w:tblPr/>
      <w:tcPr>
        <w:tcBorders>
          <w:top w:val="double" w:color="F2A163" w:themeColor="accent2" w:themeTint="BF" w:sz="6" w:space="0"/>
          <w:left w:val="single" w:color="F2A163" w:themeColor="accent2" w:themeTint="BF" w:sz="8" w:space="0"/>
          <w:bottom w:val="single" w:color="F2A163" w:themeColor="accent2" w:themeTint="BF" w:sz="8" w:space="0"/>
          <w:right w:val="single" w:color="F2A163"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E0CB" w:themeFill="accent2" w:themeFillTint="3F"/>
      </w:tcPr>
    </w:tblStylePr>
    <w:tblStylePr w:type="band1Horz">
      <w:tblPr/>
      <w:tcPr>
        <w:tcBorders>
          <w:insideH w:val="nil"/>
          <w:insideV w:val="nil"/>
        </w:tcBorders>
        <w:shd w:val="clear" w:color="auto" w:fill="FAE0CB"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single" w:color="FDCF39" w:themeColor="accent3"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nil"/>
          <w:insideV w:val="nil"/>
        </w:tcBorders>
        <w:shd w:val="clear" w:color="auto" w:fill="F2BA02" w:themeFill="accent3"/>
      </w:tcPr>
    </w:tblStylePr>
    <w:tblStylePr w:type="lastRow">
      <w:pPr>
        <w:spacing w:before="0" w:after="0" w:line="240" w:lineRule="auto"/>
      </w:pPr>
      <w:rPr>
        <w:b/>
        <w:bCs/>
      </w:rPr>
      <w:tblPr/>
      <w:tcPr>
        <w:tcBorders>
          <w:top w:val="double" w:color="FDCF39" w:themeColor="accent3" w:themeTint="BF" w:sz="6" w:space="0"/>
          <w:left w:val="single" w:color="FDCF39" w:themeColor="accent3" w:themeTint="BF" w:sz="8" w:space="0"/>
          <w:bottom w:val="single" w:color="FDCF39" w:themeColor="accent3" w:themeTint="BF" w:sz="8" w:space="0"/>
          <w:right w:val="single" w:color="FDCF39"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FEEFBD" w:themeFill="accent3" w:themeFillTint="3F"/>
      </w:tcPr>
    </w:tblStylePr>
    <w:tblStylePr w:type="band1Horz">
      <w:tblPr/>
      <w:tcPr>
        <w:tcBorders>
          <w:insideH w:val="nil"/>
          <w:insideV w:val="nil"/>
        </w:tcBorders>
        <w:shd w:val="clear" w:color="auto" w:fill="FEEFBD" w:themeFill="accent3" w:themeFillTint="3F"/>
      </w:tcPr>
    </w:tblStylePr>
    <w:tblStylePr w:type="band2Horz">
      <w:tblPr/>
      <w:tcPr>
        <w:tcBorders>
          <w:insideH w:val="nil"/>
          <w:insideV w:val="nil"/>
        </w:tcBorders>
      </w:tcPr>
    </w:tblStylePr>
  </w:style>
  <w:style w:type="table" w:styleId="158">
    <w:name w:val="Medium Shading 1 Accent 4"/>
    <w:basedOn w:val="88"/>
    <w:semiHidden/>
    <w:unhideWhenUsed/>
    <w:qFormat/>
    <w:uiPriority w:val="63"/>
    <w:tblPr>
      <w:tbl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single" w:color="97CD71" w:themeColor="accent4"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nil"/>
          <w:insideV w:val="nil"/>
        </w:tcBorders>
        <w:shd w:val="clear" w:color="auto" w:fill="75BD42" w:themeFill="accent4"/>
      </w:tcPr>
    </w:tblStylePr>
    <w:tblStylePr w:type="lastRow">
      <w:pPr>
        <w:spacing w:before="0" w:after="0" w:line="240" w:lineRule="auto"/>
      </w:pPr>
      <w:rPr>
        <w:b/>
        <w:bCs/>
      </w:rPr>
      <w:tblPr/>
      <w:tcPr>
        <w:tcBorders>
          <w:top w:val="double" w:color="97CD71" w:themeColor="accent4" w:themeTint="BF" w:sz="6" w:space="0"/>
          <w:left w:val="single" w:color="97CD71" w:themeColor="accent4" w:themeTint="BF" w:sz="8" w:space="0"/>
          <w:bottom w:val="single" w:color="97CD71" w:themeColor="accent4" w:themeTint="BF" w:sz="8" w:space="0"/>
          <w:right w:val="single" w:color="97CD71"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CEED0" w:themeFill="accent4" w:themeFillTint="3F"/>
      </w:tcPr>
    </w:tblStylePr>
    <w:tblStylePr w:type="band1Horz">
      <w:tblPr/>
      <w:tcPr>
        <w:tcBorders>
          <w:insideH w:val="nil"/>
          <w:insideV w:val="nil"/>
        </w:tcBorders>
        <w:shd w:val="clear" w:color="auto" w:fill="DCEED0" w:themeFill="accent4" w:themeFillTint="3F"/>
      </w:tcPr>
    </w:tblStylePr>
    <w:tblStylePr w:type="band2Horz">
      <w:tblPr/>
      <w:tcPr>
        <w:tcBorders>
          <w:insideH w:val="nil"/>
          <w:insideV w:val="nil"/>
        </w:tcBorders>
      </w:tcPr>
    </w:tblStylePr>
  </w:style>
  <w:style w:type="table" w:styleId="159">
    <w:name w:val="Medium Shading 1 Accent 5"/>
    <w:basedOn w:val="88"/>
    <w:semiHidden/>
    <w:unhideWhenUsed/>
    <w:qFormat/>
    <w:uiPriority w:val="63"/>
    <w:tblPr>
      <w:tbl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single" w:color="5DD6CC" w:themeColor="accent5"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nil"/>
          <w:insideV w:val="nil"/>
        </w:tcBorders>
        <w:shd w:val="clear" w:color="auto" w:fill="30C0B4" w:themeFill="accent5"/>
      </w:tcPr>
    </w:tblStylePr>
    <w:tblStylePr w:type="lastRow">
      <w:pPr>
        <w:spacing w:before="0" w:after="0" w:line="240" w:lineRule="auto"/>
      </w:pPr>
      <w:rPr>
        <w:b/>
        <w:bCs/>
      </w:rPr>
      <w:tblPr/>
      <w:tcPr>
        <w:tcBorders>
          <w:top w:val="double" w:color="5DD6CC" w:themeColor="accent5" w:themeTint="BF" w:sz="6" w:space="0"/>
          <w:left w:val="single" w:color="5DD6CC" w:themeColor="accent5" w:themeTint="BF" w:sz="8" w:space="0"/>
          <w:bottom w:val="single" w:color="5DD6CC" w:themeColor="accent5" w:themeTint="BF" w:sz="8" w:space="0"/>
          <w:right w:val="single" w:color="5DD6CC"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C9F1EE" w:themeFill="accent5" w:themeFillTint="3F"/>
      </w:tcPr>
    </w:tblStylePr>
    <w:tblStylePr w:type="band1Horz">
      <w:tblPr/>
      <w:tcPr>
        <w:tcBorders>
          <w:insideH w:val="nil"/>
          <w:insideV w:val="nil"/>
        </w:tcBorders>
        <w:shd w:val="clear" w:color="auto" w:fill="C9F1EE" w:themeFill="accent5" w:themeFillTint="3F"/>
      </w:tcPr>
    </w:tblStylePr>
    <w:tblStylePr w:type="band2Horz">
      <w:tblPr/>
      <w:tcPr>
        <w:tcBorders>
          <w:insideH w:val="nil"/>
          <w:insideV w:val="nil"/>
        </w:tcBorders>
      </w:tcPr>
    </w:tblStylePr>
  </w:style>
  <w:style w:type="table" w:styleId="160">
    <w:name w:val="Medium Shading 1 Accent 6"/>
    <w:basedOn w:val="88"/>
    <w:semiHidden/>
    <w:unhideWhenUsed/>
    <w:qFormat/>
    <w:uiPriority w:val="63"/>
    <w:tblPr>
      <w:tbl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single" w:color="EB7886" w:themeColor="accent6"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nil"/>
          <w:insideV w:val="nil"/>
        </w:tcBorders>
        <w:shd w:val="clear" w:color="auto" w:fill="E54C5E" w:themeFill="accent6"/>
      </w:tcPr>
    </w:tblStylePr>
    <w:tblStylePr w:type="lastRow">
      <w:pPr>
        <w:spacing w:before="0" w:after="0" w:line="240" w:lineRule="auto"/>
      </w:pPr>
      <w:rPr>
        <w:b/>
        <w:bCs/>
      </w:rPr>
      <w:tblPr/>
      <w:tcPr>
        <w:tcBorders>
          <w:top w:val="double" w:color="EB7886" w:themeColor="accent6" w:themeTint="BF" w:sz="6" w:space="0"/>
          <w:left w:val="single" w:color="EB7886" w:themeColor="accent6" w:themeTint="BF" w:sz="8" w:space="0"/>
          <w:bottom w:val="single" w:color="EB7886" w:themeColor="accent6" w:themeTint="BF" w:sz="8" w:space="0"/>
          <w:right w:val="single" w:color="EB7886"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8D2D7" w:themeFill="accent6" w:themeFillTint="3F"/>
      </w:tcPr>
    </w:tblStylePr>
    <w:tblStylePr w:type="band1Horz">
      <w:tblPr/>
      <w:tcPr>
        <w:tcBorders>
          <w:insideH w:val="nil"/>
          <w:insideV w:val="nil"/>
        </w:tcBorders>
        <w:shd w:val="clear" w:color="auto" w:fill="F8D2D7" w:themeFill="accent6" w:themeFillTint="3F"/>
      </w:tcPr>
    </w:tblStylePr>
    <w:tblStylePr w:type="band2Horz">
      <w:tblPr/>
      <w:tcPr>
        <w:tcBorders>
          <w:insideH w:val="nil"/>
          <w:insideV w:val="nil"/>
        </w:tcBorders>
      </w:tcPr>
    </w:tblStylePr>
  </w:style>
  <w:style w:type="table" w:styleId="161">
    <w:name w:val="Medium Shading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874CB"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874CB"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874CB"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E822F"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E822F"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E822F"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2BA02"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2BA02"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2BA02"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5BD4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5BD42"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5BD42"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30C0B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30C0B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30C0B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54C5E"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54C5E"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54C5E"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4874CB" w:themeColor="accent1" w:sz="8" w:space="0"/>
        <w:bottom w:val="single" w:color="4874CB"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874CB" w:themeColor="accent1" w:sz="8" w:space="0"/>
        </w:tcBorders>
      </w:tcPr>
    </w:tblStylePr>
    <w:tblStylePr w:type="lastRow">
      <w:rPr>
        <w:b/>
        <w:bCs/>
        <w:color w:val="44546A" w:themeColor="text2"/>
        <w14:textFill>
          <w14:solidFill>
            <w14:schemeClr w14:val="tx2"/>
          </w14:solidFill>
        </w14:textFill>
      </w:rPr>
      <w:tblPr/>
      <w:tcPr>
        <w:tcBorders>
          <w:top w:val="single" w:color="4874CB" w:themeColor="accent1" w:sz="8" w:space="0"/>
          <w:bottom w:val="single" w:color="4874CB" w:themeColor="accent1" w:sz="8" w:space="0"/>
        </w:tcBorders>
      </w:tcPr>
    </w:tblStylePr>
    <w:tblStylePr w:type="firstCol">
      <w:rPr>
        <w:b/>
        <w:bCs/>
      </w:rPr>
    </w:tblStylePr>
    <w:tblStylePr w:type="lastCol">
      <w:rPr>
        <w:b/>
        <w:bCs/>
      </w:rPr>
      <w:tblPr/>
      <w:tcPr>
        <w:tcBorders>
          <w:top w:val="single" w:color="4874CB" w:themeColor="accent1" w:sz="8" w:space="0"/>
          <w:bottom w:val="single" w:color="4874CB" w:themeColor="accent1" w:sz="8" w:space="0"/>
        </w:tcBorders>
      </w:tcPr>
    </w:tblStylePr>
    <w:tblStylePr w:type="band1Vert">
      <w:tblPr/>
      <w:tcPr>
        <w:shd w:val="clear" w:color="auto" w:fill="D1DCF2" w:themeFill="accent1" w:themeFillTint="3F"/>
      </w:tcPr>
    </w:tblStylePr>
    <w:tblStylePr w:type="band1Horz">
      <w:tblPr/>
      <w:tcPr>
        <w:shd w:val="clear" w:color="auto" w:fill="D1DCF2" w:themeFill="accent1" w:themeFillTint="3F"/>
      </w:tcPr>
    </w:tblStylePr>
  </w:style>
  <w:style w:type="table" w:styleId="170">
    <w:name w:val="Medium List 1 Accent 2"/>
    <w:basedOn w:val="88"/>
    <w:semiHidden/>
    <w:unhideWhenUsed/>
    <w:qFormat/>
    <w:uiPriority w:val="65"/>
    <w:rPr>
      <w:color w:val="000000" w:themeColor="text1"/>
      <w14:textFill>
        <w14:solidFill>
          <w14:schemeClr w14:val="tx1"/>
        </w14:solidFill>
      </w14:textFill>
    </w:rPr>
    <w:tblPr>
      <w:tblBorders>
        <w:top w:val="single" w:color="EE822F" w:themeColor="accent2" w:sz="8" w:space="0"/>
        <w:bottom w:val="single" w:color="EE822F"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E822F" w:themeColor="accent2" w:sz="8" w:space="0"/>
        </w:tcBorders>
      </w:tcPr>
    </w:tblStylePr>
    <w:tblStylePr w:type="lastRow">
      <w:rPr>
        <w:b/>
        <w:bCs/>
        <w:color w:val="44546A" w:themeColor="text2"/>
        <w14:textFill>
          <w14:solidFill>
            <w14:schemeClr w14:val="tx2"/>
          </w14:solidFill>
        </w14:textFill>
      </w:rPr>
      <w:tblPr/>
      <w:tcPr>
        <w:tcBorders>
          <w:top w:val="single" w:color="EE822F" w:themeColor="accent2" w:sz="8" w:space="0"/>
          <w:bottom w:val="single" w:color="EE822F" w:themeColor="accent2" w:sz="8" w:space="0"/>
        </w:tcBorders>
      </w:tcPr>
    </w:tblStylePr>
    <w:tblStylePr w:type="firstCol">
      <w:rPr>
        <w:b/>
        <w:bCs/>
      </w:rPr>
    </w:tblStylePr>
    <w:tblStylePr w:type="lastCol">
      <w:rPr>
        <w:b/>
        <w:bCs/>
      </w:rPr>
      <w:tblPr/>
      <w:tcPr>
        <w:tcBorders>
          <w:top w:val="single" w:color="EE822F" w:themeColor="accent2" w:sz="8" w:space="0"/>
          <w:bottom w:val="single" w:color="EE822F" w:themeColor="accent2" w:sz="8" w:space="0"/>
        </w:tcBorders>
      </w:tcPr>
    </w:tblStylePr>
    <w:tblStylePr w:type="band1Vert">
      <w:tblPr/>
      <w:tcPr>
        <w:shd w:val="clear" w:color="auto" w:fill="FAE0CB" w:themeFill="accent2" w:themeFillTint="3F"/>
      </w:tcPr>
    </w:tblStylePr>
    <w:tblStylePr w:type="band1Horz">
      <w:tblPr/>
      <w:tcPr>
        <w:shd w:val="clear" w:color="auto" w:fill="FAE0CB" w:themeFill="accent2" w:themeFillTint="3F"/>
      </w:tcPr>
    </w:tblStylePr>
  </w:style>
  <w:style w:type="table" w:styleId="171">
    <w:name w:val="Medium List 1 Accent 3"/>
    <w:basedOn w:val="88"/>
    <w:semiHidden/>
    <w:unhideWhenUsed/>
    <w:qFormat/>
    <w:uiPriority w:val="65"/>
    <w:rPr>
      <w:color w:val="000000" w:themeColor="text1"/>
      <w14:textFill>
        <w14:solidFill>
          <w14:schemeClr w14:val="tx1"/>
        </w14:solidFill>
      </w14:textFill>
    </w:rPr>
    <w:tblPr>
      <w:tblBorders>
        <w:top w:val="single" w:color="F2BA02" w:themeColor="accent3" w:sz="8" w:space="0"/>
        <w:bottom w:val="single" w:color="F2BA02"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2BA02" w:themeColor="accent3" w:sz="8" w:space="0"/>
        </w:tcBorders>
      </w:tcPr>
    </w:tblStylePr>
    <w:tblStylePr w:type="lastRow">
      <w:rPr>
        <w:b/>
        <w:bCs/>
        <w:color w:val="44546A" w:themeColor="text2"/>
        <w14:textFill>
          <w14:solidFill>
            <w14:schemeClr w14:val="tx2"/>
          </w14:solidFill>
        </w14:textFill>
      </w:rPr>
      <w:tblPr/>
      <w:tcPr>
        <w:tcBorders>
          <w:top w:val="single" w:color="F2BA02" w:themeColor="accent3" w:sz="8" w:space="0"/>
          <w:bottom w:val="single" w:color="F2BA02" w:themeColor="accent3" w:sz="8" w:space="0"/>
        </w:tcBorders>
      </w:tcPr>
    </w:tblStylePr>
    <w:tblStylePr w:type="firstCol">
      <w:rPr>
        <w:b/>
        <w:bCs/>
      </w:rPr>
    </w:tblStylePr>
    <w:tblStylePr w:type="lastCol">
      <w:rPr>
        <w:b/>
        <w:bCs/>
      </w:rPr>
      <w:tblPr/>
      <w:tcPr>
        <w:tcBorders>
          <w:top w:val="single" w:color="F2BA02" w:themeColor="accent3" w:sz="8" w:space="0"/>
          <w:bottom w:val="single" w:color="F2BA02" w:themeColor="accent3" w:sz="8" w:space="0"/>
        </w:tcBorders>
      </w:tcPr>
    </w:tblStylePr>
    <w:tblStylePr w:type="band1Vert">
      <w:tblPr/>
      <w:tcPr>
        <w:shd w:val="clear" w:color="auto" w:fill="FEEFBD" w:themeFill="accent3" w:themeFillTint="3F"/>
      </w:tcPr>
    </w:tblStylePr>
    <w:tblStylePr w:type="band1Horz">
      <w:tblPr/>
      <w:tcPr>
        <w:shd w:val="clear" w:color="auto" w:fill="FEEFBD" w:themeFill="accent3" w:themeFillTint="3F"/>
      </w:tcPr>
    </w:tblStylePr>
  </w:style>
  <w:style w:type="table" w:styleId="172">
    <w:name w:val="Medium List 1 Accent 4"/>
    <w:basedOn w:val="88"/>
    <w:semiHidden/>
    <w:unhideWhenUsed/>
    <w:qFormat/>
    <w:uiPriority w:val="65"/>
    <w:rPr>
      <w:color w:val="000000" w:themeColor="text1"/>
      <w14:textFill>
        <w14:solidFill>
          <w14:schemeClr w14:val="tx1"/>
        </w14:solidFill>
      </w14:textFill>
    </w:rPr>
    <w:tblPr>
      <w:tblBorders>
        <w:top w:val="single" w:color="75BD42" w:themeColor="accent4" w:sz="8" w:space="0"/>
        <w:bottom w:val="single" w:color="75BD4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75BD42" w:themeColor="accent4" w:sz="8" w:space="0"/>
        </w:tcBorders>
      </w:tcPr>
    </w:tblStylePr>
    <w:tblStylePr w:type="lastRow">
      <w:rPr>
        <w:b/>
        <w:bCs/>
        <w:color w:val="44546A" w:themeColor="text2"/>
        <w14:textFill>
          <w14:solidFill>
            <w14:schemeClr w14:val="tx2"/>
          </w14:solidFill>
        </w14:textFill>
      </w:rPr>
      <w:tblPr/>
      <w:tcPr>
        <w:tcBorders>
          <w:top w:val="single" w:color="75BD42" w:themeColor="accent4" w:sz="8" w:space="0"/>
          <w:bottom w:val="single" w:color="75BD42" w:themeColor="accent4" w:sz="8" w:space="0"/>
        </w:tcBorders>
      </w:tcPr>
    </w:tblStylePr>
    <w:tblStylePr w:type="firstCol">
      <w:rPr>
        <w:b/>
        <w:bCs/>
      </w:rPr>
    </w:tblStylePr>
    <w:tblStylePr w:type="lastCol">
      <w:rPr>
        <w:b/>
        <w:bCs/>
      </w:rPr>
      <w:tblPr/>
      <w:tcPr>
        <w:tcBorders>
          <w:top w:val="single" w:color="75BD42" w:themeColor="accent4" w:sz="8" w:space="0"/>
          <w:bottom w:val="single" w:color="75BD42" w:themeColor="accent4" w:sz="8" w:space="0"/>
        </w:tcBorders>
      </w:tcPr>
    </w:tblStylePr>
    <w:tblStylePr w:type="band1Vert">
      <w:tblPr/>
      <w:tcPr>
        <w:shd w:val="clear" w:color="auto" w:fill="DCEED0" w:themeFill="accent4" w:themeFillTint="3F"/>
      </w:tcPr>
    </w:tblStylePr>
    <w:tblStylePr w:type="band1Horz">
      <w:tblPr/>
      <w:tcPr>
        <w:shd w:val="clear" w:color="auto" w:fill="DCEED0" w:themeFill="accent4" w:themeFillTint="3F"/>
      </w:tcPr>
    </w:tblStylePr>
  </w:style>
  <w:style w:type="table" w:styleId="173">
    <w:name w:val="Medium List 1 Accent 5"/>
    <w:basedOn w:val="88"/>
    <w:semiHidden/>
    <w:unhideWhenUsed/>
    <w:qFormat/>
    <w:uiPriority w:val="65"/>
    <w:rPr>
      <w:color w:val="000000" w:themeColor="text1"/>
      <w14:textFill>
        <w14:solidFill>
          <w14:schemeClr w14:val="tx1"/>
        </w14:solidFill>
      </w14:textFill>
    </w:rPr>
    <w:tblPr>
      <w:tblBorders>
        <w:top w:val="single" w:color="30C0B4" w:themeColor="accent5" w:sz="8" w:space="0"/>
        <w:bottom w:val="single" w:color="30C0B4"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30C0B4" w:themeColor="accent5" w:sz="8" w:space="0"/>
        </w:tcBorders>
      </w:tcPr>
    </w:tblStylePr>
    <w:tblStylePr w:type="lastRow">
      <w:rPr>
        <w:b/>
        <w:bCs/>
        <w:color w:val="44546A" w:themeColor="text2"/>
        <w14:textFill>
          <w14:solidFill>
            <w14:schemeClr w14:val="tx2"/>
          </w14:solidFill>
        </w14:textFill>
      </w:rPr>
      <w:tblPr/>
      <w:tcPr>
        <w:tcBorders>
          <w:top w:val="single" w:color="30C0B4" w:themeColor="accent5" w:sz="8" w:space="0"/>
          <w:bottom w:val="single" w:color="30C0B4" w:themeColor="accent5" w:sz="8" w:space="0"/>
        </w:tcBorders>
      </w:tcPr>
    </w:tblStylePr>
    <w:tblStylePr w:type="firstCol">
      <w:rPr>
        <w:b/>
        <w:bCs/>
      </w:rPr>
    </w:tblStylePr>
    <w:tblStylePr w:type="lastCol">
      <w:rPr>
        <w:b/>
        <w:bCs/>
      </w:rPr>
      <w:tblPr/>
      <w:tcPr>
        <w:tcBorders>
          <w:top w:val="single" w:color="30C0B4" w:themeColor="accent5" w:sz="8" w:space="0"/>
          <w:bottom w:val="single" w:color="30C0B4" w:themeColor="accent5" w:sz="8" w:space="0"/>
        </w:tcBorders>
      </w:tcPr>
    </w:tblStylePr>
    <w:tblStylePr w:type="band1Vert">
      <w:tblPr/>
      <w:tcPr>
        <w:shd w:val="clear" w:color="auto" w:fill="C9F1EE" w:themeFill="accent5" w:themeFillTint="3F"/>
      </w:tcPr>
    </w:tblStylePr>
    <w:tblStylePr w:type="band1Horz">
      <w:tblPr/>
      <w:tcPr>
        <w:shd w:val="clear" w:color="auto" w:fill="C9F1EE" w:themeFill="accent5" w:themeFillTint="3F"/>
      </w:tcPr>
    </w:tblStylePr>
  </w:style>
  <w:style w:type="table" w:styleId="174">
    <w:name w:val="Medium List 1 Accent 6"/>
    <w:basedOn w:val="88"/>
    <w:semiHidden/>
    <w:unhideWhenUsed/>
    <w:qFormat/>
    <w:uiPriority w:val="65"/>
    <w:rPr>
      <w:color w:val="000000" w:themeColor="text1"/>
      <w14:textFill>
        <w14:solidFill>
          <w14:schemeClr w14:val="tx1"/>
        </w14:solidFill>
      </w14:textFill>
    </w:rPr>
    <w:tblPr>
      <w:tblBorders>
        <w:top w:val="single" w:color="E54C5E" w:themeColor="accent6" w:sz="8" w:space="0"/>
        <w:bottom w:val="single" w:color="E54C5E"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E54C5E" w:themeColor="accent6" w:sz="8" w:space="0"/>
        </w:tcBorders>
      </w:tcPr>
    </w:tblStylePr>
    <w:tblStylePr w:type="lastRow">
      <w:rPr>
        <w:b/>
        <w:bCs/>
        <w:color w:val="44546A" w:themeColor="text2"/>
        <w14:textFill>
          <w14:solidFill>
            <w14:schemeClr w14:val="tx2"/>
          </w14:solidFill>
        </w14:textFill>
      </w:rPr>
      <w:tblPr/>
      <w:tcPr>
        <w:tcBorders>
          <w:top w:val="single" w:color="E54C5E" w:themeColor="accent6" w:sz="8" w:space="0"/>
          <w:bottom w:val="single" w:color="E54C5E" w:themeColor="accent6" w:sz="8" w:space="0"/>
        </w:tcBorders>
      </w:tcPr>
    </w:tblStylePr>
    <w:tblStylePr w:type="firstCol">
      <w:rPr>
        <w:b/>
        <w:bCs/>
      </w:rPr>
    </w:tblStylePr>
    <w:tblStylePr w:type="lastCol">
      <w:rPr>
        <w:b/>
        <w:bCs/>
      </w:rPr>
      <w:tblPr/>
      <w:tcPr>
        <w:tcBorders>
          <w:top w:val="single" w:color="E54C5E" w:themeColor="accent6" w:sz="8" w:space="0"/>
          <w:bottom w:val="single" w:color="E54C5E" w:themeColor="accent6" w:sz="8" w:space="0"/>
        </w:tcBorders>
      </w:tcPr>
    </w:tblStylePr>
    <w:tblStylePr w:type="band1Vert">
      <w:tblPr/>
      <w:tcPr>
        <w:shd w:val="clear" w:color="auto" w:fill="F8D2D7" w:themeFill="accent6" w:themeFillTint="3F"/>
      </w:tcPr>
    </w:tblStylePr>
    <w:tblStylePr w:type="band1Horz">
      <w:tblPr/>
      <w:tcPr>
        <w:shd w:val="clear" w:color="auto" w:fill="F8D2D7" w:themeFill="accent6" w:themeFillTint="3F"/>
      </w:tcPr>
    </w:tblStylePr>
  </w:style>
  <w:style w:type="table" w:styleId="175">
    <w:name w:val="Medium List 2"/>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4874CB" w:themeColor="accent1" w:sz="8" w:space="0"/>
        <w:left w:val="single" w:color="4874CB" w:themeColor="accent1" w:sz="8" w:space="0"/>
        <w:bottom w:val="single" w:color="4874CB" w:themeColor="accent1" w:sz="8" w:space="0"/>
        <w:right w:val="single" w:color="4874CB"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874CB" w:themeColor="accent1" w:sz="24" w:space="0"/>
          <w:right w:val="nil"/>
          <w:insideH w:val="nil"/>
          <w:insideV w:val="nil"/>
        </w:tcBorders>
        <w:shd w:val="clear" w:color="auto" w:fill="FFFFFF" w:themeFill="background1"/>
      </w:tcPr>
    </w:tblStylePr>
    <w:tblStylePr w:type="lastRow">
      <w:tblPr/>
      <w:tcPr>
        <w:tcBorders>
          <w:top w:val="single" w:color="4874CB"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874CB" w:themeColor="accent1" w:sz="8" w:space="0"/>
          <w:insideH w:val="nil"/>
          <w:insideV w:val="nil"/>
        </w:tcBorders>
        <w:shd w:val="clear" w:color="auto" w:fill="FFFFFF" w:themeFill="background1"/>
      </w:tcPr>
    </w:tblStylePr>
    <w:tblStylePr w:type="lastCol">
      <w:tblPr/>
      <w:tcPr>
        <w:tcBorders>
          <w:top w:val="nil"/>
          <w:left w:val="single" w:color="4874CB"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1DCF2" w:themeFill="accent1" w:themeFillTint="3F"/>
      </w:tcPr>
    </w:tblStylePr>
    <w:tblStylePr w:type="band1Horz">
      <w:tblPr/>
      <w:tcPr>
        <w:tcBorders>
          <w:top w:val="nil"/>
          <w:bottom w:val="nil"/>
          <w:insideH w:val="nil"/>
          <w:insideV w:val="nil"/>
        </w:tcBorders>
        <w:shd w:val="clear" w:color="auto" w:fill="D1DC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EE822F" w:themeColor="accent2" w:sz="8" w:space="0"/>
        <w:left w:val="single" w:color="EE822F" w:themeColor="accent2" w:sz="8" w:space="0"/>
        <w:bottom w:val="single" w:color="EE822F" w:themeColor="accent2" w:sz="8" w:space="0"/>
        <w:right w:val="single" w:color="EE822F"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tblPr/>
      <w:tcPr>
        <w:tcBorders>
          <w:top w:val="single" w:color="EE822F"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E822F" w:themeColor="accent2" w:sz="8" w:space="0"/>
          <w:insideH w:val="nil"/>
          <w:insideV w:val="nil"/>
        </w:tcBorders>
        <w:shd w:val="clear" w:color="auto" w:fill="FFFFFF" w:themeFill="background1"/>
      </w:tcPr>
    </w:tblStylePr>
    <w:tblStylePr w:type="lastCol">
      <w:tblPr/>
      <w:tcPr>
        <w:tcBorders>
          <w:top w:val="nil"/>
          <w:left w:val="single" w:color="EE822F"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E0CB" w:themeFill="accent2" w:themeFillTint="3F"/>
      </w:tcPr>
    </w:tblStylePr>
    <w:tblStylePr w:type="band1Horz">
      <w:tblPr/>
      <w:tcPr>
        <w:tcBorders>
          <w:top w:val="nil"/>
          <w:bottom w:val="nil"/>
          <w:insideH w:val="nil"/>
          <w:insideV w:val="nil"/>
        </w:tcBorders>
        <w:shd w:val="clear" w:color="auto" w:fill="FAE0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F2BA02" w:themeColor="accent3" w:sz="8" w:space="0"/>
        <w:left w:val="single" w:color="F2BA02" w:themeColor="accent3" w:sz="8" w:space="0"/>
        <w:bottom w:val="single" w:color="F2BA02" w:themeColor="accent3" w:sz="8" w:space="0"/>
        <w:right w:val="single" w:color="F2BA02"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F2BA02" w:themeColor="accent3" w:sz="24" w:space="0"/>
          <w:right w:val="nil"/>
          <w:insideH w:val="nil"/>
          <w:insideV w:val="nil"/>
        </w:tcBorders>
        <w:shd w:val="clear" w:color="auto" w:fill="FFFFFF" w:themeFill="background1"/>
      </w:tcPr>
    </w:tblStylePr>
    <w:tblStylePr w:type="lastRow">
      <w:tblPr/>
      <w:tcPr>
        <w:tcBorders>
          <w:top w:val="single" w:color="F2BA02"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2BA02" w:themeColor="accent3" w:sz="8" w:space="0"/>
          <w:insideH w:val="nil"/>
          <w:insideV w:val="nil"/>
        </w:tcBorders>
        <w:shd w:val="clear" w:color="auto" w:fill="FFFFFF" w:themeFill="background1"/>
      </w:tcPr>
    </w:tblStylePr>
    <w:tblStylePr w:type="lastCol">
      <w:tblPr/>
      <w:tcPr>
        <w:tcBorders>
          <w:top w:val="nil"/>
          <w:left w:val="single" w:color="F2BA02"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EFBD" w:themeFill="accent3" w:themeFillTint="3F"/>
      </w:tcPr>
    </w:tblStylePr>
    <w:tblStylePr w:type="band1Horz">
      <w:tblPr/>
      <w:tcPr>
        <w:tcBorders>
          <w:top w:val="nil"/>
          <w:bottom w:val="nil"/>
          <w:insideH w:val="nil"/>
          <w:insideV w:val="nil"/>
        </w:tcBorders>
        <w:shd w:val="clear" w:color="auto" w:fill="FEEF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75BD42" w:themeColor="accent4" w:sz="8" w:space="0"/>
        <w:left w:val="single" w:color="75BD42" w:themeColor="accent4" w:sz="8" w:space="0"/>
        <w:bottom w:val="single" w:color="75BD42" w:themeColor="accent4" w:sz="8" w:space="0"/>
        <w:right w:val="single" w:color="75BD4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75BD42" w:themeColor="accent4" w:sz="24" w:space="0"/>
          <w:right w:val="nil"/>
          <w:insideH w:val="nil"/>
          <w:insideV w:val="nil"/>
        </w:tcBorders>
        <w:shd w:val="clear" w:color="auto" w:fill="FFFFFF" w:themeFill="background1"/>
      </w:tcPr>
    </w:tblStylePr>
    <w:tblStylePr w:type="lastRow">
      <w:tblPr/>
      <w:tcPr>
        <w:tcBorders>
          <w:top w:val="single" w:color="75BD4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5BD42" w:themeColor="accent4" w:sz="8" w:space="0"/>
          <w:insideH w:val="nil"/>
          <w:insideV w:val="nil"/>
        </w:tcBorders>
        <w:shd w:val="clear" w:color="auto" w:fill="FFFFFF" w:themeFill="background1"/>
      </w:tcPr>
    </w:tblStylePr>
    <w:tblStylePr w:type="lastCol">
      <w:tblPr/>
      <w:tcPr>
        <w:tcBorders>
          <w:top w:val="nil"/>
          <w:left w:val="single" w:color="75BD4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ED0" w:themeFill="accent4" w:themeFillTint="3F"/>
      </w:tcPr>
    </w:tblStylePr>
    <w:tblStylePr w:type="band1Horz">
      <w:tblPr/>
      <w:tcPr>
        <w:tcBorders>
          <w:top w:val="nil"/>
          <w:bottom w:val="nil"/>
          <w:insideH w:val="nil"/>
          <w:insideV w:val="nil"/>
        </w:tcBorders>
        <w:shd w:val="clear" w:color="auto" w:fill="DCEED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30C0B4" w:themeColor="accent5" w:sz="8" w:space="0"/>
        <w:left w:val="single" w:color="30C0B4" w:themeColor="accent5" w:sz="8" w:space="0"/>
        <w:bottom w:val="single" w:color="30C0B4" w:themeColor="accent5" w:sz="8" w:space="0"/>
        <w:right w:val="single" w:color="30C0B4"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30C0B4" w:themeColor="accent5" w:sz="24" w:space="0"/>
          <w:right w:val="nil"/>
          <w:insideH w:val="nil"/>
          <w:insideV w:val="nil"/>
        </w:tcBorders>
        <w:shd w:val="clear" w:color="auto" w:fill="FFFFFF" w:themeFill="background1"/>
      </w:tcPr>
    </w:tblStylePr>
    <w:tblStylePr w:type="lastRow">
      <w:tblPr/>
      <w:tcPr>
        <w:tcBorders>
          <w:top w:val="single" w:color="30C0B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30C0B4" w:themeColor="accent5" w:sz="8" w:space="0"/>
          <w:insideH w:val="nil"/>
          <w:insideV w:val="nil"/>
        </w:tcBorders>
        <w:shd w:val="clear" w:color="auto" w:fill="FFFFFF" w:themeFill="background1"/>
      </w:tcPr>
    </w:tblStylePr>
    <w:tblStylePr w:type="lastCol">
      <w:tblPr/>
      <w:tcPr>
        <w:tcBorders>
          <w:top w:val="nil"/>
          <w:left w:val="single" w:color="30C0B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F1EE" w:themeFill="accent5" w:themeFillTint="3F"/>
      </w:tcPr>
    </w:tblStylePr>
    <w:tblStylePr w:type="band1Horz">
      <w:tblPr/>
      <w:tcPr>
        <w:tcBorders>
          <w:top w:val="nil"/>
          <w:bottom w:val="nil"/>
          <w:insideH w:val="nil"/>
          <w:insideV w:val="nil"/>
        </w:tcBorders>
        <w:shd w:val="clear" w:color="auto" w:fill="C9F1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olor w:val="000000" w:themeColor="text1"/>
      <w14:textFill>
        <w14:solidFill>
          <w14:schemeClr w14:val="tx1"/>
        </w14:solidFill>
      </w14:textFill>
    </w:rPr>
    <w:tblPr>
      <w:tblBorders>
        <w:top w:val="single" w:color="E54C5E" w:themeColor="accent6" w:sz="8" w:space="0"/>
        <w:left w:val="single" w:color="E54C5E" w:themeColor="accent6" w:sz="8" w:space="0"/>
        <w:bottom w:val="single" w:color="E54C5E" w:themeColor="accent6" w:sz="8" w:space="0"/>
        <w:right w:val="single" w:color="E54C5E"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E54C5E" w:themeColor="accent6" w:sz="24" w:space="0"/>
          <w:right w:val="nil"/>
          <w:insideH w:val="nil"/>
          <w:insideV w:val="nil"/>
        </w:tcBorders>
        <w:shd w:val="clear" w:color="auto" w:fill="FFFFFF" w:themeFill="background1"/>
      </w:tcPr>
    </w:tblStylePr>
    <w:tblStylePr w:type="lastRow">
      <w:tblPr/>
      <w:tcPr>
        <w:tcBorders>
          <w:top w:val="single" w:color="E54C5E"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54C5E" w:themeColor="accent6" w:sz="8" w:space="0"/>
          <w:insideH w:val="nil"/>
          <w:insideV w:val="nil"/>
        </w:tcBorders>
        <w:shd w:val="clear" w:color="auto" w:fill="FFFFFF" w:themeFill="background1"/>
      </w:tcPr>
    </w:tblStylePr>
    <w:tblStylePr w:type="lastCol">
      <w:tblPr/>
      <w:tcPr>
        <w:tcBorders>
          <w:top w:val="nil"/>
          <w:left w:val="single" w:color="E54C5E"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8D2D7" w:themeFill="accent6" w:themeFillTint="3F"/>
      </w:tcPr>
    </w:tblStylePr>
    <w:tblStylePr w:type="band1Horz">
      <w:tblPr/>
      <w:tcPr>
        <w:tcBorders>
          <w:top w:val="nil"/>
          <w:bottom w:val="nil"/>
          <w:insideH w:val="nil"/>
          <w:insideV w:val="nil"/>
        </w:tcBorders>
        <w:shd w:val="clear" w:color="auto" w:fill="F8D2D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CellMar>
        <w:top w:w="0" w:type="dxa"/>
        <w:left w:w="108" w:type="dxa"/>
        <w:bottom w:w="0" w:type="dxa"/>
        <w:right w:w="108" w:type="dxa"/>
      </w:tblCellMar>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semiHidden/>
    <w:unhideWhenUsed/>
    <w:qFormat/>
    <w:uiPriority w:val="67"/>
    <w:tblPr>
      <w:tblBorders>
        <w:top w:val="single" w:color="7596D8" w:themeColor="accent1" w:themeTint="BF" w:sz="8" w:space="0"/>
        <w:left w:val="single" w:color="7596D8" w:themeColor="accent1" w:themeTint="BF" w:sz="8" w:space="0"/>
        <w:bottom w:val="single" w:color="7596D8" w:themeColor="accent1" w:themeTint="BF" w:sz="8" w:space="0"/>
        <w:right w:val="single" w:color="7596D8" w:themeColor="accent1" w:themeTint="BF" w:sz="8" w:space="0"/>
        <w:insideH w:val="single" w:color="7596D8" w:themeColor="accent1" w:themeTint="BF" w:sz="8" w:space="0"/>
        <w:insideV w:val="single" w:color="7596D8" w:themeColor="accent1" w:themeTint="BF" w:sz="8" w:space="0"/>
      </w:tblBorders>
      <w:tblCellMar>
        <w:top w:w="0" w:type="dxa"/>
        <w:left w:w="108" w:type="dxa"/>
        <w:bottom w:w="0" w:type="dxa"/>
        <w:right w:w="108" w:type="dxa"/>
      </w:tblCellMar>
    </w:tblPr>
    <w:tcPr>
      <w:shd w:val="clear" w:color="auto" w:fill="D1DCF2" w:themeFill="accent1" w:themeFillTint="3F"/>
    </w:tcPr>
    <w:tblStylePr w:type="firstRow">
      <w:rPr>
        <w:b/>
        <w:bCs/>
      </w:rPr>
    </w:tblStylePr>
    <w:tblStylePr w:type="lastRow">
      <w:rPr>
        <w:b/>
        <w:bCs/>
      </w:rPr>
      <w:tblPr/>
      <w:tcPr>
        <w:tcBorders>
          <w:top w:val="single" w:color="7596D8" w:themeColor="accent1" w:themeTint="BF" w:sz="18" w:space="0"/>
        </w:tcBorders>
      </w:tcPr>
    </w:tblStylePr>
    <w:tblStylePr w:type="firstCol">
      <w:rPr>
        <w:b/>
        <w:bCs/>
      </w:rPr>
    </w:tblStylePr>
    <w:tblStylePr w:type="lastCol">
      <w:rPr>
        <w:b/>
        <w:bCs/>
      </w:r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184">
    <w:name w:val="Medium Grid 1 Accent 2"/>
    <w:basedOn w:val="88"/>
    <w:semiHidden/>
    <w:unhideWhenUsed/>
    <w:qFormat/>
    <w:uiPriority w:val="67"/>
    <w:tblPr>
      <w:tblBorders>
        <w:top w:val="single" w:color="F2A163" w:themeColor="accent2" w:themeTint="BF" w:sz="8" w:space="0"/>
        <w:left w:val="single" w:color="F2A163" w:themeColor="accent2" w:themeTint="BF" w:sz="8" w:space="0"/>
        <w:bottom w:val="single" w:color="F2A163" w:themeColor="accent2" w:themeTint="BF" w:sz="8" w:space="0"/>
        <w:right w:val="single" w:color="F2A163" w:themeColor="accent2" w:themeTint="BF" w:sz="8" w:space="0"/>
        <w:insideH w:val="single" w:color="F2A163" w:themeColor="accent2" w:themeTint="BF" w:sz="8" w:space="0"/>
        <w:insideV w:val="single" w:color="F2A163" w:themeColor="accent2" w:themeTint="BF" w:sz="8" w:space="0"/>
      </w:tblBorders>
      <w:tblCellMar>
        <w:top w:w="0" w:type="dxa"/>
        <w:left w:w="108" w:type="dxa"/>
        <w:bottom w:w="0" w:type="dxa"/>
        <w:right w:w="108" w:type="dxa"/>
      </w:tblCellMar>
    </w:tblPr>
    <w:tcPr>
      <w:shd w:val="clear" w:color="auto" w:fill="FAE0CB" w:themeFill="accent2" w:themeFillTint="3F"/>
    </w:tcPr>
    <w:tblStylePr w:type="firstRow">
      <w:rPr>
        <w:b/>
        <w:bCs/>
      </w:rPr>
    </w:tblStylePr>
    <w:tblStylePr w:type="lastRow">
      <w:rPr>
        <w:b/>
        <w:bCs/>
      </w:rPr>
      <w:tblPr/>
      <w:tcPr>
        <w:tcBorders>
          <w:top w:val="single" w:color="F2A163" w:themeColor="accent2" w:themeTint="BF" w:sz="18" w:space="0"/>
        </w:tcBorders>
      </w:tcPr>
    </w:tblStylePr>
    <w:tblStylePr w:type="firstCol">
      <w:rPr>
        <w:b/>
        <w:bCs/>
      </w:rPr>
    </w:tblStylePr>
    <w:tblStylePr w:type="lastCol">
      <w:rPr>
        <w:b/>
        <w:bCs/>
      </w:r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185">
    <w:name w:val="Medium Grid 1 Accent 3"/>
    <w:basedOn w:val="88"/>
    <w:semiHidden/>
    <w:unhideWhenUsed/>
    <w:qFormat/>
    <w:uiPriority w:val="67"/>
    <w:tblPr>
      <w:tblBorders>
        <w:top w:val="single" w:color="FDCF39" w:themeColor="accent3" w:themeTint="BF" w:sz="8" w:space="0"/>
        <w:left w:val="single" w:color="FDCF39" w:themeColor="accent3" w:themeTint="BF" w:sz="8" w:space="0"/>
        <w:bottom w:val="single" w:color="FDCF39" w:themeColor="accent3" w:themeTint="BF" w:sz="8" w:space="0"/>
        <w:right w:val="single" w:color="FDCF39" w:themeColor="accent3" w:themeTint="BF" w:sz="8" w:space="0"/>
        <w:insideH w:val="single" w:color="FDCF39" w:themeColor="accent3" w:themeTint="BF" w:sz="8" w:space="0"/>
        <w:insideV w:val="single" w:color="FDCF39" w:themeColor="accent3" w:themeTint="BF" w:sz="8" w:space="0"/>
      </w:tblBorders>
      <w:tblCellMar>
        <w:top w:w="0" w:type="dxa"/>
        <w:left w:w="108" w:type="dxa"/>
        <w:bottom w:w="0" w:type="dxa"/>
        <w:right w:w="108" w:type="dxa"/>
      </w:tblCellMar>
    </w:tblPr>
    <w:tcPr>
      <w:shd w:val="clear" w:color="auto" w:fill="FEEFBD" w:themeFill="accent3" w:themeFillTint="3F"/>
    </w:tcPr>
    <w:tblStylePr w:type="firstRow">
      <w:rPr>
        <w:b/>
        <w:bCs/>
      </w:rPr>
    </w:tblStylePr>
    <w:tblStylePr w:type="lastRow">
      <w:rPr>
        <w:b/>
        <w:bCs/>
      </w:rPr>
      <w:tblPr/>
      <w:tcPr>
        <w:tcBorders>
          <w:top w:val="single" w:color="FDCF39" w:themeColor="accent3" w:themeTint="BF" w:sz="18" w:space="0"/>
        </w:tcBorders>
      </w:tcPr>
    </w:tblStylePr>
    <w:tblStylePr w:type="firstCol">
      <w:rPr>
        <w:b/>
        <w:bCs/>
      </w:rPr>
    </w:tblStylePr>
    <w:tblStylePr w:type="lastCol">
      <w:rPr>
        <w:b/>
        <w:bCs/>
      </w:rPr>
    </w:tblStylePr>
    <w:tblStylePr w:type="band1Vert">
      <w:tblPr/>
      <w:tcPr>
        <w:shd w:val="clear" w:color="auto" w:fill="FDDF7B" w:themeFill="accent3" w:themeFillTint="7F"/>
      </w:tcPr>
    </w:tblStylePr>
    <w:tblStylePr w:type="band1Horz">
      <w:tblPr/>
      <w:tcPr>
        <w:shd w:val="clear" w:color="auto" w:fill="FDDF7B" w:themeFill="accent3" w:themeFillTint="7F"/>
      </w:tcPr>
    </w:tblStylePr>
  </w:style>
  <w:style w:type="table" w:styleId="186">
    <w:name w:val="Medium Grid 1 Accent 4"/>
    <w:basedOn w:val="88"/>
    <w:semiHidden/>
    <w:unhideWhenUsed/>
    <w:qFormat/>
    <w:uiPriority w:val="67"/>
    <w:tblPr>
      <w:tblBorders>
        <w:top w:val="single" w:color="97CD71" w:themeColor="accent4" w:themeTint="BF" w:sz="8" w:space="0"/>
        <w:left w:val="single" w:color="97CD71" w:themeColor="accent4" w:themeTint="BF" w:sz="8" w:space="0"/>
        <w:bottom w:val="single" w:color="97CD71" w:themeColor="accent4" w:themeTint="BF" w:sz="8" w:space="0"/>
        <w:right w:val="single" w:color="97CD71" w:themeColor="accent4" w:themeTint="BF" w:sz="8" w:space="0"/>
        <w:insideH w:val="single" w:color="97CD71" w:themeColor="accent4" w:themeTint="BF" w:sz="8" w:space="0"/>
        <w:insideV w:val="single" w:color="97CD71" w:themeColor="accent4" w:themeTint="BF" w:sz="8" w:space="0"/>
      </w:tblBorders>
      <w:tblCellMar>
        <w:top w:w="0" w:type="dxa"/>
        <w:left w:w="108" w:type="dxa"/>
        <w:bottom w:w="0" w:type="dxa"/>
        <w:right w:w="108" w:type="dxa"/>
      </w:tblCellMar>
    </w:tblPr>
    <w:tcPr>
      <w:shd w:val="clear" w:color="auto" w:fill="DCEED0" w:themeFill="accent4" w:themeFillTint="3F"/>
    </w:tcPr>
    <w:tblStylePr w:type="firstRow">
      <w:rPr>
        <w:b/>
        <w:bCs/>
      </w:rPr>
    </w:tblStylePr>
    <w:tblStylePr w:type="lastRow">
      <w:rPr>
        <w:b/>
        <w:bCs/>
      </w:rPr>
      <w:tblPr/>
      <w:tcPr>
        <w:tcBorders>
          <w:top w:val="single" w:color="97CD71" w:themeColor="accent4" w:themeTint="BF" w:sz="18" w:space="0"/>
        </w:tcBorders>
      </w:tcPr>
    </w:tblStylePr>
    <w:tblStylePr w:type="firstCol">
      <w:rPr>
        <w:b/>
        <w:bCs/>
      </w:rPr>
    </w:tblStylePr>
    <w:tblStylePr w:type="lastCol">
      <w:rPr>
        <w:b/>
        <w:bCs/>
      </w:r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187">
    <w:name w:val="Medium Grid 1 Accent 5"/>
    <w:basedOn w:val="88"/>
    <w:semiHidden/>
    <w:unhideWhenUsed/>
    <w:qFormat/>
    <w:uiPriority w:val="67"/>
    <w:tblPr>
      <w:tblBorders>
        <w:top w:val="single" w:color="5DD6CC" w:themeColor="accent5" w:themeTint="BF" w:sz="8" w:space="0"/>
        <w:left w:val="single" w:color="5DD6CC" w:themeColor="accent5" w:themeTint="BF" w:sz="8" w:space="0"/>
        <w:bottom w:val="single" w:color="5DD6CC" w:themeColor="accent5" w:themeTint="BF" w:sz="8" w:space="0"/>
        <w:right w:val="single" w:color="5DD6CC" w:themeColor="accent5" w:themeTint="BF" w:sz="8" w:space="0"/>
        <w:insideH w:val="single" w:color="5DD6CC" w:themeColor="accent5" w:themeTint="BF" w:sz="8" w:space="0"/>
        <w:insideV w:val="single" w:color="5DD6CC" w:themeColor="accent5" w:themeTint="BF" w:sz="8" w:space="0"/>
      </w:tblBorders>
      <w:tblCellMar>
        <w:top w:w="0" w:type="dxa"/>
        <w:left w:w="108" w:type="dxa"/>
        <w:bottom w:w="0" w:type="dxa"/>
        <w:right w:w="108" w:type="dxa"/>
      </w:tblCellMar>
    </w:tblPr>
    <w:tcPr>
      <w:shd w:val="clear" w:color="auto" w:fill="C9F1EE" w:themeFill="accent5" w:themeFillTint="3F"/>
    </w:tcPr>
    <w:tblStylePr w:type="firstRow">
      <w:rPr>
        <w:b/>
        <w:bCs/>
      </w:rPr>
    </w:tblStylePr>
    <w:tblStylePr w:type="lastRow">
      <w:rPr>
        <w:b/>
        <w:bCs/>
      </w:rPr>
      <w:tblPr/>
      <w:tcPr>
        <w:tcBorders>
          <w:top w:val="single" w:color="5DD6CC" w:themeColor="accent5" w:themeTint="BF" w:sz="18" w:space="0"/>
        </w:tcBorders>
      </w:tcPr>
    </w:tblStylePr>
    <w:tblStylePr w:type="firstCol">
      <w:rPr>
        <w:b/>
        <w:bCs/>
      </w:rPr>
    </w:tblStylePr>
    <w:tblStylePr w:type="lastCol">
      <w:rPr>
        <w:b/>
        <w:bCs/>
      </w:r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188">
    <w:name w:val="Medium Grid 1 Accent 6"/>
    <w:basedOn w:val="88"/>
    <w:semiHidden/>
    <w:unhideWhenUsed/>
    <w:qFormat/>
    <w:uiPriority w:val="67"/>
    <w:tblPr>
      <w:tblBorders>
        <w:top w:val="single" w:color="EB7886" w:themeColor="accent6" w:themeTint="BF" w:sz="8" w:space="0"/>
        <w:left w:val="single" w:color="EB7886" w:themeColor="accent6" w:themeTint="BF" w:sz="8" w:space="0"/>
        <w:bottom w:val="single" w:color="EB7886" w:themeColor="accent6" w:themeTint="BF" w:sz="8" w:space="0"/>
        <w:right w:val="single" w:color="EB7886" w:themeColor="accent6" w:themeTint="BF" w:sz="8" w:space="0"/>
        <w:insideH w:val="single" w:color="EB7886" w:themeColor="accent6" w:themeTint="BF" w:sz="8" w:space="0"/>
        <w:insideV w:val="single" w:color="EB7886" w:themeColor="accent6" w:themeTint="BF" w:sz="8" w:space="0"/>
      </w:tblBorders>
      <w:tblCellMar>
        <w:top w:w="0" w:type="dxa"/>
        <w:left w:w="108" w:type="dxa"/>
        <w:bottom w:w="0" w:type="dxa"/>
        <w:right w:w="108" w:type="dxa"/>
      </w:tblCellMar>
    </w:tblPr>
    <w:tcPr>
      <w:shd w:val="clear" w:color="auto" w:fill="F8D2D7" w:themeFill="accent6" w:themeFillTint="3F"/>
    </w:tcPr>
    <w:tblStylePr w:type="firstRow">
      <w:rPr>
        <w:b/>
        <w:bCs/>
      </w:rPr>
    </w:tblStylePr>
    <w:tblStylePr w:type="lastRow">
      <w:rPr>
        <w:b/>
        <w:bCs/>
      </w:rPr>
      <w:tblPr/>
      <w:tcPr>
        <w:tcBorders>
          <w:top w:val="single" w:color="EB7886" w:themeColor="accent6" w:themeTint="BF" w:sz="18" w:space="0"/>
        </w:tcBorders>
      </w:tcPr>
    </w:tblStylePr>
    <w:tblStylePr w:type="firstCol">
      <w:rPr>
        <w:b/>
        <w:bCs/>
      </w:rPr>
    </w:tblStylePr>
    <w:tblStylePr w:type="lastCol">
      <w:rPr>
        <w:b/>
        <w:bCs/>
      </w:r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table" w:styleId="189">
    <w:name w:val="Medium Grid 2"/>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4874CB" w:themeColor="accent1" w:sz="8" w:space="0"/>
        <w:left w:val="single" w:color="4874CB" w:themeColor="accent1" w:sz="8" w:space="0"/>
        <w:bottom w:val="single" w:color="4874CB" w:themeColor="accent1" w:sz="8" w:space="0"/>
        <w:right w:val="single" w:color="4874CB" w:themeColor="accent1" w:sz="8" w:space="0"/>
        <w:insideH w:val="single" w:color="4874CB" w:themeColor="accent1" w:sz="8" w:space="0"/>
        <w:insideV w:val="single" w:color="4874CB" w:themeColor="accent1" w:sz="8" w:space="0"/>
      </w:tblBorders>
      <w:tblCellMar>
        <w:top w:w="0" w:type="dxa"/>
        <w:left w:w="108" w:type="dxa"/>
        <w:bottom w:w="0" w:type="dxa"/>
        <w:right w:w="108" w:type="dxa"/>
      </w:tblCellMar>
    </w:tblPr>
    <w:tcPr>
      <w:shd w:val="clear" w:color="auto" w:fill="D1DCF2" w:themeFill="accent1" w:themeFillTint="3F"/>
    </w:tcPr>
    <w:tblStylePr w:type="firstRow">
      <w:rPr>
        <w:b/>
        <w:bCs/>
        <w:color w:val="000000" w:themeColor="text1"/>
        <w14:textFill>
          <w14:solidFill>
            <w14:schemeClr w14:val="tx1"/>
          </w14:solidFill>
        </w14:textFill>
      </w:rPr>
      <w:tblPr/>
      <w:tcPr>
        <w:shd w:val="clear" w:color="auto" w:fill="EDF1F9"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AE3F4" w:themeFill="accent1" w:themeFillTint="33"/>
      </w:tcPr>
    </w:tblStylePr>
    <w:tblStylePr w:type="band1Vert">
      <w:tblPr/>
      <w:tcPr>
        <w:shd w:val="clear" w:color="auto" w:fill="A3B9E5" w:themeFill="accent1" w:themeFillTint="7F"/>
      </w:tcPr>
    </w:tblStylePr>
    <w:tblStylePr w:type="band1Horz">
      <w:tblPr/>
      <w:tcPr>
        <w:tcBorders>
          <w:insideH w:val="single" w:sz="6" w:space="0"/>
          <w:insideV w:val="single" w:sz="6" w:space="0"/>
        </w:tcBorders>
        <w:shd w:val="clear" w:color="auto" w:fill="A3B9E5" w:themeFill="accent1" w:themeFillTint="7F"/>
      </w:tcPr>
    </w:tblStylePr>
    <w:tblStylePr w:type="nwCell">
      <w:tblPr/>
      <w:tcPr>
        <w:shd w:val="clear" w:color="auto" w:fill="FFFFFF" w:themeFill="background1"/>
      </w:tcPr>
    </w:tblStylePr>
  </w:style>
  <w:style w:type="table" w:styleId="191">
    <w:name w:val="Medium Grid 2 Accent 2"/>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EE822F" w:themeColor="accent2" w:sz="8" w:space="0"/>
        <w:left w:val="single" w:color="EE822F" w:themeColor="accent2" w:sz="8" w:space="0"/>
        <w:bottom w:val="single" w:color="EE822F" w:themeColor="accent2" w:sz="8" w:space="0"/>
        <w:right w:val="single" w:color="EE822F" w:themeColor="accent2" w:sz="8" w:space="0"/>
        <w:insideH w:val="single" w:color="EE822F" w:themeColor="accent2" w:sz="8" w:space="0"/>
        <w:insideV w:val="single" w:color="EE822F" w:themeColor="accent2" w:sz="8" w:space="0"/>
      </w:tblBorders>
      <w:tblCellMar>
        <w:top w:w="0" w:type="dxa"/>
        <w:left w:w="108" w:type="dxa"/>
        <w:bottom w:w="0" w:type="dxa"/>
        <w:right w:w="108" w:type="dxa"/>
      </w:tblCellMar>
    </w:tblPr>
    <w:tcPr>
      <w:shd w:val="clear" w:color="auto" w:fill="FAE0CB"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5D5" w:themeFill="accent2" w:themeFillTint="33"/>
      </w:tcPr>
    </w:tblStylePr>
    <w:tblStylePr w:type="band1Vert">
      <w:tblPr/>
      <w:tcPr>
        <w:shd w:val="clear" w:color="auto" w:fill="F6C097" w:themeFill="accent2" w:themeFillTint="7F"/>
      </w:tcPr>
    </w:tblStylePr>
    <w:tblStylePr w:type="band1Horz">
      <w:tblPr/>
      <w:tcPr>
        <w:tcBorders>
          <w:insideH w:val="single" w:sz="6" w:space="0"/>
          <w:insideV w:val="single" w:sz="6" w:space="0"/>
        </w:tcBorders>
        <w:shd w:val="clear" w:color="auto" w:fill="F6C097"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F2BA02" w:themeColor="accent3" w:sz="8" w:space="0"/>
        <w:left w:val="single" w:color="F2BA02" w:themeColor="accent3" w:sz="8" w:space="0"/>
        <w:bottom w:val="single" w:color="F2BA02" w:themeColor="accent3" w:sz="8" w:space="0"/>
        <w:right w:val="single" w:color="F2BA02" w:themeColor="accent3" w:sz="8" w:space="0"/>
        <w:insideH w:val="single" w:color="F2BA02" w:themeColor="accent3" w:sz="8" w:space="0"/>
        <w:insideV w:val="single" w:color="F2BA02" w:themeColor="accent3" w:sz="8" w:space="0"/>
      </w:tblBorders>
      <w:tblCellMar>
        <w:top w:w="0" w:type="dxa"/>
        <w:left w:w="108" w:type="dxa"/>
        <w:bottom w:w="0" w:type="dxa"/>
        <w:right w:w="108" w:type="dxa"/>
      </w:tblCellMar>
    </w:tblPr>
    <w:tcPr>
      <w:shd w:val="clear" w:color="auto" w:fill="FEEFBD" w:themeFill="accent3" w:themeFillTint="3F"/>
    </w:tcPr>
    <w:tblStylePr w:type="firstRow">
      <w:rPr>
        <w:b/>
        <w:bCs/>
        <w:color w:val="000000" w:themeColor="text1"/>
        <w14:textFill>
          <w14:solidFill>
            <w14:schemeClr w14:val="tx1"/>
          </w14:solidFill>
        </w14:textFill>
      </w:rPr>
      <w:tblPr/>
      <w:tcPr>
        <w:shd w:val="clear" w:color="auto" w:fill="FEF8E5"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A" w:themeFill="accent3" w:themeFillTint="33"/>
      </w:tcPr>
    </w:tblStylePr>
    <w:tblStylePr w:type="band1Vert">
      <w:tblPr/>
      <w:tcPr>
        <w:shd w:val="clear" w:color="auto" w:fill="FDDF7B" w:themeFill="accent3" w:themeFillTint="7F"/>
      </w:tcPr>
    </w:tblStylePr>
    <w:tblStylePr w:type="band1Horz">
      <w:tblPr/>
      <w:tcPr>
        <w:tcBorders>
          <w:insideH w:val="single" w:sz="6" w:space="0"/>
          <w:insideV w:val="single" w:sz="6" w:space="0"/>
        </w:tcBorders>
        <w:shd w:val="clear" w:color="auto" w:fill="FDDF7B" w:themeFill="accent3" w:themeFillTint="7F"/>
      </w:tcPr>
    </w:tblStylePr>
    <w:tblStylePr w:type="nwCell">
      <w:tblPr/>
      <w:tcPr>
        <w:shd w:val="clear" w:color="auto" w:fill="FFFFFF" w:themeFill="background1"/>
      </w:tcPr>
    </w:tblStylePr>
  </w:style>
  <w:style w:type="table" w:styleId="193">
    <w:name w:val="Medium Grid 2 Accent 4"/>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75BD42" w:themeColor="accent4" w:sz="8" w:space="0"/>
        <w:left w:val="single" w:color="75BD42" w:themeColor="accent4" w:sz="8" w:space="0"/>
        <w:bottom w:val="single" w:color="75BD42" w:themeColor="accent4" w:sz="8" w:space="0"/>
        <w:right w:val="single" w:color="75BD42" w:themeColor="accent4" w:sz="8" w:space="0"/>
        <w:insideH w:val="single" w:color="75BD42" w:themeColor="accent4" w:sz="8" w:space="0"/>
        <w:insideV w:val="single" w:color="75BD42" w:themeColor="accent4" w:sz="8" w:space="0"/>
      </w:tblBorders>
      <w:tblCellMar>
        <w:top w:w="0" w:type="dxa"/>
        <w:left w:w="108" w:type="dxa"/>
        <w:bottom w:w="0" w:type="dxa"/>
        <w:right w:w="108" w:type="dxa"/>
      </w:tblCellMar>
    </w:tblPr>
    <w:tcPr>
      <w:shd w:val="clear" w:color="auto" w:fill="DCEED0" w:themeFill="accent4" w:themeFillTint="3F"/>
    </w:tcPr>
    <w:tblStylePr w:type="firstRow">
      <w:rPr>
        <w:b/>
        <w:bCs/>
        <w:color w:val="000000" w:themeColor="text1"/>
        <w14:textFill>
          <w14:solidFill>
            <w14:schemeClr w14:val="tx1"/>
          </w14:solidFill>
        </w14:textFill>
      </w:rPr>
      <w:tblPr/>
      <w:tcPr>
        <w:shd w:val="clear" w:color="auto" w:fill="F1F8EC"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3F1D9" w:themeFill="accent4" w:themeFillTint="33"/>
      </w:tcPr>
    </w:tblStylePr>
    <w:tblStylePr w:type="band1Vert">
      <w:tblPr/>
      <w:tcPr>
        <w:shd w:val="clear" w:color="auto" w:fill="BADEA0" w:themeFill="accent4" w:themeFillTint="7F"/>
      </w:tcPr>
    </w:tblStylePr>
    <w:tblStylePr w:type="band1Horz">
      <w:tblPr/>
      <w:tcPr>
        <w:tcBorders>
          <w:insideH w:val="single" w:sz="6" w:space="0"/>
          <w:insideV w:val="single" w:sz="6" w:space="0"/>
        </w:tcBorders>
        <w:shd w:val="clear" w:color="auto" w:fill="BADEA0"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30C0B4" w:themeColor="accent5" w:sz="8" w:space="0"/>
        <w:left w:val="single" w:color="30C0B4" w:themeColor="accent5" w:sz="8" w:space="0"/>
        <w:bottom w:val="single" w:color="30C0B4" w:themeColor="accent5" w:sz="8" w:space="0"/>
        <w:right w:val="single" w:color="30C0B4" w:themeColor="accent5" w:sz="8" w:space="0"/>
        <w:insideH w:val="single" w:color="30C0B4" w:themeColor="accent5" w:sz="8" w:space="0"/>
        <w:insideV w:val="single" w:color="30C0B4" w:themeColor="accent5" w:sz="8" w:space="0"/>
      </w:tblBorders>
      <w:tblCellMar>
        <w:top w:w="0" w:type="dxa"/>
        <w:left w:w="108" w:type="dxa"/>
        <w:bottom w:w="0" w:type="dxa"/>
        <w:right w:w="108" w:type="dxa"/>
      </w:tblCellMar>
    </w:tblPr>
    <w:tcPr>
      <w:shd w:val="clear" w:color="auto" w:fill="C9F1EE" w:themeFill="accent5" w:themeFillTint="3F"/>
    </w:tcPr>
    <w:tblStylePr w:type="firstRow">
      <w:rPr>
        <w:b/>
        <w:bCs/>
        <w:color w:val="000000" w:themeColor="text1"/>
        <w14:textFill>
          <w14:solidFill>
            <w14:schemeClr w14:val="tx1"/>
          </w14:solidFill>
        </w14:textFill>
      </w:rPr>
      <w:tblPr/>
      <w:tcPr>
        <w:shd w:val="clear" w:color="auto" w:fill="E9F9F8"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3F4F1" w:themeFill="accent5" w:themeFillTint="33"/>
      </w:tcPr>
    </w:tblStylePr>
    <w:tblStylePr w:type="band1Vert">
      <w:tblPr/>
      <w:tcPr>
        <w:shd w:val="clear" w:color="auto" w:fill="93E4DD" w:themeFill="accent5" w:themeFillTint="7F"/>
      </w:tcPr>
    </w:tblStylePr>
    <w:tblStylePr w:type="band1Horz">
      <w:tblPr/>
      <w:tcPr>
        <w:tcBorders>
          <w:insideH w:val="single" w:sz="6" w:space="0"/>
          <w:insideV w:val="single" w:sz="6" w:space="0"/>
        </w:tcBorders>
        <w:shd w:val="clear" w:color="auto" w:fill="93E4DD" w:themeFill="accent5" w:themeFillTint="7F"/>
      </w:tcPr>
    </w:tblStylePr>
    <w:tblStylePr w:type="nwCell">
      <w:tblPr/>
      <w:tcPr>
        <w:shd w:val="clear" w:color="auto" w:fill="FFFFFF" w:themeFill="background1"/>
      </w:tcPr>
    </w:tblStylePr>
  </w:style>
  <w:style w:type="table" w:styleId="195">
    <w:name w:val="Medium Grid 2 Accent 6"/>
    <w:basedOn w:val="88"/>
    <w:semiHidden/>
    <w:unhideWhenUsed/>
    <w:qFormat/>
    <w:uiPriority w:val="68"/>
    <w:rPr>
      <w:rFonts w:asciiTheme="majorHAnsi" w:hAnsiTheme="majorHAnsi" w:eastAsiaTheme="majorEastAsia"/>
      <w:color w:val="000000" w:themeColor="text1"/>
      <w14:textFill>
        <w14:solidFill>
          <w14:schemeClr w14:val="tx1"/>
        </w14:solidFill>
      </w14:textFill>
    </w:rPr>
    <w:tblPr>
      <w:tblBorders>
        <w:top w:val="single" w:color="E54C5E" w:themeColor="accent6" w:sz="8" w:space="0"/>
        <w:left w:val="single" w:color="E54C5E" w:themeColor="accent6" w:sz="8" w:space="0"/>
        <w:bottom w:val="single" w:color="E54C5E" w:themeColor="accent6" w:sz="8" w:space="0"/>
        <w:right w:val="single" w:color="E54C5E" w:themeColor="accent6" w:sz="8" w:space="0"/>
        <w:insideH w:val="single" w:color="E54C5E" w:themeColor="accent6" w:sz="8" w:space="0"/>
        <w:insideV w:val="single" w:color="E54C5E" w:themeColor="accent6" w:sz="8" w:space="0"/>
      </w:tblBorders>
      <w:tblCellMar>
        <w:top w:w="0" w:type="dxa"/>
        <w:left w:w="108" w:type="dxa"/>
        <w:bottom w:w="0" w:type="dxa"/>
        <w:right w:w="108" w:type="dxa"/>
      </w:tblCellMar>
    </w:tblPr>
    <w:tcPr>
      <w:shd w:val="clear" w:color="auto" w:fill="F8D2D7" w:themeFill="accent6" w:themeFillTint="3F"/>
    </w:tcPr>
    <w:tblStylePr w:type="firstRow">
      <w:rPr>
        <w:b/>
        <w:bCs/>
        <w:color w:val="000000" w:themeColor="text1"/>
        <w14:textFill>
          <w14:solidFill>
            <w14:schemeClr w14:val="tx1"/>
          </w14:solidFill>
        </w14:textFill>
      </w:rPr>
      <w:tblPr/>
      <w:tcPr>
        <w:shd w:val="clear" w:color="auto" w:fill="FCEDEF"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9DBDE" w:themeFill="accent6" w:themeFillTint="33"/>
      </w:tcPr>
    </w:tblStylePr>
    <w:tblStylePr w:type="band1Vert">
      <w:tblPr/>
      <w:tcPr>
        <w:shd w:val="clear" w:color="auto" w:fill="F2A5AE" w:themeFill="accent6" w:themeFillTint="7F"/>
      </w:tcPr>
    </w:tblStylePr>
    <w:tblStylePr w:type="band1Horz">
      <w:tblPr/>
      <w:tcPr>
        <w:tcBorders>
          <w:insideH w:val="single" w:sz="6" w:space="0"/>
          <w:insideV w:val="single" w:sz="6" w:space="0"/>
        </w:tcBorders>
        <w:shd w:val="clear" w:color="auto" w:fill="F2A5AE"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1DCF2"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874CB"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874CB"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874CB"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874CB"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3B9E5"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3B9E5" w:themeFill="accent1" w:themeFillTint="7F"/>
      </w:tcPr>
    </w:tblStylePr>
  </w:style>
  <w:style w:type="table" w:styleId="198">
    <w:name w:val="Medium Grid 3 Accent 2"/>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AE0CB"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E822F"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E822F"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E822F"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E822F"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C097"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C097"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EEFBD"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2BA02"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2BA02"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2BA02"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2BA02"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DDF7B"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DDF7B" w:themeFill="accent3" w:themeFillTint="7F"/>
      </w:tcPr>
    </w:tblStylePr>
  </w:style>
  <w:style w:type="table" w:styleId="200">
    <w:name w:val="Medium Grid 3 Accent 4"/>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CEED0"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5BD42"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5BD42"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5BD42"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5BD4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ADEA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ADEA0" w:themeFill="accent4" w:themeFillTint="7F"/>
      </w:tcPr>
    </w:tblStylePr>
  </w:style>
  <w:style w:type="table" w:styleId="201">
    <w:name w:val="Medium Grid 3 Accent 5"/>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9F1EE"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30C0B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30C0B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30C0B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30C0B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93E4DD"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93E4DD" w:themeFill="accent5" w:themeFillTint="7F"/>
      </w:tcPr>
    </w:tblStylePr>
  </w:style>
  <w:style w:type="table" w:styleId="202">
    <w:name w:val="Medium Grid 3 Accent 6"/>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8D2D7"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54C5E"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54C5E"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54C5E"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54C5E"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2A5AE"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2A5AE" w:themeFill="accent6" w:themeFillTint="7F"/>
      </w:tcPr>
    </w:tblStylePr>
  </w:style>
  <w:style w:type="table" w:styleId="203">
    <w:name w:val="Dark List"/>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4874CB"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376A"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D54A0"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D54A0" w:themeFill="accent1" w:themeFillShade="BF"/>
      </w:tcPr>
    </w:tblStylePr>
    <w:tblStylePr w:type="band1Vert">
      <w:tblPr/>
      <w:tcPr>
        <w:tcBorders>
          <w:top w:val="nil"/>
          <w:left w:val="nil"/>
          <w:bottom w:val="nil"/>
          <w:right w:val="nil"/>
          <w:insideH w:val="nil"/>
          <w:insideV w:val="nil"/>
        </w:tcBorders>
        <w:shd w:val="clear" w:color="auto" w:fill="2D54A0" w:themeFill="accent1" w:themeFillShade="BF"/>
      </w:tcPr>
    </w:tblStylePr>
    <w:tblStylePr w:type="band1Horz">
      <w:tblPr/>
      <w:tcPr>
        <w:tcBorders>
          <w:top w:val="nil"/>
          <w:left w:val="nil"/>
          <w:bottom w:val="nil"/>
          <w:right w:val="nil"/>
          <w:insideH w:val="nil"/>
          <w:insideV w:val="nil"/>
        </w:tcBorders>
        <w:shd w:val="clear" w:color="auto" w:fill="2D54A0" w:themeFill="accent1" w:themeFillShade="BF"/>
      </w:tcPr>
    </w:tblStylePr>
  </w:style>
  <w:style w:type="table" w:styleId="205">
    <w:name w:val="Dark List Accent 2"/>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E822F"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33F0A"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E10"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E10" w:themeFill="accent2" w:themeFillShade="BF"/>
      </w:tcPr>
    </w:tblStylePr>
    <w:tblStylePr w:type="band1Vert">
      <w:tblPr/>
      <w:tcPr>
        <w:tcBorders>
          <w:top w:val="nil"/>
          <w:left w:val="nil"/>
          <w:bottom w:val="nil"/>
          <w:right w:val="nil"/>
          <w:insideH w:val="nil"/>
          <w:insideV w:val="nil"/>
        </w:tcBorders>
        <w:shd w:val="clear" w:color="auto" w:fill="C55E10" w:themeFill="accent2" w:themeFillShade="BF"/>
      </w:tcPr>
    </w:tblStylePr>
    <w:tblStylePr w:type="band1Horz">
      <w:tblPr/>
      <w:tcPr>
        <w:tcBorders>
          <w:top w:val="nil"/>
          <w:left w:val="nil"/>
          <w:bottom w:val="nil"/>
          <w:right w:val="nil"/>
          <w:insideH w:val="nil"/>
          <w:insideV w:val="nil"/>
        </w:tcBorders>
        <w:shd w:val="clear" w:color="auto" w:fill="C55E10" w:themeFill="accent2" w:themeFillShade="BF"/>
      </w:tcPr>
    </w:tblStylePr>
  </w:style>
  <w:style w:type="table" w:styleId="206">
    <w:name w:val="Dark List Accent 3"/>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F2BA02"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85C00"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B58B01"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B58B01" w:themeFill="accent3" w:themeFillShade="BF"/>
      </w:tcPr>
    </w:tblStylePr>
    <w:tblStylePr w:type="band1Vert">
      <w:tblPr/>
      <w:tcPr>
        <w:tcBorders>
          <w:top w:val="nil"/>
          <w:left w:val="nil"/>
          <w:bottom w:val="nil"/>
          <w:right w:val="nil"/>
          <w:insideH w:val="nil"/>
          <w:insideV w:val="nil"/>
        </w:tcBorders>
        <w:shd w:val="clear" w:color="auto" w:fill="B58B01" w:themeFill="accent3" w:themeFillShade="BF"/>
      </w:tcPr>
    </w:tblStylePr>
    <w:tblStylePr w:type="band1Horz">
      <w:tblPr/>
      <w:tcPr>
        <w:tcBorders>
          <w:top w:val="nil"/>
          <w:left w:val="nil"/>
          <w:bottom w:val="nil"/>
          <w:right w:val="nil"/>
          <w:insideH w:val="nil"/>
          <w:insideV w:val="nil"/>
        </w:tcBorders>
        <w:shd w:val="clear" w:color="auto" w:fill="B58B01" w:themeFill="accent3" w:themeFillShade="BF"/>
      </w:tcPr>
    </w:tblStylePr>
  </w:style>
  <w:style w:type="table" w:styleId="207">
    <w:name w:val="Dark List Accent 4"/>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75BD4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A5E2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78D31"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78D31" w:themeFill="accent4" w:themeFillShade="BF"/>
      </w:tcPr>
    </w:tblStylePr>
    <w:tblStylePr w:type="band1Vert">
      <w:tblPr/>
      <w:tcPr>
        <w:tcBorders>
          <w:top w:val="nil"/>
          <w:left w:val="nil"/>
          <w:bottom w:val="nil"/>
          <w:right w:val="nil"/>
          <w:insideH w:val="nil"/>
          <w:insideV w:val="nil"/>
        </w:tcBorders>
        <w:shd w:val="clear" w:color="auto" w:fill="578D31" w:themeFill="accent4" w:themeFillShade="BF"/>
      </w:tcPr>
    </w:tblStylePr>
    <w:tblStylePr w:type="band1Horz">
      <w:tblPr/>
      <w:tcPr>
        <w:tcBorders>
          <w:top w:val="nil"/>
          <w:left w:val="nil"/>
          <w:bottom w:val="nil"/>
          <w:right w:val="nil"/>
          <w:insideH w:val="nil"/>
          <w:insideV w:val="nil"/>
        </w:tcBorders>
        <w:shd w:val="clear" w:color="auto" w:fill="578D31" w:themeFill="accent4" w:themeFillShade="BF"/>
      </w:tcPr>
    </w:tblStylePr>
  </w:style>
  <w:style w:type="table" w:styleId="208">
    <w:name w:val="Dark List Accent 5"/>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30C0B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75F59"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38F8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38F86" w:themeFill="accent5" w:themeFillShade="BF"/>
      </w:tcPr>
    </w:tblStylePr>
    <w:tblStylePr w:type="band1Vert">
      <w:tblPr/>
      <w:tcPr>
        <w:tcBorders>
          <w:top w:val="nil"/>
          <w:left w:val="nil"/>
          <w:bottom w:val="nil"/>
          <w:right w:val="nil"/>
          <w:insideH w:val="nil"/>
          <w:insideV w:val="nil"/>
        </w:tcBorders>
        <w:shd w:val="clear" w:color="auto" w:fill="238F86" w:themeFill="accent5" w:themeFillShade="BF"/>
      </w:tcPr>
    </w:tblStylePr>
    <w:tblStylePr w:type="band1Horz">
      <w:tblPr/>
      <w:tcPr>
        <w:tcBorders>
          <w:top w:val="nil"/>
          <w:left w:val="nil"/>
          <w:bottom w:val="nil"/>
          <w:right w:val="nil"/>
          <w:insideH w:val="nil"/>
          <w:insideV w:val="nil"/>
        </w:tcBorders>
        <w:shd w:val="clear" w:color="auto" w:fill="238F86" w:themeFill="accent5" w:themeFillShade="BF"/>
      </w:tcPr>
    </w:tblStylePr>
  </w:style>
  <w:style w:type="table" w:styleId="209">
    <w:name w:val="Dark List Accent 6"/>
    <w:basedOn w:val="88"/>
    <w:semiHidden/>
    <w:unhideWhenUsed/>
    <w:qFormat/>
    <w:uiPriority w:val="70"/>
    <w:rPr>
      <w:color w:val="FFFFFF" w:themeColor="background1"/>
      <w14:textFill>
        <w14:solidFill>
          <w14:schemeClr w14:val="bg1"/>
        </w14:solidFill>
      </w14:textFill>
    </w:rPr>
    <w:tblPr>
      <w:tblCellMar>
        <w:top w:w="0" w:type="dxa"/>
        <w:left w:w="108" w:type="dxa"/>
        <w:bottom w:w="0" w:type="dxa"/>
        <w:right w:w="108" w:type="dxa"/>
      </w:tblCellMar>
    </w:tblPr>
    <w:tcPr>
      <w:shd w:val="clear" w:color="auto" w:fill="E54C5E"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41320"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C71C31"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C71C31" w:themeFill="accent6" w:themeFillShade="BF"/>
      </w:tcPr>
    </w:tblStylePr>
    <w:tblStylePr w:type="band1Vert">
      <w:tblPr/>
      <w:tcPr>
        <w:tcBorders>
          <w:top w:val="nil"/>
          <w:left w:val="nil"/>
          <w:bottom w:val="nil"/>
          <w:right w:val="nil"/>
          <w:insideH w:val="nil"/>
          <w:insideV w:val="nil"/>
        </w:tcBorders>
        <w:shd w:val="clear" w:color="auto" w:fill="C71C31" w:themeFill="accent6" w:themeFillShade="BF"/>
      </w:tcPr>
    </w:tblStylePr>
    <w:tblStylePr w:type="band1Horz">
      <w:tblPr/>
      <w:tcPr>
        <w:tcBorders>
          <w:top w:val="nil"/>
          <w:left w:val="nil"/>
          <w:bottom w:val="nil"/>
          <w:right w:val="nil"/>
          <w:insideH w:val="nil"/>
          <w:insideV w:val="nil"/>
        </w:tcBorders>
        <w:shd w:val="clear" w:color="auto" w:fill="C71C31" w:themeFill="accent6" w:themeFillShade="BF"/>
      </w:tcPr>
    </w:tblStylePr>
  </w:style>
  <w:style w:type="table" w:styleId="210">
    <w:name w:val="Colorful Shading"/>
    <w:basedOn w:val="88"/>
    <w:semiHidden/>
    <w:unhideWhenUsed/>
    <w:qFormat/>
    <w:uiPriority w:val="71"/>
    <w:rPr>
      <w:color w:val="000000" w:themeColor="text1"/>
      <w14:textFill>
        <w14:solidFill>
          <w14:schemeClr w14:val="tx1"/>
        </w14:solidFill>
      </w14:textFill>
    </w:rPr>
    <w:tblPr>
      <w:tblBorders>
        <w:top w:val="single" w:color="EE822F"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5E5E5" w:themeFill="text1"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semiHidden/>
    <w:unhideWhenUsed/>
    <w:qFormat/>
    <w:uiPriority w:val="71"/>
    <w:rPr>
      <w:color w:val="000000" w:themeColor="text1"/>
      <w14:textFill>
        <w14:solidFill>
          <w14:schemeClr w14:val="tx1"/>
        </w14:solidFill>
      </w14:textFill>
    </w:rPr>
    <w:tblPr>
      <w:tblBorders>
        <w:top w:val="single" w:color="EE822F" w:themeColor="accent2" w:sz="24" w:space="0"/>
        <w:left w:val="single" w:color="4874CB" w:themeColor="accent1" w:sz="4" w:space="0"/>
        <w:bottom w:val="single" w:color="4874CB" w:themeColor="accent1" w:sz="4" w:space="0"/>
        <w:right w:val="single" w:color="4874CB"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1F9" w:themeFill="accent1"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44380"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44380"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44380" w:themeFill="accent1" w:themeFillShade="99"/>
      </w:tcPr>
    </w:tblStylePr>
    <w:tblStylePr w:type="band1Vert">
      <w:tblPr/>
      <w:tcPr>
        <w:shd w:val="clear" w:color="auto" w:fill="B5C7EA" w:themeFill="accent1" w:themeFillTint="66"/>
      </w:tcPr>
    </w:tblStylePr>
    <w:tblStylePr w:type="band1Horz">
      <w:tblPr/>
      <w:tcPr>
        <w:shd w:val="clear" w:color="auto" w:fill="A3B9E5"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E822F" w:themeColor="accent2" w:sz="24" w:space="0"/>
        <w:left w:val="single" w:color="EE822F" w:themeColor="accent2" w:sz="4" w:space="0"/>
        <w:bottom w:val="single" w:color="EE822F" w:themeColor="accent2" w:sz="4" w:space="0"/>
        <w:right w:val="single" w:color="EE822F"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color="EE822F"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E4B0C"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E4B0C"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E4B0C" w:themeFill="accent2" w:themeFillShade="99"/>
      </w:tcPr>
    </w:tblStylePr>
    <w:tblStylePr w:type="band1Vert">
      <w:tblPr/>
      <w:tcPr>
        <w:shd w:val="clear" w:color="auto" w:fill="F8CCAB" w:themeFill="accent2" w:themeFillTint="66"/>
      </w:tcPr>
    </w:tblStylePr>
    <w:tblStylePr w:type="band1Horz">
      <w:tblPr/>
      <w:tcPr>
        <w:shd w:val="clear" w:color="auto" w:fill="F6C097"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semiHidden/>
    <w:unhideWhenUsed/>
    <w:qFormat/>
    <w:uiPriority w:val="71"/>
    <w:rPr>
      <w:color w:val="000000" w:themeColor="text1"/>
      <w14:textFill>
        <w14:solidFill>
          <w14:schemeClr w14:val="tx1"/>
        </w14:solidFill>
      </w14:textFill>
    </w:rPr>
    <w:tblPr>
      <w:tblBorders>
        <w:top w:val="single" w:color="75BD42" w:themeColor="accent4" w:sz="24" w:space="0"/>
        <w:left w:val="single" w:color="F2BA02" w:themeColor="accent3" w:sz="4" w:space="0"/>
        <w:bottom w:val="single" w:color="F2BA02" w:themeColor="accent3" w:sz="4" w:space="0"/>
        <w:right w:val="single" w:color="F2BA02"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8E5" w:themeFill="accent3" w:themeFillTint="19"/>
    </w:tcPr>
    <w:tblStylePr w:type="firstRow">
      <w:rPr>
        <w:b/>
        <w:bCs/>
      </w:rPr>
      <w:tblPr/>
      <w:tcPr>
        <w:tcBorders>
          <w:top w:val="nil"/>
          <w:left w:val="nil"/>
          <w:bottom w:val="single" w:color="75BD42"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16F01"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16F01"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16F01" w:themeFill="accent3" w:themeFillShade="99"/>
      </w:tcPr>
    </w:tblStylePr>
    <w:tblStylePr w:type="band1Vert">
      <w:tblPr/>
      <w:tcPr>
        <w:shd w:val="clear" w:color="auto" w:fill="FEE595" w:themeFill="accent3" w:themeFillTint="66"/>
      </w:tcPr>
    </w:tblStylePr>
    <w:tblStylePr w:type="band1Horz">
      <w:tblPr/>
      <w:tcPr>
        <w:shd w:val="clear" w:color="auto" w:fill="FDDF7B" w:themeFill="accent3" w:themeFillTint="7F"/>
      </w:tcPr>
    </w:tblStylePr>
  </w:style>
  <w:style w:type="table" w:styleId="214">
    <w:name w:val="Colorful Shading Accent 4"/>
    <w:basedOn w:val="88"/>
    <w:semiHidden/>
    <w:unhideWhenUsed/>
    <w:qFormat/>
    <w:uiPriority w:val="71"/>
    <w:rPr>
      <w:color w:val="000000" w:themeColor="text1"/>
      <w14:textFill>
        <w14:solidFill>
          <w14:schemeClr w14:val="tx1"/>
        </w14:solidFill>
      </w14:textFill>
    </w:rPr>
    <w:tblPr>
      <w:tblBorders>
        <w:top w:val="single" w:color="F2BA02" w:themeColor="accent3" w:sz="24" w:space="0"/>
        <w:left w:val="single" w:color="75BD42" w:themeColor="accent4" w:sz="4" w:space="0"/>
        <w:bottom w:val="single" w:color="75BD42" w:themeColor="accent4" w:sz="4" w:space="0"/>
        <w:right w:val="single" w:color="75BD4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1F8EC" w:themeFill="accent4" w:themeFillTint="19"/>
    </w:tcPr>
    <w:tblStylePr w:type="firstRow">
      <w:rPr>
        <w:b/>
        <w:bCs/>
      </w:rPr>
      <w:tblPr/>
      <w:tcPr>
        <w:tcBorders>
          <w:top w:val="nil"/>
          <w:left w:val="nil"/>
          <w:bottom w:val="single" w:color="F2BA02"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67127"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67127"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67127" w:themeFill="accent4" w:themeFillShade="99"/>
      </w:tcPr>
    </w:tblStylePr>
    <w:tblStylePr w:type="band1Vert">
      <w:tblPr/>
      <w:tcPr>
        <w:shd w:val="clear" w:color="auto" w:fill="C7E4B3" w:themeFill="accent4" w:themeFillTint="66"/>
      </w:tcPr>
    </w:tblStylePr>
    <w:tblStylePr w:type="band1Horz">
      <w:tblPr/>
      <w:tcPr>
        <w:shd w:val="clear" w:color="auto" w:fill="BADEA0"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semiHidden/>
    <w:unhideWhenUsed/>
    <w:qFormat/>
    <w:uiPriority w:val="71"/>
    <w:rPr>
      <w:color w:val="000000" w:themeColor="text1"/>
      <w14:textFill>
        <w14:solidFill>
          <w14:schemeClr w14:val="tx1"/>
        </w14:solidFill>
      </w14:textFill>
    </w:rPr>
    <w:tblPr>
      <w:tblBorders>
        <w:top w:val="single" w:color="E54C5E" w:themeColor="accent6" w:sz="24" w:space="0"/>
        <w:left w:val="single" w:color="30C0B4" w:themeColor="accent5" w:sz="4" w:space="0"/>
        <w:bottom w:val="single" w:color="30C0B4" w:themeColor="accent5" w:sz="4" w:space="0"/>
        <w:right w:val="single" w:color="30C0B4"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9F9F8" w:themeFill="accent5" w:themeFillTint="19"/>
    </w:tcPr>
    <w:tblStylePr w:type="firstRow">
      <w:rPr>
        <w:b/>
        <w:bCs/>
      </w:rPr>
      <w:tblPr/>
      <w:tcPr>
        <w:tcBorders>
          <w:top w:val="nil"/>
          <w:left w:val="nil"/>
          <w:bottom w:val="single" w:color="E54C5E"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1C736B"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1C736B"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1C736B" w:themeFill="accent5" w:themeFillShade="99"/>
      </w:tcPr>
    </w:tblStylePr>
    <w:tblStylePr w:type="band1Vert">
      <w:tblPr/>
      <w:tcPr>
        <w:shd w:val="clear" w:color="auto" w:fill="A8E9E3" w:themeFill="accent5" w:themeFillTint="66"/>
      </w:tcPr>
    </w:tblStylePr>
    <w:tblStylePr w:type="band1Horz">
      <w:tblPr/>
      <w:tcPr>
        <w:shd w:val="clear" w:color="auto" w:fill="93E4DD"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semiHidden/>
    <w:unhideWhenUsed/>
    <w:qFormat/>
    <w:uiPriority w:val="71"/>
    <w:rPr>
      <w:color w:val="000000" w:themeColor="text1"/>
      <w14:textFill>
        <w14:solidFill>
          <w14:schemeClr w14:val="tx1"/>
        </w14:solidFill>
      </w14:textFill>
    </w:rPr>
    <w:tblPr>
      <w:tblBorders>
        <w:top w:val="single" w:color="30C0B4" w:themeColor="accent5" w:sz="24" w:space="0"/>
        <w:left w:val="single" w:color="E54C5E" w:themeColor="accent6" w:sz="4" w:space="0"/>
        <w:bottom w:val="single" w:color="E54C5E" w:themeColor="accent6" w:sz="4" w:space="0"/>
        <w:right w:val="single" w:color="E54C5E"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CEDEF" w:themeFill="accent6" w:themeFillTint="19"/>
    </w:tcPr>
    <w:tblStylePr w:type="firstRow">
      <w:rPr>
        <w:b/>
        <w:bCs/>
      </w:rPr>
      <w:tblPr/>
      <w:tcPr>
        <w:tcBorders>
          <w:top w:val="nil"/>
          <w:left w:val="nil"/>
          <w:bottom w:val="single" w:color="30C0B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F1727"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F1727"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F1727" w:themeFill="accent6" w:themeFillShade="99"/>
      </w:tcPr>
    </w:tblStylePr>
    <w:tblStylePr w:type="band1Vert">
      <w:tblPr/>
      <w:tcPr>
        <w:shd w:val="clear" w:color="auto" w:fill="F4B7BE" w:themeFill="accent6" w:themeFillTint="66"/>
      </w:tcPr>
    </w:tblStylePr>
    <w:tblStylePr w:type="band1Horz">
      <w:tblPr/>
      <w:tcPr>
        <w:shd w:val="clear" w:color="auto" w:fill="F2A5AE"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DF1F9"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1DCF2" w:themeFill="accent1" w:themeFillTint="3F"/>
      </w:tcPr>
    </w:tblStylePr>
    <w:tblStylePr w:type="band1Horz">
      <w:tblPr/>
      <w:tcPr>
        <w:shd w:val="clear" w:color="auto" w:fill="DAE3F4" w:themeFill="accent1" w:themeFillTint="33"/>
      </w:tcPr>
    </w:tblStylePr>
  </w:style>
  <w:style w:type="table" w:styleId="219">
    <w:name w:val="Colorful List Accent 2"/>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511" w:themeFill="accent2" w:themeFillShade="CC"/>
      </w:tcPr>
    </w:tblStylePr>
    <w:tblStylePr w:type="lastRow">
      <w:rPr>
        <w:b/>
        <w:bCs/>
        <w:color w:val="D36511"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E0CB" w:themeFill="accent2" w:themeFillTint="3F"/>
      </w:tcPr>
    </w:tblStylePr>
    <w:tblStylePr w:type="band1Horz">
      <w:tblPr/>
      <w:tcPr>
        <w:shd w:val="clear" w:color="auto" w:fill="FBE5D5" w:themeFill="accent2" w:themeFillTint="33"/>
      </w:tcPr>
    </w:tblStylePr>
  </w:style>
  <w:style w:type="table" w:styleId="220">
    <w:name w:val="Colorful List Accent 3"/>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EF8E5"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D9734" w:themeFill="accent4" w:themeFillShade="CC"/>
      </w:tcPr>
    </w:tblStylePr>
    <w:tblStylePr w:type="lastRow">
      <w:rPr>
        <w:b/>
        <w:bCs/>
        <w:color w:val="5E9735"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EFBD" w:themeFill="accent3" w:themeFillTint="3F"/>
      </w:tcPr>
    </w:tblStylePr>
    <w:tblStylePr w:type="band1Horz">
      <w:tblPr/>
      <w:tcPr>
        <w:shd w:val="clear" w:color="auto" w:fill="FEF2CA" w:themeFill="accent3" w:themeFillTint="33"/>
      </w:tcPr>
    </w:tblStylePr>
  </w:style>
  <w:style w:type="table" w:styleId="221">
    <w:name w:val="Colorful List Accent 4"/>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1F8EC"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19401" w:themeFill="accent3" w:themeFillShade="CC"/>
      </w:tcPr>
    </w:tblStylePr>
    <w:tblStylePr w:type="lastRow">
      <w:rPr>
        <w:b/>
        <w:bCs/>
        <w:color w:val="C29502"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ED0" w:themeFill="accent4" w:themeFillTint="3F"/>
      </w:tcPr>
    </w:tblStylePr>
    <w:tblStylePr w:type="band1Horz">
      <w:tblPr/>
      <w:tcPr>
        <w:shd w:val="clear" w:color="auto" w:fill="E3F1D9" w:themeFill="accent4" w:themeFillTint="33"/>
      </w:tcPr>
    </w:tblStylePr>
  </w:style>
  <w:style w:type="table" w:styleId="222">
    <w:name w:val="Colorful List Accent 5"/>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E9F9F8"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51E34" w:themeFill="accent6" w:themeFillShade="CC"/>
      </w:tcPr>
    </w:tblStylePr>
    <w:tblStylePr w:type="lastRow">
      <w:rPr>
        <w:b/>
        <w:bCs/>
        <w:color w:val="D51F34"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F1EE" w:themeFill="accent5" w:themeFillTint="3F"/>
      </w:tcPr>
    </w:tblStylePr>
    <w:tblStylePr w:type="band1Horz">
      <w:tblPr/>
      <w:tcPr>
        <w:shd w:val="clear" w:color="auto" w:fill="D3F4F1" w:themeFill="accent5" w:themeFillTint="33"/>
      </w:tcPr>
    </w:tblStylePr>
  </w:style>
  <w:style w:type="table" w:styleId="223">
    <w:name w:val="Colorful List Accent 6"/>
    <w:basedOn w:val="88"/>
    <w:semiHidden/>
    <w:unhideWhenUsed/>
    <w:qFormat/>
    <w:uiPriority w:val="72"/>
    <w:rPr>
      <w:color w:val="000000" w:themeColor="text1"/>
      <w14:textFill>
        <w14:solidFill>
          <w14:schemeClr w14:val="tx1"/>
        </w14:solidFill>
      </w14:textFill>
    </w:rPr>
    <w:tblPr>
      <w:tblCellMar>
        <w:top w:w="0" w:type="dxa"/>
        <w:left w:w="108" w:type="dxa"/>
        <w:bottom w:w="0" w:type="dxa"/>
        <w:right w:w="108" w:type="dxa"/>
      </w:tblCellMar>
    </w:tblPr>
    <w:tcPr>
      <w:shd w:val="clear" w:color="auto" w:fill="FCEDEF"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26998F" w:themeFill="accent5" w:themeFillShade="CC"/>
      </w:tcPr>
    </w:tblStylePr>
    <w:tblStylePr w:type="lastRow">
      <w:rPr>
        <w:b/>
        <w:bCs/>
        <w:color w:val="269A90"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8D2D7" w:themeFill="accent6" w:themeFillTint="3F"/>
      </w:tcPr>
    </w:tblStylePr>
    <w:tblStylePr w:type="band1Horz">
      <w:tblPr/>
      <w:tcPr>
        <w:shd w:val="clear" w:color="auto" w:fill="F9DBDE" w:themeFill="accent6" w:themeFillTint="33"/>
      </w:tcPr>
    </w:tblStylePr>
  </w:style>
  <w:style w:type="table" w:styleId="224">
    <w:name w:val="Colorful Grid"/>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AE3F4" w:themeFill="accent1" w:themeFillTint="33"/>
    </w:tcPr>
    <w:tblStylePr w:type="firstRow">
      <w:rPr>
        <w:b/>
        <w:bCs/>
      </w:rPr>
      <w:tblPr/>
      <w:tcPr>
        <w:shd w:val="clear" w:color="auto" w:fill="B5C7EA" w:themeFill="accent1" w:themeFillTint="66"/>
      </w:tcPr>
    </w:tblStylePr>
    <w:tblStylePr w:type="lastRow">
      <w:rPr>
        <w:b/>
        <w:bCs/>
        <w:color w:val="000000" w:themeColor="text1"/>
        <w14:textFill>
          <w14:solidFill>
            <w14:schemeClr w14:val="tx1"/>
          </w14:solidFill>
        </w14:textFill>
      </w:rPr>
      <w:tblPr/>
      <w:tcPr>
        <w:shd w:val="clear" w:color="auto" w:fill="B5C7EA" w:themeFill="accent1" w:themeFillTint="66"/>
      </w:tcPr>
    </w:tblStylePr>
    <w:tblStylePr w:type="firstCol">
      <w:rPr>
        <w:color w:val="FFFFFF" w:themeColor="background1"/>
        <w14:textFill>
          <w14:solidFill>
            <w14:schemeClr w14:val="bg1"/>
          </w14:solidFill>
        </w14:textFill>
      </w:rPr>
      <w:tblPr/>
      <w:tcPr>
        <w:shd w:val="clear" w:color="auto" w:fill="2D54A0" w:themeFill="accent1" w:themeFillShade="BF"/>
      </w:tcPr>
    </w:tblStylePr>
    <w:tblStylePr w:type="lastCol">
      <w:rPr>
        <w:color w:val="FFFFFF" w:themeColor="background1"/>
        <w14:textFill>
          <w14:solidFill>
            <w14:schemeClr w14:val="bg1"/>
          </w14:solidFill>
        </w14:textFill>
      </w:rPr>
      <w:tblPr/>
      <w:tcPr>
        <w:shd w:val="clear" w:color="auto" w:fill="2D54A0" w:themeFill="accent1" w:themeFillShade="BF"/>
      </w:tcPr>
    </w:tblStylePr>
    <w:tblStylePr w:type="band1Vert">
      <w:tblPr/>
      <w:tcPr>
        <w:shd w:val="clear" w:color="auto" w:fill="A3B9E5" w:themeFill="accent1" w:themeFillTint="7F"/>
      </w:tcPr>
    </w:tblStylePr>
    <w:tblStylePr w:type="band1Horz">
      <w:tblPr/>
      <w:tcPr>
        <w:shd w:val="clear" w:color="auto" w:fill="A3B9E5" w:themeFill="accent1" w:themeFillTint="7F"/>
      </w:tcPr>
    </w:tblStylePr>
  </w:style>
  <w:style w:type="table" w:styleId="226">
    <w:name w:val="Colorful Grid Accent 2"/>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BE5D5" w:themeFill="accent2" w:themeFillTint="33"/>
    </w:tcPr>
    <w:tblStylePr w:type="firstRow">
      <w:rPr>
        <w:b/>
        <w:bCs/>
      </w:rPr>
      <w:tblPr/>
      <w:tcPr>
        <w:shd w:val="clear" w:color="auto" w:fill="F8CCAB" w:themeFill="accent2" w:themeFillTint="66"/>
      </w:tcPr>
    </w:tblStylePr>
    <w:tblStylePr w:type="lastRow">
      <w:rPr>
        <w:b/>
        <w:bCs/>
        <w:color w:val="000000" w:themeColor="text1"/>
        <w14:textFill>
          <w14:solidFill>
            <w14:schemeClr w14:val="tx1"/>
          </w14:solidFill>
        </w14:textFill>
      </w:rPr>
      <w:tblPr/>
      <w:tcPr>
        <w:shd w:val="clear" w:color="auto" w:fill="F8CCAB" w:themeFill="accent2" w:themeFillTint="66"/>
      </w:tcPr>
    </w:tblStylePr>
    <w:tblStylePr w:type="firstCol">
      <w:rPr>
        <w:color w:val="FFFFFF" w:themeColor="background1"/>
        <w14:textFill>
          <w14:solidFill>
            <w14:schemeClr w14:val="bg1"/>
          </w14:solidFill>
        </w14:textFill>
      </w:rPr>
      <w:tblPr/>
      <w:tcPr>
        <w:shd w:val="clear" w:color="auto" w:fill="C55E10" w:themeFill="accent2" w:themeFillShade="BF"/>
      </w:tcPr>
    </w:tblStylePr>
    <w:tblStylePr w:type="lastCol">
      <w:rPr>
        <w:color w:val="FFFFFF" w:themeColor="background1"/>
        <w14:textFill>
          <w14:solidFill>
            <w14:schemeClr w14:val="bg1"/>
          </w14:solidFill>
        </w14:textFill>
      </w:rPr>
      <w:tblPr/>
      <w:tcPr>
        <w:shd w:val="clear" w:color="auto" w:fill="C55E10" w:themeFill="accent2" w:themeFillShade="BF"/>
      </w:tcPr>
    </w:tblStylePr>
    <w:tblStylePr w:type="band1Vert">
      <w:tblPr/>
      <w:tcPr>
        <w:shd w:val="clear" w:color="auto" w:fill="F6C097" w:themeFill="accent2" w:themeFillTint="7F"/>
      </w:tcPr>
    </w:tblStylePr>
    <w:tblStylePr w:type="band1Horz">
      <w:tblPr/>
      <w:tcPr>
        <w:shd w:val="clear" w:color="auto" w:fill="F6C097"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EF2CA" w:themeFill="accent3" w:themeFillTint="33"/>
    </w:tcPr>
    <w:tblStylePr w:type="firstRow">
      <w:rPr>
        <w:b/>
        <w:bCs/>
      </w:rPr>
      <w:tblPr/>
      <w:tcPr>
        <w:shd w:val="clear" w:color="auto" w:fill="FEE595" w:themeFill="accent3" w:themeFillTint="66"/>
      </w:tcPr>
    </w:tblStylePr>
    <w:tblStylePr w:type="lastRow">
      <w:rPr>
        <w:b/>
        <w:bCs/>
        <w:color w:val="000000" w:themeColor="text1"/>
        <w14:textFill>
          <w14:solidFill>
            <w14:schemeClr w14:val="tx1"/>
          </w14:solidFill>
        </w14:textFill>
      </w:rPr>
      <w:tblPr/>
      <w:tcPr>
        <w:shd w:val="clear" w:color="auto" w:fill="FEE595" w:themeFill="accent3" w:themeFillTint="66"/>
      </w:tcPr>
    </w:tblStylePr>
    <w:tblStylePr w:type="firstCol">
      <w:rPr>
        <w:color w:val="FFFFFF" w:themeColor="background1"/>
        <w14:textFill>
          <w14:solidFill>
            <w14:schemeClr w14:val="bg1"/>
          </w14:solidFill>
        </w14:textFill>
      </w:rPr>
      <w:tblPr/>
      <w:tcPr>
        <w:shd w:val="clear" w:color="auto" w:fill="B58B01" w:themeFill="accent3" w:themeFillShade="BF"/>
      </w:tcPr>
    </w:tblStylePr>
    <w:tblStylePr w:type="lastCol">
      <w:rPr>
        <w:color w:val="FFFFFF" w:themeColor="background1"/>
        <w14:textFill>
          <w14:solidFill>
            <w14:schemeClr w14:val="bg1"/>
          </w14:solidFill>
        </w14:textFill>
      </w:rPr>
      <w:tblPr/>
      <w:tcPr>
        <w:shd w:val="clear" w:color="auto" w:fill="B58B01" w:themeFill="accent3" w:themeFillShade="BF"/>
      </w:tcPr>
    </w:tblStylePr>
    <w:tblStylePr w:type="band1Vert">
      <w:tblPr/>
      <w:tcPr>
        <w:shd w:val="clear" w:color="auto" w:fill="FDDF7B" w:themeFill="accent3" w:themeFillTint="7F"/>
      </w:tcPr>
    </w:tblStylePr>
    <w:tblStylePr w:type="band1Horz">
      <w:tblPr/>
      <w:tcPr>
        <w:shd w:val="clear" w:color="auto" w:fill="FDDF7B"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E3F1D9" w:themeFill="accent4" w:themeFillTint="33"/>
    </w:tcPr>
    <w:tblStylePr w:type="firstRow">
      <w:rPr>
        <w:b/>
        <w:bCs/>
      </w:rPr>
      <w:tblPr/>
      <w:tcPr>
        <w:shd w:val="clear" w:color="auto" w:fill="C7E4B3" w:themeFill="accent4" w:themeFillTint="66"/>
      </w:tcPr>
    </w:tblStylePr>
    <w:tblStylePr w:type="lastRow">
      <w:rPr>
        <w:b/>
        <w:bCs/>
        <w:color w:val="000000" w:themeColor="text1"/>
        <w14:textFill>
          <w14:solidFill>
            <w14:schemeClr w14:val="tx1"/>
          </w14:solidFill>
        </w14:textFill>
      </w:rPr>
      <w:tblPr/>
      <w:tcPr>
        <w:shd w:val="clear" w:color="auto" w:fill="C7E4B3" w:themeFill="accent4" w:themeFillTint="66"/>
      </w:tcPr>
    </w:tblStylePr>
    <w:tblStylePr w:type="firstCol">
      <w:rPr>
        <w:color w:val="FFFFFF" w:themeColor="background1"/>
        <w14:textFill>
          <w14:solidFill>
            <w14:schemeClr w14:val="bg1"/>
          </w14:solidFill>
        </w14:textFill>
      </w:rPr>
      <w:tblPr/>
      <w:tcPr>
        <w:shd w:val="clear" w:color="auto" w:fill="578D31" w:themeFill="accent4" w:themeFillShade="BF"/>
      </w:tcPr>
    </w:tblStylePr>
    <w:tblStylePr w:type="lastCol">
      <w:rPr>
        <w:color w:val="FFFFFF" w:themeColor="background1"/>
        <w14:textFill>
          <w14:solidFill>
            <w14:schemeClr w14:val="bg1"/>
          </w14:solidFill>
        </w14:textFill>
      </w:rPr>
      <w:tblPr/>
      <w:tcPr>
        <w:shd w:val="clear" w:color="auto" w:fill="578D31" w:themeFill="accent4" w:themeFillShade="BF"/>
      </w:tcPr>
    </w:tblStylePr>
    <w:tblStylePr w:type="band1Vert">
      <w:tblPr/>
      <w:tcPr>
        <w:shd w:val="clear" w:color="auto" w:fill="BADEA0" w:themeFill="accent4" w:themeFillTint="7F"/>
      </w:tcPr>
    </w:tblStylePr>
    <w:tblStylePr w:type="band1Horz">
      <w:tblPr/>
      <w:tcPr>
        <w:shd w:val="clear" w:color="auto" w:fill="BADEA0" w:themeFill="accent4" w:themeFillTint="7F"/>
      </w:tcPr>
    </w:tblStylePr>
  </w:style>
  <w:style w:type="table" w:styleId="229">
    <w:name w:val="Colorful Grid Accent 5"/>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D3F4F1" w:themeFill="accent5" w:themeFillTint="33"/>
    </w:tcPr>
    <w:tblStylePr w:type="firstRow">
      <w:rPr>
        <w:b/>
        <w:bCs/>
      </w:rPr>
      <w:tblPr/>
      <w:tcPr>
        <w:shd w:val="clear" w:color="auto" w:fill="A8E9E3" w:themeFill="accent5" w:themeFillTint="66"/>
      </w:tcPr>
    </w:tblStylePr>
    <w:tblStylePr w:type="lastRow">
      <w:rPr>
        <w:b/>
        <w:bCs/>
        <w:color w:val="000000" w:themeColor="text1"/>
        <w14:textFill>
          <w14:solidFill>
            <w14:schemeClr w14:val="tx1"/>
          </w14:solidFill>
        </w14:textFill>
      </w:rPr>
      <w:tblPr/>
      <w:tcPr>
        <w:shd w:val="clear" w:color="auto" w:fill="A8E9E3" w:themeFill="accent5" w:themeFillTint="66"/>
      </w:tcPr>
    </w:tblStylePr>
    <w:tblStylePr w:type="firstCol">
      <w:rPr>
        <w:color w:val="FFFFFF" w:themeColor="background1"/>
        <w14:textFill>
          <w14:solidFill>
            <w14:schemeClr w14:val="bg1"/>
          </w14:solidFill>
        </w14:textFill>
      </w:rPr>
      <w:tblPr/>
      <w:tcPr>
        <w:shd w:val="clear" w:color="auto" w:fill="238F86" w:themeFill="accent5" w:themeFillShade="BF"/>
      </w:tcPr>
    </w:tblStylePr>
    <w:tblStylePr w:type="lastCol">
      <w:rPr>
        <w:color w:val="FFFFFF" w:themeColor="background1"/>
        <w14:textFill>
          <w14:solidFill>
            <w14:schemeClr w14:val="bg1"/>
          </w14:solidFill>
        </w14:textFill>
      </w:rPr>
      <w:tblPr/>
      <w:tcPr>
        <w:shd w:val="clear" w:color="auto" w:fill="238F86" w:themeFill="accent5" w:themeFillShade="BF"/>
      </w:tcPr>
    </w:tblStylePr>
    <w:tblStylePr w:type="band1Vert">
      <w:tblPr/>
      <w:tcPr>
        <w:shd w:val="clear" w:color="auto" w:fill="93E4DD" w:themeFill="accent5" w:themeFillTint="7F"/>
      </w:tcPr>
    </w:tblStylePr>
    <w:tblStylePr w:type="band1Horz">
      <w:tblPr/>
      <w:tcPr>
        <w:shd w:val="clear" w:color="auto" w:fill="93E4DD" w:themeFill="accent5" w:themeFillTint="7F"/>
      </w:tcPr>
    </w:tblStylePr>
  </w:style>
  <w:style w:type="table" w:styleId="230">
    <w:name w:val="Colorful Grid Accent 6"/>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CellMar>
        <w:top w:w="0" w:type="dxa"/>
        <w:left w:w="108" w:type="dxa"/>
        <w:bottom w:w="0" w:type="dxa"/>
        <w:right w:w="108" w:type="dxa"/>
      </w:tblCellMar>
    </w:tblPr>
    <w:tcPr>
      <w:shd w:val="clear" w:color="auto" w:fill="F9DBDE" w:themeFill="accent6" w:themeFillTint="33"/>
    </w:tcPr>
    <w:tblStylePr w:type="firstRow">
      <w:rPr>
        <w:b/>
        <w:bCs/>
      </w:rPr>
      <w:tblPr/>
      <w:tcPr>
        <w:shd w:val="clear" w:color="auto" w:fill="F4B7BE" w:themeFill="accent6" w:themeFillTint="66"/>
      </w:tcPr>
    </w:tblStylePr>
    <w:tblStylePr w:type="lastRow">
      <w:rPr>
        <w:b/>
        <w:bCs/>
        <w:color w:val="000000" w:themeColor="text1"/>
        <w14:textFill>
          <w14:solidFill>
            <w14:schemeClr w14:val="tx1"/>
          </w14:solidFill>
        </w14:textFill>
      </w:rPr>
      <w:tblPr/>
      <w:tcPr>
        <w:shd w:val="clear" w:color="auto" w:fill="F4B7BE" w:themeFill="accent6" w:themeFillTint="66"/>
      </w:tcPr>
    </w:tblStylePr>
    <w:tblStylePr w:type="firstCol">
      <w:rPr>
        <w:color w:val="FFFFFF" w:themeColor="background1"/>
        <w14:textFill>
          <w14:solidFill>
            <w14:schemeClr w14:val="bg1"/>
          </w14:solidFill>
        </w14:textFill>
      </w:rPr>
      <w:tblPr/>
      <w:tcPr>
        <w:shd w:val="clear" w:color="auto" w:fill="C71C31" w:themeFill="accent6" w:themeFillShade="BF"/>
      </w:tcPr>
    </w:tblStylePr>
    <w:tblStylePr w:type="lastCol">
      <w:rPr>
        <w:color w:val="FFFFFF" w:themeColor="background1"/>
        <w14:textFill>
          <w14:solidFill>
            <w14:schemeClr w14:val="bg1"/>
          </w14:solidFill>
        </w14:textFill>
      </w:rPr>
      <w:tblPr/>
      <w:tcPr>
        <w:shd w:val="clear" w:color="auto" w:fill="C71C31" w:themeFill="accent6" w:themeFillShade="BF"/>
      </w:tcPr>
    </w:tblStylePr>
    <w:tblStylePr w:type="band1Vert">
      <w:tblPr/>
      <w:tcPr>
        <w:shd w:val="clear" w:color="auto" w:fill="F2A5AE" w:themeFill="accent6" w:themeFillTint="7F"/>
      </w:tcPr>
    </w:tblStylePr>
    <w:tblStylePr w:type="band1Horz">
      <w:tblPr/>
      <w:tcPr>
        <w:shd w:val="clear" w:color="auto" w:fill="F2A5AE" w:themeFill="accent6" w:themeFillTint="7F"/>
      </w:tcPr>
    </w:tblStylePr>
  </w:style>
  <w:style w:type="character" w:styleId="232">
    <w:name w:val="Strong"/>
    <w:basedOn w:val="231"/>
    <w:qFormat/>
    <w:uiPriority w:val="22"/>
    <w:rPr>
      <w:rFonts w:ascii="汉仪正圆 55简" w:hAnsi="汉仪正圆 55简" w:eastAsia="汉仪正圆 55简" w:cs="Times New Roman"/>
      <w:b/>
      <w:bCs/>
      <w:color w:val="auto"/>
      <w:sz w:val="32"/>
      <w:szCs w:val="32"/>
    </w:rPr>
  </w:style>
  <w:style w:type="character" w:styleId="233">
    <w:name w:val="endnote reference"/>
    <w:qFormat/>
    <w:uiPriority w:val="0"/>
    <w:rPr>
      <w:rFonts w:ascii="汉仪正圆 55简" w:hAnsi="汉仪正圆 55简" w:eastAsia="汉仪正圆 55简" w:cs="Times New Roman"/>
      <w:color w:val="000000" w:themeColor="text1"/>
      <w:kern w:val="2"/>
      <w:sz w:val="28"/>
      <w:szCs w:val="28"/>
      <w:lang w:val="en-US" w:eastAsia="zh-CN" w:bidi="ar-SA"/>
      <w14:textFill>
        <w14:solidFill>
          <w14:schemeClr w14:val="tx1"/>
        </w14:solidFill>
      </w14:textFill>
    </w:rPr>
  </w:style>
  <w:style w:type="character" w:styleId="234">
    <w:name w:val="page number"/>
    <w:basedOn w:val="231"/>
    <w:qFormat/>
    <w:uiPriority w:val="0"/>
    <w:rPr>
      <w:rFonts w:ascii="汉仪正圆 55简" w:hAnsi="汉仪正圆 55简" w:eastAsia="汉仪正圆 55简" w:cs="Times New Roman"/>
      <w:color w:val="3F3F3F"/>
      <w:sz w:val="18"/>
      <w:szCs w:val="18"/>
    </w:rPr>
  </w:style>
  <w:style w:type="character" w:styleId="235">
    <w:name w:val="FollowedHyperlink"/>
    <w:basedOn w:val="231"/>
    <w:qFormat/>
    <w:uiPriority w:val="0"/>
    <w:rPr>
      <w:rFonts w:cs="Times New Roman"/>
      <w:color w:val="800080"/>
      <w:kern w:val="2"/>
      <w:sz w:val="30"/>
      <w:szCs w:val="30"/>
      <w:u w:val="single"/>
      <w:lang w:val="en-US" w:eastAsia="zh-CN" w:bidi="ar-SA"/>
    </w:rPr>
  </w:style>
  <w:style w:type="character" w:styleId="236">
    <w:name w:val="Emphasis"/>
    <w:qFormat/>
    <w:uiPriority w:val="0"/>
    <w:rPr>
      <w:rFonts w:ascii="汉仪正圆 55简" w:hAnsi="汉仪正圆 55简" w:eastAsia="汉仪正圆 55简" w:cs="Times New Roman"/>
      <w:b/>
      <w:bCs/>
      <w:color w:val="172328"/>
      <w:kern w:val="2"/>
      <w:sz w:val="30"/>
      <w:szCs w:val="30"/>
      <w:lang w:val="en-US" w:eastAsia="zh-CN" w:bidi="ar-SA"/>
    </w:rPr>
  </w:style>
  <w:style w:type="character" w:styleId="237">
    <w:name w:val="Hyperlink"/>
    <w:basedOn w:val="231"/>
    <w:qFormat/>
    <w:uiPriority w:val="0"/>
    <w:rPr>
      <w:rFonts w:ascii="汉仪正圆 55简" w:hAnsi="汉仪正圆 55简" w:eastAsia="汉仪正圆 55简" w:cs="Times New Roman"/>
      <w:color w:val="0000FF"/>
      <w:kern w:val="2"/>
      <w:sz w:val="30"/>
      <w:szCs w:val="30"/>
      <w:u w:val="single"/>
      <w:lang w:val="en-US" w:eastAsia="zh-CN" w:bidi="ar-SA"/>
    </w:rPr>
  </w:style>
  <w:style w:type="character" w:styleId="238">
    <w:name w:val="annotation reference"/>
    <w:basedOn w:val="231"/>
    <w:qFormat/>
    <w:uiPriority w:val="0"/>
    <w:rPr>
      <w:rFonts w:ascii="汉仪正圆 55简" w:hAnsi="汉仪正圆 55简" w:eastAsia="汉仪正圆 55简" w:cs="Times New Roman"/>
      <w:color w:val="auto"/>
      <w:kern w:val="2"/>
      <w:sz w:val="21"/>
      <w:szCs w:val="21"/>
      <w:lang w:val="en-US" w:eastAsia="zh-CN" w:bidi="ar-SA"/>
    </w:rPr>
  </w:style>
  <w:style w:type="character" w:styleId="239">
    <w:name w:val="footnote reference"/>
    <w:basedOn w:val="231"/>
    <w:qFormat/>
    <w:uiPriority w:val="0"/>
    <w:rPr>
      <w:rFonts w:ascii="汉仪正圆 55简" w:hAnsi="汉仪正圆 55简" w:eastAsia="汉仪正圆 55简" w:cs="Times New Roman"/>
      <w:szCs w:val="20"/>
      <w:vertAlign w:val="superscript"/>
    </w:rPr>
  </w:style>
  <w:style w:type="paragraph" w:customStyle="1" w:styleId="240">
    <w:name w:val="Normal Indent1"/>
    <w:basedOn w:val="1"/>
    <w:qFormat/>
    <w:uiPriority w:val="0"/>
    <w:pPr>
      <w:ind w:firstLine="420" w:firstLineChars="200"/>
    </w:pPr>
    <w:rPr>
      <w:sz w:val="30"/>
    </w:rPr>
  </w:style>
  <w:style w:type="character" w:customStyle="1" w:styleId="241">
    <w:name w:val="font51"/>
    <w:qFormat/>
    <w:uiPriority w:val="0"/>
    <w:rPr>
      <w:rFonts w:hint="eastAsia" w:ascii="宋体" w:hAnsi="宋体" w:eastAsia="宋体"/>
      <w:color w:val="000000"/>
      <w:sz w:val="24"/>
      <w:szCs w:val="24"/>
      <w:u w:val="none"/>
    </w:rPr>
  </w:style>
  <w:style w:type="character" w:customStyle="1" w:styleId="242">
    <w:name w:val="font11"/>
    <w:basedOn w:val="231"/>
    <w:qFormat/>
    <w:uiPriority w:val="0"/>
    <w:rPr>
      <w:rFonts w:hint="eastAsia" w:ascii="宋体" w:hAnsi="宋体" w:eastAsia="宋体"/>
      <w:color w:val="000000"/>
      <w:sz w:val="24"/>
      <w:szCs w:val="24"/>
      <w:u w:val="single"/>
    </w:rPr>
  </w:style>
  <w:style w:type="paragraph" w:customStyle="1" w:styleId="243">
    <w:name w:val="正文 New New"/>
    <w:qFormat/>
    <w:uiPriority w:val="0"/>
    <w:pPr>
      <w:widowControl w:val="0"/>
      <w:jc w:val="both"/>
    </w:pPr>
    <w:rPr>
      <w:rFonts w:ascii="Times New Roman" w:hAnsi="Times New Roman" w:eastAsia="楷体_GB2312" w:cs="Times New Roman"/>
      <w:lang w:val="en-US" w:eastAsia="zh-CN" w:bidi="ar-SA"/>
    </w:rPr>
  </w:style>
  <w:style w:type="paragraph" w:customStyle="1" w:styleId="244">
    <w:name w:val="正文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245">
    <w:name w:val="正文文本缩进 New New"/>
    <w:basedOn w:val="1"/>
    <w:qFormat/>
    <w:uiPriority w:val="0"/>
    <w:pPr>
      <w:spacing w:after="120"/>
      <w:ind w:left="420" w:leftChars="200"/>
    </w:pPr>
    <w:rPr>
      <w:rFonts w:eastAsia="楷体_GB2312"/>
      <w:szCs w:val="20"/>
    </w:rPr>
  </w:style>
  <w:style w:type="paragraph" w:customStyle="1" w:styleId="246">
    <w:name w:val="表头"/>
    <w:basedOn w:val="1"/>
    <w:qFormat/>
    <w:uiPriority w:val="0"/>
    <w:pPr>
      <w:spacing w:line="360" w:lineRule="auto"/>
      <w:jc w:val="center"/>
    </w:pPr>
    <w:rPr>
      <w:rFonts w:ascii="黑体" w:eastAsia="黑体"/>
      <w:kern w:val="0"/>
      <w:sz w:val="24"/>
      <w:szCs w:val="20"/>
    </w:rPr>
  </w:style>
  <w:style w:type="paragraph" w:customStyle="1" w:styleId="247">
    <w:name w:val="正文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48">
    <w:name w:val="文一"/>
    <w:basedOn w:val="1"/>
    <w:next w:val="1"/>
    <w:qFormat/>
    <w:uiPriority w:val="0"/>
    <w:pPr>
      <w:topLinePunct/>
      <w:adjustRightInd w:val="0"/>
      <w:snapToGrid w:val="0"/>
      <w:spacing w:line="360" w:lineRule="auto"/>
      <w:ind w:firstLine="200" w:firstLineChars="200"/>
    </w:pPr>
    <w:rPr>
      <w:rFonts w:ascii="宋体" w:hAnsi="宋体"/>
      <w:spacing w:val="4"/>
      <w:sz w:val="24"/>
    </w:rPr>
  </w:style>
  <w:style w:type="paragraph" w:customStyle="1" w:styleId="249">
    <w:name w:val="正题"/>
    <w:basedOn w:val="248"/>
    <w:next w:val="248"/>
    <w:qFormat/>
    <w:uiPriority w:val="0"/>
    <w:pPr>
      <w:ind w:firstLine="0" w:firstLineChars="0"/>
      <w:jc w:val="center"/>
    </w:pPr>
    <w:rPr>
      <w:rFonts w:eastAsia="黑体"/>
      <w:b/>
      <w:sz w:val="36"/>
      <w:szCs w:val="36"/>
    </w:rPr>
  </w:style>
  <w:style w:type="character" w:customStyle="1" w:styleId="250">
    <w:name w:val="标题 1 Char"/>
    <w:link w:val="4"/>
    <w:qFormat/>
    <w:uiPriority w:val="0"/>
    <w:rPr>
      <w:b/>
      <w:kern w:val="44"/>
      <w:sz w:val="44"/>
    </w:rPr>
  </w:style>
  <w:style w:type="paragraph" w:customStyle="1" w:styleId="251">
    <w:name w:val="样式 宋体 四号 首行缩进:  2 字符"/>
    <w:basedOn w:val="1"/>
    <w:qFormat/>
    <w:uiPriority w:val="0"/>
    <w:pPr>
      <w:widowControl/>
    </w:pPr>
    <w:rPr>
      <w:rFonts w:cs="宋体"/>
      <w:color w:val="000000"/>
      <w:kern w:val="0"/>
      <w:szCs w:val="20"/>
    </w:rPr>
  </w:style>
  <w:style w:type="paragraph" w:styleId="252">
    <w:name w:val="No Spacing"/>
    <w:basedOn w:val="1"/>
    <w:qFormat/>
    <w:uiPriority w:val="0"/>
    <w:rPr>
      <w:sz w:val="22"/>
      <w:szCs w:val="20"/>
    </w:rPr>
  </w:style>
  <w:style w:type="paragraph" w:customStyle="1" w:styleId="253">
    <w:name w:val="PlainText"/>
    <w:basedOn w:val="1"/>
    <w:qFormat/>
    <w:uiPriority w:val="0"/>
    <w:rPr>
      <w:rFonts w:ascii="宋体" w:hAnsi="Courier New"/>
      <w:kern w:val="0"/>
      <w:sz w:val="20"/>
      <w:szCs w:val="20"/>
    </w:rPr>
  </w:style>
  <w:style w:type="paragraph" w:customStyle="1" w:styleId="254">
    <w:name w:val="章节三"/>
    <w:basedOn w:val="248"/>
    <w:next w:val="1"/>
    <w:qFormat/>
    <w:uiPriority w:val="0"/>
    <w:pPr>
      <w:spacing w:beforeLines="50" w:line="240" w:lineRule="auto"/>
      <w:ind w:firstLine="0" w:firstLineChars="0"/>
      <w:jc w:val="left"/>
      <w:outlineLvl w:val="2"/>
    </w:pPr>
    <w:rPr>
      <w:rFonts w:ascii="黑体" w:eastAsia="黑体"/>
      <w:b/>
    </w:rPr>
  </w:style>
  <w:style w:type="paragraph" w:customStyle="1" w:styleId="255">
    <w:name w:val="封二"/>
    <w:basedOn w:val="248"/>
    <w:next w:val="248"/>
    <w:qFormat/>
    <w:uiPriority w:val="0"/>
    <w:pPr>
      <w:ind w:firstLine="0" w:firstLineChars="0"/>
      <w:jc w:val="center"/>
    </w:pPr>
    <w:rPr>
      <w:rFonts w:eastAsia="黑体"/>
      <w:b/>
      <w:sz w:val="36"/>
      <w:szCs w:val="36"/>
    </w:rPr>
  </w:style>
  <w:style w:type="paragraph" w:customStyle="1" w:styleId="256">
    <w:name w:val="封一"/>
    <w:basedOn w:val="248"/>
    <w:next w:val="248"/>
    <w:qFormat/>
    <w:uiPriority w:val="0"/>
    <w:pPr>
      <w:ind w:firstLine="0" w:firstLineChars="0"/>
      <w:jc w:val="center"/>
    </w:pPr>
    <w:rPr>
      <w:rFonts w:eastAsia="黑体"/>
      <w:b/>
      <w:sz w:val="84"/>
      <w:szCs w:val="84"/>
    </w:rPr>
  </w:style>
  <w:style w:type="paragraph" w:customStyle="1" w:styleId="257">
    <w:name w:val="封四"/>
    <w:basedOn w:val="248"/>
    <w:next w:val="248"/>
    <w:qFormat/>
    <w:uiPriority w:val="0"/>
    <w:pPr>
      <w:jc w:val="left"/>
    </w:pPr>
    <w:rPr>
      <w:sz w:val="30"/>
      <w:szCs w:val="30"/>
    </w:rPr>
  </w:style>
  <w:style w:type="paragraph" w:customStyle="1" w:styleId="258">
    <w:name w:val="正文文本缩进1"/>
    <w:basedOn w:val="1"/>
    <w:qFormat/>
    <w:uiPriority w:val="0"/>
    <w:pPr>
      <w:ind w:firstLine="480"/>
    </w:pPr>
    <w:rPr>
      <w:sz w:val="24"/>
      <w:szCs w:val="20"/>
    </w:rPr>
  </w:style>
  <w:style w:type="paragraph" w:customStyle="1" w:styleId="259">
    <w:name w:val="正文文本缩进 31"/>
    <w:basedOn w:val="1"/>
    <w:qFormat/>
    <w:uiPriority w:val="0"/>
    <w:pPr>
      <w:snapToGrid w:val="0"/>
      <w:spacing w:line="360" w:lineRule="auto"/>
      <w:ind w:left="20" w:firstLine="529" w:firstLineChars="189"/>
    </w:pPr>
    <w:rPr>
      <w:rFonts w:ascii="仿宋_GB2312" w:eastAsia="仿宋_GB2312"/>
      <w:sz w:val="28"/>
    </w:rPr>
  </w:style>
  <w:style w:type="paragraph" w:customStyle="1" w:styleId="260">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1">
    <w:name w:val="正文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262">
    <w:name w:val="正文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3">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64">
    <w:name w:val="正文 New New New New New New New New New New New New New New New New New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65">
    <w:name w:val="正文缩进 New"/>
    <w:basedOn w:val="264"/>
    <w:qFormat/>
    <w:uiPriority w:val="0"/>
    <w:pPr>
      <w:ind w:firstLine="420"/>
    </w:pPr>
    <w:rPr>
      <w:rFonts w:ascii="Times New Roman" w:hAnsi="Times New Roman" w:cs="Times New Roman"/>
      <w:snapToGrid/>
      <w:kern w:val="2"/>
      <w:szCs w:val="20"/>
    </w:rPr>
  </w:style>
  <w:style w:type="paragraph" w:customStyle="1" w:styleId="266">
    <w:name w:val="正文文本缩进11"/>
    <w:basedOn w:val="1"/>
    <w:qFormat/>
    <w:uiPriority w:val="0"/>
    <w:pPr>
      <w:ind w:firstLine="480"/>
    </w:pPr>
    <w:rPr>
      <w:sz w:val="24"/>
      <w:szCs w:val="20"/>
    </w:rPr>
  </w:style>
  <w:style w:type="paragraph" w:customStyle="1" w:styleId="267">
    <w:name w:val="正文文本缩进 311"/>
    <w:basedOn w:val="1"/>
    <w:qFormat/>
    <w:uiPriority w:val="0"/>
    <w:pPr>
      <w:snapToGrid w:val="0"/>
      <w:spacing w:line="360" w:lineRule="auto"/>
      <w:ind w:left="20" w:firstLine="529" w:firstLineChars="189"/>
    </w:pPr>
    <w:rPr>
      <w:rFonts w:ascii="仿宋_GB2312" w:eastAsia="仿宋_GB2312"/>
      <w:sz w:val="28"/>
    </w:rPr>
  </w:style>
  <w:style w:type="character" w:customStyle="1" w:styleId="268">
    <w:name w:val="批注文字 Char"/>
    <w:link w:val="29"/>
    <w:qFormat/>
    <w:uiPriority w:val="0"/>
  </w:style>
  <w:style w:type="character" w:customStyle="1" w:styleId="269">
    <w:name w:val="批注主题 Char"/>
    <w:link w:val="85"/>
    <w:qFormat/>
    <w:uiPriority w:val="0"/>
    <w:rPr>
      <w:b/>
    </w:rPr>
  </w:style>
  <w:style w:type="character" w:customStyle="1" w:styleId="270">
    <w:name w:val="批注框文本 Char"/>
    <w:link w:val="55"/>
    <w:qFormat/>
    <w:uiPriority w:val="0"/>
    <w:rPr>
      <w:sz w:val="18"/>
    </w:rPr>
  </w:style>
  <w:style w:type="character" w:customStyle="1" w:styleId="271">
    <w:name w:val="标题 4 Char"/>
    <w:link w:val="7"/>
    <w:qFormat/>
    <w:uiPriority w:val="0"/>
    <w:rPr>
      <w:rFonts w:ascii="Arial" w:hAnsi="Arial" w:eastAsia="黑体"/>
      <w:b/>
      <w:sz w:val="28"/>
    </w:rPr>
  </w:style>
  <w:style w:type="character" w:customStyle="1" w:styleId="272">
    <w:name w:val="标题 5 Char"/>
    <w:link w:val="8"/>
    <w:qFormat/>
    <w:uiPriority w:val="0"/>
    <w:rPr>
      <w:b/>
      <w:sz w:val="28"/>
    </w:rPr>
  </w:style>
  <w:style w:type="character" w:customStyle="1" w:styleId="273">
    <w:name w:val="标题 7 Char"/>
    <w:link w:val="10"/>
    <w:qFormat/>
    <w:uiPriority w:val="0"/>
    <w:rPr>
      <w:b/>
      <w:sz w:val="24"/>
    </w:rPr>
  </w:style>
  <w:style w:type="character" w:customStyle="1" w:styleId="274">
    <w:name w:val="标题 8 Char"/>
    <w:link w:val="11"/>
    <w:qFormat/>
    <w:uiPriority w:val="0"/>
    <w:rPr>
      <w:rFonts w:ascii="Arial" w:hAnsi="Arial" w:eastAsia="黑体"/>
      <w:sz w:val="24"/>
    </w:rPr>
  </w:style>
  <w:style w:type="character" w:customStyle="1" w:styleId="275">
    <w:name w:val="标题 9 Char"/>
    <w:link w:val="12"/>
    <w:qFormat/>
    <w:uiPriority w:val="0"/>
    <w:rPr>
      <w:rFonts w:ascii="Arial" w:hAnsi="Arial" w:eastAsia="黑体"/>
      <w:sz w:val="21"/>
    </w:rPr>
  </w:style>
  <w:style w:type="character" w:customStyle="1" w:styleId="276">
    <w:name w:val="正文文本缩进 2 Char"/>
    <w:link w:val="52"/>
    <w:qFormat/>
    <w:uiPriority w:val="0"/>
  </w:style>
  <w:style w:type="character" w:customStyle="1" w:styleId="277">
    <w:name w:val="正文文本缩进 3 Char"/>
    <w:link w:val="71"/>
    <w:qFormat/>
    <w:uiPriority w:val="0"/>
    <w:rPr>
      <w:sz w:val="16"/>
    </w:rPr>
  </w:style>
  <w:style w:type="character" w:customStyle="1" w:styleId="278">
    <w:name w:val="标题 2 Char"/>
    <w:link w:val="5"/>
    <w:qFormat/>
    <w:uiPriority w:val="0"/>
    <w:rPr>
      <w:rFonts w:ascii="Arial" w:hAnsi="Arial" w:eastAsia="黑体"/>
      <w:b/>
      <w:sz w:val="32"/>
    </w:rPr>
  </w:style>
  <w:style w:type="character" w:customStyle="1" w:styleId="279">
    <w:name w:val="正文文本 Char"/>
    <w:link w:val="35"/>
    <w:qFormat/>
    <w:uiPriority w:val="0"/>
  </w:style>
  <w:style w:type="character" w:customStyle="1" w:styleId="280">
    <w:name w:val="正文文本缩进 Char"/>
    <w:link w:val="36"/>
    <w:qFormat/>
    <w:uiPriority w:val="0"/>
  </w:style>
  <w:style w:type="character" w:customStyle="1" w:styleId="281">
    <w:name w:val="纯文本 Char"/>
    <w:link w:val="46"/>
    <w:qFormat/>
    <w:uiPriority w:val="0"/>
    <w:rPr>
      <w:rFonts w:ascii="宋体" w:hAnsi="Courier New"/>
    </w:rPr>
  </w:style>
  <w:style w:type="character" w:customStyle="1" w:styleId="282">
    <w:name w:val="页脚 Char"/>
    <w:link w:val="56"/>
    <w:qFormat/>
    <w:uiPriority w:val="0"/>
    <w:rPr>
      <w:sz w:val="18"/>
    </w:rPr>
  </w:style>
  <w:style w:type="character" w:customStyle="1" w:styleId="283">
    <w:name w:val="页眉 Char"/>
    <w:link w:val="58"/>
    <w:qFormat/>
    <w:uiPriority w:val="0"/>
    <w:rPr>
      <w:sz w:val="18"/>
    </w:rPr>
  </w:style>
  <w:style w:type="character" w:customStyle="1" w:styleId="284">
    <w:name w:val="正文首行缩进 Char"/>
    <w:link w:val="86"/>
    <w:qFormat/>
    <w:uiPriority w:val="0"/>
  </w:style>
  <w:style w:type="character" w:customStyle="1" w:styleId="285">
    <w:name w:val="标题 3 Char Char"/>
    <w:qFormat/>
    <w:uiPriority w:val="0"/>
    <w:rPr>
      <w:rFonts w:ascii="宋体" w:hAnsi="宋体" w:eastAsia="宋体"/>
      <w:b/>
      <w:bCs/>
      <w:color w:val="FF0000"/>
      <w:kern w:val="2"/>
      <w:sz w:val="24"/>
      <w:szCs w:val="24"/>
      <w:lang w:val="zh-CN" w:eastAsia="zh-CN" w:bidi="ar-SA"/>
    </w:rPr>
  </w:style>
  <w:style w:type="character" w:customStyle="1" w:styleId="286">
    <w:name w:val="页码1"/>
    <w:basedOn w:val="231"/>
    <w:qFormat/>
    <w:uiPriority w:val="0"/>
  </w:style>
  <w:style w:type="paragraph" w:customStyle="1" w:styleId="287">
    <w:name w:val="Char Char Char Char"/>
    <w:basedOn w:val="288"/>
    <w:qFormat/>
    <w:uiPriority w:val="0"/>
    <w:rPr>
      <w:rFonts w:ascii="Tahoma" w:hAnsi="Tahoma"/>
      <w:sz w:val="24"/>
    </w:rPr>
  </w:style>
  <w:style w:type="paragraph" w:customStyle="1" w:styleId="288">
    <w:name w:val="文档结构图1"/>
    <w:basedOn w:val="1"/>
    <w:qFormat/>
    <w:uiPriority w:val="0"/>
    <w:pPr>
      <w:shd w:val="clear" w:color="auto" w:fill="000080"/>
    </w:pPr>
    <w:rPr>
      <w:sz w:val="30"/>
    </w:rPr>
  </w:style>
  <w:style w:type="paragraph" w:customStyle="1" w:styleId="289">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0">
    <w:name w:val="_Style 46"/>
    <w:qFormat/>
    <w:uiPriority w:val="0"/>
    <w:rPr>
      <w:rFonts w:ascii="Times New Roman" w:hAnsi="Times New Roman" w:eastAsia="宋体" w:cs="Times New Roman"/>
      <w:kern w:val="2"/>
      <w:sz w:val="30"/>
      <w:szCs w:val="24"/>
      <w:lang w:val="en-US" w:eastAsia="zh-CN" w:bidi="ar-SA"/>
    </w:rPr>
  </w:style>
  <w:style w:type="paragraph" w:customStyle="1" w:styleId="291">
    <w:name w:val="页脚 New"/>
    <w:basedOn w:val="292"/>
    <w:qFormat/>
    <w:uiPriority w:val="0"/>
    <w:pPr>
      <w:tabs>
        <w:tab w:val="center" w:pos="4153"/>
        <w:tab w:val="right" w:pos="8306"/>
      </w:tabs>
      <w:snapToGrid w:val="0"/>
      <w:jc w:val="left"/>
    </w:pPr>
    <w:rPr>
      <w:sz w:val="18"/>
    </w:rPr>
  </w:style>
  <w:style w:type="paragraph" w:customStyle="1" w:styleId="292">
    <w:name w:val="正文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3">
    <w:name w:val="正文首行缩进1"/>
    <w:basedOn w:val="35"/>
    <w:qFormat/>
    <w:uiPriority w:val="0"/>
    <w:pPr>
      <w:spacing w:after="0"/>
      <w:ind w:firstLine="420" w:firstLineChars="100"/>
    </w:pPr>
    <w:rPr>
      <w:sz w:val="30"/>
    </w:rPr>
  </w:style>
  <w:style w:type="paragraph" w:customStyle="1" w:styleId="294">
    <w:name w:val="正文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5">
    <w:name w:val="正文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96">
    <w:name w:val="标题 2 New"/>
    <w:basedOn w:val="264"/>
    <w:next w:val="264"/>
    <w:qFormat/>
    <w:uiPriority w:val="0"/>
    <w:pPr>
      <w:keepNext/>
      <w:keepLines/>
      <w:spacing w:line="416" w:lineRule="auto"/>
      <w:outlineLvl w:val="1"/>
    </w:pPr>
    <w:rPr>
      <w:rFonts w:ascii="Arial" w:hAnsi="Arial" w:eastAsia="仿宋_GB2312"/>
      <w:b/>
      <w:bCs/>
      <w:sz w:val="32"/>
    </w:rPr>
  </w:style>
  <w:style w:type="paragraph" w:customStyle="1" w:styleId="297">
    <w:name w:val="正文文本 New"/>
    <w:basedOn w:val="243"/>
    <w:qFormat/>
    <w:uiPriority w:val="0"/>
    <w:rPr>
      <w:rFonts w:eastAsia="宋体"/>
      <w:kern w:val="2"/>
      <w:sz w:val="30"/>
      <w:szCs w:val="24"/>
    </w:rPr>
  </w:style>
  <w:style w:type="paragraph" w:customStyle="1" w:styleId="298">
    <w:name w:val="页眉 New"/>
    <w:basedOn w:val="292"/>
    <w:qFormat/>
    <w:uiPriority w:val="0"/>
    <w:pPr>
      <w:pBdr>
        <w:bottom w:val="single" w:color="auto" w:sz="6" w:space="1"/>
      </w:pBdr>
      <w:tabs>
        <w:tab w:val="center" w:pos="4153"/>
        <w:tab w:val="right" w:pos="8306"/>
      </w:tabs>
      <w:snapToGrid w:val="0"/>
      <w:jc w:val="center"/>
    </w:pPr>
    <w:rPr>
      <w:sz w:val="18"/>
    </w:rPr>
  </w:style>
  <w:style w:type="paragraph" w:customStyle="1" w:styleId="299">
    <w:name w:val="Char1 Char Char Char Char Char Char1"/>
    <w:basedOn w:val="261"/>
    <w:qFormat/>
    <w:uiPriority w:val="0"/>
  </w:style>
  <w:style w:type="paragraph" w:customStyle="1" w:styleId="300">
    <w:name w:val="正文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01">
    <w:name w:val="正文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2">
    <w:name w:val="正文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3">
    <w:name w:val="正文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4">
    <w:name w:val="Char1 Char Char Char Char Char Char1 Char Char Char"/>
    <w:basedOn w:val="1"/>
    <w:qFormat/>
    <w:uiPriority w:val="0"/>
    <w:rPr>
      <w:sz w:val="30"/>
    </w:rPr>
  </w:style>
  <w:style w:type="paragraph" w:customStyle="1" w:styleId="305">
    <w:name w:val="普通(网站)1"/>
    <w:basedOn w:val="1"/>
    <w:qFormat/>
    <w:uiPriority w:val="0"/>
    <w:pPr>
      <w:widowControl/>
      <w:spacing w:line="500" w:lineRule="exact"/>
      <w:ind w:firstLine="510"/>
    </w:pPr>
    <w:rPr>
      <w:rFonts w:ascii="仿宋_GB2312" w:hAnsi="宋体" w:eastAsia="仿宋_GB2312"/>
      <w:color w:val="000000"/>
      <w:spacing w:val="-10"/>
      <w:kern w:val="0"/>
      <w:szCs w:val="20"/>
    </w:rPr>
  </w:style>
  <w:style w:type="paragraph" w:customStyle="1" w:styleId="306">
    <w:name w:val="正文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7">
    <w:name w:val="正文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08">
    <w:name w:val="正文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09">
    <w:name w:val="正文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0">
    <w:name w:val="纯文本 New"/>
    <w:basedOn w:val="243"/>
    <w:qFormat/>
    <w:uiPriority w:val="0"/>
    <w:rPr>
      <w:rFonts w:ascii="宋体" w:hAnsi="Courier New" w:eastAsia="宋体"/>
      <w:kern w:val="2"/>
      <w:sz w:val="24"/>
    </w:rPr>
  </w:style>
  <w:style w:type="paragraph" w:customStyle="1" w:styleId="311">
    <w:name w:val="正文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2">
    <w:name w:val="正文首行缩进 New"/>
    <w:basedOn w:val="297"/>
    <w:qFormat/>
    <w:uiPriority w:val="0"/>
    <w:pPr>
      <w:ind w:firstLine="420" w:firstLineChars="100"/>
    </w:pPr>
  </w:style>
  <w:style w:type="paragraph" w:customStyle="1" w:styleId="313">
    <w:name w:val="页眉 New New"/>
    <w:basedOn w:val="309"/>
    <w:qFormat/>
    <w:uiPriority w:val="0"/>
    <w:pPr>
      <w:pBdr>
        <w:bottom w:val="single" w:color="auto" w:sz="6" w:space="1"/>
      </w:pBdr>
      <w:tabs>
        <w:tab w:val="center" w:pos="4153"/>
        <w:tab w:val="right" w:pos="8306"/>
      </w:tabs>
      <w:snapToGrid w:val="0"/>
      <w:jc w:val="center"/>
    </w:pPr>
    <w:rPr>
      <w:sz w:val="18"/>
    </w:rPr>
  </w:style>
  <w:style w:type="paragraph" w:customStyle="1" w:styleId="314">
    <w:name w:val="正文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5">
    <w:name w:val="正文 New New New New New New New New New New New"/>
    <w:qFormat/>
    <w:uiPriority w:val="0"/>
    <w:pPr>
      <w:widowControl w:val="0"/>
      <w:jc w:val="both"/>
    </w:pPr>
    <w:rPr>
      <w:rFonts w:ascii="Times New Roman" w:hAnsi="Times New Roman" w:eastAsia="宋体" w:cs="Times New Roman"/>
      <w:kern w:val="2"/>
      <w:sz w:val="30"/>
      <w:szCs w:val="24"/>
      <w:lang w:val="en-US" w:eastAsia="zh-CN" w:bidi="ar-SA"/>
    </w:rPr>
  </w:style>
  <w:style w:type="paragraph" w:customStyle="1" w:styleId="316">
    <w:name w:val="Char"/>
    <w:basedOn w:val="1"/>
    <w:qFormat/>
    <w:uiPriority w:val="0"/>
    <w:pPr>
      <w:widowControl/>
      <w:spacing w:line="240" w:lineRule="exact"/>
      <w:jc w:val="left"/>
    </w:pPr>
    <w:rPr>
      <w:sz w:val="30"/>
    </w:rPr>
  </w:style>
  <w:style w:type="paragraph" w:customStyle="1" w:styleId="317">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8">
    <w:name w:val="正文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19">
    <w:name w:val="正文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0">
    <w:name w:val="正文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1">
    <w:name w:val="正文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2">
    <w:name w:val="纯文本1"/>
    <w:basedOn w:val="1"/>
    <w:qFormat/>
    <w:uiPriority w:val="0"/>
    <w:rPr>
      <w:rFonts w:ascii="宋体" w:hAnsi="Courier New"/>
      <w:sz w:val="24"/>
      <w:szCs w:val="20"/>
    </w:rPr>
  </w:style>
  <w:style w:type="paragraph" w:customStyle="1" w:styleId="323">
    <w:name w:val="正文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4">
    <w:name w:val="正文 New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5">
    <w:name w:val="正文 New New New New New New New New New New New New New New New New New New New New New New New New New New"/>
    <w:qFormat/>
    <w:uiPriority w:val="0"/>
    <w:pPr>
      <w:widowControl w:val="0"/>
      <w:jc w:val="both"/>
    </w:pPr>
    <w:rPr>
      <w:rFonts w:ascii="Times New Roman" w:hAnsi="Times New Roman" w:eastAsia="楷体_GB2312" w:cs="Times New Roman"/>
      <w:kern w:val="2"/>
      <w:sz w:val="21"/>
      <w:lang w:val="en-US" w:eastAsia="zh-CN" w:bidi="ar-SA"/>
    </w:rPr>
  </w:style>
  <w:style w:type="paragraph" w:customStyle="1" w:styleId="326">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7">
    <w:name w:val="页脚 New New"/>
    <w:basedOn w:val="309"/>
    <w:qFormat/>
    <w:uiPriority w:val="0"/>
    <w:pPr>
      <w:tabs>
        <w:tab w:val="center" w:pos="4153"/>
        <w:tab w:val="right" w:pos="8306"/>
      </w:tabs>
      <w:snapToGrid w:val="0"/>
      <w:jc w:val="left"/>
    </w:pPr>
    <w:rPr>
      <w:sz w:val="18"/>
    </w:rPr>
  </w:style>
  <w:style w:type="paragraph" w:customStyle="1" w:styleId="328">
    <w:name w:val="正文文本缩进 21"/>
    <w:basedOn w:val="1"/>
    <w:qFormat/>
    <w:uiPriority w:val="0"/>
    <w:pPr>
      <w:spacing w:line="420" w:lineRule="exact"/>
      <w:ind w:firstLine="480"/>
    </w:pPr>
    <w:rPr>
      <w:b/>
      <w:sz w:val="24"/>
      <w:szCs w:val="20"/>
    </w:rPr>
  </w:style>
  <w:style w:type="paragraph" w:customStyle="1" w:styleId="329">
    <w:name w:val="正文_1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30">
    <w:name w:val="修订1"/>
    <w:hidden/>
    <w:unhideWhenUsed/>
    <w:qFormat/>
    <w:uiPriority w:val="99"/>
    <w:rPr>
      <w:rFonts w:ascii="Times New Roman" w:hAnsi="Times New Roman" w:eastAsia="宋体" w:cs="Times New Roman"/>
      <w:kern w:val="2"/>
      <w:sz w:val="21"/>
      <w:szCs w:val="22"/>
      <w:lang w:val="en-US" w:eastAsia="zh-CN" w:bidi="ar-SA"/>
    </w:rPr>
  </w:style>
  <w:style w:type="paragraph" w:customStyle="1" w:styleId="331">
    <w:name w:val="修订2"/>
    <w:hidden/>
    <w:unhideWhenUsed/>
    <w:qFormat/>
    <w:uiPriority w:val="99"/>
    <w:rPr>
      <w:rFonts w:ascii="Times New Roman" w:hAnsi="Times New Roman" w:eastAsia="宋体" w:cs="Times New Roman"/>
      <w:kern w:val="2"/>
      <w:sz w:val="21"/>
      <w:szCs w:val="22"/>
      <w:lang w:val="en-US" w:eastAsia="zh-CN" w:bidi="ar-SA"/>
    </w:rPr>
  </w:style>
  <w:style w:type="table" w:customStyle="1" w:styleId="332">
    <w:name w:val="网格型1"/>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33">
    <w:name w:val="目录标题"/>
    <w:qFormat/>
    <w:uiPriority w:val="0"/>
    <w:pPr>
      <w:adjustRightInd w:val="0"/>
      <w:snapToGrid w:val="0"/>
      <w:jc w:val="center"/>
      <w:textAlignment w:val="bottom"/>
    </w:pPr>
    <w:rPr>
      <w:rFonts w:ascii="汉仪正圆 55简" w:hAnsi="汉仪正圆 55简" w:eastAsia="汉仪正圆 55简" w:cs="Times New Roman"/>
      <w:b/>
      <w:bCs/>
      <w:sz w:val="32"/>
      <w:szCs w:val="32"/>
      <w:lang w:val="en-US" w:eastAsia="zh-CN" w:bidi="ar-SA"/>
    </w:rPr>
  </w:style>
  <w:style w:type="paragraph" w:customStyle="1" w:styleId="334">
    <w:name w:val="章标题"/>
    <w:qFormat/>
    <w:uiPriority w:val="0"/>
    <w:pPr>
      <w:keepNext/>
      <w:keepLines/>
      <w:adjustRightInd w:val="0"/>
      <w:snapToGrid w:val="0"/>
      <w:jc w:val="center"/>
      <w:textAlignment w:val="bottom"/>
      <w:outlineLvl w:val="0"/>
    </w:pPr>
    <w:rPr>
      <w:rFonts w:hint="eastAsia" w:ascii="汉仪正圆 55简" w:hAnsi="汉仪正圆 55简" w:eastAsia="汉仪正圆 55简" w:cs="Times New Roman"/>
      <w:b/>
      <w:bCs/>
      <w:kern w:val="44"/>
      <w:sz w:val="32"/>
      <w:szCs w:val="32"/>
      <w:lang w:val="en-US" w:eastAsia="zh-CN" w:bidi="ar-SA"/>
    </w:rPr>
  </w:style>
  <w:style w:type="paragraph" w:customStyle="1" w:styleId="335">
    <w:name w:val="节标题"/>
    <w:qFormat/>
    <w:uiPriority w:val="0"/>
    <w:pPr>
      <w:keepNext/>
      <w:keepLines/>
      <w:widowControl w:val="0"/>
      <w:adjustRightInd w:val="0"/>
      <w:snapToGrid w:val="0"/>
      <w:jc w:val="center"/>
      <w:textAlignment w:val="bottom"/>
    </w:pPr>
    <w:rPr>
      <w:rFonts w:hint="eastAsia" w:ascii="汉仪正圆 55简" w:hAnsi="汉仪正圆 55简" w:eastAsia="汉仪正圆 55简" w:cs="Times New Roman"/>
      <w:b/>
      <w:bCs/>
      <w:sz w:val="32"/>
      <w:szCs w:val="32"/>
      <w:lang w:val="en-US" w:eastAsia="zh-CN" w:bidi="ar-SA"/>
    </w:rPr>
  </w:style>
  <w:style w:type="paragraph" w:customStyle="1" w:styleId="336">
    <w:name w:val="附录标题"/>
    <w:qFormat/>
    <w:uiPriority w:val="0"/>
    <w:pPr>
      <w:keepNext/>
      <w:keepLines/>
      <w:widowControl w:val="0"/>
      <w:adjustRightInd w:val="0"/>
      <w:snapToGrid w:val="0"/>
      <w:jc w:val="center"/>
      <w:textAlignment w:val="bottom"/>
      <w:outlineLvl w:val="0"/>
    </w:pPr>
    <w:rPr>
      <w:rFonts w:hint="eastAsia" w:ascii="汉仪正圆 55简" w:hAnsi="汉仪正圆 55简" w:eastAsia="汉仪正圆 55简" w:cs="Times New Roman"/>
      <w:b/>
      <w:bCs/>
      <w:kern w:val="44"/>
      <w:sz w:val="32"/>
      <w:szCs w:val="32"/>
      <w:lang w:val="en-US" w:eastAsia="zh-CN" w:bidi="ar-SA"/>
    </w:rPr>
  </w:style>
  <w:style w:type="paragraph" w:customStyle="1" w:styleId="337">
    <w:name w:val="摘要"/>
    <w:basedOn w:val="1"/>
    <w:qFormat/>
    <w:uiPriority w:val="0"/>
    <w:pPr>
      <w:ind w:firstLine="1041"/>
    </w:pPr>
    <w:rPr>
      <w:rFonts w:hint="eastAsia"/>
      <w:b/>
      <w:bCs/>
    </w:rPr>
  </w:style>
  <w:style w:type="paragraph" w:customStyle="1" w:styleId="338">
    <w:name w:val="关键词"/>
    <w:basedOn w:val="1"/>
    <w:qFormat/>
    <w:uiPriority w:val="0"/>
    <w:pPr>
      <w:ind w:firstLine="440"/>
    </w:pPr>
    <w:rPr>
      <w:rFonts w:hint="eastAsia"/>
      <w:b/>
      <w:bCs/>
    </w:rPr>
  </w:style>
  <w:style w:type="table" w:customStyle="1" w:styleId="339">
    <w:name w:val="清单表 1 浅色1"/>
    <w:basedOn w:val="88"/>
    <w:qFormat/>
    <w:uiPriority w:val="46"/>
    <w:tblPr>
      <w:tblCellMar>
        <w:top w:w="0" w:type="dxa"/>
        <w:left w:w="108" w:type="dxa"/>
        <w:bottom w:w="0" w:type="dxa"/>
        <w:right w:w="108" w:type="dxa"/>
      </w:tblCellMar>
    </w:tblPr>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0">
    <w:name w:val="清单表 1 浅色 - 着色 11"/>
    <w:basedOn w:val="88"/>
    <w:qFormat/>
    <w:uiPriority w:val="46"/>
    <w:tblPr>
      <w:tblCellMar>
        <w:top w:w="0" w:type="dxa"/>
        <w:left w:w="108" w:type="dxa"/>
        <w:bottom w:w="0" w:type="dxa"/>
        <w:right w:w="108" w:type="dxa"/>
      </w:tblCellMar>
    </w:tblPr>
    <w:tblStylePr w:type="firstRow">
      <w:rPr>
        <w:b/>
        <w:bCs/>
      </w:rPr>
      <w:tcPr>
        <w:tcBorders>
          <w:bottom w:val="single" w:color="91ABDF" w:themeColor="accent1" w:themeTint="99" w:sz="4" w:space="0"/>
        </w:tcBorders>
      </w:tcPr>
    </w:tblStylePr>
    <w:tblStylePr w:type="lastRow">
      <w:rPr>
        <w:b/>
        <w:bCs/>
      </w:rPr>
      <w:tcPr>
        <w:tcBorders>
          <w:top w:val="sing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41">
    <w:name w:val="清单表 1 浅色 - 着色 21"/>
    <w:basedOn w:val="88"/>
    <w:qFormat/>
    <w:uiPriority w:val="46"/>
    <w:tblPr>
      <w:tblCellMar>
        <w:top w:w="0" w:type="dxa"/>
        <w:left w:w="108" w:type="dxa"/>
        <w:bottom w:w="0" w:type="dxa"/>
        <w:right w:w="108" w:type="dxa"/>
      </w:tblCellMar>
    </w:tblPr>
    <w:tblStylePr w:type="firstRow">
      <w:rPr>
        <w:b/>
        <w:bCs/>
      </w:rPr>
      <w:tcPr>
        <w:tcBorders>
          <w:bottom w:val="single" w:color="F4B382" w:themeColor="accent2" w:themeTint="99" w:sz="4" w:space="0"/>
        </w:tcBorders>
      </w:tcPr>
    </w:tblStylePr>
    <w:tblStylePr w:type="lastRow">
      <w:rPr>
        <w:b/>
        <w:bCs/>
      </w:rPr>
      <w:tcPr>
        <w:tcBorders>
          <w:top w:val="sing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42">
    <w:name w:val="清单表 1 浅色 - 着色 31"/>
    <w:basedOn w:val="88"/>
    <w:qFormat/>
    <w:uiPriority w:val="46"/>
    <w:tblPr>
      <w:tblCellMar>
        <w:top w:w="0" w:type="dxa"/>
        <w:left w:w="108" w:type="dxa"/>
        <w:bottom w:w="0" w:type="dxa"/>
        <w:right w:w="108" w:type="dxa"/>
      </w:tblCellMar>
    </w:tblPr>
    <w:tblStylePr w:type="firstRow">
      <w:rPr>
        <w:b/>
        <w:bCs/>
      </w:rPr>
      <w:tcPr>
        <w:tcBorders>
          <w:bottom w:val="single" w:color="FDD960" w:themeColor="accent3" w:themeTint="99" w:sz="4" w:space="0"/>
        </w:tcBorders>
      </w:tcPr>
    </w:tblStylePr>
    <w:tblStylePr w:type="lastRow">
      <w:rPr>
        <w:b/>
        <w:bCs/>
      </w:rPr>
      <w:tcPr>
        <w:tcBorders>
          <w:top w:val="sing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43">
    <w:name w:val="清单表 1 浅色 - 着色 41"/>
    <w:basedOn w:val="88"/>
    <w:qFormat/>
    <w:uiPriority w:val="46"/>
    <w:tblPr>
      <w:tblCellMar>
        <w:top w:w="0" w:type="dxa"/>
        <w:left w:w="108" w:type="dxa"/>
        <w:bottom w:w="0" w:type="dxa"/>
        <w:right w:w="108" w:type="dxa"/>
      </w:tblCellMar>
    </w:tblPr>
    <w:tblStylePr w:type="firstRow">
      <w:rPr>
        <w:b/>
        <w:bCs/>
      </w:rPr>
      <w:tcPr>
        <w:tcBorders>
          <w:bottom w:val="single" w:color="ACD78D" w:themeColor="accent4" w:themeTint="99" w:sz="4" w:space="0"/>
        </w:tcBorders>
      </w:tcPr>
    </w:tblStylePr>
    <w:tblStylePr w:type="lastRow">
      <w:rPr>
        <w:b/>
        <w:bCs/>
      </w:rPr>
      <w:tcPr>
        <w:tcBorders>
          <w:top w:val="sing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44">
    <w:name w:val="清单表 1 浅色 - 着色 51"/>
    <w:basedOn w:val="88"/>
    <w:qFormat/>
    <w:uiPriority w:val="46"/>
    <w:tblPr>
      <w:tblCellMar>
        <w:top w:w="0" w:type="dxa"/>
        <w:left w:w="108" w:type="dxa"/>
        <w:bottom w:w="0" w:type="dxa"/>
        <w:right w:w="108" w:type="dxa"/>
      </w:tblCellMar>
    </w:tblPr>
    <w:tblStylePr w:type="firstRow">
      <w:rPr>
        <w:b/>
        <w:bCs/>
      </w:rPr>
      <w:tcPr>
        <w:tcBorders>
          <w:bottom w:val="single" w:color="7DDED6" w:themeColor="accent5" w:themeTint="99" w:sz="4" w:space="0"/>
        </w:tcBorders>
      </w:tcPr>
    </w:tblStylePr>
    <w:tblStylePr w:type="lastRow">
      <w:rPr>
        <w:b/>
        <w:bCs/>
      </w:rPr>
      <w:tcPr>
        <w:tcBorders>
          <w:top w:val="sing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45">
    <w:name w:val="清单表 1 浅色 - 着色 61"/>
    <w:basedOn w:val="88"/>
    <w:qFormat/>
    <w:uiPriority w:val="46"/>
    <w:tblPr>
      <w:tblCellMar>
        <w:top w:w="0" w:type="dxa"/>
        <w:left w:w="108" w:type="dxa"/>
        <w:bottom w:w="0" w:type="dxa"/>
        <w:right w:w="108" w:type="dxa"/>
      </w:tblCellMar>
    </w:tblPr>
    <w:tblStylePr w:type="firstRow">
      <w:rPr>
        <w:b/>
        <w:bCs/>
      </w:rPr>
      <w:tcPr>
        <w:tcBorders>
          <w:bottom w:val="single" w:color="EF939E" w:themeColor="accent6" w:themeTint="99" w:sz="4" w:space="0"/>
        </w:tcBorders>
      </w:tcPr>
    </w:tblStylePr>
    <w:tblStylePr w:type="lastRow">
      <w:rPr>
        <w:b/>
        <w:bCs/>
      </w:rPr>
      <w:tcPr>
        <w:tcBorders>
          <w:top w:val="sing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46">
    <w:name w:val="清单表 21"/>
    <w:basedOn w:val="88"/>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7">
    <w:name w:val="清单表 2 - 着色 11"/>
    <w:basedOn w:val="88"/>
    <w:qFormat/>
    <w:uiPriority w:val="47"/>
    <w:tblPr>
      <w:tblBorders>
        <w:top w:val="single" w:color="91ABDF" w:themeColor="accent1" w:themeTint="99" w:sz="4" w:space="0"/>
        <w:bottom w:val="single" w:color="91ABDF" w:themeColor="accent1" w:themeTint="99" w:sz="4" w:space="0"/>
        <w:insideH w:val="single" w:color="91ABDF" w:themeColor="accent1"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48">
    <w:name w:val="清单表 2 - 着色 21"/>
    <w:basedOn w:val="88"/>
    <w:qFormat/>
    <w:uiPriority w:val="47"/>
    <w:tblPr>
      <w:tblBorders>
        <w:top w:val="single" w:color="F4B382" w:themeColor="accent2" w:themeTint="99" w:sz="4" w:space="0"/>
        <w:bottom w:val="single" w:color="F4B382" w:themeColor="accent2" w:themeTint="99" w:sz="4" w:space="0"/>
        <w:insideH w:val="single" w:color="F4B382" w:themeColor="accent2"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49">
    <w:name w:val="清单表 2 - 着色 31"/>
    <w:basedOn w:val="88"/>
    <w:qFormat/>
    <w:uiPriority w:val="47"/>
    <w:tblPr>
      <w:tblBorders>
        <w:top w:val="single" w:color="FDD960" w:themeColor="accent3" w:themeTint="99" w:sz="4" w:space="0"/>
        <w:bottom w:val="single" w:color="FDD960" w:themeColor="accent3" w:themeTint="99" w:sz="4" w:space="0"/>
        <w:insideH w:val="single" w:color="FDD960" w:themeColor="accent3"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50">
    <w:name w:val="清单表 2 - 着色 41"/>
    <w:basedOn w:val="88"/>
    <w:qFormat/>
    <w:uiPriority w:val="47"/>
    <w:tblPr>
      <w:tblBorders>
        <w:top w:val="single" w:color="ACD78D" w:themeColor="accent4" w:themeTint="99" w:sz="4" w:space="0"/>
        <w:bottom w:val="single" w:color="ACD78D" w:themeColor="accent4" w:themeTint="99" w:sz="4" w:space="0"/>
        <w:insideH w:val="single" w:color="ACD78D" w:themeColor="accent4"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51">
    <w:name w:val="清单表 2 - 着色 51"/>
    <w:basedOn w:val="88"/>
    <w:qFormat/>
    <w:uiPriority w:val="47"/>
    <w:tblPr>
      <w:tblBorders>
        <w:top w:val="single" w:color="7DDED6" w:themeColor="accent5" w:themeTint="99" w:sz="4" w:space="0"/>
        <w:bottom w:val="single" w:color="7DDED6" w:themeColor="accent5" w:themeTint="99" w:sz="4" w:space="0"/>
        <w:insideH w:val="single" w:color="7DDED6" w:themeColor="accent5"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52">
    <w:name w:val="清单表 2 - 着色 61"/>
    <w:basedOn w:val="88"/>
    <w:qFormat/>
    <w:uiPriority w:val="47"/>
    <w:tblPr>
      <w:tblBorders>
        <w:top w:val="single" w:color="EF939E" w:themeColor="accent6" w:themeTint="99" w:sz="4" w:space="0"/>
        <w:bottom w:val="single" w:color="EF939E" w:themeColor="accent6" w:themeTint="99" w:sz="4" w:space="0"/>
        <w:insideH w:val="single" w:color="EF939E" w:themeColor="accent6" w:themeTint="99" w:sz="4" w:space="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53">
    <w:name w:val="清单表 31"/>
    <w:basedOn w:val="88"/>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54">
    <w:name w:val="清单表 3 - 着色 11"/>
    <w:basedOn w:val="88"/>
    <w:qFormat/>
    <w:uiPriority w:val="48"/>
    <w:tblPr>
      <w:tblBorders>
        <w:top w:val="single" w:color="4874CB" w:themeColor="accent1" w:sz="4" w:space="0"/>
        <w:left w:val="single" w:color="4874CB" w:themeColor="accent1" w:sz="4" w:space="0"/>
        <w:bottom w:val="single" w:color="4874CB" w:themeColor="accent1" w:sz="4" w:space="0"/>
        <w:right w:val="single" w:color="4874CB" w:themeColor="accent1"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4874CB" w:themeFill="accent1"/>
      </w:tcPr>
    </w:tblStylePr>
    <w:tblStylePr w:type="lastRow">
      <w:rPr>
        <w:b/>
        <w:bCs/>
      </w:rPr>
      <w:tcPr>
        <w:tcBorders>
          <w:top w:val="double" w:color="4874CB"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874CB" w:themeColor="accent1" w:sz="4" w:space="0"/>
          <w:right w:val="single" w:color="4874CB" w:themeColor="accent1" w:sz="4" w:space="0"/>
        </w:tcBorders>
      </w:tcPr>
    </w:tblStylePr>
    <w:tblStylePr w:type="band1Horz">
      <w:tcPr>
        <w:tcBorders>
          <w:top w:val="single" w:color="4874CB" w:themeColor="accent1" w:sz="4" w:space="0"/>
          <w:bottom w:val="single" w:color="4874CB"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874CB" w:themeColor="accent1" w:sz="4" w:space="0"/>
          <w:left w:val="nil"/>
        </w:tcBorders>
      </w:tcPr>
    </w:tblStylePr>
    <w:tblStylePr w:type="swCell">
      <w:tcPr>
        <w:tcBorders>
          <w:top w:val="double" w:color="4874CB" w:themeColor="accent1" w:sz="4" w:space="0"/>
          <w:right w:val="nil"/>
        </w:tcBorders>
      </w:tcPr>
    </w:tblStylePr>
  </w:style>
  <w:style w:type="table" w:customStyle="1" w:styleId="355">
    <w:name w:val="清单表 3 - 着色 21"/>
    <w:basedOn w:val="88"/>
    <w:qFormat/>
    <w:uiPriority w:val="48"/>
    <w:tblPr>
      <w:tblBorders>
        <w:top w:val="single" w:color="EE822F" w:themeColor="accent2" w:sz="4" w:space="0"/>
        <w:left w:val="single" w:color="EE822F" w:themeColor="accent2" w:sz="4" w:space="0"/>
        <w:bottom w:val="single" w:color="EE822F" w:themeColor="accent2" w:sz="4" w:space="0"/>
        <w:right w:val="single" w:color="EE822F" w:themeColor="accent2"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EE822F" w:themeFill="accent2"/>
      </w:tcPr>
    </w:tblStylePr>
    <w:tblStylePr w:type="lastRow">
      <w:rPr>
        <w:b/>
        <w:bCs/>
      </w:rPr>
      <w:tcPr>
        <w:tcBorders>
          <w:top w:val="double" w:color="EE822F"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E822F" w:themeColor="accent2" w:sz="4" w:space="0"/>
          <w:right w:val="single" w:color="EE822F" w:themeColor="accent2" w:sz="4" w:space="0"/>
        </w:tcBorders>
      </w:tcPr>
    </w:tblStylePr>
    <w:tblStylePr w:type="band1Horz">
      <w:tcPr>
        <w:tcBorders>
          <w:top w:val="single" w:color="EE822F" w:themeColor="accent2" w:sz="4" w:space="0"/>
          <w:bottom w:val="single" w:color="EE822F"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E822F" w:themeColor="accent2" w:sz="4" w:space="0"/>
          <w:left w:val="nil"/>
        </w:tcBorders>
      </w:tcPr>
    </w:tblStylePr>
    <w:tblStylePr w:type="swCell">
      <w:tcPr>
        <w:tcBorders>
          <w:top w:val="double" w:color="EE822F" w:themeColor="accent2" w:sz="4" w:space="0"/>
          <w:right w:val="nil"/>
        </w:tcBorders>
      </w:tcPr>
    </w:tblStylePr>
  </w:style>
  <w:style w:type="table" w:customStyle="1" w:styleId="356">
    <w:name w:val="清单表 3 - 着色 31"/>
    <w:basedOn w:val="88"/>
    <w:qFormat/>
    <w:uiPriority w:val="48"/>
    <w:tblPr>
      <w:tblBorders>
        <w:top w:val="single" w:color="F2BA02" w:themeColor="accent3" w:sz="4" w:space="0"/>
        <w:left w:val="single" w:color="F2BA02" w:themeColor="accent3" w:sz="4" w:space="0"/>
        <w:bottom w:val="single" w:color="F2BA02" w:themeColor="accent3" w:sz="4" w:space="0"/>
        <w:right w:val="single" w:color="F2BA02" w:themeColor="accent3"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F2BA02" w:themeFill="accent3"/>
      </w:tcPr>
    </w:tblStylePr>
    <w:tblStylePr w:type="lastRow">
      <w:rPr>
        <w:b/>
        <w:bCs/>
      </w:rPr>
      <w:tcPr>
        <w:tcBorders>
          <w:top w:val="double" w:color="F2BA02"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2BA02" w:themeColor="accent3" w:sz="4" w:space="0"/>
          <w:right w:val="single" w:color="F2BA02" w:themeColor="accent3" w:sz="4" w:space="0"/>
        </w:tcBorders>
      </w:tcPr>
    </w:tblStylePr>
    <w:tblStylePr w:type="band1Horz">
      <w:tcPr>
        <w:tcBorders>
          <w:top w:val="single" w:color="F2BA02" w:themeColor="accent3" w:sz="4" w:space="0"/>
          <w:bottom w:val="single" w:color="F2BA02"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2BA02" w:themeColor="accent3" w:sz="4" w:space="0"/>
          <w:left w:val="nil"/>
        </w:tcBorders>
      </w:tcPr>
    </w:tblStylePr>
    <w:tblStylePr w:type="swCell">
      <w:tcPr>
        <w:tcBorders>
          <w:top w:val="double" w:color="F2BA02" w:themeColor="accent3" w:sz="4" w:space="0"/>
          <w:right w:val="nil"/>
        </w:tcBorders>
      </w:tcPr>
    </w:tblStylePr>
  </w:style>
  <w:style w:type="table" w:customStyle="1" w:styleId="357">
    <w:name w:val="清单表 3 - 着色 41"/>
    <w:basedOn w:val="88"/>
    <w:qFormat/>
    <w:uiPriority w:val="48"/>
    <w:tblPr>
      <w:tblBorders>
        <w:top w:val="single" w:color="75BD42" w:themeColor="accent4" w:sz="4" w:space="0"/>
        <w:left w:val="single" w:color="75BD42" w:themeColor="accent4" w:sz="4" w:space="0"/>
        <w:bottom w:val="single" w:color="75BD42" w:themeColor="accent4" w:sz="4" w:space="0"/>
        <w:right w:val="single" w:color="75BD42" w:themeColor="accent4"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75BD42" w:themeFill="accent4"/>
      </w:tcPr>
    </w:tblStylePr>
    <w:tblStylePr w:type="lastRow">
      <w:rPr>
        <w:b/>
        <w:bCs/>
      </w:rPr>
      <w:tcPr>
        <w:tcBorders>
          <w:top w:val="double" w:color="75BD42"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5BD42" w:themeColor="accent4" w:sz="4" w:space="0"/>
          <w:right w:val="single" w:color="75BD42" w:themeColor="accent4" w:sz="4" w:space="0"/>
        </w:tcBorders>
      </w:tcPr>
    </w:tblStylePr>
    <w:tblStylePr w:type="band1Horz">
      <w:tcPr>
        <w:tcBorders>
          <w:top w:val="single" w:color="75BD42" w:themeColor="accent4" w:sz="4" w:space="0"/>
          <w:bottom w:val="single" w:color="75BD42"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5BD42" w:themeColor="accent4" w:sz="4" w:space="0"/>
          <w:left w:val="nil"/>
        </w:tcBorders>
      </w:tcPr>
    </w:tblStylePr>
    <w:tblStylePr w:type="swCell">
      <w:tcPr>
        <w:tcBorders>
          <w:top w:val="double" w:color="75BD42" w:themeColor="accent4" w:sz="4" w:space="0"/>
          <w:right w:val="nil"/>
        </w:tcBorders>
      </w:tcPr>
    </w:tblStylePr>
  </w:style>
  <w:style w:type="table" w:customStyle="1" w:styleId="358">
    <w:name w:val="清单表 3 - 着色 51"/>
    <w:basedOn w:val="88"/>
    <w:qFormat/>
    <w:uiPriority w:val="48"/>
    <w:tblPr>
      <w:tblBorders>
        <w:top w:val="single" w:color="30C0B4" w:themeColor="accent5" w:sz="4" w:space="0"/>
        <w:left w:val="single" w:color="30C0B4" w:themeColor="accent5" w:sz="4" w:space="0"/>
        <w:bottom w:val="single" w:color="30C0B4" w:themeColor="accent5" w:sz="4" w:space="0"/>
        <w:right w:val="single" w:color="30C0B4" w:themeColor="accent5"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30C0B4" w:themeFill="accent5"/>
      </w:tcPr>
    </w:tblStylePr>
    <w:tblStylePr w:type="lastRow">
      <w:rPr>
        <w:b/>
        <w:bCs/>
      </w:rPr>
      <w:tcPr>
        <w:tcBorders>
          <w:top w:val="double" w:color="30C0B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30C0B4" w:themeColor="accent5" w:sz="4" w:space="0"/>
          <w:right w:val="single" w:color="30C0B4" w:themeColor="accent5" w:sz="4" w:space="0"/>
        </w:tcBorders>
      </w:tcPr>
    </w:tblStylePr>
    <w:tblStylePr w:type="band1Horz">
      <w:tcPr>
        <w:tcBorders>
          <w:top w:val="single" w:color="30C0B4" w:themeColor="accent5" w:sz="4" w:space="0"/>
          <w:bottom w:val="single" w:color="30C0B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30C0B4" w:themeColor="accent5" w:sz="4" w:space="0"/>
          <w:left w:val="nil"/>
        </w:tcBorders>
      </w:tcPr>
    </w:tblStylePr>
    <w:tblStylePr w:type="swCell">
      <w:tcPr>
        <w:tcBorders>
          <w:top w:val="double" w:color="30C0B4" w:themeColor="accent5" w:sz="4" w:space="0"/>
          <w:right w:val="nil"/>
        </w:tcBorders>
      </w:tcPr>
    </w:tblStylePr>
  </w:style>
  <w:style w:type="table" w:customStyle="1" w:styleId="359">
    <w:name w:val="清单表 3 - 着色 61"/>
    <w:basedOn w:val="88"/>
    <w:qFormat/>
    <w:uiPriority w:val="48"/>
    <w:tblPr>
      <w:tblBorders>
        <w:top w:val="single" w:color="E54C5E" w:themeColor="accent6" w:sz="4" w:space="0"/>
        <w:left w:val="single" w:color="E54C5E" w:themeColor="accent6" w:sz="4" w:space="0"/>
        <w:bottom w:val="single" w:color="E54C5E" w:themeColor="accent6" w:sz="4" w:space="0"/>
        <w:right w:val="single" w:color="E54C5E" w:themeColor="accent6"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shd w:val="clear" w:color="auto" w:fill="E54C5E" w:themeFill="accent6"/>
      </w:tcPr>
    </w:tblStylePr>
    <w:tblStylePr w:type="lastRow">
      <w:rPr>
        <w:b/>
        <w:bCs/>
      </w:rPr>
      <w:tcPr>
        <w:tcBorders>
          <w:top w:val="double" w:color="E54C5E"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54C5E" w:themeColor="accent6" w:sz="4" w:space="0"/>
          <w:right w:val="single" w:color="E54C5E" w:themeColor="accent6" w:sz="4" w:space="0"/>
        </w:tcBorders>
      </w:tcPr>
    </w:tblStylePr>
    <w:tblStylePr w:type="band1Horz">
      <w:tcPr>
        <w:tcBorders>
          <w:top w:val="single" w:color="E54C5E" w:themeColor="accent6" w:sz="4" w:space="0"/>
          <w:bottom w:val="single" w:color="E54C5E"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54C5E" w:themeColor="accent6" w:sz="4" w:space="0"/>
          <w:left w:val="nil"/>
        </w:tcBorders>
      </w:tcPr>
    </w:tblStylePr>
    <w:tblStylePr w:type="swCell">
      <w:tcPr>
        <w:tcBorders>
          <w:top w:val="double" w:color="E54C5E" w:themeColor="accent6" w:sz="4" w:space="0"/>
          <w:right w:val="nil"/>
        </w:tcBorders>
      </w:tcPr>
    </w:tblStylePr>
  </w:style>
  <w:style w:type="table" w:customStyle="1" w:styleId="360">
    <w:name w:val="清单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1">
    <w:name w:val="清单表 4 - 着色 11"/>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tcBorders>
        <w:shd w:val="clear" w:color="auto" w:fill="4874CB" w:themeFill="accent1"/>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62">
    <w:name w:val="清单表 4 - 着色 21"/>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tcBorders>
        <w:shd w:val="clear" w:color="auto" w:fill="EE822F" w:themeFill="accent2"/>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63">
    <w:name w:val="清单表 4 - 着色 31"/>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tcBorders>
        <w:shd w:val="clear" w:color="auto" w:fill="F2BA02" w:themeFill="accent3"/>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64">
    <w:name w:val="清单表 4 - 着色 41"/>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tcBorders>
        <w:shd w:val="clear" w:color="auto" w:fill="75BD42" w:themeFill="accent4"/>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65">
    <w:name w:val="清单表 4 - 着色 51"/>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tcBorders>
        <w:shd w:val="clear" w:color="auto" w:fill="30C0B4" w:themeFill="accent5"/>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66">
    <w:name w:val="清单表 4 - 着色 61"/>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tcBorders>
        <w:shd w:val="clear" w:color="auto" w:fill="E54C5E" w:themeFill="accent6"/>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67">
    <w:name w:val="清单表 5 深色1"/>
    <w:basedOn w:val="88"/>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CellMar>
        <w:top w:w="0" w:type="dxa"/>
        <w:left w:w="108" w:type="dxa"/>
        <w:bottom w:w="0" w:type="dxa"/>
        <w:right w:w="108" w:type="dxa"/>
      </w:tblCellMar>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8">
    <w:name w:val="清单表 5 深色 - 着色 11"/>
    <w:basedOn w:val="88"/>
    <w:qFormat/>
    <w:uiPriority w:val="50"/>
    <w:rPr>
      <w:color w:val="FFFFFF" w:themeColor="background1"/>
      <w14:textFill>
        <w14:solidFill>
          <w14:schemeClr w14:val="bg1"/>
        </w14:solidFill>
      </w14:textFill>
    </w:rPr>
    <w:tblPr>
      <w:tblBorders>
        <w:top w:val="single" w:color="4874CB" w:themeColor="accent1" w:sz="24" w:space="0"/>
        <w:left w:val="single" w:color="4874CB" w:themeColor="accent1" w:sz="24" w:space="0"/>
        <w:bottom w:val="single" w:color="4874CB" w:themeColor="accent1" w:sz="24" w:space="0"/>
        <w:right w:val="single" w:color="4874CB" w:themeColor="accent1" w:sz="24" w:space="0"/>
      </w:tblBorders>
      <w:tblCellMar>
        <w:top w:w="0" w:type="dxa"/>
        <w:left w:w="108" w:type="dxa"/>
        <w:bottom w:w="0" w:type="dxa"/>
        <w:right w:w="108" w:type="dxa"/>
      </w:tblCellMar>
    </w:tblPr>
    <w:tcPr>
      <w:shd w:val="clear" w:color="auto" w:fill="4874CB"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69">
    <w:name w:val="清单表 5 深色 - 着色 21"/>
    <w:basedOn w:val="88"/>
    <w:qFormat/>
    <w:uiPriority w:val="50"/>
    <w:rPr>
      <w:color w:val="FFFFFF" w:themeColor="background1"/>
      <w14:textFill>
        <w14:solidFill>
          <w14:schemeClr w14:val="bg1"/>
        </w14:solidFill>
      </w14:textFill>
    </w:rPr>
    <w:tblPr>
      <w:tblBorders>
        <w:top w:val="single" w:color="EE822F" w:themeColor="accent2" w:sz="24" w:space="0"/>
        <w:left w:val="single" w:color="EE822F" w:themeColor="accent2" w:sz="24" w:space="0"/>
        <w:bottom w:val="single" w:color="EE822F" w:themeColor="accent2" w:sz="24" w:space="0"/>
        <w:right w:val="single" w:color="EE822F" w:themeColor="accent2" w:sz="24" w:space="0"/>
      </w:tblBorders>
      <w:tblCellMar>
        <w:top w:w="0" w:type="dxa"/>
        <w:left w:w="108" w:type="dxa"/>
        <w:bottom w:w="0" w:type="dxa"/>
        <w:right w:w="108" w:type="dxa"/>
      </w:tblCellMar>
    </w:tblPr>
    <w:tcPr>
      <w:shd w:val="clear" w:color="auto" w:fill="EE822F"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0">
    <w:name w:val="清单表 5 深色 - 着色 31"/>
    <w:basedOn w:val="88"/>
    <w:qFormat/>
    <w:uiPriority w:val="50"/>
    <w:rPr>
      <w:color w:val="FFFFFF" w:themeColor="background1"/>
      <w14:textFill>
        <w14:solidFill>
          <w14:schemeClr w14:val="bg1"/>
        </w14:solidFill>
      </w14:textFill>
    </w:rPr>
    <w:tblPr>
      <w:tblBorders>
        <w:top w:val="single" w:color="F2BA02" w:themeColor="accent3" w:sz="24" w:space="0"/>
        <w:left w:val="single" w:color="F2BA02" w:themeColor="accent3" w:sz="24" w:space="0"/>
        <w:bottom w:val="single" w:color="F2BA02" w:themeColor="accent3" w:sz="24" w:space="0"/>
        <w:right w:val="single" w:color="F2BA02" w:themeColor="accent3" w:sz="24" w:space="0"/>
      </w:tblBorders>
      <w:tblCellMar>
        <w:top w:w="0" w:type="dxa"/>
        <w:left w:w="108" w:type="dxa"/>
        <w:bottom w:w="0" w:type="dxa"/>
        <w:right w:w="108" w:type="dxa"/>
      </w:tblCellMar>
    </w:tblPr>
    <w:tcPr>
      <w:shd w:val="clear" w:color="auto" w:fill="F2BA02"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1">
    <w:name w:val="清单表 5 深色 - 着色 41"/>
    <w:basedOn w:val="88"/>
    <w:qFormat/>
    <w:uiPriority w:val="50"/>
    <w:rPr>
      <w:color w:val="FFFFFF" w:themeColor="background1"/>
      <w14:textFill>
        <w14:solidFill>
          <w14:schemeClr w14:val="bg1"/>
        </w14:solidFill>
      </w14:textFill>
    </w:rPr>
    <w:tblPr>
      <w:tblBorders>
        <w:top w:val="single" w:color="75BD42" w:themeColor="accent4" w:sz="24" w:space="0"/>
        <w:left w:val="single" w:color="75BD42" w:themeColor="accent4" w:sz="24" w:space="0"/>
        <w:bottom w:val="single" w:color="75BD42" w:themeColor="accent4" w:sz="24" w:space="0"/>
        <w:right w:val="single" w:color="75BD42" w:themeColor="accent4" w:sz="24" w:space="0"/>
      </w:tblBorders>
      <w:tblCellMar>
        <w:top w:w="0" w:type="dxa"/>
        <w:left w:w="108" w:type="dxa"/>
        <w:bottom w:w="0" w:type="dxa"/>
        <w:right w:w="108" w:type="dxa"/>
      </w:tblCellMar>
    </w:tblPr>
    <w:tcPr>
      <w:shd w:val="clear" w:color="auto" w:fill="75BD42"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2">
    <w:name w:val="清单表 5 深色 - 着色 51"/>
    <w:basedOn w:val="88"/>
    <w:qFormat/>
    <w:uiPriority w:val="50"/>
    <w:rPr>
      <w:color w:val="FFFFFF" w:themeColor="background1"/>
      <w14:textFill>
        <w14:solidFill>
          <w14:schemeClr w14:val="bg1"/>
        </w14:solidFill>
      </w14:textFill>
    </w:rPr>
    <w:tblPr>
      <w:tblBorders>
        <w:top w:val="single" w:color="30C0B4" w:themeColor="accent5" w:sz="24" w:space="0"/>
        <w:left w:val="single" w:color="30C0B4" w:themeColor="accent5" w:sz="24" w:space="0"/>
        <w:bottom w:val="single" w:color="30C0B4" w:themeColor="accent5" w:sz="24" w:space="0"/>
        <w:right w:val="single" w:color="30C0B4" w:themeColor="accent5" w:sz="24" w:space="0"/>
      </w:tblBorders>
      <w:tblCellMar>
        <w:top w:w="0" w:type="dxa"/>
        <w:left w:w="108" w:type="dxa"/>
        <w:bottom w:w="0" w:type="dxa"/>
        <w:right w:w="108" w:type="dxa"/>
      </w:tblCellMar>
    </w:tblPr>
    <w:tcPr>
      <w:shd w:val="clear" w:color="auto" w:fill="30C0B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3">
    <w:name w:val="清单表 5 深色 - 着色 61"/>
    <w:basedOn w:val="88"/>
    <w:qFormat/>
    <w:uiPriority w:val="50"/>
    <w:rPr>
      <w:color w:val="FFFFFF" w:themeColor="background1"/>
      <w14:textFill>
        <w14:solidFill>
          <w14:schemeClr w14:val="bg1"/>
        </w14:solidFill>
      </w14:textFill>
    </w:rPr>
    <w:tblPr>
      <w:tblBorders>
        <w:top w:val="single" w:color="E54C5E" w:themeColor="accent6" w:sz="24" w:space="0"/>
        <w:left w:val="single" w:color="E54C5E" w:themeColor="accent6" w:sz="24" w:space="0"/>
        <w:bottom w:val="single" w:color="E54C5E" w:themeColor="accent6" w:sz="24" w:space="0"/>
        <w:right w:val="single" w:color="E54C5E" w:themeColor="accent6" w:sz="24" w:space="0"/>
      </w:tblBorders>
      <w:tblCellMar>
        <w:top w:w="0" w:type="dxa"/>
        <w:left w:w="108" w:type="dxa"/>
        <w:bottom w:w="0" w:type="dxa"/>
        <w:right w:w="108" w:type="dxa"/>
      </w:tblCellMar>
    </w:tblPr>
    <w:tcPr>
      <w:shd w:val="clear" w:color="auto" w:fill="E54C5E"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74">
    <w:name w:val="清单表 6 彩色1"/>
    <w:basedOn w:val="88"/>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CellMar>
        <w:top w:w="0" w:type="dxa"/>
        <w:left w:w="108" w:type="dxa"/>
        <w:bottom w:w="0" w:type="dxa"/>
        <w:right w:w="108" w:type="dxa"/>
      </w:tblCellMar>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5">
    <w:name w:val="清单表 6 彩色 - 着色 11"/>
    <w:basedOn w:val="88"/>
    <w:qFormat/>
    <w:uiPriority w:val="51"/>
    <w:rPr>
      <w:color w:val="2E54A1" w:themeColor="accent1" w:themeShade="BF"/>
    </w:rPr>
    <w:tblPr>
      <w:tblBorders>
        <w:top w:val="single" w:color="4874CB" w:themeColor="accent1" w:sz="4" w:space="0"/>
        <w:bottom w:val="single" w:color="4874CB" w:themeColor="accent1" w:sz="4" w:space="0"/>
      </w:tblBorders>
      <w:tblCellMar>
        <w:top w:w="0" w:type="dxa"/>
        <w:left w:w="108" w:type="dxa"/>
        <w:bottom w:w="0" w:type="dxa"/>
        <w:right w:w="108" w:type="dxa"/>
      </w:tblCellMar>
    </w:tblPr>
    <w:tblStylePr w:type="firstRow">
      <w:rPr>
        <w:b/>
        <w:bCs/>
      </w:rPr>
      <w:tcPr>
        <w:tcBorders>
          <w:bottom w:val="single" w:color="4874CB" w:themeColor="accent1" w:sz="4" w:space="0"/>
        </w:tcBorders>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76">
    <w:name w:val="清单表 6 彩色 - 着色 21"/>
    <w:basedOn w:val="88"/>
    <w:qFormat/>
    <w:uiPriority w:val="51"/>
    <w:rPr>
      <w:color w:val="C65F10" w:themeColor="accent2" w:themeShade="BF"/>
    </w:rPr>
    <w:tblPr>
      <w:tblBorders>
        <w:top w:val="single" w:color="EE822F" w:themeColor="accent2" w:sz="4" w:space="0"/>
        <w:bottom w:val="single" w:color="EE822F" w:themeColor="accent2" w:sz="4" w:space="0"/>
      </w:tblBorders>
      <w:tblCellMar>
        <w:top w:w="0" w:type="dxa"/>
        <w:left w:w="108" w:type="dxa"/>
        <w:bottom w:w="0" w:type="dxa"/>
        <w:right w:w="108" w:type="dxa"/>
      </w:tblCellMar>
    </w:tblPr>
    <w:tblStylePr w:type="firstRow">
      <w:rPr>
        <w:b/>
        <w:bCs/>
      </w:rPr>
      <w:tcPr>
        <w:tcBorders>
          <w:bottom w:val="single" w:color="EE822F" w:themeColor="accent2" w:sz="4" w:space="0"/>
        </w:tcBorders>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77">
    <w:name w:val="清单表 6 彩色 - 着色 31"/>
    <w:basedOn w:val="88"/>
    <w:qFormat/>
    <w:uiPriority w:val="51"/>
    <w:rPr>
      <w:color w:val="B68C02" w:themeColor="accent3" w:themeShade="BF"/>
    </w:rPr>
    <w:tblPr>
      <w:tblBorders>
        <w:top w:val="single" w:color="F2BA02" w:themeColor="accent3" w:sz="4" w:space="0"/>
        <w:bottom w:val="single" w:color="F2BA02" w:themeColor="accent3" w:sz="4" w:space="0"/>
      </w:tblBorders>
      <w:tblCellMar>
        <w:top w:w="0" w:type="dxa"/>
        <w:left w:w="108" w:type="dxa"/>
        <w:bottom w:w="0" w:type="dxa"/>
        <w:right w:w="108" w:type="dxa"/>
      </w:tblCellMar>
    </w:tblPr>
    <w:tblStylePr w:type="firstRow">
      <w:rPr>
        <w:b/>
        <w:bCs/>
      </w:rPr>
      <w:tcPr>
        <w:tcBorders>
          <w:bottom w:val="single" w:color="F2BA02" w:themeColor="accent3" w:sz="4" w:space="0"/>
        </w:tcBorders>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78">
    <w:name w:val="清单表 6 彩色 - 着色 41"/>
    <w:basedOn w:val="88"/>
    <w:qFormat/>
    <w:uiPriority w:val="51"/>
    <w:rPr>
      <w:color w:val="588E32" w:themeColor="accent4" w:themeShade="BF"/>
    </w:rPr>
    <w:tblPr>
      <w:tblBorders>
        <w:top w:val="single" w:color="75BD42" w:themeColor="accent4" w:sz="4" w:space="0"/>
        <w:bottom w:val="single" w:color="75BD42" w:themeColor="accent4" w:sz="4" w:space="0"/>
      </w:tblBorders>
      <w:tblCellMar>
        <w:top w:w="0" w:type="dxa"/>
        <w:left w:w="108" w:type="dxa"/>
        <w:bottom w:w="0" w:type="dxa"/>
        <w:right w:w="108" w:type="dxa"/>
      </w:tblCellMar>
    </w:tblPr>
    <w:tblStylePr w:type="firstRow">
      <w:rPr>
        <w:b/>
        <w:bCs/>
      </w:rPr>
      <w:tcPr>
        <w:tcBorders>
          <w:bottom w:val="single" w:color="75BD42" w:themeColor="accent4" w:sz="4" w:space="0"/>
        </w:tcBorders>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379">
    <w:name w:val="清单表 6 彩色 - 着色 51"/>
    <w:basedOn w:val="88"/>
    <w:qFormat/>
    <w:uiPriority w:val="51"/>
    <w:rPr>
      <w:color w:val="249087" w:themeColor="accent5" w:themeShade="BF"/>
    </w:rPr>
    <w:tblPr>
      <w:tblBorders>
        <w:top w:val="single" w:color="30C0B4" w:themeColor="accent5" w:sz="4" w:space="0"/>
        <w:bottom w:val="single" w:color="30C0B4" w:themeColor="accent5" w:sz="4" w:space="0"/>
      </w:tblBorders>
      <w:tblCellMar>
        <w:top w:w="0" w:type="dxa"/>
        <w:left w:w="108" w:type="dxa"/>
        <w:bottom w:w="0" w:type="dxa"/>
        <w:right w:w="108" w:type="dxa"/>
      </w:tblCellMar>
    </w:tblPr>
    <w:tblStylePr w:type="firstRow">
      <w:rPr>
        <w:b/>
        <w:bCs/>
      </w:rPr>
      <w:tcPr>
        <w:tcBorders>
          <w:bottom w:val="single" w:color="30C0B4" w:themeColor="accent5" w:sz="4" w:space="0"/>
        </w:tcBorders>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380">
    <w:name w:val="清单表 6 彩色 - 着色 61"/>
    <w:basedOn w:val="88"/>
    <w:qFormat/>
    <w:uiPriority w:val="51"/>
    <w:rPr>
      <w:color w:val="C81D31" w:themeColor="accent6" w:themeShade="BF"/>
    </w:rPr>
    <w:tblPr>
      <w:tblBorders>
        <w:top w:val="single" w:color="E54C5E" w:themeColor="accent6" w:sz="4" w:space="0"/>
        <w:bottom w:val="single" w:color="E54C5E" w:themeColor="accent6" w:sz="4" w:space="0"/>
      </w:tblBorders>
      <w:tblCellMar>
        <w:top w:w="0" w:type="dxa"/>
        <w:left w:w="108" w:type="dxa"/>
        <w:bottom w:w="0" w:type="dxa"/>
        <w:right w:w="108" w:type="dxa"/>
      </w:tblCellMar>
    </w:tblPr>
    <w:tblStylePr w:type="firstRow">
      <w:rPr>
        <w:b/>
        <w:bCs/>
      </w:rPr>
      <w:tcPr>
        <w:tcBorders>
          <w:bottom w:val="single" w:color="E54C5E" w:themeColor="accent6" w:sz="4" w:space="0"/>
        </w:tcBorders>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381">
    <w:name w:val="清单表 7 彩色1"/>
    <w:basedOn w:val="88"/>
    <w:qFormat/>
    <w:uiPriority w:val="52"/>
    <w:rPr>
      <w:color w:val="000000" w:themeColor="text1"/>
      <w14:textFill>
        <w14:solidFill>
          <w14:schemeClr w14:val="tx1"/>
        </w14:solidFill>
      </w14:textFill>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2">
    <w:name w:val="清单表 7 彩色 - 着色 11"/>
    <w:basedOn w:val="88"/>
    <w:qFormat/>
    <w:uiPriority w:val="52"/>
    <w:rPr>
      <w:color w:val="2E54A1" w:themeColor="accent1"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4874CB"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874CB"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874CB"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874CB" w:themeColor="accent1" w:sz="4" w:space="0"/>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3">
    <w:name w:val="清单表 7 彩色 - 着色 21"/>
    <w:basedOn w:val="88"/>
    <w:qFormat/>
    <w:uiPriority w:val="52"/>
    <w:rPr>
      <w:color w:val="C65F10" w:themeColor="accent2"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E822F"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E822F"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E822F"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E822F" w:themeColor="accent2" w:sz="4" w:space="0"/>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4">
    <w:name w:val="清单表 7 彩色 - 着色 31"/>
    <w:basedOn w:val="88"/>
    <w:qFormat/>
    <w:uiPriority w:val="52"/>
    <w:rPr>
      <w:color w:val="B68C02" w:themeColor="accent3"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F2BA02"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2BA02"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2BA02"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2BA02" w:themeColor="accent3" w:sz="4" w:space="0"/>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5">
    <w:name w:val="清单表 7 彩色 - 着色 41"/>
    <w:basedOn w:val="88"/>
    <w:qFormat/>
    <w:uiPriority w:val="52"/>
    <w:rPr>
      <w:color w:val="588E32" w:themeColor="accent4"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5BD42"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5BD42"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5BD42"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5BD42" w:themeColor="accent4" w:sz="4" w:space="0"/>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6">
    <w:name w:val="清单表 7 彩色 - 着色 51"/>
    <w:basedOn w:val="88"/>
    <w:qFormat/>
    <w:uiPriority w:val="52"/>
    <w:rPr>
      <w:color w:val="249087" w:themeColor="accent5"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30C0B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30C0B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30C0B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30C0B4" w:themeColor="accent5" w:sz="4" w:space="0"/>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7">
    <w:name w:val="清单表 7 彩色 - 着色 61"/>
    <w:basedOn w:val="88"/>
    <w:qFormat/>
    <w:uiPriority w:val="52"/>
    <w:rPr>
      <w:color w:val="C81D31" w:themeColor="accent6" w:themeShade="BF"/>
    </w:rPr>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E54C5E"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54C5E"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54C5E"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54C5E" w:themeColor="accent6" w:sz="4" w:space="0"/>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88">
    <w:name w:val="网格表 1 浅色1"/>
    <w:basedOn w:val="88"/>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89">
    <w:name w:val="网格表 1 浅色 - 着色 11"/>
    <w:basedOn w:val="88"/>
    <w:qFormat/>
    <w:uiPriority w:val="46"/>
    <w:tblPr>
      <w:tblBorders>
        <w:top w:val="single" w:color="B5C7EA" w:themeColor="accent1" w:themeTint="66" w:sz="4" w:space="0"/>
        <w:left w:val="single" w:color="B5C7EA" w:themeColor="accent1" w:themeTint="66" w:sz="4" w:space="0"/>
        <w:bottom w:val="single" w:color="B5C7EA" w:themeColor="accent1" w:themeTint="66" w:sz="4" w:space="0"/>
        <w:right w:val="single" w:color="B5C7EA" w:themeColor="accent1" w:themeTint="66" w:sz="4" w:space="0"/>
        <w:insideH w:val="single" w:color="B5C7EA" w:themeColor="accent1" w:themeTint="66" w:sz="4" w:space="0"/>
        <w:insideV w:val="single" w:color="B5C7EA" w:themeColor="accent1" w:themeTint="66" w:sz="4" w:space="0"/>
      </w:tblBorders>
      <w:tblCellMar>
        <w:top w:w="0" w:type="dxa"/>
        <w:left w:w="108" w:type="dxa"/>
        <w:bottom w:w="0" w:type="dxa"/>
        <w:right w:w="108" w:type="dxa"/>
      </w:tblCellMar>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2" w:space="0"/>
        </w:tcBorders>
      </w:tcPr>
    </w:tblStylePr>
    <w:tblStylePr w:type="firstCol">
      <w:rPr>
        <w:b/>
        <w:bCs/>
      </w:rPr>
    </w:tblStylePr>
    <w:tblStylePr w:type="lastCol">
      <w:rPr>
        <w:b/>
        <w:bCs/>
      </w:rPr>
    </w:tblStylePr>
  </w:style>
  <w:style w:type="table" w:customStyle="1" w:styleId="390">
    <w:name w:val="网格表 1 浅色 - 着色 21"/>
    <w:basedOn w:val="88"/>
    <w:qFormat/>
    <w:uiPriority w:val="46"/>
    <w:tblPr>
      <w:tblBorders>
        <w:top w:val="single" w:color="F8CCAB" w:themeColor="accent2" w:themeTint="66" w:sz="4" w:space="0"/>
        <w:left w:val="single" w:color="F8CCAB" w:themeColor="accent2" w:themeTint="66" w:sz="4" w:space="0"/>
        <w:bottom w:val="single" w:color="F8CCAB" w:themeColor="accent2" w:themeTint="66" w:sz="4" w:space="0"/>
        <w:right w:val="single" w:color="F8CCAB" w:themeColor="accent2" w:themeTint="66" w:sz="4" w:space="0"/>
        <w:insideH w:val="single" w:color="F8CCAB" w:themeColor="accent2" w:themeTint="66" w:sz="4" w:space="0"/>
        <w:insideV w:val="single" w:color="F8CCAB" w:themeColor="accent2" w:themeTint="66" w:sz="4" w:space="0"/>
      </w:tblBorders>
      <w:tblCellMar>
        <w:top w:w="0" w:type="dxa"/>
        <w:left w:w="108" w:type="dxa"/>
        <w:bottom w:w="0" w:type="dxa"/>
        <w:right w:w="108" w:type="dxa"/>
      </w:tblCellMar>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2" w:space="0"/>
        </w:tcBorders>
      </w:tcPr>
    </w:tblStylePr>
    <w:tblStylePr w:type="firstCol">
      <w:rPr>
        <w:b/>
        <w:bCs/>
      </w:rPr>
    </w:tblStylePr>
    <w:tblStylePr w:type="lastCol">
      <w:rPr>
        <w:b/>
        <w:bCs/>
      </w:rPr>
    </w:tblStylePr>
  </w:style>
  <w:style w:type="table" w:customStyle="1" w:styleId="391">
    <w:name w:val="网格表 1 浅色 - 着色 31"/>
    <w:basedOn w:val="88"/>
    <w:qFormat/>
    <w:uiPriority w:val="46"/>
    <w:tblPr>
      <w:tblBorders>
        <w:top w:val="single" w:color="FEE595" w:themeColor="accent3" w:themeTint="66" w:sz="4" w:space="0"/>
        <w:left w:val="single" w:color="FEE595" w:themeColor="accent3" w:themeTint="66" w:sz="4" w:space="0"/>
        <w:bottom w:val="single" w:color="FEE595" w:themeColor="accent3" w:themeTint="66" w:sz="4" w:space="0"/>
        <w:right w:val="single" w:color="FEE595" w:themeColor="accent3" w:themeTint="66" w:sz="4" w:space="0"/>
        <w:insideH w:val="single" w:color="FEE595" w:themeColor="accent3" w:themeTint="66" w:sz="4" w:space="0"/>
        <w:insideV w:val="single" w:color="FEE595" w:themeColor="accent3" w:themeTint="66" w:sz="4" w:space="0"/>
      </w:tblBorders>
      <w:tblCellMar>
        <w:top w:w="0" w:type="dxa"/>
        <w:left w:w="108" w:type="dxa"/>
        <w:bottom w:w="0" w:type="dxa"/>
        <w:right w:w="108" w:type="dxa"/>
      </w:tblCellMar>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2" w:space="0"/>
        </w:tcBorders>
      </w:tcPr>
    </w:tblStylePr>
    <w:tblStylePr w:type="firstCol">
      <w:rPr>
        <w:b/>
        <w:bCs/>
      </w:rPr>
    </w:tblStylePr>
    <w:tblStylePr w:type="lastCol">
      <w:rPr>
        <w:b/>
        <w:bCs/>
      </w:rPr>
    </w:tblStylePr>
  </w:style>
  <w:style w:type="table" w:customStyle="1" w:styleId="392">
    <w:name w:val="网格表 1 浅色 - 着色 41"/>
    <w:basedOn w:val="88"/>
    <w:qFormat/>
    <w:uiPriority w:val="46"/>
    <w:tblPr>
      <w:tblBorders>
        <w:top w:val="single" w:color="C7E4B3" w:themeColor="accent4" w:themeTint="66" w:sz="4" w:space="0"/>
        <w:left w:val="single" w:color="C7E4B3" w:themeColor="accent4" w:themeTint="66" w:sz="4" w:space="0"/>
        <w:bottom w:val="single" w:color="C7E4B3" w:themeColor="accent4" w:themeTint="66" w:sz="4" w:space="0"/>
        <w:right w:val="single" w:color="C7E4B3" w:themeColor="accent4" w:themeTint="66" w:sz="4" w:space="0"/>
        <w:insideH w:val="single" w:color="C7E4B3" w:themeColor="accent4" w:themeTint="66" w:sz="4" w:space="0"/>
        <w:insideV w:val="single" w:color="C7E4B3" w:themeColor="accent4" w:themeTint="66" w:sz="4" w:space="0"/>
      </w:tblBorders>
      <w:tblCellMar>
        <w:top w:w="0" w:type="dxa"/>
        <w:left w:w="108" w:type="dxa"/>
        <w:bottom w:w="0" w:type="dxa"/>
        <w:right w:w="108" w:type="dxa"/>
      </w:tblCellMar>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2" w:space="0"/>
        </w:tcBorders>
      </w:tcPr>
    </w:tblStylePr>
    <w:tblStylePr w:type="firstCol">
      <w:rPr>
        <w:b/>
        <w:bCs/>
      </w:rPr>
    </w:tblStylePr>
    <w:tblStylePr w:type="lastCol">
      <w:rPr>
        <w:b/>
        <w:bCs/>
      </w:rPr>
    </w:tblStylePr>
  </w:style>
  <w:style w:type="table" w:customStyle="1" w:styleId="393">
    <w:name w:val="网格表 1 浅色 - 着色 51"/>
    <w:basedOn w:val="88"/>
    <w:qFormat/>
    <w:uiPriority w:val="46"/>
    <w:tblPr>
      <w:tblBorders>
        <w:top w:val="single" w:color="A8E9E3" w:themeColor="accent5" w:themeTint="66" w:sz="4" w:space="0"/>
        <w:left w:val="single" w:color="A8E9E3" w:themeColor="accent5" w:themeTint="66" w:sz="4" w:space="0"/>
        <w:bottom w:val="single" w:color="A8E9E3" w:themeColor="accent5" w:themeTint="66" w:sz="4" w:space="0"/>
        <w:right w:val="single" w:color="A8E9E3" w:themeColor="accent5" w:themeTint="66" w:sz="4" w:space="0"/>
        <w:insideH w:val="single" w:color="A8E9E3" w:themeColor="accent5" w:themeTint="66" w:sz="4" w:space="0"/>
        <w:insideV w:val="single" w:color="A8E9E3" w:themeColor="accent5" w:themeTint="66" w:sz="4" w:space="0"/>
      </w:tblBorders>
      <w:tblCellMar>
        <w:top w:w="0" w:type="dxa"/>
        <w:left w:w="108" w:type="dxa"/>
        <w:bottom w:w="0" w:type="dxa"/>
        <w:right w:w="108" w:type="dxa"/>
      </w:tblCellMar>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2" w:space="0"/>
        </w:tcBorders>
      </w:tcPr>
    </w:tblStylePr>
    <w:tblStylePr w:type="firstCol">
      <w:rPr>
        <w:b/>
        <w:bCs/>
      </w:rPr>
    </w:tblStylePr>
    <w:tblStylePr w:type="lastCol">
      <w:rPr>
        <w:b/>
        <w:bCs/>
      </w:rPr>
    </w:tblStylePr>
  </w:style>
  <w:style w:type="table" w:customStyle="1" w:styleId="394">
    <w:name w:val="网格表 1 浅色 - 着色 61"/>
    <w:basedOn w:val="88"/>
    <w:qFormat/>
    <w:uiPriority w:val="46"/>
    <w:tblPr>
      <w:tblBorders>
        <w:top w:val="single" w:color="F4B7BE" w:themeColor="accent6" w:themeTint="66" w:sz="4" w:space="0"/>
        <w:left w:val="single" w:color="F4B7BE" w:themeColor="accent6" w:themeTint="66" w:sz="4" w:space="0"/>
        <w:bottom w:val="single" w:color="F4B7BE" w:themeColor="accent6" w:themeTint="66" w:sz="4" w:space="0"/>
        <w:right w:val="single" w:color="F4B7BE" w:themeColor="accent6" w:themeTint="66" w:sz="4" w:space="0"/>
        <w:insideH w:val="single" w:color="F4B7BE" w:themeColor="accent6" w:themeTint="66" w:sz="4" w:space="0"/>
        <w:insideV w:val="single" w:color="F4B7BE" w:themeColor="accent6" w:themeTint="66" w:sz="4" w:space="0"/>
      </w:tblBorders>
      <w:tblCellMar>
        <w:top w:w="0" w:type="dxa"/>
        <w:left w:w="108" w:type="dxa"/>
        <w:bottom w:w="0" w:type="dxa"/>
        <w:right w:w="108" w:type="dxa"/>
      </w:tblCellMar>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2" w:space="0"/>
        </w:tcBorders>
      </w:tcPr>
    </w:tblStylePr>
    <w:tblStylePr w:type="firstCol">
      <w:rPr>
        <w:b/>
        <w:bCs/>
      </w:rPr>
    </w:tblStylePr>
    <w:tblStylePr w:type="lastCol">
      <w:rPr>
        <w:b/>
        <w:bCs/>
      </w:rPr>
    </w:tblStylePr>
  </w:style>
  <w:style w:type="table" w:customStyle="1" w:styleId="395">
    <w:name w:val="网格表 21"/>
    <w:basedOn w:val="88"/>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CellMar>
        <w:top w:w="0" w:type="dxa"/>
        <w:left w:w="108" w:type="dxa"/>
        <w:bottom w:w="0" w:type="dxa"/>
        <w:right w:w="108" w:type="dxa"/>
      </w:tblCellMar>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6">
    <w:name w:val="网格表 2 - 着色 11"/>
    <w:basedOn w:val="88"/>
    <w:qFormat/>
    <w:uiPriority w:val="47"/>
    <w:tblPr>
      <w:tblBorders>
        <w:top w:val="single" w:color="91ABDF" w:themeColor="accent1" w:themeTint="99" w:sz="2" w:space="0"/>
        <w:bottom w:val="single" w:color="91ABDF" w:themeColor="accent1" w:themeTint="99" w:sz="2" w:space="0"/>
        <w:insideH w:val="single" w:color="91ABDF" w:themeColor="accent1" w:themeTint="99" w:sz="2" w:space="0"/>
        <w:insideV w:val="single" w:color="91ABDF" w:themeColor="accent1" w:themeTint="99" w:sz="2" w:space="0"/>
      </w:tblBorders>
      <w:tblCellMar>
        <w:top w:w="0" w:type="dxa"/>
        <w:left w:w="108" w:type="dxa"/>
        <w:bottom w:w="0" w:type="dxa"/>
        <w:right w:w="108" w:type="dxa"/>
      </w:tblCellMar>
    </w:tblPr>
    <w:tblStylePr w:type="firstRow">
      <w:rPr>
        <w:b/>
        <w:bCs/>
      </w:rPr>
      <w:tcPr>
        <w:tcBorders>
          <w:top w:val="nil"/>
          <w:bottom w:val="single" w:color="91ABDF" w:themeColor="accent1" w:themeTint="99" w:sz="12" w:space="0"/>
          <w:insideH w:val="nil"/>
          <w:insideV w:val="nil"/>
        </w:tcBorders>
        <w:shd w:val="clear" w:color="auto" w:fill="FFFFFF" w:themeFill="background1"/>
      </w:tcPr>
    </w:tblStylePr>
    <w:tblStylePr w:type="lastRow">
      <w:rPr>
        <w:b/>
        <w:bCs/>
      </w:rPr>
      <w:tcPr>
        <w:tcBorders>
          <w:top w:val="double" w:color="91ABDF"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397">
    <w:name w:val="网格表 2 - 着色 21"/>
    <w:basedOn w:val="88"/>
    <w:qFormat/>
    <w:uiPriority w:val="47"/>
    <w:tblPr>
      <w:tblBorders>
        <w:top w:val="single" w:color="F4B382" w:themeColor="accent2" w:themeTint="99" w:sz="2" w:space="0"/>
        <w:bottom w:val="single" w:color="F4B382" w:themeColor="accent2" w:themeTint="99" w:sz="2" w:space="0"/>
        <w:insideH w:val="single" w:color="F4B382" w:themeColor="accent2" w:themeTint="99" w:sz="2" w:space="0"/>
        <w:insideV w:val="single" w:color="F4B382" w:themeColor="accent2" w:themeTint="99" w:sz="2" w:space="0"/>
      </w:tblBorders>
      <w:tblCellMar>
        <w:top w:w="0" w:type="dxa"/>
        <w:left w:w="108" w:type="dxa"/>
        <w:bottom w:w="0" w:type="dxa"/>
        <w:right w:w="108" w:type="dxa"/>
      </w:tblCellMar>
    </w:tblPr>
    <w:tblStylePr w:type="firstRow">
      <w:rPr>
        <w:b/>
        <w:bCs/>
      </w:rPr>
      <w:tcPr>
        <w:tcBorders>
          <w:top w:val="nil"/>
          <w:bottom w:val="single" w:color="F4B382" w:themeColor="accent2" w:themeTint="99" w:sz="12" w:space="0"/>
          <w:insideH w:val="nil"/>
          <w:insideV w:val="nil"/>
        </w:tcBorders>
        <w:shd w:val="clear" w:color="auto" w:fill="FFFFFF" w:themeFill="background1"/>
      </w:tcPr>
    </w:tblStylePr>
    <w:tblStylePr w:type="lastRow">
      <w:rPr>
        <w:b/>
        <w:bCs/>
      </w:rPr>
      <w:tcPr>
        <w:tcBorders>
          <w:top w:val="double" w:color="F4B382"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398">
    <w:name w:val="网格表 2 - 着色 31"/>
    <w:basedOn w:val="88"/>
    <w:qFormat/>
    <w:uiPriority w:val="47"/>
    <w:tblPr>
      <w:tblBorders>
        <w:top w:val="single" w:color="FDD960" w:themeColor="accent3" w:themeTint="99" w:sz="2" w:space="0"/>
        <w:bottom w:val="single" w:color="FDD960" w:themeColor="accent3" w:themeTint="99" w:sz="2" w:space="0"/>
        <w:insideH w:val="single" w:color="FDD960" w:themeColor="accent3" w:themeTint="99" w:sz="2" w:space="0"/>
        <w:insideV w:val="single" w:color="FDD960" w:themeColor="accent3" w:themeTint="99" w:sz="2" w:space="0"/>
      </w:tblBorders>
      <w:tblCellMar>
        <w:top w:w="0" w:type="dxa"/>
        <w:left w:w="108" w:type="dxa"/>
        <w:bottom w:w="0" w:type="dxa"/>
        <w:right w:w="108" w:type="dxa"/>
      </w:tblCellMar>
    </w:tblPr>
    <w:tblStylePr w:type="firstRow">
      <w:rPr>
        <w:b/>
        <w:bCs/>
      </w:rPr>
      <w:tcPr>
        <w:tcBorders>
          <w:top w:val="nil"/>
          <w:bottom w:val="single" w:color="FDD960" w:themeColor="accent3" w:themeTint="99" w:sz="12" w:space="0"/>
          <w:insideH w:val="nil"/>
          <w:insideV w:val="nil"/>
        </w:tcBorders>
        <w:shd w:val="clear" w:color="auto" w:fill="FFFFFF" w:themeFill="background1"/>
      </w:tcPr>
    </w:tblStylePr>
    <w:tblStylePr w:type="lastRow">
      <w:rPr>
        <w:b/>
        <w:bCs/>
      </w:rPr>
      <w:tcPr>
        <w:tcBorders>
          <w:top w:val="double" w:color="FDD960"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399">
    <w:name w:val="网格表 2 - 着色 41"/>
    <w:basedOn w:val="88"/>
    <w:qFormat/>
    <w:uiPriority w:val="47"/>
    <w:tblPr>
      <w:tblBorders>
        <w:top w:val="single" w:color="ACD78D" w:themeColor="accent4" w:themeTint="99" w:sz="2" w:space="0"/>
        <w:bottom w:val="single" w:color="ACD78D" w:themeColor="accent4" w:themeTint="99" w:sz="2" w:space="0"/>
        <w:insideH w:val="single" w:color="ACD78D" w:themeColor="accent4" w:themeTint="99" w:sz="2" w:space="0"/>
        <w:insideV w:val="single" w:color="ACD78D" w:themeColor="accent4" w:themeTint="99" w:sz="2" w:space="0"/>
      </w:tblBorders>
      <w:tblCellMar>
        <w:top w:w="0" w:type="dxa"/>
        <w:left w:w="108" w:type="dxa"/>
        <w:bottom w:w="0" w:type="dxa"/>
        <w:right w:w="108" w:type="dxa"/>
      </w:tblCellMar>
    </w:tblPr>
    <w:tblStylePr w:type="firstRow">
      <w:rPr>
        <w:b/>
        <w:bCs/>
      </w:rPr>
      <w:tcPr>
        <w:tcBorders>
          <w:top w:val="nil"/>
          <w:bottom w:val="single" w:color="ACD78D" w:themeColor="accent4" w:themeTint="99" w:sz="12" w:space="0"/>
          <w:insideH w:val="nil"/>
          <w:insideV w:val="nil"/>
        </w:tcBorders>
        <w:shd w:val="clear" w:color="auto" w:fill="FFFFFF" w:themeFill="background1"/>
      </w:tcPr>
    </w:tblStylePr>
    <w:tblStylePr w:type="lastRow">
      <w:rPr>
        <w:b/>
        <w:bCs/>
      </w:rPr>
      <w:tcPr>
        <w:tcBorders>
          <w:top w:val="double" w:color="ACD78D"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00">
    <w:name w:val="网格表 2 - 着色 51"/>
    <w:basedOn w:val="88"/>
    <w:qFormat/>
    <w:uiPriority w:val="47"/>
    <w:tblPr>
      <w:tblBorders>
        <w:top w:val="single" w:color="7DDED6" w:themeColor="accent5" w:themeTint="99" w:sz="2" w:space="0"/>
        <w:bottom w:val="single" w:color="7DDED6" w:themeColor="accent5" w:themeTint="99" w:sz="2" w:space="0"/>
        <w:insideH w:val="single" w:color="7DDED6" w:themeColor="accent5" w:themeTint="99" w:sz="2" w:space="0"/>
        <w:insideV w:val="single" w:color="7DDED6" w:themeColor="accent5" w:themeTint="99" w:sz="2" w:space="0"/>
      </w:tblBorders>
      <w:tblCellMar>
        <w:top w:w="0" w:type="dxa"/>
        <w:left w:w="108" w:type="dxa"/>
        <w:bottom w:w="0" w:type="dxa"/>
        <w:right w:w="108" w:type="dxa"/>
      </w:tblCellMar>
    </w:tblPr>
    <w:tblStylePr w:type="firstRow">
      <w:rPr>
        <w:b/>
        <w:bCs/>
      </w:rPr>
      <w:tcPr>
        <w:tcBorders>
          <w:top w:val="nil"/>
          <w:bottom w:val="single" w:color="7DDED6" w:themeColor="accent5" w:themeTint="99" w:sz="12" w:space="0"/>
          <w:insideH w:val="nil"/>
          <w:insideV w:val="nil"/>
        </w:tcBorders>
        <w:shd w:val="clear" w:color="auto" w:fill="FFFFFF" w:themeFill="background1"/>
      </w:tcPr>
    </w:tblStylePr>
    <w:tblStylePr w:type="lastRow">
      <w:rPr>
        <w:b/>
        <w:bCs/>
      </w:rPr>
      <w:tcPr>
        <w:tcBorders>
          <w:top w:val="double" w:color="7DDED6"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01">
    <w:name w:val="网格表 2 - 着色 61"/>
    <w:basedOn w:val="88"/>
    <w:qFormat/>
    <w:uiPriority w:val="47"/>
    <w:tblPr>
      <w:tblBorders>
        <w:top w:val="single" w:color="EF939E" w:themeColor="accent6" w:themeTint="99" w:sz="2" w:space="0"/>
        <w:bottom w:val="single" w:color="EF939E" w:themeColor="accent6" w:themeTint="99" w:sz="2" w:space="0"/>
        <w:insideH w:val="single" w:color="EF939E" w:themeColor="accent6" w:themeTint="99" w:sz="2" w:space="0"/>
        <w:insideV w:val="single" w:color="EF939E" w:themeColor="accent6" w:themeTint="99" w:sz="2" w:space="0"/>
      </w:tblBorders>
      <w:tblCellMar>
        <w:top w:w="0" w:type="dxa"/>
        <w:left w:w="108" w:type="dxa"/>
        <w:bottom w:w="0" w:type="dxa"/>
        <w:right w:w="108" w:type="dxa"/>
      </w:tblCellMar>
    </w:tblPr>
    <w:tblStylePr w:type="firstRow">
      <w:rPr>
        <w:b/>
        <w:bCs/>
      </w:rPr>
      <w:tcPr>
        <w:tcBorders>
          <w:top w:val="nil"/>
          <w:bottom w:val="single" w:color="EF939E" w:themeColor="accent6" w:themeTint="99" w:sz="12" w:space="0"/>
          <w:insideH w:val="nil"/>
          <w:insideV w:val="nil"/>
        </w:tcBorders>
        <w:shd w:val="clear" w:color="auto" w:fill="FFFFFF" w:themeFill="background1"/>
      </w:tcPr>
    </w:tblStylePr>
    <w:tblStylePr w:type="lastRow">
      <w:rPr>
        <w:b/>
        <w:bCs/>
      </w:rPr>
      <w:tcPr>
        <w:tcBorders>
          <w:top w:val="double" w:color="EF939E"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02">
    <w:name w:val="网格表 31"/>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03">
    <w:name w:val="网格表 3 - 着色 11"/>
    <w:basedOn w:val="88"/>
    <w:qFormat/>
    <w:uiPriority w:val="48"/>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404">
    <w:name w:val="网格表 3 - 着色 21"/>
    <w:basedOn w:val="88"/>
    <w:qFormat/>
    <w:uiPriority w:val="48"/>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405">
    <w:name w:val="网格表 3 - 着色 31"/>
    <w:basedOn w:val="88"/>
    <w:qFormat/>
    <w:uiPriority w:val="48"/>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406">
    <w:name w:val="网格表 3 - 着色 41"/>
    <w:basedOn w:val="88"/>
    <w:qFormat/>
    <w:uiPriority w:val="48"/>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407">
    <w:name w:val="网格表 3 - 着色 51"/>
    <w:basedOn w:val="88"/>
    <w:qFormat/>
    <w:uiPriority w:val="48"/>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408">
    <w:name w:val="网格表 3 - 着色 61"/>
    <w:basedOn w:val="88"/>
    <w:qFormat/>
    <w:uiPriority w:val="48"/>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409">
    <w:name w:val="网格表 41"/>
    <w:basedOn w:val="88"/>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10">
    <w:name w:val="网格表 4 - 着色 11"/>
    <w:basedOn w:val="88"/>
    <w:qFormat/>
    <w:uiPriority w:val="49"/>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4874CB" w:themeColor="accent1" w:sz="4" w:space="0"/>
          <w:left w:val="single" w:color="4874CB" w:themeColor="accent1" w:sz="4" w:space="0"/>
          <w:bottom w:val="single" w:color="4874CB" w:themeColor="accent1" w:sz="4" w:space="0"/>
          <w:right w:val="single" w:color="4874CB" w:themeColor="accent1" w:sz="4" w:space="0"/>
          <w:insideH w:val="nil"/>
          <w:insideV w:val="nil"/>
        </w:tcBorders>
        <w:shd w:val="clear" w:color="auto" w:fill="4874CB" w:themeFill="accent1"/>
      </w:tcPr>
    </w:tblStylePr>
    <w:tblStylePr w:type="lastRow">
      <w:rPr>
        <w:b/>
        <w:bCs/>
      </w:rPr>
      <w:tcPr>
        <w:tcBorders>
          <w:top w:val="double" w:color="4874CB" w:themeColor="accent1"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11">
    <w:name w:val="网格表 4 - 着色 21"/>
    <w:basedOn w:val="88"/>
    <w:qFormat/>
    <w:uiPriority w:val="49"/>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E822F" w:themeColor="accent2" w:sz="4" w:space="0"/>
          <w:left w:val="single" w:color="EE822F" w:themeColor="accent2" w:sz="4" w:space="0"/>
          <w:bottom w:val="single" w:color="EE822F" w:themeColor="accent2" w:sz="4" w:space="0"/>
          <w:right w:val="single" w:color="EE822F" w:themeColor="accent2" w:sz="4" w:space="0"/>
          <w:insideH w:val="nil"/>
          <w:insideV w:val="nil"/>
        </w:tcBorders>
        <w:shd w:val="clear" w:color="auto" w:fill="EE822F" w:themeFill="accent2"/>
      </w:tcPr>
    </w:tblStylePr>
    <w:tblStylePr w:type="lastRow">
      <w:rPr>
        <w:b/>
        <w:bCs/>
      </w:rPr>
      <w:tcPr>
        <w:tcBorders>
          <w:top w:val="double" w:color="EE822F" w:themeColor="accent2"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12">
    <w:name w:val="网格表 4 - 着色 31"/>
    <w:basedOn w:val="88"/>
    <w:qFormat/>
    <w:uiPriority w:val="49"/>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F2BA02" w:themeColor="accent3" w:sz="4" w:space="0"/>
          <w:left w:val="single" w:color="F2BA02" w:themeColor="accent3" w:sz="4" w:space="0"/>
          <w:bottom w:val="single" w:color="F2BA02" w:themeColor="accent3" w:sz="4" w:space="0"/>
          <w:right w:val="single" w:color="F2BA02" w:themeColor="accent3" w:sz="4" w:space="0"/>
          <w:insideH w:val="nil"/>
          <w:insideV w:val="nil"/>
        </w:tcBorders>
        <w:shd w:val="clear" w:color="auto" w:fill="F2BA02" w:themeFill="accent3"/>
      </w:tcPr>
    </w:tblStylePr>
    <w:tblStylePr w:type="lastRow">
      <w:rPr>
        <w:b/>
        <w:bCs/>
      </w:rPr>
      <w:tcPr>
        <w:tcBorders>
          <w:top w:val="double" w:color="F2BA02" w:themeColor="accent3"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13">
    <w:name w:val="网格表 4 - 着色 41"/>
    <w:basedOn w:val="88"/>
    <w:qFormat/>
    <w:uiPriority w:val="49"/>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75BD42" w:themeColor="accent4" w:sz="4" w:space="0"/>
          <w:left w:val="single" w:color="75BD42" w:themeColor="accent4" w:sz="4" w:space="0"/>
          <w:bottom w:val="single" w:color="75BD42" w:themeColor="accent4" w:sz="4" w:space="0"/>
          <w:right w:val="single" w:color="75BD42" w:themeColor="accent4" w:sz="4" w:space="0"/>
          <w:insideH w:val="nil"/>
          <w:insideV w:val="nil"/>
        </w:tcBorders>
        <w:shd w:val="clear" w:color="auto" w:fill="75BD42" w:themeFill="accent4"/>
      </w:tcPr>
    </w:tblStylePr>
    <w:tblStylePr w:type="lastRow">
      <w:rPr>
        <w:b/>
        <w:bCs/>
      </w:rPr>
      <w:tcPr>
        <w:tcBorders>
          <w:top w:val="double" w:color="75BD42" w:themeColor="accent4"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14">
    <w:name w:val="网格表 4 - 着色 51"/>
    <w:basedOn w:val="88"/>
    <w:qFormat/>
    <w:uiPriority w:val="49"/>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30C0B4" w:themeColor="accent5" w:sz="4" w:space="0"/>
          <w:left w:val="single" w:color="30C0B4" w:themeColor="accent5" w:sz="4" w:space="0"/>
          <w:bottom w:val="single" w:color="30C0B4" w:themeColor="accent5" w:sz="4" w:space="0"/>
          <w:right w:val="single" w:color="30C0B4" w:themeColor="accent5" w:sz="4" w:space="0"/>
          <w:insideH w:val="nil"/>
          <w:insideV w:val="nil"/>
        </w:tcBorders>
        <w:shd w:val="clear" w:color="auto" w:fill="30C0B4" w:themeFill="accent5"/>
      </w:tcPr>
    </w:tblStylePr>
    <w:tblStylePr w:type="lastRow">
      <w:rPr>
        <w:b/>
        <w:bCs/>
      </w:rPr>
      <w:tcPr>
        <w:tcBorders>
          <w:top w:val="double" w:color="30C0B4" w:themeColor="accent5"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15">
    <w:name w:val="网格表 4 - 着色 61"/>
    <w:basedOn w:val="88"/>
    <w:qFormat/>
    <w:uiPriority w:val="49"/>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E54C5E" w:themeColor="accent6" w:sz="4" w:space="0"/>
          <w:left w:val="single" w:color="E54C5E" w:themeColor="accent6" w:sz="4" w:space="0"/>
          <w:bottom w:val="single" w:color="E54C5E" w:themeColor="accent6" w:sz="4" w:space="0"/>
          <w:right w:val="single" w:color="E54C5E" w:themeColor="accent6" w:sz="4" w:space="0"/>
          <w:insideH w:val="nil"/>
          <w:insideV w:val="nil"/>
        </w:tcBorders>
        <w:shd w:val="clear" w:color="auto" w:fill="E54C5E" w:themeFill="accent6"/>
      </w:tcPr>
    </w:tblStylePr>
    <w:tblStylePr w:type="lastRow">
      <w:rPr>
        <w:b/>
        <w:bCs/>
      </w:rPr>
      <w:tcPr>
        <w:tcBorders>
          <w:top w:val="double" w:color="E54C5E" w:themeColor="accent6"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16">
    <w:name w:val="网格表 5 深色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17">
    <w:name w:val="网格表 5 深色 - 着色 1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AE3F4"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874CB"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874CB"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874CB"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874CB" w:themeFill="accent1"/>
      </w:tcPr>
    </w:tblStylePr>
    <w:tblStylePr w:type="band1Vert">
      <w:tcPr>
        <w:shd w:val="clear" w:color="auto" w:fill="B5C7EA" w:themeFill="accent1" w:themeFillTint="66"/>
      </w:tcPr>
    </w:tblStylePr>
    <w:tblStylePr w:type="band1Horz">
      <w:tcPr>
        <w:shd w:val="clear" w:color="auto" w:fill="B5C7EA" w:themeFill="accent1" w:themeFillTint="66"/>
      </w:tcPr>
    </w:tblStylePr>
  </w:style>
  <w:style w:type="table" w:customStyle="1" w:styleId="418">
    <w:name w:val="网格表 5 深色 - 着色 2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BE5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E822F"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E822F"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E822F"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E822F" w:themeFill="accent2"/>
      </w:tcPr>
    </w:tblStylePr>
    <w:tblStylePr w:type="band1Vert">
      <w:tcPr>
        <w:shd w:val="clear" w:color="auto" w:fill="F8CCAB" w:themeFill="accent2" w:themeFillTint="66"/>
      </w:tcPr>
    </w:tblStylePr>
    <w:tblStylePr w:type="band1Horz">
      <w:tcPr>
        <w:shd w:val="clear" w:color="auto" w:fill="F8CCAB" w:themeFill="accent2" w:themeFillTint="66"/>
      </w:tcPr>
    </w:tblStylePr>
  </w:style>
  <w:style w:type="table" w:customStyle="1" w:styleId="419">
    <w:name w:val="网格表 5 深色 - 着色 3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2CA"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2BA02"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2BA02"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2BA02"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2BA02" w:themeFill="accent3"/>
      </w:tcPr>
    </w:tblStylePr>
    <w:tblStylePr w:type="band1Vert">
      <w:tcPr>
        <w:shd w:val="clear" w:color="auto" w:fill="FEE595" w:themeFill="accent3" w:themeFillTint="66"/>
      </w:tcPr>
    </w:tblStylePr>
    <w:tblStylePr w:type="band1Horz">
      <w:tcPr>
        <w:shd w:val="clear" w:color="auto" w:fill="FEE595" w:themeFill="accent3" w:themeFillTint="66"/>
      </w:tcPr>
    </w:tblStylePr>
  </w:style>
  <w:style w:type="table" w:customStyle="1" w:styleId="420">
    <w:name w:val="网格表 5 深色 - 着色 4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3F1D9"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5BD42"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5BD42"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5BD42"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5BD42" w:themeFill="accent4"/>
      </w:tcPr>
    </w:tblStylePr>
    <w:tblStylePr w:type="band1Vert">
      <w:tcPr>
        <w:shd w:val="clear" w:color="auto" w:fill="C7E4B3" w:themeFill="accent4" w:themeFillTint="66"/>
      </w:tcPr>
    </w:tblStylePr>
    <w:tblStylePr w:type="band1Horz">
      <w:tcPr>
        <w:shd w:val="clear" w:color="auto" w:fill="C7E4B3" w:themeFill="accent4" w:themeFillTint="66"/>
      </w:tcPr>
    </w:tblStylePr>
  </w:style>
  <w:style w:type="table" w:customStyle="1" w:styleId="421">
    <w:name w:val="网格表 5 深色 - 着色 5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D3F4F1"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30C0B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30C0B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30C0B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30C0B4" w:themeFill="accent5"/>
      </w:tcPr>
    </w:tblStylePr>
    <w:tblStylePr w:type="band1Vert">
      <w:tcPr>
        <w:shd w:val="clear" w:color="auto" w:fill="A8E9E3" w:themeFill="accent5" w:themeFillTint="66"/>
      </w:tcPr>
    </w:tblStylePr>
    <w:tblStylePr w:type="band1Horz">
      <w:tcPr>
        <w:shd w:val="clear" w:color="auto" w:fill="A8E9E3" w:themeFill="accent5" w:themeFillTint="66"/>
      </w:tcPr>
    </w:tblStylePr>
  </w:style>
  <w:style w:type="table" w:customStyle="1" w:styleId="422">
    <w:name w:val="网格表 5 深色 - 着色 61"/>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9DBDE"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54C5E"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54C5E"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54C5E"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54C5E" w:themeFill="accent6"/>
      </w:tcPr>
    </w:tblStylePr>
    <w:tblStylePr w:type="band1Vert">
      <w:tcPr>
        <w:shd w:val="clear" w:color="auto" w:fill="F4B7BE" w:themeFill="accent6" w:themeFillTint="66"/>
      </w:tcPr>
    </w:tblStylePr>
    <w:tblStylePr w:type="band1Horz">
      <w:tcPr>
        <w:shd w:val="clear" w:color="auto" w:fill="F4B7BE" w:themeFill="accent6" w:themeFillTint="66"/>
      </w:tcPr>
    </w:tblStylePr>
  </w:style>
  <w:style w:type="table" w:customStyle="1" w:styleId="423">
    <w:name w:val="网格表 6 彩色1"/>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24">
    <w:name w:val="网格表 6 彩色 - 着色 11"/>
    <w:basedOn w:val="88"/>
    <w:qFormat/>
    <w:uiPriority w:val="51"/>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
    <w:tblStylePr w:type="firstRow">
      <w:rPr>
        <w:b/>
        <w:bCs/>
      </w:rPr>
      <w:tcPr>
        <w:tcBorders>
          <w:bottom w:val="single" w:color="91ABDF" w:themeColor="accent1" w:themeTint="99" w:sz="12" w:space="0"/>
        </w:tcBorders>
      </w:tcPr>
    </w:tblStylePr>
    <w:tblStylePr w:type="lastRow">
      <w:rPr>
        <w:b/>
        <w:bCs/>
      </w:rPr>
      <w:tcPr>
        <w:tcBorders>
          <w:top w:val="double" w:color="91ABDF" w:themeColor="accent1" w:themeTint="99" w:sz="4" w:space="0"/>
        </w:tcBorders>
      </w:tcPr>
    </w:tblStylePr>
    <w:tblStylePr w:type="firstCol">
      <w:rPr>
        <w:b/>
        <w:bCs/>
      </w:rPr>
    </w:tblStylePr>
    <w:tblStylePr w:type="lastCol">
      <w:rPr>
        <w:b/>
        <w:bCs/>
      </w:rPr>
    </w:tblStylePr>
    <w:tblStylePr w:type="band1Vert">
      <w:tcPr>
        <w:shd w:val="clear" w:color="auto" w:fill="DAE3F4" w:themeFill="accent1" w:themeFillTint="33"/>
      </w:tcPr>
    </w:tblStylePr>
    <w:tblStylePr w:type="band1Horz">
      <w:tcPr>
        <w:shd w:val="clear" w:color="auto" w:fill="DAE3F4" w:themeFill="accent1" w:themeFillTint="33"/>
      </w:tcPr>
    </w:tblStylePr>
  </w:style>
  <w:style w:type="table" w:customStyle="1" w:styleId="425">
    <w:name w:val="网格表 6 彩色 - 着色 21"/>
    <w:basedOn w:val="88"/>
    <w:qFormat/>
    <w:uiPriority w:val="51"/>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CellMar>
        <w:top w:w="0" w:type="dxa"/>
        <w:left w:w="108" w:type="dxa"/>
        <w:bottom w:w="0" w:type="dxa"/>
        <w:right w:w="108" w:type="dxa"/>
      </w:tblCellMar>
    </w:tblPr>
    <w:tblStylePr w:type="firstRow">
      <w:rPr>
        <w:b/>
        <w:bCs/>
      </w:rPr>
      <w:tcPr>
        <w:tcBorders>
          <w:bottom w:val="single" w:color="F4B382" w:themeColor="accent2" w:themeTint="99" w:sz="12" w:space="0"/>
        </w:tcBorders>
      </w:tcPr>
    </w:tblStylePr>
    <w:tblStylePr w:type="lastRow">
      <w:rPr>
        <w:b/>
        <w:bCs/>
      </w:rPr>
      <w:tcPr>
        <w:tcBorders>
          <w:top w:val="double" w:color="F4B382" w:themeColor="accent2" w:themeTint="99" w:sz="4" w:space="0"/>
        </w:tcBorders>
      </w:tcPr>
    </w:tblStylePr>
    <w:tblStylePr w:type="firstCol">
      <w:rPr>
        <w:b/>
        <w:bCs/>
      </w:rPr>
    </w:tblStylePr>
    <w:tblStylePr w:type="lastCol">
      <w:rPr>
        <w:b/>
        <w:bCs/>
      </w:rPr>
    </w:tblStylePr>
    <w:tblStylePr w:type="band1Vert">
      <w:tcPr>
        <w:shd w:val="clear" w:color="auto" w:fill="FBE5D5" w:themeFill="accent2" w:themeFillTint="33"/>
      </w:tcPr>
    </w:tblStylePr>
    <w:tblStylePr w:type="band1Horz">
      <w:tcPr>
        <w:shd w:val="clear" w:color="auto" w:fill="FBE5D5" w:themeFill="accent2" w:themeFillTint="33"/>
      </w:tcPr>
    </w:tblStylePr>
  </w:style>
  <w:style w:type="table" w:customStyle="1" w:styleId="426">
    <w:name w:val="网格表 6 彩色 - 着色 31"/>
    <w:basedOn w:val="88"/>
    <w:qFormat/>
    <w:uiPriority w:val="51"/>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CellMar>
        <w:top w:w="0" w:type="dxa"/>
        <w:left w:w="108" w:type="dxa"/>
        <w:bottom w:w="0" w:type="dxa"/>
        <w:right w:w="108" w:type="dxa"/>
      </w:tblCellMar>
    </w:tblPr>
    <w:tblStylePr w:type="firstRow">
      <w:rPr>
        <w:b/>
        <w:bCs/>
      </w:rPr>
      <w:tcPr>
        <w:tcBorders>
          <w:bottom w:val="single" w:color="FDD960" w:themeColor="accent3" w:themeTint="99" w:sz="12" w:space="0"/>
        </w:tcBorders>
      </w:tcPr>
    </w:tblStylePr>
    <w:tblStylePr w:type="lastRow">
      <w:rPr>
        <w:b/>
        <w:bCs/>
      </w:rPr>
      <w:tcPr>
        <w:tcBorders>
          <w:top w:val="double" w:color="FDD960" w:themeColor="accent3" w:themeTint="99" w:sz="4" w:space="0"/>
        </w:tcBorders>
      </w:tcPr>
    </w:tblStylePr>
    <w:tblStylePr w:type="firstCol">
      <w:rPr>
        <w:b/>
        <w:bCs/>
      </w:rPr>
    </w:tblStylePr>
    <w:tblStylePr w:type="lastCol">
      <w:rPr>
        <w:b/>
        <w:bCs/>
      </w:rPr>
    </w:tblStylePr>
    <w:tblStylePr w:type="band1Vert">
      <w:tcPr>
        <w:shd w:val="clear" w:color="auto" w:fill="FEF2CA" w:themeFill="accent3" w:themeFillTint="33"/>
      </w:tcPr>
    </w:tblStylePr>
    <w:tblStylePr w:type="band1Horz">
      <w:tcPr>
        <w:shd w:val="clear" w:color="auto" w:fill="FEF2CA" w:themeFill="accent3" w:themeFillTint="33"/>
      </w:tcPr>
    </w:tblStylePr>
  </w:style>
  <w:style w:type="table" w:customStyle="1" w:styleId="427">
    <w:name w:val="网格表 6 彩色 - 着色 41"/>
    <w:basedOn w:val="88"/>
    <w:qFormat/>
    <w:uiPriority w:val="51"/>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CellMar>
        <w:top w:w="0" w:type="dxa"/>
        <w:left w:w="108" w:type="dxa"/>
        <w:bottom w:w="0" w:type="dxa"/>
        <w:right w:w="108" w:type="dxa"/>
      </w:tblCellMar>
    </w:tblPr>
    <w:tblStylePr w:type="firstRow">
      <w:rPr>
        <w:b/>
        <w:bCs/>
      </w:rPr>
      <w:tcPr>
        <w:tcBorders>
          <w:bottom w:val="single" w:color="ACD78D" w:themeColor="accent4" w:themeTint="99" w:sz="12" w:space="0"/>
        </w:tcBorders>
      </w:tcPr>
    </w:tblStylePr>
    <w:tblStylePr w:type="lastRow">
      <w:rPr>
        <w:b/>
        <w:bCs/>
      </w:rPr>
      <w:tcPr>
        <w:tcBorders>
          <w:top w:val="double" w:color="ACD78D" w:themeColor="accent4" w:themeTint="99" w:sz="4" w:space="0"/>
        </w:tcBorders>
      </w:tcPr>
    </w:tblStylePr>
    <w:tblStylePr w:type="firstCol">
      <w:rPr>
        <w:b/>
        <w:bCs/>
      </w:rPr>
    </w:tblStylePr>
    <w:tblStylePr w:type="lastCol">
      <w:rPr>
        <w:b/>
        <w:bCs/>
      </w:rPr>
    </w:tblStylePr>
    <w:tblStylePr w:type="band1Vert">
      <w:tcPr>
        <w:shd w:val="clear" w:color="auto" w:fill="E3F1D9" w:themeFill="accent4" w:themeFillTint="33"/>
      </w:tcPr>
    </w:tblStylePr>
    <w:tblStylePr w:type="band1Horz">
      <w:tcPr>
        <w:shd w:val="clear" w:color="auto" w:fill="E3F1D9" w:themeFill="accent4" w:themeFillTint="33"/>
      </w:tcPr>
    </w:tblStylePr>
  </w:style>
  <w:style w:type="table" w:customStyle="1" w:styleId="428">
    <w:name w:val="网格表 6 彩色 - 着色 51"/>
    <w:basedOn w:val="88"/>
    <w:qFormat/>
    <w:uiPriority w:val="51"/>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
    <w:tblStylePr w:type="firstRow">
      <w:rPr>
        <w:b/>
        <w:bCs/>
      </w:rPr>
      <w:tcPr>
        <w:tcBorders>
          <w:bottom w:val="single" w:color="7DDED6" w:themeColor="accent5" w:themeTint="99" w:sz="12" w:space="0"/>
        </w:tcBorders>
      </w:tcPr>
    </w:tblStylePr>
    <w:tblStylePr w:type="lastRow">
      <w:rPr>
        <w:b/>
        <w:bCs/>
      </w:rPr>
      <w:tcPr>
        <w:tcBorders>
          <w:top w:val="double" w:color="7DDED6" w:themeColor="accent5" w:themeTint="99" w:sz="4" w:space="0"/>
        </w:tcBorders>
      </w:tcPr>
    </w:tblStylePr>
    <w:tblStylePr w:type="firstCol">
      <w:rPr>
        <w:b/>
        <w:bCs/>
      </w:rPr>
    </w:tblStylePr>
    <w:tblStylePr w:type="lastCol">
      <w:rPr>
        <w:b/>
        <w:bCs/>
      </w:rPr>
    </w:tblStylePr>
    <w:tblStylePr w:type="band1Vert">
      <w:tcPr>
        <w:shd w:val="clear" w:color="auto" w:fill="D3F4F1" w:themeFill="accent5" w:themeFillTint="33"/>
      </w:tcPr>
    </w:tblStylePr>
    <w:tblStylePr w:type="band1Horz">
      <w:tcPr>
        <w:shd w:val="clear" w:color="auto" w:fill="D3F4F1" w:themeFill="accent5" w:themeFillTint="33"/>
      </w:tcPr>
    </w:tblStylePr>
  </w:style>
  <w:style w:type="table" w:customStyle="1" w:styleId="429">
    <w:name w:val="网格表 6 彩色 - 着色 61"/>
    <w:basedOn w:val="88"/>
    <w:qFormat/>
    <w:uiPriority w:val="51"/>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CellMar>
        <w:top w:w="0" w:type="dxa"/>
        <w:left w:w="108" w:type="dxa"/>
        <w:bottom w:w="0" w:type="dxa"/>
        <w:right w:w="108" w:type="dxa"/>
      </w:tblCellMar>
    </w:tblPr>
    <w:tblStylePr w:type="firstRow">
      <w:rPr>
        <w:b/>
        <w:bCs/>
      </w:rPr>
      <w:tcPr>
        <w:tcBorders>
          <w:bottom w:val="single" w:color="EF939E" w:themeColor="accent6" w:themeTint="99" w:sz="12" w:space="0"/>
        </w:tcBorders>
      </w:tcPr>
    </w:tblStylePr>
    <w:tblStylePr w:type="lastRow">
      <w:rPr>
        <w:b/>
        <w:bCs/>
      </w:rPr>
      <w:tcPr>
        <w:tcBorders>
          <w:top w:val="double" w:color="EF939E" w:themeColor="accent6" w:themeTint="99" w:sz="4" w:space="0"/>
        </w:tcBorders>
      </w:tcPr>
    </w:tblStylePr>
    <w:tblStylePr w:type="firstCol">
      <w:rPr>
        <w:b/>
        <w:bCs/>
      </w:rPr>
    </w:tblStylePr>
    <w:tblStylePr w:type="lastCol">
      <w:rPr>
        <w:b/>
        <w:bCs/>
      </w:rPr>
    </w:tblStylePr>
    <w:tblStylePr w:type="band1Vert">
      <w:tcPr>
        <w:shd w:val="clear" w:color="auto" w:fill="F9DBDE" w:themeFill="accent6" w:themeFillTint="33"/>
      </w:tcPr>
    </w:tblStylePr>
    <w:tblStylePr w:type="band1Horz">
      <w:tcPr>
        <w:shd w:val="clear" w:color="auto" w:fill="F9DBDE" w:themeFill="accent6" w:themeFillTint="33"/>
      </w:tcPr>
    </w:tblStylePr>
  </w:style>
  <w:style w:type="table" w:customStyle="1" w:styleId="430">
    <w:name w:val="网格表 7 彩色1"/>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1">
    <w:name w:val="网格表 7 彩色 - 着色 11"/>
    <w:basedOn w:val="88"/>
    <w:qFormat/>
    <w:uiPriority w:val="52"/>
    <w:rPr>
      <w:color w:val="2E54A1" w:themeColor="accent1" w:themeShade="BF"/>
    </w:rPr>
    <w:tblPr>
      <w:tblBorders>
        <w:top w:val="single" w:color="91ABDF" w:themeColor="accent1" w:themeTint="99" w:sz="4" w:space="0"/>
        <w:left w:val="single" w:color="91ABDF" w:themeColor="accent1" w:themeTint="99" w:sz="4" w:space="0"/>
        <w:bottom w:val="single" w:color="91ABDF" w:themeColor="accent1" w:themeTint="99" w:sz="4" w:space="0"/>
        <w:right w:val="single" w:color="91ABDF" w:themeColor="accent1" w:themeTint="99" w:sz="4" w:space="0"/>
        <w:insideH w:val="single" w:color="91ABDF" w:themeColor="accent1" w:themeTint="99" w:sz="4" w:space="0"/>
        <w:insideV w:val="single" w:color="91ABDF" w:themeColor="accent1"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AE3F4" w:themeFill="accent1" w:themeFillTint="33"/>
      </w:tcPr>
    </w:tblStylePr>
    <w:tblStylePr w:type="band1Horz">
      <w:tcPr>
        <w:shd w:val="clear" w:color="auto" w:fill="DAE3F4" w:themeFill="accent1" w:themeFillTint="33"/>
      </w:tcPr>
    </w:tblStylePr>
    <w:tblStylePr w:type="neCell">
      <w:tcPr>
        <w:tcBorders>
          <w:bottom w:val="single" w:color="91ABDF" w:themeColor="accent1" w:themeTint="99" w:sz="4" w:space="0"/>
        </w:tcBorders>
      </w:tcPr>
    </w:tblStylePr>
    <w:tblStylePr w:type="nwCell">
      <w:tcPr>
        <w:tcBorders>
          <w:bottom w:val="single" w:color="91ABDF" w:themeColor="accent1" w:themeTint="99" w:sz="4" w:space="0"/>
        </w:tcBorders>
      </w:tcPr>
    </w:tblStylePr>
    <w:tblStylePr w:type="seCell">
      <w:tcPr>
        <w:tcBorders>
          <w:top w:val="single" w:color="91ABDF" w:themeColor="accent1" w:themeTint="99" w:sz="4" w:space="0"/>
        </w:tcBorders>
      </w:tcPr>
    </w:tblStylePr>
    <w:tblStylePr w:type="swCell">
      <w:tcPr>
        <w:tcBorders>
          <w:top w:val="single" w:color="91ABDF" w:themeColor="accent1" w:themeTint="99" w:sz="4" w:space="0"/>
        </w:tcBorders>
      </w:tcPr>
    </w:tblStylePr>
  </w:style>
  <w:style w:type="table" w:customStyle="1" w:styleId="432">
    <w:name w:val="网格表 7 彩色 - 着色 21"/>
    <w:basedOn w:val="88"/>
    <w:qFormat/>
    <w:uiPriority w:val="52"/>
    <w:rPr>
      <w:color w:val="C65F10" w:themeColor="accent2" w:themeShade="BF"/>
    </w:rPr>
    <w:tblPr>
      <w:tblBorders>
        <w:top w:val="single" w:color="F4B382" w:themeColor="accent2" w:themeTint="99" w:sz="4" w:space="0"/>
        <w:left w:val="single" w:color="F4B382" w:themeColor="accent2" w:themeTint="99" w:sz="4" w:space="0"/>
        <w:bottom w:val="single" w:color="F4B382" w:themeColor="accent2" w:themeTint="99" w:sz="4" w:space="0"/>
        <w:right w:val="single" w:color="F4B382" w:themeColor="accent2" w:themeTint="99" w:sz="4" w:space="0"/>
        <w:insideH w:val="single" w:color="F4B382" w:themeColor="accent2" w:themeTint="99" w:sz="4" w:space="0"/>
        <w:insideV w:val="single" w:color="F4B382" w:themeColor="accent2"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5D5" w:themeFill="accent2" w:themeFillTint="33"/>
      </w:tcPr>
    </w:tblStylePr>
    <w:tblStylePr w:type="band1Horz">
      <w:tcPr>
        <w:shd w:val="clear" w:color="auto" w:fill="FBE5D5" w:themeFill="accent2" w:themeFillTint="33"/>
      </w:tcPr>
    </w:tblStylePr>
    <w:tblStylePr w:type="neCell">
      <w:tcPr>
        <w:tcBorders>
          <w:bottom w:val="single" w:color="F4B382" w:themeColor="accent2" w:themeTint="99" w:sz="4" w:space="0"/>
        </w:tcBorders>
      </w:tcPr>
    </w:tblStylePr>
    <w:tblStylePr w:type="nwCell">
      <w:tcPr>
        <w:tcBorders>
          <w:bottom w:val="single" w:color="F4B382" w:themeColor="accent2" w:themeTint="99" w:sz="4" w:space="0"/>
        </w:tcBorders>
      </w:tcPr>
    </w:tblStylePr>
    <w:tblStylePr w:type="seCell">
      <w:tcPr>
        <w:tcBorders>
          <w:top w:val="single" w:color="F4B382" w:themeColor="accent2" w:themeTint="99" w:sz="4" w:space="0"/>
        </w:tcBorders>
      </w:tcPr>
    </w:tblStylePr>
    <w:tblStylePr w:type="swCell">
      <w:tcPr>
        <w:tcBorders>
          <w:top w:val="single" w:color="F4B382" w:themeColor="accent2" w:themeTint="99" w:sz="4" w:space="0"/>
        </w:tcBorders>
      </w:tcPr>
    </w:tblStylePr>
  </w:style>
  <w:style w:type="table" w:customStyle="1" w:styleId="433">
    <w:name w:val="网格表 7 彩色 - 着色 31"/>
    <w:basedOn w:val="88"/>
    <w:qFormat/>
    <w:uiPriority w:val="52"/>
    <w:rPr>
      <w:color w:val="B68C02" w:themeColor="accent3" w:themeShade="BF"/>
    </w:rPr>
    <w:tblPr>
      <w:tblBorders>
        <w:top w:val="single" w:color="FDD960" w:themeColor="accent3" w:themeTint="99" w:sz="4" w:space="0"/>
        <w:left w:val="single" w:color="FDD960" w:themeColor="accent3" w:themeTint="99" w:sz="4" w:space="0"/>
        <w:bottom w:val="single" w:color="FDD960" w:themeColor="accent3" w:themeTint="99" w:sz="4" w:space="0"/>
        <w:right w:val="single" w:color="FDD960" w:themeColor="accent3" w:themeTint="99" w:sz="4" w:space="0"/>
        <w:insideH w:val="single" w:color="FDD960" w:themeColor="accent3" w:themeTint="99" w:sz="4" w:space="0"/>
        <w:insideV w:val="single" w:color="FDD960" w:themeColor="accent3"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A" w:themeFill="accent3" w:themeFillTint="33"/>
      </w:tcPr>
    </w:tblStylePr>
    <w:tblStylePr w:type="band1Horz">
      <w:tcPr>
        <w:shd w:val="clear" w:color="auto" w:fill="FEF2CA" w:themeFill="accent3" w:themeFillTint="33"/>
      </w:tcPr>
    </w:tblStylePr>
    <w:tblStylePr w:type="neCell">
      <w:tcPr>
        <w:tcBorders>
          <w:bottom w:val="single" w:color="FDD960" w:themeColor="accent3" w:themeTint="99" w:sz="4" w:space="0"/>
        </w:tcBorders>
      </w:tcPr>
    </w:tblStylePr>
    <w:tblStylePr w:type="nwCell">
      <w:tcPr>
        <w:tcBorders>
          <w:bottom w:val="single" w:color="FDD960" w:themeColor="accent3" w:themeTint="99" w:sz="4" w:space="0"/>
        </w:tcBorders>
      </w:tcPr>
    </w:tblStylePr>
    <w:tblStylePr w:type="seCell">
      <w:tcPr>
        <w:tcBorders>
          <w:top w:val="single" w:color="FDD960" w:themeColor="accent3" w:themeTint="99" w:sz="4" w:space="0"/>
        </w:tcBorders>
      </w:tcPr>
    </w:tblStylePr>
    <w:tblStylePr w:type="swCell">
      <w:tcPr>
        <w:tcBorders>
          <w:top w:val="single" w:color="FDD960" w:themeColor="accent3" w:themeTint="99" w:sz="4" w:space="0"/>
        </w:tcBorders>
      </w:tcPr>
    </w:tblStylePr>
  </w:style>
  <w:style w:type="table" w:customStyle="1" w:styleId="434">
    <w:name w:val="网格表 7 彩色 - 着色 41"/>
    <w:basedOn w:val="88"/>
    <w:qFormat/>
    <w:uiPriority w:val="52"/>
    <w:rPr>
      <w:color w:val="588E32" w:themeColor="accent4" w:themeShade="BF"/>
    </w:rPr>
    <w:tblPr>
      <w:tblBorders>
        <w:top w:val="single" w:color="ACD78D" w:themeColor="accent4" w:themeTint="99" w:sz="4" w:space="0"/>
        <w:left w:val="single" w:color="ACD78D" w:themeColor="accent4" w:themeTint="99" w:sz="4" w:space="0"/>
        <w:bottom w:val="single" w:color="ACD78D" w:themeColor="accent4" w:themeTint="99" w:sz="4" w:space="0"/>
        <w:right w:val="single" w:color="ACD78D" w:themeColor="accent4" w:themeTint="99" w:sz="4" w:space="0"/>
        <w:insideH w:val="single" w:color="ACD78D" w:themeColor="accent4" w:themeTint="99" w:sz="4" w:space="0"/>
        <w:insideV w:val="single" w:color="ACD78D" w:themeColor="accent4"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3F1D9" w:themeFill="accent4" w:themeFillTint="33"/>
      </w:tcPr>
    </w:tblStylePr>
    <w:tblStylePr w:type="band1Horz">
      <w:tcPr>
        <w:shd w:val="clear" w:color="auto" w:fill="E3F1D9" w:themeFill="accent4" w:themeFillTint="33"/>
      </w:tcPr>
    </w:tblStylePr>
    <w:tblStylePr w:type="neCell">
      <w:tcPr>
        <w:tcBorders>
          <w:bottom w:val="single" w:color="ACD78D" w:themeColor="accent4" w:themeTint="99" w:sz="4" w:space="0"/>
        </w:tcBorders>
      </w:tcPr>
    </w:tblStylePr>
    <w:tblStylePr w:type="nwCell">
      <w:tcPr>
        <w:tcBorders>
          <w:bottom w:val="single" w:color="ACD78D" w:themeColor="accent4" w:themeTint="99" w:sz="4" w:space="0"/>
        </w:tcBorders>
      </w:tcPr>
    </w:tblStylePr>
    <w:tblStylePr w:type="seCell">
      <w:tcPr>
        <w:tcBorders>
          <w:top w:val="single" w:color="ACD78D" w:themeColor="accent4" w:themeTint="99" w:sz="4" w:space="0"/>
        </w:tcBorders>
      </w:tcPr>
    </w:tblStylePr>
    <w:tblStylePr w:type="swCell">
      <w:tcPr>
        <w:tcBorders>
          <w:top w:val="single" w:color="ACD78D" w:themeColor="accent4" w:themeTint="99" w:sz="4" w:space="0"/>
        </w:tcBorders>
      </w:tcPr>
    </w:tblStylePr>
  </w:style>
  <w:style w:type="table" w:customStyle="1" w:styleId="435">
    <w:name w:val="网格表 7 彩色 - 着色 51"/>
    <w:basedOn w:val="88"/>
    <w:qFormat/>
    <w:uiPriority w:val="52"/>
    <w:rPr>
      <w:color w:val="249087" w:themeColor="accent5" w:themeShade="BF"/>
    </w:rPr>
    <w:tblPr>
      <w:tblBorders>
        <w:top w:val="single" w:color="7DDED6" w:themeColor="accent5" w:themeTint="99" w:sz="4" w:space="0"/>
        <w:left w:val="single" w:color="7DDED6" w:themeColor="accent5" w:themeTint="99" w:sz="4" w:space="0"/>
        <w:bottom w:val="single" w:color="7DDED6" w:themeColor="accent5" w:themeTint="99" w:sz="4" w:space="0"/>
        <w:right w:val="single" w:color="7DDED6" w:themeColor="accent5" w:themeTint="99" w:sz="4" w:space="0"/>
        <w:insideH w:val="single" w:color="7DDED6" w:themeColor="accent5" w:themeTint="99" w:sz="4" w:space="0"/>
        <w:insideV w:val="single" w:color="7DDED6" w:themeColor="accent5"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3F4F1" w:themeFill="accent5" w:themeFillTint="33"/>
      </w:tcPr>
    </w:tblStylePr>
    <w:tblStylePr w:type="band1Horz">
      <w:tcPr>
        <w:shd w:val="clear" w:color="auto" w:fill="D3F4F1" w:themeFill="accent5" w:themeFillTint="33"/>
      </w:tcPr>
    </w:tblStylePr>
    <w:tblStylePr w:type="neCell">
      <w:tcPr>
        <w:tcBorders>
          <w:bottom w:val="single" w:color="7DDED6" w:themeColor="accent5" w:themeTint="99" w:sz="4" w:space="0"/>
        </w:tcBorders>
      </w:tcPr>
    </w:tblStylePr>
    <w:tblStylePr w:type="nwCell">
      <w:tcPr>
        <w:tcBorders>
          <w:bottom w:val="single" w:color="7DDED6" w:themeColor="accent5" w:themeTint="99" w:sz="4" w:space="0"/>
        </w:tcBorders>
      </w:tcPr>
    </w:tblStylePr>
    <w:tblStylePr w:type="seCell">
      <w:tcPr>
        <w:tcBorders>
          <w:top w:val="single" w:color="7DDED6" w:themeColor="accent5" w:themeTint="99" w:sz="4" w:space="0"/>
        </w:tcBorders>
      </w:tcPr>
    </w:tblStylePr>
    <w:tblStylePr w:type="swCell">
      <w:tcPr>
        <w:tcBorders>
          <w:top w:val="single" w:color="7DDED6" w:themeColor="accent5" w:themeTint="99" w:sz="4" w:space="0"/>
        </w:tcBorders>
      </w:tcPr>
    </w:tblStylePr>
  </w:style>
  <w:style w:type="table" w:customStyle="1" w:styleId="436">
    <w:name w:val="网格表 7 彩色 - 着色 61"/>
    <w:basedOn w:val="88"/>
    <w:qFormat/>
    <w:uiPriority w:val="52"/>
    <w:rPr>
      <w:color w:val="C81D31" w:themeColor="accent6" w:themeShade="BF"/>
    </w:rPr>
    <w:tblPr>
      <w:tblBorders>
        <w:top w:val="single" w:color="EF939E" w:themeColor="accent6" w:themeTint="99" w:sz="4" w:space="0"/>
        <w:left w:val="single" w:color="EF939E" w:themeColor="accent6" w:themeTint="99" w:sz="4" w:space="0"/>
        <w:bottom w:val="single" w:color="EF939E" w:themeColor="accent6" w:themeTint="99" w:sz="4" w:space="0"/>
        <w:right w:val="single" w:color="EF939E" w:themeColor="accent6" w:themeTint="99" w:sz="4" w:space="0"/>
        <w:insideH w:val="single" w:color="EF939E" w:themeColor="accent6" w:themeTint="99" w:sz="4" w:space="0"/>
        <w:insideV w:val="single" w:color="EF939E" w:themeColor="accent6" w:themeTint="99" w:sz="4" w:space="0"/>
      </w:tblBorders>
      <w:tblCellMar>
        <w:top w:w="0" w:type="dxa"/>
        <w:left w:w="108" w:type="dxa"/>
        <w:bottom w:w="0" w:type="dxa"/>
        <w:right w:w="108" w:type="dxa"/>
      </w:tblCellMar>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9DBDE" w:themeFill="accent6" w:themeFillTint="33"/>
      </w:tcPr>
    </w:tblStylePr>
    <w:tblStylePr w:type="band1Horz">
      <w:tcPr>
        <w:shd w:val="clear" w:color="auto" w:fill="F9DBDE" w:themeFill="accent6" w:themeFillTint="33"/>
      </w:tcPr>
    </w:tblStylePr>
    <w:tblStylePr w:type="neCell">
      <w:tcPr>
        <w:tcBorders>
          <w:bottom w:val="single" w:color="EF939E" w:themeColor="accent6" w:themeTint="99" w:sz="4" w:space="0"/>
        </w:tcBorders>
      </w:tcPr>
    </w:tblStylePr>
    <w:tblStylePr w:type="nwCell">
      <w:tcPr>
        <w:tcBorders>
          <w:bottom w:val="single" w:color="EF939E" w:themeColor="accent6" w:themeTint="99" w:sz="4" w:space="0"/>
        </w:tcBorders>
      </w:tcPr>
    </w:tblStylePr>
    <w:tblStylePr w:type="seCell">
      <w:tcPr>
        <w:tcBorders>
          <w:top w:val="single" w:color="EF939E" w:themeColor="accent6" w:themeTint="99" w:sz="4" w:space="0"/>
        </w:tcBorders>
      </w:tcPr>
    </w:tblStylePr>
    <w:tblStylePr w:type="swCell">
      <w:tcPr>
        <w:tcBorders>
          <w:top w:val="single" w:color="EF939E" w:themeColor="accent6" w:themeTint="99" w:sz="4" w:space="0"/>
        </w:tcBorders>
      </w:tcPr>
    </w:tblStylePr>
  </w:style>
  <w:style w:type="table" w:customStyle="1" w:styleId="437">
    <w:name w:val="网格型浅色1"/>
    <w:basedOn w:val="88"/>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style>
  <w:style w:type="table" w:customStyle="1" w:styleId="438">
    <w:name w:val="无格式表格 1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CellMar>
        <w:top w:w="0" w:type="dxa"/>
        <w:left w:w="108" w:type="dxa"/>
        <w:bottom w:w="0" w:type="dxa"/>
        <w:right w:w="108" w:type="dxa"/>
      </w:tblCellMar>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39">
    <w:name w:val="无格式表格 21"/>
    <w:basedOn w:val="88"/>
    <w:qFormat/>
    <w:uiPriority w:val="42"/>
    <w:tblPr>
      <w:tblBorders>
        <w:top w:val="single" w:color="7E7E7E" w:themeColor="text1" w:themeTint="80" w:sz="4" w:space="0"/>
        <w:bottom w:val="single" w:color="7E7E7E" w:themeColor="text1" w:themeTint="80" w:sz="4" w:space="0"/>
      </w:tblBorders>
      <w:tblCellMar>
        <w:top w:w="0" w:type="dxa"/>
        <w:left w:w="108" w:type="dxa"/>
        <w:bottom w:w="0" w:type="dxa"/>
        <w:right w:w="108" w:type="dxa"/>
      </w:tblCellMar>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40">
    <w:name w:val="无格式表格 31"/>
    <w:basedOn w:val="88"/>
    <w:qFormat/>
    <w:uiPriority w:val="43"/>
    <w:tblPr>
      <w:tblCellMar>
        <w:top w:w="0" w:type="dxa"/>
        <w:left w:w="108" w:type="dxa"/>
        <w:bottom w:w="0" w:type="dxa"/>
        <w:right w:w="108" w:type="dxa"/>
      </w:tblCellMar>
    </w:tblPr>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41">
    <w:name w:val="无格式表格 41"/>
    <w:basedOn w:val="88"/>
    <w:qFormat/>
    <w:uiPriority w:val="44"/>
    <w:tblPr>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42">
    <w:name w:val="无格式表格 51"/>
    <w:basedOn w:val="88"/>
    <w:qFormat/>
    <w:uiPriority w:val="45"/>
    <w:tblPr>
      <w:tblCellMar>
        <w:top w:w="0" w:type="dxa"/>
        <w:left w:w="108" w:type="dxa"/>
        <w:bottom w:w="0" w:type="dxa"/>
        <w:right w:w="108" w:type="dxa"/>
      </w:tblCellMar>
    </w:tblPr>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customStyle="1" w:styleId="443">
    <w:name w:val="主送对象"/>
    <w:qFormat/>
    <w:uiPriority w:val="0"/>
    <w:rPr>
      <w:rFonts w:hint="eastAsia" w:ascii="汉仪正圆 55简" w:hAnsi="汉仪正圆 55简" w:eastAsia="汉仪正圆 55简" w:cstheme="minorBidi"/>
      <w:sz w:val="24"/>
      <w:szCs w:val="24"/>
      <w:lang w:val="en-US" w:eastAsia="zh-CN" w:bidi="ar-SA"/>
    </w:rPr>
  </w:style>
  <w:style w:type="paragraph" w:customStyle="1" w:styleId="444">
    <w:name w:val="文档说明标题"/>
    <w:qFormat/>
    <w:uiPriority w:val="0"/>
    <w:pPr>
      <w:adjustRightInd w:val="0"/>
      <w:snapToGrid w:val="0"/>
      <w:spacing w:after="50" w:afterLines="50"/>
      <w:jc w:val="center"/>
    </w:pPr>
    <w:rPr>
      <w:rFonts w:hint="eastAsia" w:ascii="汉仪正圆 55简" w:hAnsi="汉仪正圆 55简" w:eastAsia="汉仪正圆 55简" w:cstheme="minorBidi"/>
      <w:b/>
      <w:bCs/>
      <w:kern w:val="28"/>
      <w:sz w:val="44"/>
      <w:szCs w:val="44"/>
      <w:lang w:val="en-US" w:eastAsia="zh-CN" w:bidi="ar-SA"/>
    </w:rPr>
  </w:style>
  <w:style w:type="paragraph" w:customStyle="1" w:styleId="445">
    <w:name w:val="章前标题"/>
    <w:qFormat/>
    <w:uiPriority w:val="0"/>
    <w:pPr>
      <w:adjustRightInd w:val="0"/>
      <w:snapToGrid w:val="0"/>
      <w:spacing w:after="50" w:afterLines="50"/>
      <w:jc w:val="center"/>
    </w:pPr>
    <w:rPr>
      <w:rFonts w:hint="eastAsia" w:ascii="汉仪正圆 55简" w:hAnsi="汉仪正圆 55简" w:eastAsia="汉仪正圆 55简" w:cstheme="minorBidi"/>
      <w:b/>
      <w:bCs/>
      <w:kern w:val="28"/>
      <w:sz w:val="44"/>
      <w:szCs w:val="44"/>
      <w:lang w:val="en-US" w:eastAsia="zh-CN" w:bidi="ar-SA"/>
    </w:rPr>
  </w:style>
  <w:style w:type="paragraph" w:customStyle="1" w:styleId="446">
    <w:name w:val="声明标题"/>
    <w:qFormat/>
    <w:uiPriority w:val="0"/>
    <w:pPr>
      <w:snapToGrid w:val="0"/>
      <w:spacing w:after="50" w:afterLines="50"/>
      <w:jc w:val="center"/>
    </w:pPr>
    <w:rPr>
      <w:rFonts w:hint="eastAsia" w:ascii="汉仪正圆 55简" w:hAnsi="汉仪正圆 55简" w:eastAsia="汉仪正圆 55简" w:cstheme="minorBidi"/>
      <w:b/>
      <w:bCs/>
      <w:kern w:val="28"/>
      <w:sz w:val="44"/>
      <w:szCs w:val="44"/>
      <w:lang w:val="en-US" w:eastAsia="zh-CN" w:bidi="ar-SA"/>
    </w:rPr>
  </w:style>
  <w:style w:type="paragraph" w:customStyle="1" w:styleId="447">
    <w:name w:val="声明正文"/>
    <w:basedOn w:val="1"/>
    <w:qFormat/>
    <w:uiPriority w:val="0"/>
    <w:pPr>
      <w:ind w:firstLine="1041"/>
    </w:pPr>
    <w:rPr>
      <w:rFonts w:hint="eastAsia"/>
    </w:rPr>
  </w:style>
  <w:style w:type="paragraph" w:customStyle="1" w:styleId="448">
    <w:name w:val="摘要标题"/>
    <w:basedOn w:val="59"/>
    <w:qFormat/>
    <w:uiPriority w:val="0"/>
    <w:pPr>
      <w:jc w:val="center"/>
    </w:pPr>
    <w:rPr>
      <w:kern w:val="28"/>
      <w:sz w:val="44"/>
      <w:szCs w:val="44"/>
    </w:rPr>
  </w:style>
  <w:style w:type="paragraph" w:customStyle="1" w:styleId="449">
    <w:name w:val="摘要正文"/>
    <w:basedOn w:val="1"/>
    <w:qFormat/>
    <w:uiPriority w:val="0"/>
    <w:pPr>
      <w:ind w:firstLine="1041"/>
    </w:pPr>
    <w:rPr>
      <w:rFonts w:hint="eastAsia"/>
    </w:rPr>
  </w:style>
  <w:style w:type="paragraph" w:customStyle="1" w:styleId="450">
    <w:name w:val="关键词正文"/>
    <w:qFormat/>
    <w:uiPriority w:val="0"/>
    <w:rPr>
      <w:rFonts w:ascii="汉仪正圆 55简" w:hAnsi="汉仪正圆 55简" w:eastAsia="汉仪正圆 55简" w:cstheme="minorBidi"/>
      <w:sz w:val="24"/>
      <w:szCs w:val="24"/>
      <w:lang w:val="en-US" w:eastAsia="zh-CN" w:bidi="ar-SA"/>
    </w:rPr>
  </w:style>
  <w:style w:type="paragraph" w:customStyle="1" w:styleId="451">
    <w:name w:val="英文摘要标题"/>
    <w:qFormat/>
    <w:uiPriority w:val="0"/>
    <w:pPr>
      <w:adjustRightInd w:val="0"/>
      <w:snapToGrid w:val="0"/>
      <w:spacing w:after="50" w:afterLines="50"/>
      <w:jc w:val="center"/>
    </w:pPr>
    <w:rPr>
      <w:rFonts w:hint="eastAsia" w:ascii="汉仪正圆 55简" w:hAnsi="汉仪正圆 55简" w:eastAsia="汉仪正圆 55简" w:cstheme="minorBidi"/>
      <w:b/>
      <w:bCs/>
      <w:kern w:val="28"/>
      <w:sz w:val="44"/>
      <w:szCs w:val="44"/>
      <w:lang w:val="en-US" w:eastAsia="zh-CN" w:bidi="ar-SA"/>
    </w:rPr>
  </w:style>
  <w:style w:type="paragraph" w:customStyle="1" w:styleId="452">
    <w:name w:val="英文摘要正文"/>
    <w:basedOn w:val="1"/>
    <w:qFormat/>
    <w:uiPriority w:val="0"/>
    <w:pPr>
      <w:ind w:firstLine="1041"/>
    </w:pPr>
    <w:rPr>
      <w:rFonts w:hint="eastAsia"/>
    </w:rPr>
  </w:style>
  <w:style w:type="paragraph" w:customStyle="1" w:styleId="453">
    <w:name w:val="英文关键词正文"/>
    <w:qFormat/>
    <w:uiPriority w:val="0"/>
    <w:pPr>
      <w:adjustRightInd w:val="0"/>
      <w:snapToGrid w:val="0"/>
      <w:spacing w:after="50" w:afterLines="50"/>
    </w:pPr>
    <w:rPr>
      <w:rFonts w:hint="eastAsia" w:ascii="汉仪正圆 55简" w:hAnsi="汉仪正圆 55简" w:eastAsia="汉仪正圆 55简" w:cstheme="minorBidi"/>
      <w:sz w:val="24"/>
      <w:szCs w:val="24"/>
      <w:lang w:val="en-US" w:eastAsia="zh-CN" w:bidi="ar-SA"/>
    </w:rPr>
  </w:style>
  <w:style w:type="paragraph" w:customStyle="1" w:styleId="454">
    <w:name w:val="参考文献标题"/>
    <w:qFormat/>
    <w:uiPriority w:val="0"/>
    <w:pPr>
      <w:adjustRightInd w:val="0"/>
      <w:snapToGrid w:val="0"/>
      <w:spacing w:after="50" w:afterLines="50"/>
      <w:jc w:val="center"/>
    </w:pPr>
    <w:rPr>
      <w:rFonts w:hint="eastAsia" w:ascii="汉仪正圆 55简" w:hAnsi="汉仪正圆 55简" w:eastAsia="汉仪正圆 55简" w:cstheme="minorBidi"/>
      <w:b/>
      <w:bCs/>
      <w:kern w:val="28"/>
      <w:sz w:val="44"/>
      <w:szCs w:val="44"/>
      <w:lang w:val="en-US" w:eastAsia="zh-CN" w:bidi="ar-SA"/>
    </w:rPr>
  </w:style>
  <w:style w:type="paragraph" w:customStyle="1" w:styleId="455">
    <w:name w:val="参考文献条目"/>
    <w:qFormat/>
    <w:uiPriority w:val="0"/>
    <w:pPr>
      <w:numPr>
        <w:ilvl w:val="0"/>
        <w:numId w:val="11"/>
      </w:numPr>
      <w:adjustRightInd w:val="0"/>
      <w:snapToGrid w:val="0"/>
      <w:ind w:left="0" w:firstLine="0"/>
    </w:pPr>
    <w:rPr>
      <w:rFonts w:hint="eastAsia" w:ascii="汉仪正圆 55简" w:hAnsi="汉仪正圆 55简" w:eastAsia="汉仪正圆 55简" w:cstheme="minorBidi"/>
      <w:sz w:val="21"/>
      <w:szCs w:val="21"/>
      <w:lang w:val="en-US" w:eastAsia="zh-CN" w:bidi="ar-SA"/>
    </w:rPr>
  </w:style>
  <w:style w:type="paragraph" w:customStyle="1" w:styleId="456">
    <w:name w:val="致谢标题"/>
    <w:qFormat/>
    <w:uiPriority w:val="0"/>
    <w:pPr>
      <w:adjustRightInd w:val="0"/>
      <w:snapToGrid w:val="0"/>
      <w:spacing w:after="50" w:afterLines="50"/>
      <w:jc w:val="center"/>
    </w:pPr>
    <w:rPr>
      <w:rFonts w:hint="eastAsia" w:ascii="汉仪正圆 55简" w:hAnsi="汉仪正圆 55简" w:eastAsia="汉仪正圆 55简" w:cstheme="minorBidi"/>
      <w:b/>
      <w:bCs/>
      <w:kern w:val="28"/>
      <w:sz w:val="44"/>
      <w:szCs w:val="44"/>
      <w:lang w:val="en-US" w:eastAsia="zh-CN" w:bidi="ar-SA"/>
    </w:rPr>
  </w:style>
  <w:style w:type="paragraph" w:customStyle="1" w:styleId="457">
    <w:name w:val="致谢正文"/>
    <w:basedOn w:val="1"/>
    <w:qFormat/>
    <w:uiPriority w:val="0"/>
    <w:pPr>
      <w:ind w:firstLine="1041"/>
      <w:jc w:val="left"/>
    </w:pPr>
    <w:rPr>
      <w:rFonts w:hint="eastAsia"/>
    </w:rPr>
  </w:style>
  <w:style w:type="paragraph" w:customStyle="1" w:styleId="458">
    <w:name w:val="表格标题"/>
    <w:qFormat/>
    <w:uiPriority w:val="0"/>
    <w:pPr>
      <w:numPr>
        <w:ilvl w:val="0"/>
        <w:numId w:val="12"/>
      </w:numPr>
      <w:adjustRightInd w:val="0"/>
      <w:snapToGrid w:val="0"/>
      <w:jc w:val="center"/>
    </w:pPr>
    <w:rPr>
      <w:rFonts w:hint="eastAsia" w:ascii="汉仪正圆 55简" w:hAnsi="汉仪正圆 55简" w:eastAsia="汉仪正圆 55简" w:cstheme="minorBidi"/>
      <w:sz w:val="21"/>
      <w:szCs w:val="21"/>
      <w:lang w:val="en-US" w:eastAsia="zh-CN" w:bidi="ar-SA"/>
    </w:rPr>
  </w:style>
  <w:style w:type="paragraph" w:customStyle="1" w:styleId="459">
    <w:name w:val="图片标题"/>
    <w:qFormat/>
    <w:uiPriority w:val="0"/>
    <w:pPr>
      <w:numPr>
        <w:ilvl w:val="0"/>
        <w:numId w:val="13"/>
      </w:numPr>
      <w:adjustRightInd w:val="0"/>
      <w:snapToGrid w:val="0"/>
      <w:jc w:val="center"/>
    </w:pPr>
    <w:rPr>
      <w:rFonts w:hint="eastAsia" w:ascii="汉仪正圆 55简" w:hAnsi="汉仪正圆 55简" w:eastAsia="汉仪正圆 55简" w:cstheme="minorBidi"/>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4.emf"/><Relationship Id="rId22" Type="http://schemas.openxmlformats.org/officeDocument/2006/relationships/image" Target="media/image3.emf"/><Relationship Id="rId21" Type="http://schemas.openxmlformats.org/officeDocument/2006/relationships/image" Target="media/image2.emf"/><Relationship Id="rId20" Type="http://schemas.openxmlformats.org/officeDocument/2006/relationships/image" Target="media/image1.png"/><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header" Target="header2.xml"/><Relationship Id="rId10" Type="http://schemas.openxmlformats.org/officeDocument/2006/relationships/footer" Target="footer7.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E6908EF-4A48-460D-B9AB-81F76794472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176</Pages>
  <Words>14044</Words>
  <Characters>14677</Characters>
  <Lines>196</Lines>
  <Paragraphs>293</Paragraphs>
  <TotalTime>26</TotalTime>
  <ScaleCrop>false</ScaleCrop>
  <LinksUpToDate>false</LinksUpToDate>
  <CharactersWithSpaces>15443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2025-09-19T13:33:00Z</dcterms:created>
  <dc:creator>侠名</dc:creator>
  <cp:lastModifiedBy>NTKO</cp:lastModifiedBy>
  <cp:lastPrinted>2025-01-09T09:44:00Z</cp:lastPrinted>
  <dcterms:modified xsi:type="dcterms:W3CDTF">2025-10-30T03:18:33Z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CD0735D2303643B98CCBC02DBDC99368_13</vt:lpwstr>
  </property>
  <property fmtid="{D5CDD505-2E9C-101B-9397-08002B2CF9AE}" pid="4" name="KSOTemplateDocerSaveRecord">
    <vt:lpwstr>eyJoZGlkIjoiMmIzMTM0MWI4NmI4YWZiZTcwNjgwYTIzN2YxYjM5OGIiLCJ1c2VySWQiOiIxMDE4MTExOTk5In0=</vt:lpwstr>
  </property>
</Properties>
</file>