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beforeLines="50" w:after="120" w:afterLines="50" w:line="360" w:lineRule="auto"/>
        <w:ind w:firstLine="3132" w:firstLineChars="1300"/>
        <w:jc w:val="both"/>
        <w:rPr>
          <w:b/>
          <w:color w:val="auto"/>
          <w:sz w:val="24"/>
          <w:szCs w:val="24"/>
          <w:highlight w:val="none"/>
        </w:rPr>
      </w:pPr>
      <w:r>
        <w:rPr>
          <w:rFonts w:hint="eastAsia"/>
          <w:b/>
          <w:color w:val="auto"/>
          <w:sz w:val="24"/>
          <w:szCs w:val="24"/>
          <w:highlight w:val="none"/>
        </w:rPr>
        <w:t>附件</w:t>
      </w:r>
      <w:r>
        <w:rPr>
          <w:b/>
          <w:color w:val="auto"/>
          <w:sz w:val="24"/>
          <w:szCs w:val="24"/>
          <w:highlight w:val="none"/>
        </w:rPr>
        <w:t xml:space="preserve">1  </w:t>
      </w:r>
      <w:r>
        <w:rPr>
          <w:rFonts w:hint="eastAsia"/>
          <w:b/>
          <w:color w:val="auto"/>
          <w:sz w:val="24"/>
          <w:szCs w:val="24"/>
          <w:highlight w:val="none"/>
        </w:rPr>
        <w:t>资格审查要求</w:t>
      </w:r>
      <w:r>
        <w:rPr>
          <w:b/>
          <w:color w:val="auto"/>
          <w:sz w:val="24"/>
          <w:szCs w:val="24"/>
          <w:highlight w:val="none"/>
        </w:rPr>
        <w:t>--</w:t>
      </w:r>
      <w:r>
        <w:rPr>
          <w:rFonts w:hint="eastAsia"/>
          <w:b/>
          <w:color w:val="auto"/>
          <w:sz w:val="24"/>
          <w:szCs w:val="24"/>
          <w:highlight w:val="none"/>
        </w:rPr>
        <w:t>资质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63"/>
        <w:gridCol w:w="725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1263" w:type="dxa"/>
            <w:noWrap w:val="0"/>
            <w:vAlign w:val="center"/>
          </w:tcPr>
          <w:p>
            <w:pPr>
              <w:spacing w:line="320" w:lineRule="exact"/>
              <w:jc w:val="center"/>
              <w:rPr>
                <w:color w:val="auto"/>
                <w:highlight w:val="none"/>
              </w:rPr>
            </w:pPr>
            <w:r>
              <w:rPr>
                <w:rFonts w:hint="eastAsia"/>
                <w:color w:val="auto"/>
                <w:highlight w:val="none"/>
              </w:rPr>
              <w:t>项</w:t>
            </w:r>
            <w:r>
              <w:rPr>
                <w:color w:val="auto"/>
                <w:highlight w:val="none"/>
              </w:rPr>
              <w:t xml:space="preserve"> </w:t>
            </w:r>
            <w:r>
              <w:rPr>
                <w:rFonts w:hint="eastAsia"/>
                <w:color w:val="auto"/>
                <w:highlight w:val="none"/>
              </w:rPr>
              <w:t>目</w:t>
            </w:r>
          </w:p>
        </w:tc>
        <w:tc>
          <w:tcPr>
            <w:tcW w:w="7252" w:type="dxa"/>
            <w:noWrap w:val="0"/>
            <w:vAlign w:val="center"/>
          </w:tcPr>
          <w:p>
            <w:pPr>
              <w:spacing w:line="320" w:lineRule="exact"/>
              <w:jc w:val="center"/>
              <w:rPr>
                <w:color w:val="auto"/>
                <w:highlight w:val="none"/>
              </w:rPr>
            </w:pPr>
            <w:r>
              <w:rPr>
                <w:rFonts w:hint="eastAsia"/>
                <w:color w:val="auto"/>
                <w:highlight w:val="none"/>
              </w:rPr>
              <w:t>要</w:t>
            </w:r>
            <w:r>
              <w:rPr>
                <w:color w:val="auto"/>
                <w:highlight w:val="none"/>
              </w:rPr>
              <w:t xml:space="preserve">    </w:t>
            </w:r>
            <w:r>
              <w:rPr>
                <w:rFonts w:hint="eastAsia"/>
                <w:color w:val="auto"/>
                <w:highlight w:val="none"/>
              </w:rPr>
              <w:t>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22" w:hRule="atLeast"/>
          <w:jc w:val="center"/>
        </w:trPr>
        <w:tc>
          <w:tcPr>
            <w:tcW w:w="1263" w:type="dxa"/>
            <w:noWrap w:val="0"/>
            <w:vAlign w:val="center"/>
          </w:tcPr>
          <w:p>
            <w:pPr>
              <w:spacing w:line="320" w:lineRule="exact"/>
              <w:jc w:val="center"/>
              <w:rPr>
                <w:color w:val="auto"/>
                <w:szCs w:val="21"/>
                <w:highlight w:val="none"/>
              </w:rPr>
            </w:pPr>
            <w:r>
              <w:rPr>
                <w:rFonts w:hint="eastAsia"/>
                <w:b/>
                <w:color w:val="auto"/>
                <w:szCs w:val="21"/>
                <w:highlight w:val="none"/>
              </w:rPr>
              <w:t>资格要求</w:t>
            </w:r>
          </w:p>
        </w:tc>
        <w:tc>
          <w:tcPr>
            <w:tcW w:w="7252" w:type="dxa"/>
            <w:noWrap w:val="0"/>
            <w:vAlign w:val="center"/>
          </w:tcPr>
          <w:p>
            <w:pPr>
              <w:numPr>
                <w:ilvl w:val="0"/>
                <w:numId w:val="1"/>
              </w:numPr>
              <w:adjustRightInd w:val="0"/>
              <w:snapToGrid w:val="0"/>
              <w:spacing w:line="360" w:lineRule="auto"/>
              <w:ind w:firstLine="442" w:firstLineChars="200"/>
              <w:rPr>
                <w:rFonts w:hint="eastAsia"/>
                <w:b/>
                <w:color w:val="auto"/>
                <w:szCs w:val="21"/>
                <w:highlight w:val="none"/>
              </w:rPr>
            </w:pPr>
            <w:r>
              <w:rPr>
                <w:rFonts w:hint="eastAsia"/>
                <w:b/>
                <w:color w:val="auto"/>
                <w:szCs w:val="21"/>
                <w:highlight w:val="none"/>
              </w:rPr>
              <w:t>本次招标投标人资质等级要求：</w:t>
            </w:r>
          </w:p>
          <w:p>
            <w:pPr>
              <w:adjustRightInd w:val="0"/>
              <w:snapToGrid w:val="0"/>
              <w:spacing w:line="360" w:lineRule="auto"/>
              <w:ind w:left="440" w:leftChars="200"/>
              <w:rPr>
                <w:color w:val="auto"/>
                <w:sz w:val="21"/>
                <w:highlight w:val="none"/>
                <w:lang w:val="en-US"/>
              </w:rPr>
            </w:pPr>
            <w:r>
              <w:rPr>
                <w:color w:val="auto"/>
                <w:sz w:val="21"/>
                <w:highlight w:val="none"/>
              </w:rPr>
              <w:t>同时具有（或下属非独立法人机构具有）</w:t>
            </w:r>
            <w:r>
              <w:rPr>
                <w:rFonts w:hint="eastAsia"/>
                <w:color w:val="auto"/>
                <w:sz w:val="21"/>
                <w:highlight w:val="none"/>
                <w:lang w:val="en-US"/>
              </w:rPr>
              <w:t>以下两项：</w:t>
            </w:r>
          </w:p>
          <w:p>
            <w:pPr>
              <w:adjustRightInd w:val="0"/>
              <w:snapToGrid w:val="0"/>
              <w:spacing w:line="360" w:lineRule="auto"/>
              <w:ind w:firstLine="420" w:firstLineChars="200"/>
              <w:rPr>
                <w:color w:val="auto"/>
                <w:sz w:val="21"/>
                <w:highlight w:val="none"/>
              </w:rPr>
            </w:pPr>
            <w:r>
              <w:rPr>
                <w:color w:val="auto"/>
                <w:sz w:val="21"/>
                <w:highlight w:val="none"/>
              </w:rPr>
              <w:t>①交通运输主管部门核发的在有效期内的公路水运试验检测机构等级证书公路工程综合甲级资质</w:t>
            </w:r>
            <w:r>
              <w:rPr>
                <w:rFonts w:hint="eastAsia"/>
                <w:color w:val="auto"/>
                <w:sz w:val="21"/>
                <w:highlight w:val="none"/>
              </w:rPr>
              <w:t>和公路工程试验检测桥隧工程专项资质；</w:t>
            </w:r>
          </w:p>
          <w:p>
            <w:pPr>
              <w:adjustRightInd w:val="0"/>
              <w:snapToGrid w:val="0"/>
              <w:spacing w:line="360" w:lineRule="auto"/>
              <w:ind w:left="440" w:leftChars="200"/>
              <w:rPr>
                <w:rFonts w:cs="Arial"/>
                <w:color w:val="auto"/>
                <w:szCs w:val="21"/>
                <w:highlight w:val="none"/>
              </w:rPr>
            </w:pPr>
            <w:r>
              <w:rPr>
                <w:color w:val="auto"/>
                <w:sz w:val="21"/>
                <w:highlight w:val="none"/>
              </w:rPr>
              <w:t>②质量技术监督部门颁发的在有效期内的 CMA 计量认证证书。</w:t>
            </w:r>
          </w:p>
          <w:p>
            <w:pPr>
              <w:adjustRightInd w:val="0"/>
              <w:snapToGrid w:val="0"/>
              <w:spacing w:line="360" w:lineRule="auto"/>
              <w:ind w:firstLine="442" w:firstLineChars="200"/>
              <w:rPr>
                <w:rFonts w:eastAsia="宋体"/>
                <w:color w:val="auto"/>
                <w:sz w:val="21"/>
                <w:highlight w:val="none"/>
              </w:rPr>
            </w:pPr>
            <w:r>
              <w:rPr>
                <w:rFonts w:cs="Arial"/>
                <w:b/>
                <w:bCs/>
                <w:color w:val="auto"/>
                <w:szCs w:val="21"/>
                <w:highlight w:val="none"/>
              </w:rPr>
              <w:t>2</w:t>
            </w:r>
            <w:r>
              <w:rPr>
                <w:rFonts w:hint="eastAsia" w:cs="Arial"/>
                <w:b/>
                <w:bCs/>
                <w:color w:val="auto"/>
                <w:szCs w:val="21"/>
                <w:highlight w:val="none"/>
              </w:rPr>
              <w:t>、</w:t>
            </w:r>
            <w:r>
              <w:rPr>
                <w:rFonts w:hint="eastAsia" w:cs="Arial"/>
                <w:b/>
                <w:color w:val="auto"/>
                <w:szCs w:val="21"/>
                <w:highlight w:val="none"/>
              </w:rPr>
              <w:t>其他资格要求：</w:t>
            </w:r>
            <w:r>
              <w:rPr>
                <w:rFonts w:cs="Arial"/>
                <w:color w:val="auto"/>
                <w:szCs w:val="21"/>
                <w:highlight w:val="none"/>
              </w:rPr>
              <w:t xml:space="preserve"> </w:t>
            </w:r>
            <w:r>
              <w:rPr>
                <w:rFonts w:hint="eastAsia" w:eastAsia="宋体"/>
                <w:color w:val="auto"/>
                <w:sz w:val="21"/>
                <w:highlight w:val="none"/>
              </w:rPr>
              <w:t>具有类似工程中心试验室试验检测服务经验，并在检测人员、诉讼和履约等方面满足资格条件要求。</w:t>
            </w:r>
          </w:p>
          <w:p>
            <w:pPr>
              <w:spacing w:line="360" w:lineRule="auto"/>
              <w:ind w:firstLine="442" w:firstLineChars="200"/>
              <w:rPr>
                <w:rFonts w:hint="eastAsia" w:eastAsia="宋体"/>
                <w:color w:val="auto"/>
                <w:sz w:val="21"/>
                <w:highlight w:val="none"/>
              </w:rPr>
            </w:pPr>
            <w:r>
              <w:rPr>
                <w:rFonts w:cs="Arial"/>
                <w:b/>
                <w:bCs/>
                <w:color w:val="auto"/>
                <w:szCs w:val="21"/>
                <w:highlight w:val="none"/>
              </w:rPr>
              <w:t>3</w:t>
            </w:r>
            <w:r>
              <w:rPr>
                <w:rFonts w:hint="eastAsia" w:cs="Arial"/>
                <w:b/>
                <w:bCs/>
                <w:color w:val="auto"/>
                <w:szCs w:val="21"/>
                <w:highlight w:val="none"/>
              </w:rPr>
              <w:t>、</w:t>
            </w:r>
            <w:r>
              <w:rPr>
                <w:rFonts w:hint="eastAsia"/>
                <w:b/>
                <w:color w:val="auto"/>
                <w:szCs w:val="21"/>
                <w:highlight w:val="none"/>
              </w:rPr>
              <w:t>拟派试验检测负责人资格要求：</w:t>
            </w:r>
            <w:r>
              <w:rPr>
                <w:rFonts w:hint="eastAsia" w:eastAsia="宋体"/>
                <w:color w:val="auto"/>
                <w:sz w:val="21"/>
                <w:highlight w:val="none"/>
              </w:rPr>
              <w:t>具备交通运输主管部门核发的公路工程试验检测工程师资格。</w:t>
            </w:r>
          </w:p>
          <w:p>
            <w:pPr>
              <w:spacing w:line="360" w:lineRule="auto"/>
              <w:ind w:firstLine="442" w:firstLineChars="200"/>
              <w:rPr>
                <w:color w:val="auto"/>
                <w:highlight w:val="none"/>
              </w:rPr>
            </w:pPr>
            <w:r>
              <w:rPr>
                <w:b/>
                <w:bCs/>
                <w:color w:val="auto"/>
                <w:szCs w:val="21"/>
                <w:highlight w:val="none"/>
              </w:rPr>
              <w:t>4</w:t>
            </w:r>
            <w:r>
              <w:rPr>
                <w:rFonts w:hint="eastAsia"/>
                <w:b/>
                <w:bCs/>
                <w:color w:val="auto"/>
                <w:szCs w:val="21"/>
                <w:highlight w:val="none"/>
              </w:rPr>
              <w:t>、</w:t>
            </w:r>
            <w:r>
              <w:rPr>
                <w:rFonts w:hint="eastAsia"/>
                <w:b/>
                <w:color w:val="auto"/>
                <w:szCs w:val="21"/>
                <w:highlight w:val="none"/>
              </w:rPr>
              <w:t>委托代理人要求：</w:t>
            </w:r>
            <w:r>
              <w:rPr>
                <w:rFonts w:hint="eastAsia" w:eastAsia="宋体"/>
                <w:color w:val="auto"/>
                <w:sz w:val="21"/>
                <w:highlight w:val="none"/>
              </w:rPr>
              <w:t>提供与本投标单位签订的有效劳动合同及经社保管理机构确认本项目开标日前半年内至少任意三个月与本投标单位的社保关系证明。</w:t>
            </w:r>
          </w:p>
        </w:tc>
      </w:tr>
    </w:tbl>
    <w:p>
      <w:pPr>
        <w:spacing w:line="300" w:lineRule="exact"/>
        <w:ind w:firstLine="440" w:firstLineChars="200"/>
        <w:rPr>
          <w:color w:val="auto"/>
          <w:szCs w:val="21"/>
          <w:highlight w:val="none"/>
        </w:rPr>
      </w:pPr>
      <w:bookmarkStart w:id="0" w:name="_Toc194231046"/>
      <w:bookmarkStart w:id="1" w:name="_Toc125518259"/>
      <w:r>
        <w:rPr>
          <w:rFonts w:hint="eastAsia"/>
          <w:color w:val="auto"/>
          <w:szCs w:val="21"/>
          <w:highlight w:val="none"/>
        </w:rPr>
        <w:t>注：</w:t>
      </w:r>
      <w:r>
        <w:rPr>
          <w:color w:val="auto"/>
          <w:szCs w:val="21"/>
          <w:highlight w:val="none"/>
        </w:rPr>
        <w:t>1.</w:t>
      </w:r>
      <w:r>
        <w:rPr>
          <w:rFonts w:hint="eastAsia"/>
          <w:color w:val="auto"/>
          <w:szCs w:val="21"/>
          <w:highlight w:val="none"/>
        </w:rPr>
        <w:t>本合格条件标准要求投标人提交的证书、证明材料等资料必须提供原件核对，其所提供原件应当封装在档案袋内，封面列明原件的名称及数量，截标时与投标文件一起提交（格式参考附件</w:t>
      </w:r>
      <w:r>
        <w:rPr>
          <w:color w:val="auto"/>
          <w:szCs w:val="21"/>
          <w:highlight w:val="none"/>
        </w:rPr>
        <w:t>5</w:t>
      </w:r>
      <w:r>
        <w:rPr>
          <w:rFonts w:hint="eastAsia"/>
          <w:color w:val="auto"/>
          <w:szCs w:val="21"/>
          <w:highlight w:val="none"/>
        </w:rPr>
        <w:t>），未按要求提交原件核对的投标文件作无效投标处理。</w:t>
      </w:r>
    </w:p>
    <w:p>
      <w:pPr>
        <w:spacing w:line="300" w:lineRule="exact"/>
        <w:ind w:firstLine="420"/>
        <w:rPr>
          <w:color w:val="auto"/>
          <w:szCs w:val="21"/>
          <w:highlight w:val="none"/>
        </w:rPr>
      </w:pPr>
      <w:r>
        <w:rPr>
          <w:color w:val="auto"/>
          <w:szCs w:val="21"/>
          <w:highlight w:val="none"/>
        </w:rPr>
        <w:t>2.</w:t>
      </w:r>
      <w:r>
        <w:rPr>
          <w:rFonts w:hint="eastAsia"/>
          <w:color w:val="auto"/>
          <w:szCs w:val="21"/>
          <w:highlight w:val="none"/>
        </w:rPr>
        <w:t>法定代表人参加开标会和签署投标文件的可不执行第</w:t>
      </w:r>
      <w:r>
        <w:rPr>
          <w:color w:val="auto"/>
          <w:szCs w:val="21"/>
          <w:highlight w:val="none"/>
        </w:rPr>
        <w:t>4</w:t>
      </w:r>
      <w:r>
        <w:rPr>
          <w:rFonts w:hint="eastAsia"/>
          <w:color w:val="auto"/>
          <w:szCs w:val="21"/>
          <w:highlight w:val="none"/>
        </w:rPr>
        <w:t>项要求，但委托代理人参加开标会或签署投标文件的必须按第</w:t>
      </w:r>
      <w:r>
        <w:rPr>
          <w:color w:val="auto"/>
          <w:szCs w:val="21"/>
          <w:highlight w:val="none"/>
        </w:rPr>
        <w:t>4</w:t>
      </w:r>
      <w:r>
        <w:rPr>
          <w:rFonts w:hint="eastAsia"/>
          <w:color w:val="auto"/>
          <w:szCs w:val="21"/>
          <w:highlight w:val="none"/>
        </w:rPr>
        <w:t>项要求执行。第</w:t>
      </w:r>
      <w:r>
        <w:rPr>
          <w:color w:val="auto"/>
          <w:szCs w:val="21"/>
          <w:highlight w:val="none"/>
        </w:rPr>
        <w:t>4</w:t>
      </w:r>
      <w:r>
        <w:rPr>
          <w:rFonts w:hint="eastAsia"/>
          <w:color w:val="auto"/>
          <w:szCs w:val="21"/>
          <w:highlight w:val="none"/>
        </w:rPr>
        <w:t>项中的委托代理人的劳动合同必须提供其与法人总公司签订的劳动合同，其与分公司签订的劳动合同无效；委托代理人的社保关系证明可提供其在总公司或在本市范围内分公司办理的社保关系手续，市外其他分公司办理的社保关系手续无效，违反上述要求的，按无效投标处理。</w:t>
      </w:r>
      <w:r>
        <w:rPr>
          <w:color w:val="auto"/>
          <w:szCs w:val="21"/>
          <w:highlight w:val="none"/>
        </w:rPr>
        <w:t xml:space="preserve"> </w:t>
      </w:r>
    </w:p>
    <w:p>
      <w:pPr>
        <w:spacing w:before="120" w:beforeLines="50" w:after="120" w:afterLines="50" w:line="360" w:lineRule="auto"/>
        <w:jc w:val="center"/>
        <w:rPr>
          <w:b/>
          <w:color w:val="auto"/>
          <w:sz w:val="24"/>
          <w:szCs w:val="24"/>
          <w:highlight w:val="none"/>
        </w:rPr>
      </w:pPr>
    </w:p>
    <w:p>
      <w:pPr>
        <w:spacing w:before="120" w:beforeLines="50" w:after="120" w:afterLines="50" w:line="360" w:lineRule="auto"/>
        <w:jc w:val="center"/>
        <w:rPr>
          <w:b/>
          <w:color w:val="auto"/>
          <w:sz w:val="24"/>
          <w:szCs w:val="24"/>
          <w:highlight w:val="none"/>
        </w:rPr>
      </w:pPr>
      <w:r>
        <w:rPr>
          <w:b/>
          <w:color w:val="auto"/>
          <w:sz w:val="24"/>
          <w:szCs w:val="24"/>
          <w:highlight w:val="none"/>
        </w:rPr>
        <w:br w:type="page"/>
      </w:r>
      <w:bookmarkStart w:id="2" w:name="_Toc26284_WPSOffice_Level2"/>
      <w:r>
        <w:rPr>
          <w:rFonts w:hint="eastAsia"/>
          <w:b/>
          <w:color w:val="auto"/>
          <w:sz w:val="24"/>
          <w:szCs w:val="24"/>
          <w:highlight w:val="none"/>
        </w:rPr>
        <w:t>附件</w:t>
      </w:r>
      <w:r>
        <w:rPr>
          <w:b/>
          <w:color w:val="auto"/>
          <w:sz w:val="24"/>
          <w:szCs w:val="24"/>
          <w:highlight w:val="none"/>
        </w:rPr>
        <w:t xml:space="preserve">2  </w:t>
      </w:r>
      <w:r>
        <w:rPr>
          <w:rFonts w:hint="eastAsia"/>
          <w:b/>
          <w:color w:val="auto"/>
          <w:sz w:val="24"/>
          <w:szCs w:val="24"/>
          <w:highlight w:val="none"/>
        </w:rPr>
        <w:t>资格审查要求</w:t>
      </w:r>
      <w:r>
        <w:rPr>
          <w:b/>
          <w:color w:val="auto"/>
          <w:sz w:val="24"/>
          <w:szCs w:val="24"/>
          <w:highlight w:val="none"/>
        </w:rPr>
        <w:t>--</w:t>
      </w:r>
      <w:r>
        <w:rPr>
          <w:rFonts w:hint="eastAsia"/>
          <w:b/>
          <w:color w:val="auto"/>
          <w:sz w:val="24"/>
          <w:szCs w:val="24"/>
          <w:highlight w:val="none"/>
        </w:rPr>
        <w:t>业绩</w:t>
      </w:r>
      <w:bookmarkEnd w:id="0"/>
      <w:bookmarkEnd w:id="1"/>
      <w:bookmarkEnd w:id="2"/>
    </w:p>
    <w:p>
      <w:pPr>
        <w:adjustRightInd w:val="0"/>
        <w:snapToGrid w:val="0"/>
        <w:spacing w:line="300" w:lineRule="exact"/>
        <w:jc w:val="both"/>
        <w:rPr>
          <w:rFonts w:hint="eastAsia"/>
          <w:b/>
          <w:color w:val="auto"/>
          <w:sz w:val="32"/>
          <w:szCs w:val="24"/>
          <w:highlight w:val="none"/>
          <w:lang w:val="en-US"/>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8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0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b/>
                <w:color w:val="auto"/>
                <w:kern w:val="0"/>
                <w:szCs w:val="21"/>
                <w:highlight w:val="none"/>
                <w:lang w:val="en-US"/>
              </w:rPr>
            </w:pPr>
            <w:r>
              <w:rPr>
                <w:rFonts w:hint="eastAsia"/>
                <w:b/>
                <w:color w:val="auto"/>
                <w:kern w:val="0"/>
                <w:sz w:val="21"/>
                <w:szCs w:val="21"/>
                <w:highlight w:val="none"/>
                <w:lang w:val="en-US" w:bidi="ar"/>
              </w:rPr>
              <w:t>项  目</w:t>
            </w:r>
          </w:p>
        </w:tc>
        <w:tc>
          <w:tcPr>
            <w:tcW w:w="83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b/>
                <w:color w:val="auto"/>
                <w:kern w:val="0"/>
                <w:szCs w:val="21"/>
                <w:highlight w:val="none"/>
                <w:lang w:val="en-US"/>
              </w:rPr>
            </w:pPr>
            <w:r>
              <w:rPr>
                <w:rFonts w:hint="eastAsia"/>
                <w:b/>
                <w:color w:val="auto"/>
                <w:kern w:val="0"/>
                <w:sz w:val="21"/>
                <w:szCs w:val="21"/>
                <w:highlight w:val="none"/>
                <w:lang w:val="en-US" w:bidi="ar"/>
              </w:rPr>
              <w:t>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0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color w:val="auto"/>
                <w:kern w:val="0"/>
                <w:szCs w:val="21"/>
                <w:highlight w:val="none"/>
                <w:lang w:val="en-US"/>
              </w:rPr>
            </w:pPr>
            <w:r>
              <w:rPr>
                <w:rFonts w:hint="eastAsia"/>
                <w:color w:val="auto"/>
                <w:kern w:val="0"/>
                <w:sz w:val="21"/>
                <w:szCs w:val="21"/>
                <w:highlight w:val="none"/>
                <w:lang w:val="en-US" w:bidi="ar"/>
              </w:rPr>
              <w:t>业绩</w:t>
            </w:r>
          </w:p>
        </w:tc>
        <w:tc>
          <w:tcPr>
            <w:tcW w:w="83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color w:val="auto"/>
                <w:highlight w:val="none"/>
                <w:lang w:val="en-US" w:eastAsia="zh-CN"/>
              </w:rPr>
            </w:pPr>
            <w:r>
              <w:rPr>
                <w:rFonts w:hint="eastAsia"/>
                <w:color w:val="auto"/>
                <w:highlight w:val="none"/>
                <w:lang w:val="en-US"/>
              </w:rPr>
              <w:t>近五年</w:t>
            </w:r>
            <w:r>
              <w:rPr>
                <w:rFonts w:hint="eastAsia"/>
                <w:color w:val="auto"/>
                <w:highlight w:val="none"/>
                <w:lang w:val="en-US" w:eastAsia="zh-CN"/>
              </w:rPr>
              <w:t>完成过 2 个类似工程的试验检测标段，其中至少一个试验检测标段10km以上；</w:t>
            </w:r>
          </w:p>
          <w:p>
            <w:pPr>
              <w:pStyle w:val="2"/>
              <w:numPr>
                <w:ilvl w:val="0"/>
                <w:numId w:val="2"/>
              </w:numPr>
              <w:ind w:left="0" w:leftChars="0" w:firstLine="0" w:firstLineChars="0"/>
              <w:rPr>
                <w:rFonts w:hint="eastAsia"/>
                <w:bCs/>
                <w:iCs/>
                <w:color w:val="auto"/>
                <w:szCs w:val="21"/>
                <w:highlight w:val="none"/>
                <w:u w:val="none"/>
                <w:lang w:val="en-US" w:eastAsia="zh-CN"/>
              </w:rPr>
            </w:pPr>
            <w:r>
              <w:rPr>
                <w:rFonts w:hint="eastAsia"/>
                <w:bCs/>
                <w:iCs/>
                <w:color w:val="auto"/>
                <w:szCs w:val="21"/>
                <w:highlight w:val="none"/>
                <w:u w:val="none"/>
                <w:lang w:val="en-US" w:eastAsia="zh-CN"/>
              </w:rPr>
              <w:t>监理服务工作（含中心试验室）；或</w:t>
            </w:r>
          </w:p>
          <w:p>
            <w:pPr>
              <w:pStyle w:val="2"/>
              <w:numPr>
                <w:ilvl w:val="0"/>
                <w:numId w:val="2"/>
              </w:numPr>
              <w:ind w:left="0" w:leftChars="0" w:firstLine="0" w:firstLineChars="0"/>
              <w:rPr>
                <w:rFonts w:hint="default"/>
                <w:bCs/>
                <w:iCs/>
                <w:color w:val="auto"/>
                <w:szCs w:val="21"/>
                <w:highlight w:val="none"/>
                <w:u w:val="none"/>
                <w:lang w:val="en-US" w:eastAsia="zh-CN"/>
              </w:rPr>
            </w:pPr>
            <w:r>
              <w:rPr>
                <w:rFonts w:hint="eastAsia"/>
                <w:bCs/>
                <w:iCs/>
                <w:color w:val="auto"/>
                <w:szCs w:val="21"/>
                <w:highlight w:val="none"/>
                <w:u w:val="none"/>
                <w:lang w:val="en-US" w:eastAsia="zh-CN"/>
              </w:rPr>
              <w:t>中心试验室筹建和试验检测服务工作。</w:t>
            </w:r>
          </w:p>
        </w:tc>
      </w:tr>
    </w:tbl>
    <w:p>
      <w:pPr>
        <w:spacing w:line="276" w:lineRule="auto"/>
        <w:rPr>
          <w:color w:val="auto"/>
          <w:szCs w:val="21"/>
          <w:highlight w:val="none"/>
        </w:rPr>
      </w:pPr>
    </w:p>
    <w:p>
      <w:pPr>
        <w:spacing w:line="360" w:lineRule="auto"/>
        <w:ind w:firstLine="440" w:firstLineChars="200"/>
        <w:rPr>
          <w:color w:val="auto"/>
          <w:szCs w:val="21"/>
          <w:highlight w:val="none"/>
          <w:lang w:val="en-US"/>
        </w:rPr>
      </w:pPr>
      <w:r>
        <w:rPr>
          <w:rFonts w:hint="eastAsia"/>
          <w:color w:val="auto"/>
          <w:szCs w:val="21"/>
          <w:highlight w:val="none"/>
        </w:rPr>
        <w:t>注：1、</w:t>
      </w:r>
      <w:r>
        <w:rPr>
          <w:rFonts w:hint="eastAsia"/>
          <w:color w:val="auto"/>
          <w:szCs w:val="21"/>
          <w:highlight w:val="none"/>
          <w:lang w:val="en-US"/>
        </w:rPr>
        <w:t>业绩要求</w:t>
      </w:r>
      <w:r>
        <w:rPr>
          <w:rFonts w:hint="eastAsia"/>
          <w:color w:val="auto"/>
          <w:szCs w:val="21"/>
          <w:highlight w:val="none"/>
          <w:lang w:val="en-US" w:eastAsia="zh-CN"/>
        </w:rPr>
        <w:t>指同时具备</w:t>
      </w:r>
      <w:r>
        <w:rPr>
          <w:rFonts w:hint="eastAsia" w:eastAsia="宋体"/>
          <w:color w:val="auto"/>
          <w:szCs w:val="21"/>
          <w:highlight w:val="none"/>
          <w:lang w:val="en-US"/>
        </w:rPr>
        <w:t>路基、路面、桥梁的新建（或改扩建）一级公路（或高速公路）工程或独立特大桥项目</w:t>
      </w:r>
      <w:r>
        <w:rPr>
          <w:rFonts w:hint="eastAsia"/>
          <w:color w:val="auto"/>
          <w:szCs w:val="21"/>
          <w:highlight w:val="none"/>
          <w:lang w:val="en-US"/>
        </w:rPr>
        <w:t>；</w:t>
      </w:r>
    </w:p>
    <w:p>
      <w:pPr>
        <w:spacing w:line="360" w:lineRule="auto"/>
        <w:ind w:firstLine="440" w:firstLineChars="200"/>
        <w:rPr>
          <w:rFonts w:hint="eastAsia"/>
          <w:color w:val="auto"/>
          <w:szCs w:val="21"/>
          <w:highlight w:val="none"/>
        </w:rPr>
      </w:pPr>
      <w:r>
        <w:rPr>
          <w:color w:val="auto"/>
          <w:szCs w:val="21"/>
          <w:highlight w:val="none"/>
          <w:lang w:val="en-US"/>
        </w:rPr>
        <w:t>2</w:t>
      </w:r>
      <w:r>
        <w:rPr>
          <w:rFonts w:hint="eastAsia"/>
          <w:color w:val="auto"/>
          <w:szCs w:val="21"/>
          <w:highlight w:val="none"/>
        </w:rPr>
        <w:t>、“完成过”指工程完工并交工验收（时间以载明的交工验收或无交工验收一次性竣工验收时间为准），经评定合格；</w:t>
      </w:r>
    </w:p>
    <w:p>
      <w:pPr>
        <w:spacing w:line="360" w:lineRule="auto"/>
        <w:ind w:firstLine="440" w:firstLineChars="200"/>
        <w:rPr>
          <w:rFonts w:hint="eastAsia"/>
          <w:color w:val="auto"/>
          <w:szCs w:val="21"/>
          <w:highlight w:val="none"/>
        </w:rPr>
      </w:pPr>
      <w:r>
        <w:rPr>
          <w:color w:val="auto"/>
          <w:szCs w:val="21"/>
          <w:highlight w:val="none"/>
          <w:lang w:val="en-US"/>
        </w:rPr>
        <w:t>3</w:t>
      </w:r>
      <w:r>
        <w:rPr>
          <w:rFonts w:hint="eastAsia"/>
          <w:color w:val="auto"/>
          <w:szCs w:val="21"/>
          <w:highlight w:val="none"/>
        </w:rPr>
        <w:t>、本表要求业绩指由投标人承接并完成的业绩,投标人上级单位（如总公司、集团公司等）的试验检测业绩和投标人具备独立法人资格的下属机构的试验检测业绩均不予认定。</w:t>
      </w:r>
    </w:p>
    <w:p>
      <w:pPr>
        <w:spacing w:line="360" w:lineRule="auto"/>
        <w:ind w:firstLine="440" w:firstLineChars="200"/>
        <w:rPr>
          <w:rFonts w:hint="eastAsia"/>
          <w:color w:val="auto"/>
          <w:szCs w:val="21"/>
          <w:highlight w:val="none"/>
          <w:lang w:val="en-US"/>
        </w:rPr>
      </w:pPr>
      <w:r>
        <w:rPr>
          <w:color w:val="auto"/>
          <w:szCs w:val="21"/>
          <w:highlight w:val="none"/>
          <w:lang w:val="en-US"/>
        </w:rPr>
        <w:t>4</w:t>
      </w:r>
      <w:r>
        <w:rPr>
          <w:rFonts w:hint="eastAsia"/>
          <w:color w:val="auto"/>
          <w:szCs w:val="21"/>
          <w:highlight w:val="none"/>
        </w:rPr>
        <w:t>、试验检测服务业绩应为实际承担的试验检测服务业绩，试验检测服务业绩指承担建设期土建主体工程的中心试验室或监理驻地试验室的试验检测工作，仅承担路面、附属区房建或其它专项工程试验检测工作的业绩不予认定，施工任务的承包人或其委托第三方的试验测工作的业绩不予认定。</w:t>
      </w:r>
    </w:p>
    <w:p>
      <w:pPr>
        <w:spacing w:line="360" w:lineRule="auto"/>
        <w:jc w:val="center"/>
        <w:rPr>
          <w:rFonts w:hint="eastAsia"/>
          <w:b/>
          <w:color w:val="auto"/>
          <w:sz w:val="24"/>
          <w:szCs w:val="24"/>
          <w:highlight w:val="none"/>
        </w:rPr>
      </w:pPr>
      <w:bookmarkStart w:id="3" w:name="_Toc13060_WPSOffice_Level2"/>
      <w:r>
        <w:rPr>
          <w:rFonts w:hint="eastAsia"/>
          <w:b/>
          <w:color w:val="auto"/>
          <w:sz w:val="24"/>
          <w:szCs w:val="24"/>
          <w:highlight w:val="none"/>
        </w:rPr>
        <w:br w:type="page"/>
      </w:r>
    </w:p>
    <w:p>
      <w:pPr>
        <w:spacing w:line="360" w:lineRule="auto"/>
        <w:jc w:val="center"/>
        <w:rPr>
          <w:b/>
          <w:color w:val="auto"/>
          <w:sz w:val="24"/>
          <w:szCs w:val="24"/>
          <w:highlight w:val="none"/>
        </w:rPr>
      </w:pPr>
      <w:r>
        <w:rPr>
          <w:rFonts w:hint="eastAsia"/>
          <w:b/>
          <w:color w:val="auto"/>
          <w:sz w:val="24"/>
          <w:szCs w:val="24"/>
          <w:highlight w:val="none"/>
        </w:rPr>
        <w:t>附件</w:t>
      </w:r>
      <w:r>
        <w:rPr>
          <w:b/>
          <w:color w:val="auto"/>
          <w:sz w:val="24"/>
          <w:szCs w:val="24"/>
          <w:highlight w:val="none"/>
          <w:lang w:val="en-US"/>
        </w:rPr>
        <w:t>3</w:t>
      </w:r>
      <w:r>
        <w:rPr>
          <w:b/>
          <w:color w:val="auto"/>
          <w:sz w:val="24"/>
          <w:szCs w:val="24"/>
          <w:highlight w:val="none"/>
        </w:rPr>
        <w:t xml:space="preserve">  </w:t>
      </w:r>
      <w:r>
        <w:rPr>
          <w:rFonts w:hint="eastAsia"/>
          <w:b/>
          <w:color w:val="auto"/>
          <w:sz w:val="24"/>
          <w:szCs w:val="24"/>
          <w:highlight w:val="none"/>
        </w:rPr>
        <w:t>资格审查强制性条件</w:t>
      </w:r>
      <w:r>
        <w:rPr>
          <w:b/>
          <w:color w:val="auto"/>
          <w:sz w:val="24"/>
          <w:szCs w:val="24"/>
          <w:highlight w:val="none"/>
        </w:rPr>
        <w:t>--</w:t>
      </w:r>
      <w:r>
        <w:rPr>
          <w:rFonts w:hint="eastAsia"/>
          <w:b/>
          <w:color w:val="auto"/>
          <w:sz w:val="24"/>
          <w:szCs w:val="24"/>
          <w:highlight w:val="none"/>
        </w:rPr>
        <w:t>诉讼和履约</w:t>
      </w:r>
      <w:bookmarkEnd w:id="3"/>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6962"/>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179" w:type="dxa"/>
            <w:noWrap w:val="0"/>
            <w:vAlign w:val="center"/>
          </w:tcPr>
          <w:p>
            <w:pPr>
              <w:spacing w:line="320" w:lineRule="exact"/>
              <w:jc w:val="center"/>
              <w:rPr>
                <w:b/>
                <w:color w:val="auto"/>
                <w:highlight w:val="none"/>
              </w:rPr>
            </w:pPr>
            <w:r>
              <w:rPr>
                <w:rFonts w:hint="eastAsia"/>
                <w:b/>
                <w:color w:val="auto"/>
                <w:highlight w:val="none"/>
              </w:rPr>
              <w:t>项</w:t>
            </w:r>
            <w:r>
              <w:rPr>
                <w:b/>
                <w:color w:val="auto"/>
                <w:highlight w:val="none"/>
              </w:rPr>
              <w:t xml:space="preserve"> </w:t>
            </w:r>
            <w:r>
              <w:rPr>
                <w:rFonts w:hint="eastAsia"/>
                <w:b/>
                <w:color w:val="auto"/>
                <w:highlight w:val="none"/>
              </w:rPr>
              <w:t>目</w:t>
            </w:r>
          </w:p>
        </w:tc>
        <w:tc>
          <w:tcPr>
            <w:tcW w:w="6962" w:type="dxa"/>
            <w:noWrap w:val="0"/>
            <w:vAlign w:val="center"/>
          </w:tcPr>
          <w:p>
            <w:pPr>
              <w:spacing w:line="320" w:lineRule="exact"/>
              <w:jc w:val="center"/>
              <w:rPr>
                <w:b/>
                <w:color w:val="auto"/>
                <w:highlight w:val="none"/>
              </w:rPr>
            </w:pPr>
            <w:r>
              <w:rPr>
                <w:rFonts w:hint="eastAsia"/>
                <w:b/>
                <w:color w:val="auto"/>
                <w:highlight w:val="none"/>
              </w:rPr>
              <w:t>要</w:t>
            </w:r>
            <w:r>
              <w:rPr>
                <w:b/>
                <w:color w:val="auto"/>
                <w:highlight w:val="none"/>
              </w:rPr>
              <w:t xml:space="preserve">     </w:t>
            </w:r>
            <w:r>
              <w:rPr>
                <w:rFonts w:hint="eastAsia"/>
                <w:b/>
                <w:color w:val="auto"/>
                <w:highlight w:val="none"/>
              </w:rPr>
              <w:t>求</w:t>
            </w:r>
          </w:p>
        </w:tc>
        <w:tc>
          <w:tcPr>
            <w:tcW w:w="1275" w:type="dxa"/>
            <w:noWrap w:val="0"/>
            <w:vAlign w:val="center"/>
          </w:tcPr>
          <w:p>
            <w:pPr>
              <w:spacing w:line="320" w:lineRule="exact"/>
              <w:jc w:val="center"/>
              <w:rPr>
                <w:b/>
                <w:color w:val="auto"/>
                <w:highlight w:val="none"/>
              </w:rPr>
            </w:pPr>
            <w:r>
              <w:rPr>
                <w:rFonts w:hint="eastAsia"/>
                <w:b/>
                <w:color w:val="auto"/>
                <w:highlight w:val="none"/>
              </w:rPr>
              <w:t>合同段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jc w:val="center"/>
        </w:trPr>
        <w:tc>
          <w:tcPr>
            <w:tcW w:w="1179" w:type="dxa"/>
            <w:noWrap w:val="0"/>
            <w:vAlign w:val="center"/>
          </w:tcPr>
          <w:p>
            <w:pPr>
              <w:spacing w:line="360" w:lineRule="auto"/>
              <w:jc w:val="center"/>
              <w:rPr>
                <w:color w:val="auto"/>
                <w:highlight w:val="none"/>
              </w:rPr>
            </w:pPr>
            <w:r>
              <w:rPr>
                <w:rFonts w:hint="eastAsia"/>
                <w:color w:val="auto"/>
                <w:highlight w:val="none"/>
              </w:rPr>
              <w:t>诉讼和履约</w:t>
            </w:r>
          </w:p>
        </w:tc>
        <w:tc>
          <w:tcPr>
            <w:tcW w:w="6962" w:type="dxa"/>
            <w:noWrap w:val="0"/>
            <w:vAlign w:val="center"/>
          </w:tcPr>
          <w:p>
            <w:pPr>
              <w:spacing w:line="360" w:lineRule="auto"/>
              <w:ind w:firstLine="550" w:firstLineChars="250"/>
              <w:rPr>
                <w:color w:val="auto"/>
                <w:highlight w:val="none"/>
              </w:rPr>
            </w:pPr>
            <w:r>
              <w:rPr>
                <w:color w:val="auto"/>
                <w:highlight w:val="none"/>
              </w:rPr>
              <w:t>1</w:t>
            </w:r>
            <w:r>
              <w:rPr>
                <w:rFonts w:hint="eastAsia"/>
                <w:color w:val="auto"/>
                <w:highlight w:val="none"/>
              </w:rPr>
              <w:t>．投标人没有正受到责令停业的行政处罚或正处于财务被接管、冻结、破产的状态。</w:t>
            </w:r>
          </w:p>
          <w:p>
            <w:pPr>
              <w:spacing w:line="360" w:lineRule="auto"/>
              <w:ind w:firstLine="440" w:firstLineChars="200"/>
              <w:rPr>
                <w:color w:val="auto"/>
                <w:highlight w:val="none"/>
              </w:rPr>
            </w:pPr>
            <w:r>
              <w:rPr>
                <w:color w:val="auto"/>
                <w:highlight w:val="none"/>
              </w:rPr>
              <w:t xml:space="preserve"> 2</w:t>
            </w:r>
            <w:r>
              <w:rPr>
                <w:rFonts w:hint="eastAsia"/>
                <w:color w:val="auto"/>
                <w:highlight w:val="none"/>
              </w:rPr>
              <w:t>．投标人没有涉及正在诉讼的案件，或涉及正在诉讼的案件但经评标委员会认定不会对承担本项目造成重大影响。</w:t>
            </w:r>
          </w:p>
          <w:p>
            <w:pPr>
              <w:spacing w:line="360" w:lineRule="auto"/>
              <w:ind w:firstLine="550" w:firstLineChars="250"/>
              <w:rPr>
                <w:color w:val="auto"/>
                <w:highlight w:val="none"/>
              </w:rPr>
            </w:pPr>
            <w:r>
              <w:rPr>
                <w:color w:val="auto"/>
                <w:highlight w:val="none"/>
              </w:rPr>
              <w:t>3. 投标人及其法定代表人、拟委任的试验检测负责人（含备选，如有）在近三年内有行贿犯罪行为的</w:t>
            </w:r>
            <w:r>
              <w:rPr>
                <w:rFonts w:hint="eastAsia"/>
                <w:color w:val="auto"/>
                <w:highlight w:val="none"/>
              </w:rPr>
              <w:t>。</w:t>
            </w:r>
          </w:p>
          <w:p>
            <w:pPr>
              <w:spacing w:line="360" w:lineRule="auto"/>
              <w:ind w:firstLine="550" w:firstLineChars="250"/>
              <w:rPr>
                <w:color w:val="auto"/>
                <w:highlight w:val="none"/>
              </w:rPr>
            </w:pPr>
            <w:r>
              <w:rPr>
                <w:color w:val="auto"/>
                <w:highlight w:val="none"/>
              </w:rPr>
              <w:t xml:space="preserve">4. </w:t>
            </w:r>
            <w:r>
              <w:rPr>
                <w:rFonts w:hint="eastAsia"/>
                <w:color w:val="auto"/>
                <w:highlight w:val="none"/>
              </w:rPr>
              <w:t>投标人在最新一年度广东省（或全国综合）公路工程从业单位信用评价中，信用等级没有被评为</w:t>
            </w:r>
            <w:r>
              <w:rPr>
                <w:color w:val="auto"/>
                <w:highlight w:val="none"/>
              </w:rPr>
              <w:t>D</w:t>
            </w:r>
            <w:r>
              <w:rPr>
                <w:rFonts w:hint="eastAsia"/>
                <w:color w:val="auto"/>
                <w:highlight w:val="none"/>
              </w:rPr>
              <w:t>级。没参加最新一年度信用评价的，其等级按</w:t>
            </w:r>
            <w:r>
              <w:rPr>
                <w:color w:val="auto"/>
                <w:highlight w:val="none"/>
              </w:rPr>
              <w:t>B</w:t>
            </w:r>
            <w:r>
              <w:rPr>
                <w:rFonts w:hint="eastAsia"/>
                <w:color w:val="auto"/>
                <w:highlight w:val="none"/>
              </w:rPr>
              <w:t>级计。</w:t>
            </w:r>
          </w:p>
        </w:tc>
        <w:tc>
          <w:tcPr>
            <w:tcW w:w="1275" w:type="dxa"/>
            <w:noWrap w:val="0"/>
            <w:vAlign w:val="center"/>
          </w:tcPr>
          <w:p>
            <w:pPr>
              <w:spacing w:line="460" w:lineRule="exact"/>
              <w:jc w:val="center"/>
              <w:rPr>
                <w:color w:val="auto"/>
                <w:highlight w:val="none"/>
              </w:rPr>
            </w:pPr>
          </w:p>
        </w:tc>
      </w:tr>
    </w:tbl>
    <w:p>
      <w:pPr>
        <w:rPr>
          <w:color w:val="auto"/>
          <w:highlight w:val="none"/>
        </w:rPr>
      </w:pPr>
    </w:p>
    <w:p>
      <w:pPr>
        <w:pStyle w:val="5"/>
        <w:spacing w:line="276" w:lineRule="auto"/>
        <w:ind w:firstLine="420"/>
        <w:rPr>
          <w:color w:val="auto"/>
          <w:sz w:val="21"/>
          <w:szCs w:val="21"/>
          <w:highlight w:val="none"/>
        </w:rPr>
      </w:pPr>
      <w:r>
        <w:rPr>
          <w:rFonts w:hint="eastAsia"/>
          <w:color w:val="auto"/>
          <w:sz w:val="21"/>
          <w:szCs w:val="21"/>
          <w:highlight w:val="none"/>
        </w:rPr>
        <w:t>注：</w:t>
      </w:r>
      <w:r>
        <w:rPr>
          <w:color w:val="auto"/>
          <w:sz w:val="21"/>
          <w:szCs w:val="21"/>
          <w:highlight w:val="none"/>
        </w:rPr>
        <w:t>1</w:t>
      </w:r>
      <w:r>
        <w:rPr>
          <w:rFonts w:hint="eastAsia"/>
          <w:color w:val="auto"/>
          <w:sz w:val="21"/>
          <w:szCs w:val="21"/>
          <w:highlight w:val="none"/>
        </w:rPr>
        <w:t>、在近三年内投标人的法定代表人如有变更，每一任法定代表人的相关资料均需在投标文件中填报并附上相关变更证明材料。</w:t>
      </w:r>
    </w:p>
    <w:p>
      <w:pPr>
        <w:pStyle w:val="5"/>
        <w:spacing w:line="276" w:lineRule="auto"/>
        <w:ind w:firstLine="420"/>
        <w:rPr>
          <w:color w:val="auto"/>
          <w:sz w:val="21"/>
          <w:szCs w:val="21"/>
          <w:highlight w:val="none"/>
        </w:rPr>
      </w:pPr>
      <w:r>
        <w:rPr>
          <w:rFonts w:hint="eastAsia"/>
          <w:color w:val="auto"/>
          <w:sz w:val="21"/>
          <w:szCs w:val="21"/>
          <w:highlight w:val="none"/>
          <w:lang w:val="en-US"/>
        </w:rPr>
        <w:t>2</w:t>
      </w:r>
      <w:r>
        <w:rPr>
          <w:rFonts w:hint="eastAsia"/>
          <w:color w:val="auto"/>
          <w:sz w:val="21"/>
          <w:szCs w:val="21"/>
          <w:highlight w:val="none"/>
        </w:rPr>
        <w:t>、信用等级应按照广东省交通运输厅最新公布的信用等级结果进行认定，具体在广东省交通运输公众网（</w:t>
      </w:r>
      <w:r>
        <w:rPr>
          <w:color w:val="auto"/>
          <w:sz w:val="21"/>
          <w:szCs w:val="21"/>
          <w:highlight w:val="none"/>
        </w:rPr>
        <w:t>www.gdcd.gov.cn</w:t>
      </w:r>
      <w:r>
        <w:rPr>
          <w:rFonts w:hint="eastAsia"/>
          <w:color w:val="auto"/>
          <w:sz w:val="21"/>
          <w:szCs w:val="21"/>
          <w:highlight w:val="none"/>
        </w:rPr>
        <w:t>）或广东省交通建设市场信用管理系统（</w:t>
      </w:r>
      <w:r>
        <w:rPr>
          <w:color w:val="auto"/>
          <w:sz w:val="21"/>
          <w:szCs w:val="21"/>
          <w:highlight w:val="none"/>
        </w:rPr>
        <w:t>http://121.33.200.110/</w:t>
      </w:r>
      <w:r>
        <w:rPr>
          <w:rFonts w:hint="eastAsia"/>
          <w:color w:val="auto"/>
          <w:sz w:val="21"/>
          <w:szCs w:val="21"/>
          <w:highlight w:val="none"/>
        </w:rPr>
        <w:t>）可查询。</w:t>
      </w:r>
    </w:p>
    <w:p>
      <w:pPr>
        <w:spacing w:before="120" w:beforeLines="50" w:after="120" w:afterLines="50"/>
        <w:jc w:val="center"/>
        <w:rPr>
          <w:rFonts w:hint="eastAsia"/>
          <w:b/>
          <w:color w:val="auto"/>
          <w:sz w:val="24"/>
          <w:szCs w:val="24"/>
          <w:highlight w:val="none"/>
        </w:rPr>
      </w:pPr>
      <w:bookmarkStart w:id="4" w:name="_Toc6751_WPSOffice_Level2"/>
      <w:bookmarkStart w:id="5" w:name="_Toc194231047"/>
    </w:p>
    <w:p>
      <w:pPr>
        <w:spacing w:before="120" w:beforeLines="50" w:after="120" w:afterLines="50"/>
        <w:jc w:val="center"/>
        <w:rPr>
          <w:rFonts w:hint="eastAsia"/>
          <w:b/>
          <w:color w:val="auto"/>
          <w:sz w:val="24"/>
          <w:szCs w:val="24"/>
          <w:highlight w:val="none"/>
        </w:rPr>
      </w:pPr>
    </w:p>
    <w:p>
      <w:pPr>
        <w:spacing w:before="120" w:beforeLines="50" w:after="120" w:afterLines="50"/>
        <w:jc w:val="center"/>
        <w:rPr>
          <w:rFonts w:hint="eastAsia"/>
          <w:b/>
          <w:color w:val="auto"/>
          <w:sz w:val="24"/>
          <w:szCs w:val="24"/>
          <w:highlight w:val="none"/>
        </w:rPr>
      </w:pPr>
    </w:p>
    <w:p>
      <w:pPr>
        <w:spacing w:before="120" w:beforeLines="50" w:after="120" w:afterLines="50"/>
        <w:jc w:val="center"/>
        <w:rPr>
          <w:rFonts w:hint="eastAsia"/>
          <w:b/>
          <w:color w:val="auto"/>
          <w:sz w:val="24"/>
          <w:szCs w:val="24"/>
          <w:highlight w:val="none"/>
        </w:rPr>
      </w:pPr>
    </w:p>
    <w:p>
      <w:pPr>
        <w:spacing w:before="120" w:beforeLines="50" w:after="120" w:afterLines="50"/>
        <w:jc w:val="center"/>
        <w:rPr>
          <w:rFonts w:hint="eastAsia"/>
          <w:b/>
          <w:color w:val="auto"/>
          <w:sz w:val="24"/>
          <w:szCs w:val="24"/>
          <w:highlight w:val="none"/>
        </w:rPr>
      </w:pPr>
    </w:p>
    <w:p>
      <w:pPr>
        <w:spacing w:before="120" w:beforeLines="50" w:after="120" w:afterLines="50"/>
        <w:jc w:val="center"/>
        <w:rPr>
          <w:rFonts w:hint="eastAsia"/>
          <w:b/>
          <w:color w:val="auto"/>
          <w:sz w:val="24"/>
          <w:szCs w:val="24"/>
          <w:highlight w:val="none"/>
        </w:rPr>
      </w:pPr>
    </w:p>
    <w:p>
      <w:pPr>
        <w:spacing w:before="120" w:beforeLines="50" w:after="120" w:afterLines="50"/>
        <w:jc w:val="center"/>
        <w:rPr>
          <w:rFonts w:hint="eastAsia"/>
          <w:b/>
          <w:color w:val="auto"/>
          <w:sz w:val="24"/>
          <w:szCs w:val="24"/>
          <w:highlight w:val="none"/>
        </w:rPr>
      </w:pPr>
    </w:p>
    <w:p>
      <w:pPr>
        <w:spacing w:before="120" w:beforeLines="50" w:after="120" w:afterLines="50"/>
        <w:jc w:val="center"/>
        <w:rPr>
          <w:rFonts w:hint="eastAsia"/>
          <w:b/>
          <w:color w:val="auto"/>
          <w:sz w:val="24"/>
          <w:szCs w:val="24"/>
          <w:highlight w:val="none"/>
        </w:rPr>
      </w:pPr>
    </w:p>
    <w:p>
      <w:pPr>
        <w:spacing w:before="120" w:beforeLines="50" w:after="120" w:afterLines="50"/>
        <w:jc w:val="center"/>
        <w:rPr>
          <w:rFonts w:hint="eastAsia"/>
          <w:b/>
          <w:color w:val="auto"/>
          <w:sz w:val="24"/>
          <w:szCs w:val="24"/>
          <w:highlight w:val="none"/>
        </w:rPr>
      </w:pPr>
    </w:p>
    <w:p>
      <w:pPr>
        <w:spacing w:before="120" w:beforeLines="50" w:after="120" w:afterLines="50"/>
        <w:jc w:val="center"/>
        <w:rPr>
          <w:rFonts w:hint="eastAsia"/>
          <w:b/>
          <w:color w:val="auto"/>
          <w:sz w:val="24"/>
          <w:szCs w:val="24"/>
          <w:highlight w:val="none"/>
        </w:rPr>
      </w:pPr>
    </w:p>
    <w:p>
      <w:pPr>
        <w:spacing w:before="120" w:beforeLines="50" w:after="120" w:afterLines="50"/>
        <w:jc w:val="center"/>
        <w:rPr>
          <w:rFonts w:hint="eastAsia"/>
          <w:b/>
          <w:color w:val="auto"/>
          <w:sz w:val="24"/>
          <w:szCs w:val="24"/>
          <w:highlight w:val="none"/>
        </w:rPr>
      </w:pPr>
    </w:p>
    <w:p>
      <w:pPr>
        <w:spacing w:before="120" w:beforeLines="50" w:after="120" w:afterLines="50"/>
        <w:jc w:val="center"/>
        <w:rPr>
          <w:rFonts w:hint="eastAsia"/>
          <w:b/>
          <w:color w:val="auto"/>
          <w:sz w:val="24"/>
          <w:szCs w:val="24"/>
          <w:highlight w:val="none"/>
        </w:rPr>
      </w:pPr>
    </w:p>
    <w:p>
      <w:pPr>
        <w:spacing w:before="120" w:beforeLines="50" w:after="120" w:afterLines="50"/>
        <w:jc w:val="center"/>
        <w:rPr>
          <w:rFonts w:hint="eastAsia"/>
          <w:b/>
          <w:color w:val="auto"/>
          <w:sz w:val="24"/>
          <w:szCs w:val="24"/>
          <w:highlight w:val="none"/>
        </w:rPr>
      </w:pPr>
    </w:p>
    <w:p>
      <w:pPr>
        <w:spacing w:before="120" w:beforeLines="50" w:after="120" w:afterLines="50"/>
        <w:jc w:val="center"/>
        <w:rPr>
          <w:rFonts w:hint="eastAsia"/>
          <w:b/>
          <w:color w:val="auto"/>
          <w:sz w:val="24"/>
          <w:szCs w:val="24"/>
          <w:highlight w:val="none"/>
        </w:rPr>
      </w:pPr>
    </w:p>
    <w:p>
      <w:pPr>
        <w:spacing w:before="120" w:beforeLines="50" w:after="120" w:afterLines="50"/>
        <w:jc w:val="center"/>
        <w:rPr>
          <w:rFonts w:hint="eastAsia"/>
          <w:b/>
          <w:color w:val="auto"/>
          <w:sz w:val="24"/>
          <w:szCs w:val="24"/>
          <w:highlight w:val="none"/>
        </w:rPr>
      </w:pPr>
    </w:p>
    <w:p>
      <w:pPr>
        <w:spacing w:before="120" w:beforeLines="50" w:after="120" w:afterLines="50"/>
        <w:jc w:val="center"/>
        <w:rPr>
          <w:rFonts w:hint="eastAsia"/>
          <w:b/>
          <w:color w:val="auto"/>
          <w:sz w:val="24"/>
          <w:szCs w:val="24"/>
          <w:highlight w:val="none"/>
        </w:rPr>
      </w:pPr>
      <w:bookmarkStart w:id="6" w:name="_GoBack"/>
      <w:bookmarkEnd w:id="6"/>
      <w:r>
        <w:rPr>
          <w:rFonts w:hint="eastAsia"/>
          <w:b/>
          <w:color w:val="auto"/>
          <w:sz w:val="24"/>
          <w:szCs w:val="24"/>
          <w:highlight w:val="none"/>
        </w:rPr>
        <w:t>附件</w:t>
      </w:r>
      <w:r>
        <w:rPr>
          <w:b/>
          <w:color w:val="auto"/>
          <w:sz w:val="24"/>
          <w:szCs w:val="24"/>
          <w:highlight w:val="none"/>
          <w:lang w:val="en-US"/>
        </w:rPr>
        <w:t>4</w:t>
      </w:r>
      <w:r>
        <w:rPr>
          <w:b/>
          <w:color w:val="auto"/>
          <w:sz w:val="24"/>
          <w:szCs w:val="24"/>
          <w:highlight w:val="none"/>
        </w:rPr>
        <w:t xml:space="preserve"> </w:t>
      </w:r>
      <w:r>
        <w:rPr>
          <w:rFonts w:hint="eastAsia"/>
          <w:b/>
          <w:color w:val="auto"/>
          <w:sz w:val="24"/>
          <w:szCs w:val="24"/>
          <w:highlight w:val="none"/>
        </w:rPr>
        <w:t>资格审查要求</w:t>
      </w:r>
      <w:r>
        <w:rPr>
          <w:b/>
          <w:color w:val="auto"/>
          <w:sz w:val="24"/>
          <w:szCs w:val="24"/>
          <w:highlight w:val="none"/>
        </w:rPr>
        <w:t>--</w:t>
      </w:r>
      <w:r>
        <w:rPr>
          <w:rFonts w:hint="eastAsia"/>
          <w:b/>
          <w:color w:val="auto"/>
          <w:sz w:val="24"/>
          <w:szCs w:val="24"/>
          <w:highlight w:val="none"/>
        </w:rPr>
        <w:t>人员</w:t>
      </w:r>
      <w:bookmarkEnd w:id="4"/>
      <w:bookmarkEnd w:id="5"/>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5"/>
        <w:gridCol w:w="839"/>
        <w:gridCol w:w="4700"/>
        <w:gridCol w:w="1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182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color w:val="auto"/>
                <w:sz w:val="21"/>
                <w:szCs w:val="21"/>
                <w:highlight w:val="none"/>
                <w:lang w:val="en-US"/>
              </w:rPr>
            </w:pPr>
            <w:r>
              <w:rPr>
                <w:rFonts w:hint="eastAsia"/>
                <w:color w:val="auto"/>
                <w:sz w:val="21"/>
                <w:szCs w:val="21"/>
                <w:highlight w:val="none"/>
                <w:lang w:val="en-US" w:bidi="ar"/>
              </w:rPr>
              <w:t>人员</w:t>
            </w:r>
          </w:p>
        </w:tc>
        <w:tc>
          <w:tcPr>
            <w:tcW w:w="83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color w:val="auto"/>
                <w:sz w:val="21"/>
                <w:szCs w:val="21"/>
                <w:highlight w:val="none"/>
                <w:lang w:val="en-US"/>
              </w:rPr>
            </w:pPr>
            <w:r>
              <w:rPr>
                <w:rFonts w:hint="eastAsia"/>
                <w:color w:val="auto"/>
                <w:sz w:val="21"/>
                <w:szCs w:val="21"/>
                <w:highlight w:val="none"/>
                <w:lang w:val="en-US" w:bidi="ar"/>
              </w:rPr>
              <w:t>数量</w:t>
            </w:r>
          </w:p>
        </w:tc>
        <w:tc>
          <w:tcPr>
            <w:tcW w:w="470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color w:val="auto"/>
                <w:sz w:val="21"/>
                <w:szCs w:val="21"/>
                <w:highlight w:val="none"/>
                <w:lang w:val="en-US"/>
              </w:rPr>
            </w:pPr>
            <w:r>
              <w:rPr>
                <w:rFonts w:hint="eastAsia"/>
                <w:color w:val="auto"/>
                <w:sz w:val="21"/>
                <w:szCs w:val="21"/>
                <w:highlight w:val="none"/>
                <w:lang w:val="en-US" w:bidi="ar"/>
              </w:rPr>
              <w:t>资格要求</w:t>
            </w:r>
          </w:p>
        </w:tc>
        <w:tc>
          <w:tcPr>
            <w:tcW w:w="178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default" w:eastAsia="宋体"/>
                <w:color w:val="auto"/>
                <w:sz w:val="21"/>
                <w:szCs w:val="21"/>
                <w:highlight w:val="none"/>
                <w:lang w:val="en-US" w:eastAsia="zh-CN" w:bidi="ar"/>
              </w:rPr>
            </w:pPr>
            <w:r>
              <w:rPr>
                <w:rFonts w:hint="eastAsia"/>
                <w:color w:val="auto"/>
                <w:sz w:val="21"/>
                <w:szCs w:val="21"/>
                <w:highlight w:val="none"/>
                <w:lang w:val="en-US" w:eastAsia="zh-CN" w:bidi="ar"/>
              </w:rPr>
              <w:t>在岗要求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9" w:hRule="atLeast"/>
          <w:jc w:val="center"/>
        </w:trPr>
        <w:tc>
          <w:tcPr>
            <w:tcW w:w="182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color w:val="auto"/>
                <w:sz w:val="21"/>
                <w:szCs w:val="21"/>
                <w:highlight w:val="none"/>
                <w:lang w:val="en-US" w:bidi="ar"/>
              </w:rPr>
            </w:pPr>
            <w:r>
              <w:rPr>
                <w:color w:val="auto"/>
                <w:sz w:val="21"/>
                <w:highlight w:val="none"/>
              </w:rPr>
              <w:t>试验检测负责人</w:t>
            </w:r>
          </w:p>
        </w:tc>
        <w:tc>
          <w:tcPr>
            <w:tcW w:w="83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color w:val="auto"/>
                <w:sz w:val="21"/>
                <w:szCs w:val="21"/>
                <w:highlight w:val="none"/>
                <w:lang w:val="en-US" w:bidi="ar"/>
              </w:rPr>
            </w:pPr>
            <w:r>
              <w:rPr>
                <w:rFonts w:hint="eastAsia"/>
                <w:color w:val="auto"/>
                <w:sz w:val="21"/>
                <w:szCs w:val="21"/>
                <w:highlight w:val="none"/>
                <w:lang w:val="en-US" w:bidi="ar"/>
              </w:rPr>
              <w:t>1</w:t>
            </w:r>
          </w:p>
        </w:tc>
        <w:tc>
          <w:tcPr>
            <w:tcW w:w="47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color w:val="auto"/>
                <w:sz w:val="21"/>
                <w:szCs w:val="21"/>
                <w:highlight w:val="none"/>
                <w:lang w:val="en-US" w:bidi="ar"/>
              </w:rPr>
            </w:pPr>
            <w:r>
              <w:rPr>
                <w:rFonts w:hint="eastAsia"/>
                <w:color w:val="auto"/>
                <w:sz w:val="21"/>
                <w:szCs w:val="21"/>
                <w:highlight w:val="none"/>
                <w:lang w:val="en-US" w:bidi="ar"/>
              </w:rPr>
              <w:t>具有路桥相关专业中级或以上技术职称，</w:t>
            </w:r>
            <w:r>
              <w:rPr>
                <w:color w:val="auto"/>
                <w:sz w:val="21"/>
                <w:highlight w:val="none"/>
              </w:rPr>
              <w:t>持有行政主管部门核发的公路工程试验检测师资格证书或在有效期内的试验检测工程师资格证书</w:t>
            </w:r>
            <w:r>
              <w:rPr>
                <w:color w:val="auto"/>
                <w:spacing w:val="-41"/>
                <w:sz w:val="21"/>
                <w:highlight w:val="none"/>
              </w:rPr>
              <w:t xml:space="preserve"> </w:t>
            </w:r>
            <w:r>
              <w:rPr>
                <w:rFonts w:hint="eastAsia"/>
                <w:color w:val="auto"/>
                <w:sz w:val="21"/>
                <w:szCs w:val="21"/>
                <w:highlight w:val="none"/>
                <w:lang w:val="en-US" w:bidi="ar"/>
              </w:rPr>
              <w:t>，</w:t>
            </w:r>
            <w:r>
              <w:rPr>
                <w:color w:val="auto"/>
                <w:sz w:val="21"/>
                <w:highlight w:val="none"/>
              </w:rPr>
              <w:t>至</w:t>
            </w:r>
            <w:r>
              <w:rPr>
                <w:color w:val="auto"/>
                <w:spacing w:val="-3"/>
                <w:sz w:val="21"/>
                <w:highlight w:val="none"/>
              </w:rPr>
              <w:t>少</w:t>
            </w:r>
            <w:r>
              <w:rPr>
                <w:color w:val="auto"/>
                <w:sz w:val="21"/>
                <w:highlight w:val="none"/>
              </w:rPr>
              <w:t>担</w:t>
            </w:r>
            <w:r>
              <w:rPr>
                <w:color w:val="auto"/>
                <w:spacing w:val="-3"/>
                <w:sz w:val="21"/>
                <w:highlight w:val="none"/>
              </w:rPr>
              <w:t>任</w:t>
            </w:r>
            <w:r>
              <w:rPr>
                <w:color w:val="auto"/>
                <w:sz w:val="21"/>
                <w:highlight w:val="none"/>
              </w:rPr>
              <w:t>过</w:t>
            </w:r>
            <w:r>
              <w:rPr>
                <w:rFonts w:hint="eastAsia"/>
                <w:color w:val="auto"/>
                <w:sz w:val="21"/>
                <w:highlight w:val="none"/>
                <w:u w:val="single"/>
                <w:lang w:val="en-US"/>
              </w:rPr>
              <w:t>1</w:t>
            </w:r>
            <w:r>
              <w:rPr>
                <w:color w:val="auto"/>
                <w:sz w:val="21"/>
                <w:highlight w:val="none"/>
              </w:rPr>
              <w:t>项</w:t>
            </w:r>
            <w:r>
              <w:rPr>
                <w:color w:val="auto"/>
                <w:spacing w:val="-3"/>
                <w:sz w:val="21"/>
                <w:highlight w:val="none"/>
              </w:rPr>
              <w:t>类似</w:t>
            </w:r>
            <w:r>
              <w:rPr>
                <w:color w:val="auto"/>
                <w:sz w:val="21"/>
                <w:highlight w:val="none"/>
              </w:rPr>
              <w:t>工程</w:t>
            </w:r>
            <w:r>
              <w:rPr>
                <w:rFonts w:eastAsia="宋体"/>
                <w:color w:val="auto"/>
                <w:sz w:val="21"/>
                <w:highlight w:val="none"/>
              </w:rPr>
              <w:t>中心试验室（</w:t>
            </w:r>
            <w:r>
              <w:rPr>
                <w:rFonts w:hint="eastAsia" w:eastAsia="宋体"/>
                <w:color w:val="auto"/>
                <w:sz w:val="21"/>
                <w:highlight w:val="none"/>
              </w:rPr>
              <w:t>或第三方检测</w:t>
            </w:r>
            <w:r>
              <w:rPr>
                <w:rFonts w:eastAsia="宋体"/>
                <w:color w:val="auto"/>
                <w:sz w:val="21"/>
                <w:highlight w:val="none"/>
              </w:rPr>
              <w:t>）项</w:t>
            </w:r>
            <w:r>
              <w:rPr>
                <w:color w:val="auto"/>
                <w:sz w:val="21"/>
                <w:highlight w:val="none"/>
              </w:rPr>
              <w:t>目负责人职务</w:t>
            </w:r>
            <w:r>
              <w:rPr>
                <w:rFonts w:hint="eastAsia"/>
                <w:color w:val="auto"/>
                <w:sz w:val="21"/>
                <w:szCs w:val="21"/>
                <w:highlight w:val="none"/>
                <w:lang w:val="en-US" w:bidi="ar"/>
              </w:rPr>
              <w:t>，年龄不超过</w:t>
            </w:r>
            <w:r>
              <w:rPr>
                <w:rFonts w:hint="eastAsia"/>
                <w:color w:val="auto"/>
                <w:sz w:val="21"/>
                <w:szCs w:val="21"/>
                <w:highlight w:val="none"/>
                <w:lang w:val="en-US" w:eastAsia="zh-CN" w:bidi="ar"/>
              </w:rPr>
              <w:t>55</w:t>
            </w:r>
            <w:r>
              <w:rPr>
                <w:rFonts w:hint="eastAsia"/>
                <w:color w:val="auto"/>
                <w:sz w:val="21"/>
                <w:szCs w:val="21"/>
                <w:highlight w:val="none"/>
                <w:lang w:val="en-US" w:bidi="ar"/>
              </w:rPr>
              <w:t>岁。</w:t>
            </w:r>
          </w:p>
        </w:tc>
        <w:tc>
          <w:tcPr>
            <w:tcW w:w="1787" w:type="dxa"/>
            <w:tcBorders>
              <w:top w:val="single" w:color="auto" w:sz="4" w:space="0"/>
              <w:left w:val="single" w:color="auto" w:sz="4" w:space="0"/>
              <w:right w:val="single" w:color="auto" w:sz="4" w:space="0"/>
            </w:tcBorders>
            <w:noWrap w:val="0"/>
            <w:vAlign w:val="center"/>
          </w:tcPr>
          <w:p>
            <w:pPr>
              <w:spacing w:line="360" w:lineRule="auto"/>
              <w:rPr>
                <w:rFonts w:hint="eastAsia"/>
                <w:color w:val="auto"/>
                <w:sz w:val="21"/>
                <w:szCs w:val="21"/>
                <w:highlight w:val="none"/>
                <w:lang w:val="en-US" w:bidi="ar"/>
              </w:rPr>
            </w:pPr>
            <w:r>
              <w:rPr>
                <w:rFonts w:hint="eastAsia"/>
                <w:color w:val="auto"/>
                <w:kern w:val="2"/>
                <w:sz w:val="21"/>
                <w:szCs w:val="21"/>
                <w:highlight w:val="none"/>
                <w:lang w:val="en-US" w:bidi="ar"/>
              </w:rPr>
              <w:t>无在岗项目（指目前未在其他项目上任职，或虽在其他项目上任职但本项目中标后能够从该项目撤离）</w:t>
            </w:r>
          </w:p>
        </w:tc>
      </w:tr>
    </w:tbl>
    <w:p>
      <w:pPr>
        <w:spacing w:line="360" w:lineRule="auto"/>
        <w:rPr>
          <w:rFonts w:hint="eastAsia"/>
          <w:color w:val="auto"/>
          <w:kern w:val="2"/>
          <w:sz w:val="21"/>
          <w:szCs w:val="21"/>
          <w:highlight w:val="none"/>
          <w:lang w:val="en-US" w:bidi="ar"/>
        </w:rPr>
      </w:pPr>
      <w:r>
        <w:rPr>
          <w:rFonts w:hint="eastAsia"/>
          <w:color w:val="auto"/>
          <w:sz w:val="21"/>
          <w:szCs w:val="21"/>
          <w:highlight w:val="none"/>
        </w:rPr>
        <w:t>注：</w:t>
      </w:r>
      <w:r>
        <w:rPr>
          <w:color w:val="auto"/>
          <w:sz w:val="21"/>
          <w:szCs w:val="21"/>
          <w:highlight w:val="none"/>
        </w:rPr>
        <w:t>1</w:t>
      </w:r>
      <w:r>
        <w:rPr>
          <w:rFonts w:hint="eastAsia"/>
          <w:color w:val="auto"/>
          <w:sz w:val="21"/>
          <w:szCs w:val="21"/>
          <w:highlight w:val="none"/>
        </w:rPr>
        <w:t>、</w:t>
      </w:r>
      <w:r>
        <w:rPr>
          <w:rFonts w:hint="eastAsia"/>
          <w:color w:val="auto"/>
          <w:sz w:val="21"/>
          <w:szCs w:val="21"/>
          <w:highlight w:val="none"/>
          <w:lang w:val="en-US"/>
        </w:rPr>
        <w:t>在岗要求：</w:t>
      </w:r>
      <w:r>
        <w:rPr>
          <w:rFonts w:hint="eastAsia"/>
          <w:color w:val="auto"/>
          <w:kern w:val="2"/>
          <w:sz w:val="21"/>
          <w:szCs w:val="21"/>
          <w:highlight w:val="none"/>
          <w:lang w:val="en-US" w:bidi="ar"/>
        </w:rPr>
        <w:t>无在岗项目（指目前未在其他项目上任职，或虽在其他项目上任职但本项目中标后能够从该项目撤离）</w:t>
      </w:r>
    </w:p>
    <w:p>
      <w:pPr>
        <w:spacing w:line="360" w:lineRule="auto"/>
        <w:ind w:firstLine="210" w:firstLineChars="100"/>
        <w:rPr>
          <w:rFonts w:hint="eastAsia"/>
          <w:color w:val="auto"/>
          <w:kern w:val="2"/>
          <w:sz w:val="21"/>
          <w:szCs w:val="21"/>
          <w:highlight w:val="none"/>
          <w:lang w:val="en-US" w:bidi="ar"/>
        </w:rPr>
      </w:pPr>
      <w:r>
        <w:rPr>
          <w:rFonts w:hint="eastAsia"/>
          <w:color w:val="auto"/>
          <w:kern w:val="2"/>
          <w:sz w:val="21"/>
          <w:szCs w:val="21"/>
          <w:highlight w:val="none"/>
          <w:lang w:val="en-US" w:bidi="ar"/>
        </w:rPr>
        <w:t xml:space="preserve">  2、“路桥”相关专业指公路工程、桥梁工程、道路工程、道路与桥梁、桥隧工程、路桥工程、交通土建、公路与城市道路、公路与桥梁、隧道等相近专业，技术职称资格证书或注册执业资格证书所列明的专业为上述专业均符合要求。</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52B2EF"/>
    <w:multiLevelType w:val="singleLevel"/>
    <w:tmpl w:val="3C52B2EF"/>
    <w:lvl w:ilvl="0" w:tentative="0">
      <w:start w:val="1"/>
      <w:numFmt w:val="decimal"/>
      <w:suff w:val="nothing"/>
      <w:lvlText w:val="%1、"/>
      <w:lvlJc w:val="left"/>
    </w:lvl>
  </w:abstractNum>
  <w:abstractNum w:abstractNumId="1">
    <w:nsid w:val="50AB3689"/>
    <w:multiLevelType w:val="singleLevel"/>
    <w:tmpl w:val="50AB3689"/>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1ZjIyMTliMTY0OGQwNmY3ZTY1ZWU3MGMzZDcyZDUifQ=="/>
  </w:docVars>
  <w:rsids>
    <w:rsidRoot w:val="00000000"/>
    <w:rsid w:val="74FE4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pPr>
    <w:rPr>
      <w:rFonts w:ascii="宋体" w:hAnsi="宋体" w:eastAsia="宋体" w:cs="宋体"/>
      <w:sz w:val="22"/>
      <w:szCs w:val="22"/>
      <w:lang w:val="zh-CN"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widowControl w:val="0"/>
      <w:tabs>
        <w:tab w:val="left" w:pos="1275"/>
      </w:tabs>
      <w:overflowPunct/>
      <w:autoSpaceDE/>
      <w:autoSpaceDN/>
      <w:adjustRightInd/>
      <w:spacing w:after="120" w:line="240" w:lineRule="auto"/>
      <w:ind w:left="420" w:leftChars="200" w:firstLine="420" w:firstLineChars="200"/>
      <w:textAlignment w:val="auto"/>
    </w:pPr>
    <w:rPr>
      <w:rFonts w:ascii="Times New Roman" w:hAnsi="Times New Roman" w:eastAsia="宋体" w:cs="Times New Roman"/>
      <w:spacing w:val="0"/>
      <w:sz w:val="21"/>
      <w:szCs w:val="24"/>
    </w:rPr>
  </w:style>
  <w:style w:type="paragraph" w:styleId="3">
    <w:name w:val="Body Text Indent"/>
    <w:basedOn w:val="1"/>
    <w:next w:val="4"/>
    <w:qFormat/>
    <w:uiPriority w:val="99"/>
    <w:pPr>
      <w:spacing w:line="360" w:lineRule="auto"/>
      <w:ind w:firstLine="480"/>
    </w:pPr>
  </w:style>
  <w:style w:type="paragraph" w:styleId="4">
    <w:name w:val="envelope return"/>
    <w:basedOn w:val="1"/>
    <w:qFormat/>
    <w:uiPriority w:val="0"/>
    <w:pPr>
      <w:snapToGrid w:val="0"/>
    </w:pPr>
    <w:rPr>
      <w:rFonts w:ascii="Arial" w:hAnsi="Arial"/>
      <w:szCs w:val="24"/>
    </w:rPr>
  </w:style>
  <w:style w:type="paragraph" w:styleId="5">
    <w:name w:val="footnote text"/>
    <w:basedOn w:val="1"/>
    <w:qFormat/>
    <w:uiPriority w:val="0"/>
    <w:pPr>
      <w:snapToGrid w:val="0"/>
    </w:pPr>
    <w:rPr>
      <w:rFonts w:ascii="Calibri" w:hAnsi="Calibri" w:cs="Times New Roman"/>
      <w:sz w:val="1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2023-02-17T05:57:28Z</dcterms:created>
  <dc:creator>86199</dc:creator>
  <cp:lastModifiedBy>王志磊</cp:lastModifiedBy>
  <dcterms:modified xsi:type="dcterms:W3CDTF">2023-02-17T05:58:14Z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3FD6C985B55E43E1A283DB8D63064C55</vt:lpwstr>
  </property>
</Properties>
</file>