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91C72">
      <w:pPr>
        <w:spacing w:line="480" w:lineRule="auto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关于广州市南沙区养老院修缮工程</w:t>
      </w:r>
    </w:p>
    <w:p w14:paraId="27C07D50">
      <w:pPr>
        <w:spacing w:line="480" w:lineRule="auto"/>
        <w:jc w:val="center"/>
        <w:rPr>
          <w:rFonts w:hint="eastAsia" w:eastAsia="仿宋_GB2312"/>
          <w:snapToGrid w:val="0"/>
          <w:kern w:val="0"/>
          <w:sz w:val="28"/>
          <w:szCs w:val="28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工程量清单编制及投标报价说明</w:t>
      </w: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 xml:space="preserve">  </w:t>
      </w:r>
      <w:r>
        <w:rPr>
          <w:rFonts w:hint="eastAsia" w:eastAsia="仿宋_GB2312"/>
          <w:snapToGrid w:val="0"/>
          <w:kern w:val="0"/>
          <w:sz w:val="28"/>
          <w:szCs w:val="28"/>
        </w:rPr>
        <w:t xml:space="preserve">                  </w:t>
      </w:r>
    </w:p>
    <w:p w14:paraId="3E14F91A">
      <w:pPr>
        <w:spacing w:line="480" w:lineRule="auto"/>
        <w:jc w:val="right"/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广华审预字[2025]2-14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  <w:lang w:val="en-US" w:eastAsia="zh-CN"/>
        </w:rPr>
        <w:t>-2</w:t>
      </w:r>
      <w:r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  <w:t>号</w:t>
      </w:r>
    </w:p>
    <w:p w14:paraId="68BE6393">
      <w:pPr>
        <w:spacing w:line="480" w:lineRule="auto"/>
        <w:jc w:val="right"/>
        <w:rPr>
          <w:rFonts w:hint="eastAsia" w:ascii="仿宋_GB2312" w:hAnsi="仿宋_GB2312" w:eastAsia="仿宋_GB2312" w:cs="仿宋_GB2312"/>
          <w:bCs/>
          <w:color w:val="000000"/>
          <w:sz w:val="28"/>
          <w:szCs w:val="28"/>
        </w:rPr>
      </w:pPr>
    </w:p>
    <w:p w14:paraId="3B4EEEA0">
      <w:pPr>
        <w:adjustRightInd w:val="0"/>
        <w:snapToGrid w:val="0"/>
        <w:spacing w:line="360" w:lineRule="auto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8"/>
          <w:szCs w:val="28"/>
        </w:rPr>
        <w:t>一、项目概况</w:t>
      </w:r>
      <w:r>
        <w:rPr>
          <w:rFonts w:hint="eastAsia" w:asciiTheme="minorEastAsia" w:hAnsiTheme="minorEastAsia" w:cstheme="minorEastAsia"/>
          <w:b/>
          <w:bCs/>
          <w:snapToGrid w:val="0"/>
          <w:kern w:val="0"/>
          <w:sz w:val="28"/>
          <w:szCs w:val="28"/>
          <w:lang w:eastAsia="zh-CN"/>
        </w:rPr>
        <w:t>：</w:t>
      </w:r>
    </w:p>
    <w:p w14:paraId="44EC8B97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（一）建设单位：广州市南沙区民政局</w:t>
      </w:r>
    </w:p>
    <w:p w14:paraId="75CA4012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（二）工程地点：广州市南沙区</w:t>
      </w:r>
    </w:p>
    <w:p w14:paraId="3D0BAA82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（三）项目内容：广州市南沙区养老院修缮工程，包含但不限于拆除工程、门窗工程、楼地面装饰工程、墙柱面工程、天棚装饰工程、油漆涂料裱糊工程、其他装饰工程、脚手架工程、电气工程、给排水工程、消防工程等施工图所包含的工程。</w:t>
      </w:r>
    </w:p>
    <w:p w14:paraId="0FC4245C">
      <w:pPr>
        <w:tabs>
          <w:tab w:val="left" w:pos="1080"/>
        </w:tabs>
        <w:spacing w:before="156" w:beforeLines="50" w:line="360" w:lineRule="auto"/>
        <w:ind w:firstLine="562" w:firstLineChars="200"/>
        <w:outlineLvl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8"/>
          <w:szCs w:val="28"/>
        </w:rPr>
        <w:t>二、清单编制依据</w:t>
      </w:r>
      <w:r>
        <w:rPr>
          <w:rFonts w:hint="eastAsia" w:asciiTheme="minorEastAsia" w:hAnsiTheme="minorEastAsia" w:cstheme="minorEastAsia"/>
          <w:b/>
          <w:bCs/>
          <w:snapToGrid w:val="0"/>
          <w:kern w:val="0"/>
          <w:sz w:val="28"/>
          <w:szCs w:val="28"/>
          <w:lang w:eastAsia="zh-CN"/>
        </w:rPr>
        <w:t>：</w:t>
      </w:r>
    </w:p>
    <w:p w14:paraId="56294F18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（一）送编资料</w:t>
      </w:r>
    </w:p>
    <w:p w14:paraId="35B2B245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1、广州市南沙区财政局评审的《南沙区财政投资评审处理意见通知书（穗南区财评〔2025]42号）》；</w:t>
      </w:r>
    </w:p>
    <w:p w14:paraId="16E1A2C9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2、广州工建工程咨询有限公司审核的《关于广州市南沙区养老院修缮工程预算评审的报告（穗南工建审〔2025〕073号）》；</w:t>
      </w:r>
    </w:p>
    <w:p w14:paraId="430944D5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3、广州市南沙区养老院修缮工程施工图（2025-01）。</w:t>
      </w:r>
    </w:p>
    <w:p w14:paraId="1359E297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（二）执行的规范、定额及计价文件</w:t>
      </w:r>
    </w:p>
    <w:p w14:paraId="64DF06E3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1、《建设工程工程量清单计价规范（GB50500-2013）》《房屋建筑与装修工程工程量计算规范（GB50854-2013）》《通用安装工程工程量计量规范（GB-50856-2013）》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；</w:t>
      </w:r>
    </w:p>
    <w:p w14:paraId="57C46E8F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2、《广东省房屋建筑与装饰工程综合定额（2018）》《广东省通用安装工程综合定额（2018）》及配套文件；</w:t>
      </w:r>
    </w:p>
    <w:p w14:paraId="1AD9E090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3、《2025年第6月份广州市建设工程常用材料税前综合价格》（穗建造价〔2025〕102号）。</w:t>
      </w:r>
    </w:p>
    <w:p w14:paraId="078F8A6D">
      <w:pPr>
        <w:tabs>
          <w:tab w:val="left" w:pos="1080"/>
        </w:tabs>
        <w:spacing w:before="156" w:beforeLines="50" w:line="360" w:lineRule="auto"/>
        <w:ind w:firstLine="562" w:firstLineChars="200"/>
        <w:outlineLvl w:val="0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8"/>
          <w:szCs w:val="28"/>
        </w:rPr>
        <w:t>三、编制说明</w:t>
      </w:r>
    </w:p>
    <w:p w14:paraId="3DDADF1D">
      <w:pPr>
        <w:tabs>
          <w:tab w:val="left" w:pos="900"/>
          <w:tab w:val="left" w:pos="1080"/>
        </w:tabs>
        <w:spacing w:line="360" w:lineRule="auto"/>
        <w:ind w:left="0" w:leftChars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（一）报价依据</w:t>
      </w:r>
    </w:p>
    <w:p w14:paraId="6F44DC4A">
      <w:pPr>
        <w:tabs>
          <w:tab w:val="left" w:pos="900"/>
          <w:tab w:val="left" w:pos="1080"/>
        </w:tabs>
        <w:spacing w:line="360" w:lineRule="auto"/>
        <w:ind w:left="0" w:leftChars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报价依据《建设工程工程量清单计价规范》（GB50500-2013）、《广东省建筑与装饰工程工程量清单计价指引（2013）》、《广东省房屋建筑与装饰工程综合定额(2018)》《广东省通用安装工程综合定额（2018）》及企业定额进行报价；</w:t>
      </w:r>
    </w:p>
    <w:p w14:paraId="1BE8148A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2、人工费，材料、机械台班单价参照《广州市建设工程造价管理站关于发布2025年6月份广州市建设工程价格信息》，信息价没有的材料价格参考市场价。</w:t>
      </w:r>
    </w:p>
    <w:p w14:paraId="3AD31DF9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3、本工程采用工程量清单计价模式，投标单位应结合工程实际特点、市场竞争能力、工程施工风险及企业自身能力进行报价，不得低于成本报价竞价；</w:t>
      </w:r>
    </w:p>
    <w:p w14:paraId="15900561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4、根据国家和地区现行行业施工技术规范进行报价；</w:t>
      </w:r>
    </w:p>
    <w:p w14:paraId="583FB666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5、所有的报价应结合招标文件、工程量清单、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施工图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要求及相关资料进行报价。</w:t>
      </w:r>
    </w:p>
    <w:p w14:paraId="61E0D1DA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（二）投标报价风险包括：</w:t>
      </w:r>
    </w:p>
    <w:p w14:paraId="7B9B2FAB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投标单位在报价时应考虑对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施工图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的深化与设计输入条件提资，完成</w:t>
      </w: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施工图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的编制与涵盖的施工内容；按照招标文件规定的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施工图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及招标范围内容，充分考虑合同执行过程中人工单价、政策性变化引起的价格变动风险。</w:t>
      </w:r>
    </w:p>
    <w:p w14:paraId="4560A4B3">
      <w:pPr>
        <w:tabs>
          <w:tab w:val="left" w:pos="900"/>
          <w:tab w:val="left" w:pos="1080"/>
        </w:tabs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（三）有关说明：</w:t>
      </w:r>
    </w:p>
    <w:p w14:paraId="53582B2E">
      <w:pPr>
        <w:tabs>
          <w:tab w:val="left" w:pos="900"/>
          <w:tab w:val="left" w:pos="1080"/>
        </w:tabs>
        <w:spacing w:line="360" w:lineRule="auto"/>
        <w:ind w:left="0" w:leftChars="0"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1、每个项目的综合单价应包括完成该项目的所有施工工序的主要、次要等一切工作内容，若漏报则视为已包括在本工程相关项目报价内；</w:t>
      </w:r>
    </w:p>
    <w:p w14:paraId="05092950">
      <w:pPr>
        <w:tabs>
          <w:tab w:val="left" w:pos="900"/>
          <w:tab w:val="left" w:pos="1080"/>
        </w:tabs>
        <w:spacing w:line="550" w:lineRule="exact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2、项目措施费、规费、税金在招标文件中工程量清单提供的有关表格内填报，若漏项视为已包含在本工程的相关项目内。</w:t>
      </w:r>
    </w:p>
    <w:p w14:paraId="2AB66075">
      <w:pPr>
        <w:tabs>
          <w:tab w:val="left" w:pos="900"/>
          <w:tab w:val="left" w:pos="1080"/>
        </w:tabs>
        <w:spacing w:line="550" w:lineRule="exact"/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kern w:val="0"/>
          <w:sz w:val="28"/>
          <w:szCs w:val="28"/>
        </w:rPr>
        <w:t>四、附件</w:t>
      </w:r>
    </w:p>
    <w:p w14:paraId="792B9A34">
      <w:pPr>
        <w:tabs>
          <w:tab w:val="left" w:pos="900"/>
          <w:tab w:val="left" w:pos="1080"/>
        </w:tabs>
        <w:spacing w:line="550" w:lineRule="exact"/>
        <w:ind w:firstLine="560" w:firstLineChars="200"/>
        <w:rPr>
          <w:rFonts w:ascii="仿宋_GB2312" w:hAnsi="宋体" w:eastAsia="仿宋_GB2312" w:cs="Times New Roman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kern w:val="0"/>
          <w:sz w:val="28"/>
          <w:szCs w:val="28"/>
        </w:rPr>
        <w:t>工程量清单。</w:t>
      </w:r>
    </w:p>
    <w:p w14:paraId="77F801E0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 xml:space="preserve">               </w:t>
      </w:r>
    </w:p>
    <w:p w14:paraId="2FE150E7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282E477D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47153E32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3E9DE5A0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74952EFA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51D797F2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7CB19787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18A631EA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340B5577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014E404A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5A67BFFA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393FE3F2">
      <w:pPr>
        <w:tabs>
          <w:tab w:val="left" w:pos="900"/>
          <w:tab w:val="left" w:pos="1080"/>
        </w:tabs>
        <w:spacing w:line="550" w:lineRule="exact"/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</w:p>
    <w:p w14:paraId="563488B2"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7E8449F7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(此页无正文)</w:t>
      </w:r>
    </w:p>
    <w:p w14:paraId="1D4B1F54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15A75ADE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4E395AE3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28210388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机构名称：</w:t>
      </w:r>
    </w:p>
    <w:p w14:paraId="16D1E02E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6281B31E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03A2C4B3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1FFD4864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编制人：</w:t>
      </w:r>
    </w:p>
    <w:p w14:paraId="57868CDB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7B5C4EAA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13A2183A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095222E5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复核人：</w:t>
      </w:r>
    </w:p>
    <w:p w14:paraId="240E0F1F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629D950B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216BD65B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637930D0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批准人：</w:t>
      </w:r>
    </w:p>
    <w:p w14:paraId="2FB18847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08C6A488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0BE2F1B1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7CE1D27E">
      <w:pPr>
        <w:adjustRightInd w:val="0"/>
        <w:snapToGrid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</w:pPr>
    </w:p>
    <w:p w14:paraId="7A924FE5">
      <w:pPr>
        <w:tabs>
          <w:tab w:val="left" w:pos="900"/>
          <w:tab w:val="left" w:pos="1080"/>
        </w:tabs>
        <w:spacing w:line="550" w:lineRule="exact"/>
        <w:jc w:val="center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二〇二五年</w:t>
      </w:r>
      <w:r>
        <w:rPr>
          <w:rFonts w:hint="eastAsia" w:asciiTheme="minorEastAsia" w:hAnsiTheme="minorEastAsia" w:cstheme="minorEastAsia"/>
          <w:snapToGrid w:val="0"/>
          <w:kern w:val="0"/>
          <w:sz w:val="28"/>
          <w:szCs w:val="28"/>
          <w:lang w:val="en-US" w:eastAsia="zh-CN"/>
        </w:rPr>
        <w:t>九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napToGrid w:val="0"/>
          <w:kern w:val="0"/>
          <w:sz w:val="28"/>
          <w:szCs w:val="28"/>
          <w:lang w:val="en-US" w:eastAsia="zh-CN"/>
        </w:rPr>
        <w:t>二十二</w:t>
      </w:r>
      <w:r>
        <w:rPr>
          <w:rFonts w:hint="eastAsia" w:asciiTheme="minorEastAsia" w:hAnsiTheme="minorEastAsia" w:eastAsiaTheme="minorEastAsia" w:cstheme="minorEastAsia"/>
          <w:snapToGrid w:val="0"/>
          <w:kern w:val="0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DE9C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ADE30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ADE30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2243C"/>
    <w:rsid w:val="00992BB2"/>
    <w:rsid w:val="00A676BD"/>
    <w:rsid w:val="00BF0263"/>
    <w:rsid w:val="00C818A4"/>
    <w:rsid w:val="0D305579"/>
    <w:rsid w:val="0F962D7A"/>
    <w:rsid w:val="107A5D94"/>
    <w:rsid w:val="115A4F7C"/>
    <w:rsid w:val="1D654D4A"/>
    <w:rsid w:val="1FC0642C"/>
    <w:rsid w:val="223278FB"/>
    <w:rsid w:val="223E77BF"/>
    <w:rsid w:val="28B4150A"/>
    <w:rsid w:val="296643CE"/>
    <w:rsid w:val="2A7F6688"/>
    <w:rsid w:val="2B575A47"/>
    <w:rsid w:val="2D6B2978"/>
    <w:rsid w:val="2E612A61"/>
    <w:rsid w:val="2F5220CB"/>
    <w:rsid w:val="2FB5060B"/>
    <w:rsid w:val="31A83D89"/>
    <w:rsid w:val="40D4540C"/>
    <w:rsid w:val="4C752A24"/>
    <w:rsid w:val="53B22B95"/>
    <w:rsid w:val="565136B4"/>
    <w:rsid w:val="58D04FB1"/>
    <w:rsid w:val="5C1A1D66"/>
    <w:rsid w:val="5D82243C"/>
    <w:rsid w:val="64735694"/>
    <w:rsid w:val="66AA417E"/>
    <w:rsid w:val="67BB0C58"/>
    <w:rsid w:val="69460B6E"/>
    <w:rsid w:val="73C37960"/>
    <w:rsid w:val="74817CCE"/>
    <w:rsid w:val="7ED5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仿宋_GB2312"/>
      <w:sz w:val="30"/>
    </w:rPr>
  </w:style>
  <w:style w:type="paragraph" w:styleId="3">
    <w:name w:val="Body Text Indent 2"/>
    <w:basedOn w:val="1"/>
    <w:qFormat/>
    <w:uiPriority w:val="0"/>
    <w:pPr>
      <w:ind w:firstLine="640" w:firstLineChars="200"/>
    </w:pPr>
    <w:rPr>
      <w:rFonts w:ascii="宋体" w:hAnsi="宋体"/>
      <w:color w:val="000000"/>
      <w:sz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1061</Words>
  <Characters>1162</Characters>
  <Lines>6</Lines>
  <Paragraphs>1</Paragraphs>
  <TotalTime>4</TotalTime>
  <ScaleCrop>false</ScaleCrop>
  <LinksUpToDate>false</LinksUpToDate>
  <CharactersWithSpaces>1197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2017-09-23T10:41:00Z</dcterms:created>
  <dc:creator>user</dc:creator>
  <cp:lastModifiedBy>*</cp:lastModifiedBy>
  <dcterms:modified xsi:type="dcterms:W3CDTF">2025-09-22T08:37:46Z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eyJoZGlkIjoiNTUwODk4MTA5Zjg4ZjA3OTc4Mzk0NzBhNjBhZThkYjQiLCJ1c2VySWQiOiI0MjA3MTIzNDcifQ==</vt:lpwstr>
  </property>
  <property fmtid="{D5CDD505-2E9C-101B-9397-08002B2CF9AE}" pid="4" name="ICV">
    <vt:lpwstr>B2C3BE64B28C48D4A4D07374664F2AF4_12</vt:lpwstr>
  </property>
</Properties>
</file>