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B2495">
      <w:pPr>
        <w:pStyle w:val="6"/>
        <w:ind w:firstLine="880"/>
        <w:rPr>
          <w:rFonts w:ascii="宋体" w:hAnsi="宋体" w:cs="宋体"/>
          <w:color w:val="auto"/>
          <w:sz w:val="44"/>
          <w:szCs w:val="44"/>
          <w:highlight w:val="none"/>
        </w:rPr>
      </w:pPr>
    </w:p>
    <w:p w14:paraId="31E281C8">
      <w:pPr>
        <w:jc w:val="center"/>
        <w:rPr>
          <w:rFonts w:ascii="宋体" w:hAnsi="宋体" w:cs="宋体"/>
          <w:color w:val="auto"/>
          <w:sz w:val="44"/>
          <w:szCs w:val="44"/>
          <w:highlight w:val="none"/>
        </w:rPr>
      </w:pPr>
    </w:p>
    <w:p w14:paraId="604CA482">
      <w:pPr>
        <w:jc w:val="center"/>
        <w:rPr>
          <w:rFonts w:hint="eastAsia" w:ascii="宋体" w:hAnsi="宋体" w:eastAsia="宋体" w:cs="宋体"/>
          <w:b/>
          <w:bCs/>
          <w:color w:val="auto"/>
          <w:sz w:val="20"/>
          <w:szCs w:val="20"/>
          <w:highlight w:val="none"/>
          <w:lang w:eastAsia="zh-CN"/>
        </w:rPr>
      </w:pPr>
      <w:r>
        <w:rPr>
          <w:rFonts w:hint="eastAsia" w:ascii="宋体" w:hAnsi="宋体" w:cs="宋体"/>
          <w:b/>
          <w:bCs/>
          <w:color w:val="auto"/>
          <w:sz w:val="48"/>
          <w:szCs w:val="48"/>
          <w:highlight w:val="none"/>
          <w:lang w:eastAsia="zh-CN"/>
        </w:rPr>
        <w:t>广东省城市技师学院钟落潭校区建设项目设计（施工图）</w:t>
      </w:r>
    </w:p>
    <w:p w14:paraId="0A31F493">
      <w:pPr>
        <w:rPr>
          <w:rFonts w:ascii="宋体" w:hAnsi="宋体" w:cs="宋体"/>
          <w:bCs/>
          <w:color w:val="auto"/>
          <w:sz w:val="20"/>
          <w:szCs w:val="20"/>
          <w:highlight w:val="none"/>
        </w:rPr>
      </w:pPr>
    </w:p>
    <w:p w14:paraId="2A34868E">
      <w:pPr>
        <w:jc w:val="center"/>
        <w:rPr>
          <w:rFonts w:ascii="宋体" w:hAnsi="宋体" w:cs="宋体"/>
          <w:color w:val="auto"/>
          <w:sz w:val="96"/>
          <w:szCs w:val="84"/>
          <w:highlight w:val="none"/>
        </w:rPr>
      </w:pPr>
    </w:p>
    <w:p w14:paraId="65E9D0B7">
      <w:pPr>
        <w:jc w:val="center"/>
        <w:rPr>
          <w:rFonts w:ascii="宋体" w:hAnsi="宋体" w:cs="宋体"/>
          <w:color w:val="auto"/>
          <w:sz w:val="96"/>
          <w:szCs w:val="84"/>
          <w:highlight w:val="none"/>
        </w:rPr>
      </w:pPr>
      <w:r>
        <w:rPr>
          <w:rFonts w:hint="eastAsia" w:ascii="宋体" w:hAnsi="宋体" w:cs="宋体"/>
          <w:color w:val="auto"/>
          <w:sz w:val="96"/>
          <w:szCs w:val="84"/>
          <w:highlight w:val="none"/>
        </w:rPr>
        <w:t>招标文件</w:t>
      </w:r>
    </w:p>
    <w:p w14:paraId="726C4285">
      <w:pPr>
        <w:rPr>
          <w:rFonts w:ascii="宋体" w:hAnsi="宋体" w:cs="宋体"/>
          <w:color w:val="auto"/>
          <w:sz w:val="44"/>
          <w:szCs w:val="44"/>
          <w:highlight w:val="none"/>
        </w:rPr>
      </w:pPr>
    </w:p>
    <w:p w14:paraId="577DB65B">
      <w:pPr>
        <w:rPr>
          <w:rFonts w:ascii="宋体" w:hAnsi="宋体" w:cs="宋体"/>
          <w:color w:val="auto"/>
          <w:sz w:val="44"/>
          <w:szCs w:val="44"/>
          <w:highlight w:val="none"/>
        </w:rPr>
      </w:pPr>
    </w:p>
    <w:p w14:paraId="3B0F151E">
      <w:pPr>
        <w:rPr>
          <w:rFonts w:ascii="宋体" w:hAnsi="宋体" w:cs="宋体"/>
          <w:color w:val="auto"/>
          <w:sz w:val="44"/>
          <w:szCs w:val="44"/>
          <w:highlight w:val="none"/>
        </w:rPr>
      </w:pPr>
    </w:p>
    <w:p w14:paraId="3CA88B62">
      <w:pPr>
        <w:rPr>
          <w:rFonts w:ascii="宋体" w:hAnsi="宋体" w:cs="宋体"/>
          <w:color w:val="auto"/>
          <w:sz w:val="44"/>
          <w:szCs w:val="44"/>
          <w:highlight w:val="none"/>
        </w:rPr>
      </w:pPr>
    </w:p>
    <w:p w14:paraId="2787CA69">
      <w:pPr>
        <w:spacing w:before="8"/>
        <w:rPr>
          <w:rFonts w:ascii="宋体" w:hAnsi="宋体" w:cs="宋体"/>
          <w:color w:val="auto"/>
          <w:sz w:val="33"/>
          <w:szCs w:val="33"/>
          <w:highlight w:val="none"/>
        </w:rPr>
      </w:pPr>
    </w:p>
    <w:p w14:paraId="70E2BF0D">
      <w:pPr>
        <w:pStyle w:val="9"/>
        <w:rPr>
          <w:rFonts w:cs="宋体"/>
          <w:color w:val="auto"/>
          <w:sz w:val="33"/>
          <w:szCs w:val="33"/>
          <w:highlight w:val="none"/>
          <w:lang w:eastAsia="zh-CN"/>
        </w:rPr>
      </w:pPr>
    </w:p>
    <w:p w14:paraId="5BBA11FB">
      <w:pPr>
        <w:pStyle w:val="9"/>
        <w:rPr>
          <w:rFonts w:cs="宋体"/>
          <w:color w:val="auto"/>
          <w:sz w:val="33"/>
          <w:szCs w:val="33"/>
          <w:highlight w:val="none"/>
          <w:lang w:eastAsia="zh-CN"/>
        </w:rPr>
      </w:pPr>
    </w:p>
    <w:p w14:paraId="64F3B363">
      <w:pPr>
        <w:pStyle w:val="9"/>
        <w:rPr>
          <w:rFonts w:cs="宋体"/>
          <w:color w:val="auto"/>
          <w:sz w:val="33"/>
          <w:szCs w:val="33"/>
          <w:highlight w:val="none"/>
          <w:lang w:eastAsia="zh-CN"/>
        </w:rPr>
      </w:pPr>
    </w:p>
    <w:p w14:paraId="0B875A72">
      <w:pPr>
        <w:spacing w:before="8"/>
        <w:rPr>
          <w:rFonts w:ascii="宋体" w:hAnsi="宋体" w:cs="宋体"/>
          <w:color w:val="auto"/>
          <w:sz w:val="33"/>
          <w:szCs w:val="33"/>
          <w:highlight w:val="none"/>
        </w:rPr>
      </w:pPr>
    </w:p>
    <w:p w14:paraId="21D00B1B">
      <w:pPr>
        <w:spacing w:line="360" w:lineRule="auto"/>
        <w:ind w:firstLine="960" w:firstLineChars="300"/>
        <w:rPr>
          <w:rFonts w:ascii="宋体" w:hAnsi="宋体" w:cs="宋体"/>
          <w:color w:val="auto"/>
          <w:sz w:val="32"/>
          <w:szCs w:val="32"/>
          <w:highlight w:val="none"/>
        </w:rPr>
      </w:pPr>
      <w:r>
        <w:rPr>
          <w:rFonts w:hint="eastAsia" w:ascii="宋体" w:hAnsi="宋体" w:cs="宋体"/>
          <w:color w:val="auto"/>
          <w:sz w:val="32"/>
          <w:szCs w:val="32"/>
          <w:highlight w:val="none"/>
        </w:rPr>
        <w:t>招   标   人：广东省代建项目管理局</w:t>
      </w:r>
    </w:p>
    <w:p w14:paraId="42EEA7BA">
      <w:pPr>
        <w:spacing w:line="360" w:lineRule="auto"/>
        <w:ind w:firstLine="960" w:firstLineChars="30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招标代理机构：</w:t>
      </w:r>
      <w:r>
        <w:rPr>
          <w:rFonts w:hint="eastAsia" w:ascii="宋体" w:hAnsi="宋体" w:cs="宋体"/>
          <w:color w:val="auto"/>
          <w:sz w:val="32"/>
          <w:highlight w:val="none"/>
          <w:lang w:eastAsia="zh-CN"/>
        </w:rPr>
        <w:t>广东建发工程管理有限公司</w:t>
      </w:r>
    </w:p>
    <w:p w14:paraId="1B18EDE0">
      <w:pPr>
        <w:tabs>
          <w:tab w:val="left" w:pos="561"/>
        </w:tabs>
        <w:spacing w:line="360" w:lineRule="auto"/>
        <w:ind w:firstLine="960" w:firstLineChars="300"/>
        <w:rPr>
          <w:rFonts w:ascii="宋体" w:hAnsi="宋体" w:cs="宋体"/>
          <w:color w:val="auto"/>
          <w:sz w:val="32"/>
          <w:szCs w:val="32"/>
          <w:highlight w:val="none"/>
        </w:rPr>
      </w:pPr>
      <w:r>
        <w:rPr>
          <w:rFonts w:hint="eastAsia" w:ascii="宋体" w:hAnsi="宋体" w:cs="宋体"/>
          <w:color w:val="auto"/>
          <w:sz w:val="32"/>
          <w:szCs w:val="32"/>
          <w:highlight w:val="none"/>
        </w:rPr>
        <w:t>日        期：202</w:t>
      </w:r>
      <w:r>
        <w:rPr>
          <w:rFonts w:hint="eastAsia" w:ascii="宋体" w:hAnsi="宋体" w:cs="宋体"/>
          <w:color w:val="auto"/>
          <w:sz w:val="32"/>
          <w:szCs w:val="32"/>
          <w:highlight w:val="none"/>
          <w:lang w:val="en-US" w:eastAsia="zh-CN"/>
        </w:rPr>
        <w:t>5</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 xml:space="preserve"> 10 </w:t>
      </w:r>
      <w:r>
        <w:rPr>
          <w:rFonts w:hint="eastAsia" w:ascii="宋体" w:hAnsi="宋体" w:cs="宋体"/>
          <w:color w:val="auto"/>
          <w:sz w:val="32"/>
          <w:szCs w:val="32"/>
          <w:highlight w:val="none"/>
        </w:rPr>
        <w:t>月</w:t>
      </w:r>
    </w:p>
    <w:p w14:paraId="4D770919">
      <w:pPr>
        <w:spacing w:line="360" w:lineRule="auto"/>
        <w:jc w:val="center"/>
        <w:rPr>
          <w:rFonts w:ascii="宋体" w:hAnsi="宋体" w:cs="宋体"/>
          <w:color w:val="auto"/>
          <w:sz w:val="40"/>
          <w:szCs w:val="40"/>
          <w:highlight w:val="none"/>
        </w:rPr>
      </w:pPr>
    </w:p>
    <w:p w14:paraId="2E24746D">
      <w:pPr>
        <w:pStyle w:val="16"/>
        <w:tabs>
          <w:tab w:val="right" w:pos="9350"/>
        </w:tabs>
        <w:spacing w:line="360" w:lineRule="auto"/>
        <w:jc w:val="center"/>
        <w:rPr>
          <w:rFonts w:cs="宋体"/>
          <w:bCs/>
          <w:color w:val="auto"/>
          <w:sz w:val="28"/>
          <w:szCs w:val="28"/>
          <w:highlight w:val="none"/>
          <w:lang w:eastAsia="zh-CN"/>
        </w:rPr>
      </w:pPr>
    </w:p>
    <w:p w14:paraId="2F94834A">
      <w:pPr>
        <w:pStyle w:val="16"/>
        <w:tabs>
          <w:tab w:val="right" w:pos="9350"/>
        </w:tabs>
        <w:spacing w:line="360" w:lineRule="auto"/>
        <w:jc w:val="center"/>
        <w:rPr>
          <w:rFonts w:cs="宋体"/>
          <w:bCs/>
          <w:color w:val="auto"/>
          <w:sz w:val="28"/>
          <w:szCs w:val="28"/>
          <w:highlight w:val="none"/>
          <w:lang w:eastAsia="zh-CN"/>
        </w:rPr>
        <w:sectPr>
          <w:headerReference r:id="rId3" w:type="default"/>
          <w:footerReference r:id="rId4" w:type="default"/>
          <w:pgSz w:w="12240" w:h="15840"/>
          <w:pgMar w:top="1440" w:right="1440" w:bottom="1440" w:left="1440" w:header="720" w:footer="720" w:gutter="0"/>
          <w:pgBorders>
            <w:top w:val="none" w:sz="0" w:space="0"/>
            <w:left w:val="none" w:sz="0" w:space="0"/>
            <w:bottom w:val="none" w:sz="0" w:space="0"/>
            <w:right w:val="none" w:sz="0" w:space="0"/>
          </w:pgBorders>
          <w:pgNumType w:start="0"/>
          <w:cols w:space="720" w:num="1"/>
        </w:sectPr>
      </w:pPr>
    </w:p>
    <w:p w14:paraId="32231149">
      <w:pPr>
        <w:pStyle w:val="16"/>
        <w:tabs>
          <w:tab w:val="right" w:pos="9350"/>
        </w:tabs>
        <w:spacing w:line="360" w:lineRule="auto"/>
        <w:jc w:val="center"/>
        <w:rPr>
          <w:rFonts w:cs="宋体"/>
          <w:bCs/>
          <w:color w:val="auto"/>
          <w:sz w:val="28"/>
          <w:szCs w:val="28"/>
          <w:highlight w:val="none"/>
          <w:lang w:eastAsia="zh-CN"/>
        </w:rPr>
      </w:pPr>
      <w:r>
        <w:rPr>
          <w:rFonts w:cs="宋体"/>
          <w:bCs/>
          <w:color w:val="auto"/>
          <w:sz w:val="28"/>
          <w:szCs w:val="28"/>
          <w:highlight w:val="none"/>
          <w:lang w:eastAsia="zh-CN"/>
        </w:rPr>
        <w:t>目</w:t>
      </w:r>
      <w:r>
        <w:rPr>
          <w:rFonts w:hint="eastAsia" w:cs="宋体"/>
          <w:bCs/>
          <w:color w:val="auto"/>
          <w:sz w:val="28"/>
          <w:szCs w:val="28"/>
          <w:highlight w:val="none"/>
          <w:lang w:eastAsia="zh-CN"/>
        </w:rPr>
        <w:t xml:space="preserve">  </w:t>
      </w:r>
      <w:r>
        <w:rPr>
          <w:rFonts w:cs="宋体"/>
          <w:bCs/>
          <w:color w:val="auto"/>
          <w:sz w:val="28"/>
          <w:szCs w:val="28"/>
          <w:highlight w:val="none"/>
          <w:lang w:eastAsia="zh-CN"/>
        </w:rPr>
        <w:t>录</w:t>
      </w:r>
    </w:p>
    <w:p w14:paraId="4621AC02">
      <w:pPr>
        <w:pStyle w:val="16"/>
        <w:tabs>
          <w:tab w:val="right" w:leader="dot" w:pos="9360"/>
        </w:tabs>
        <w:spacing w:line="360" w:lineRule="auto"/>
        <w:rPr>
          <w:color w:val="auto"/>
          <w:highlight w:val="none"/>
        </w:rPr>
      </w:pPr>
      <w:r>
        <w:rPr>
          <w:rFonts w:cs="宋体"/>
          <w:color w:val="auto"/>
          <w:sz w:val="24"/>
          <w:szCs w:val="24"/>
          <w:highlight w:val="none"/>
          <w:lang w:eastAsia="zh-CN"/>
        </w:rPr>
        <w:fldChar w:fldCharType="begin"/>
      </w:r>
      <w:r>
        <w:rPr>
          <w:rFonts w:cs="宋体"/>
          <w:color w:val="auto"/>
          <w:sz w:val="24"/>
          <w:szCs w:val="24"/>
          <w:highlight w:val="none"/>
          <w:lang w:eastAsia="zh-CN"/>
        </w:rPr>
        <w:instrText xml:space="preserve"> TOC \o "1-3" \h \z \u </w:instrText>
      </w:r>
      <w:r>
        <w:rPr>
          <w:rFonts w:cs="宋体"/>
          <w:color w:val="auto"/>
          <w:sz w:val="24"/>
          <w:szCs w:val="24"/>
          <w:highlight w:val="none"/>
          <w:lang w:eastAsia="zh-CN"/>
        </w:rPr>
        <w:fldChar w:fldCharType="separate"/>
      </w:r>
      <w:r>
        <w:rPr>
          <w:color w:val="auto"/>
          <w:highlight w:val="none"/>
        </w:rPr>
        <w:fldChar w:fldCharType="begin"/>
      </w:r>
      <w:r>
        <w:rPr>
          <w:color w:val="auto"/>
          <w:highlight w:val="none"/>
        </w:rPr>
        <w:instrText xml:space="preserve"> HYPERLINK \l "_Toc11420" </w:instrText>
      </w:r>
      <w:r>
        <w:rPr>
          <w:color w:val="auto"/>
          <w:highlight w:val="none"/>
        </w:rPr>
        <w:fldChar w:fldCharType="separate"/>
      </w:r>
      <w:r>
        <w:rPr>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_Toc11420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7E0E3D56">
      <w:pPr>
        <w:pStyle w:val="16"/>
        <w:tabs>
          <w:tab w:val="right" w:leader="dot" w:pos="9360"/>
        </w:tabs>
        <w:spacing w:line="360" w:lineRule="auto"/>
        <w:ind w:firstLine="420" w:firstLineChars="200"/>
        <w:rPr>
          <w:color w:val="auto"/>
          <w:highlight w:val="none"/>
        </w:rPr>
      </w:pPr>
      <w:r>
        <w:rPr>
          <w:color w:val="auto"/>
          <w:highlight w:val="none"/>
        </w:rPr>
        <w:fldChar w:fldCharType="begin"/>
      </w:r>
      <w:r>
        <w:rPr>
          <w:color w:val="auto"/>
          <w:highlight w:val="none"/>
        </w:rPr>
        <w:instrText xml:space="preserve"> HYPERLINK \l "_Toc32325" </w:instrText>
      </w:r>
      <w:r>
        <w:rPr>
          <w:color w:val="auto"/>
          <w:highlight w:val="none"/>
        </w:rPr>
        <w:fldChar w:fldCharType="separate"/>
      </w:r>
      <w:r>
        <w:rPr>
          <w:color w:val="auto"/>
          <w:highlight w:val="none"/>
        </w:rPr>
        <w:t>第一章</w:t>
      </w:r>
      <w:r>
        <w:rPr>
          <w:rFonts w:hint="eastAsia"/>
          <w:color w:val="auto"/>
          <w:highlight w:val="none"/>
        </w:rPr>
        <w:t xml:space="preserve">  </w:t>
      </w:r>
      <w:r>
        <w:rPr>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_Toc32325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62D23B12">
      <w:pPr>
        <w:pStyle w:val="16"/>
        <w:tabs>
          <w:tab w:val="right" w:leader="dot" w:pos="9360"/>
        </w:tabs>
        <w:spacing w:line="360" w:lineRule="auto"/>
        <w:ind w:firstLine="420" w:firstLineChars="200"/>
        <w:rPr>
          <w:color w:val="auto"/>
          <w:highlight w:val="none"/>
        </w:rPr>
      </w:pPr>
      <w:r>
        <w:rPr>
          <w:color w:val="auto"/>
          <w:highlight w:val="none"/>
        </w:rPr>
        <w:fldChar w:fldCharType="begin"/>
      </w:r>
      <w:r>
        <w:rPr>
          <w:color w:val="auto"/>
          <w:highlight w:val="none"/>
        </w:rPr>
        <w:instrText xml:space="preserve"> HYPERLINK \l "_Toc20618" </w:instrText>
      </w:r>
      <w:r>
        <w:rPr>
          <w:color w:val="auto"/>
          <w:highlight w:val="none"/>
        </w:rPr>
        <w:fldChar w:fldCharType="separate"/>
      </w:r>
      <w:r>
        <w:rPr>
          <w:color w:val="auto"/>
          <w:highlight w:val="none"/>
        </w:rPr>
        <w:t>第二章</w:t>
      </w:r>
      <w:r>
        <w:rPr>
          <w:rFonts w:hint="eastAsia"/>
          <w:color w:val="auto"/>
          <w:highlight w:val="none"/>
        </w:rPr>
        <w:t xml:space="preserve">  </w:t>
      </w:r>
      <w:r>
        <w:rPr>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_Toc20618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540BA79A">
      <w:pPr>
        <w:pStyle w:val="16"/>
        <w:tabs>
          <w:tab w:val="right" w:leader="dot" w:pos="9360"/>
        </w:tabs>
        <w:spacing w:line="360" w:lineRule="auto"/>
        <w:ind w:firstLine="420" w:firstLineChars="200"/>
        <w:rPr>
          <w:color w:val="auto"/>
          <w:highlight w:val="none"/>
        </w:rPr>
      </w:pPr>
      <w:r>
        <w:rPr>
          <w:color w:val="auto"/>
          <w:highlight w:val="none"/>
        </w:rPr>
        <w:fldChar w:fldCharType="begin"/>
      </w:r>
      <w:r>
        <w:rPr>
          <w:color w:val="auto"/>
          <w:highlight w:val="none"/>
        </w:rPr>
        <w:instrText xml:space="preserve"> HYPERLINK \l "_Toc10838" </w:instrText>
      </w:r>
      <w:r>
        <w:rPr>
          <w:color w:val="auto"/>
          <w:highlight w:val="none"/>
        </w:rPr>
        <w:fldChar w:fldCharType="separate"/>
      </w:r>
      <w:r>
        <w:rPr>
          <w:color w:val="auto"/>
          <w:spacing w:val="2"/>
          <w:highlight w:val="none"/>
        </w:rPr>
        <w:t>第三章</w:t>
      </w:r>
      <w:r>
        <w:rPr>
          <w:rFonts w:hint="eastAsia"/>
          <w:color w:val="auto"/>
          <w:spacing w:val="2"/>
          <w:highlight w:val="none"/>
          <w:lang w:eastAsia="zh-CN"/>
        </w:rPr>
        <w:t xml:space="preserve">  </w:t>
      </w:r>
      <w:r>
        <w:rPr>
          <w:color w:val="auto"/>
          <w:spacing w:val="2"/>
          <w:highlight w:val="none"/>
        </w:rPr>
        <w:t>评标办法（综合评</w:t>
      </w:r>
      <w:r>
        <w:rPr>
          <w:rFonts w:hint="eastAsia"/>
          <w:color w:val="auto"/>
          <w:spacing w:val="2"/>
          <w:highlight w:val="none"/>
        </w:rPr>
        <w:t>标</w:t>
      </w:r>
      <w:r>
        <w:rPr>
          <w:color w:val="auto"/>
          <w:spacing w:val="2"/>
          <w:highlight w:val="none"/>
        </w:rPr>
        <w:t>法）</w:t>
      </w:r>
      <w:r>
        <w:rPr>
          <w:color w:val="auto"/>
          <w:highlight w:val="none"/>
        </w:rPr>
        <w:tab/>
      </w:r>
      <w:r>
        <w:rPr>
          <w:color w:val="auto"/>
          <w:highlight w:val="none"/>
        </w:rPr>
        <w:fldChar w:fldCharType="begin"/>
      </w:r>
      <w:r>
        <w:rPr>
          <w:color w:val="auto"/>
          <w:highlight w:val="none"/>
        </w:rPr>
        <w:instrText xml:space="preserve"> PAGEREF _Toc10838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677F2EDF">
      <w:pPr>
        <w:pStyle w:val="16"/>
        <w:tabs>
          <w:tab w:val="right" w:leader="dot" w:pos="9360"/>
        </w:tabs>
        <w:spacing w:line="360" w:lineRule="auto"/>
        <w:ind w:firstLine="420" w:firstLineChars="200"/>
        <w:rPr>
          <w:color w:val="auto"/>
          <w:highlight w:val="none"/>
        </w:rPr>
      </w:pPr>
      <w:r>
        <w:rPr>
          <w:color w:val="auto"/>
          <w:highlight w:val="none"/>
        </w:rPr>
        <w:fldChar w:fldCharType="begin"/>
      </w:r>
      <w:r>
        <w:rPr>
          <w:color w:val="auto"/>
          <w:highlight w:val="none"/>
        </w:rPr>
        <w:instrText xml:space="preserve"> HYPERLINK \l "_Toc23905" </w:instrText>
      </w:r>
      <w:r>
        <w:rPr>
          <w:color w:val="auto"/>
          <w:highlight w:val="none"/>
        </w:rPr>
        <w:fldChar w:fldCharType="separate"/>
      </w:r>
      <w:r>
        <w:rPr>
          <w:rFonts w:hint="eastAsia"/>
          <w:color w:val="auto"/>
          <w:highlight w:val="none"/>
        </w:rPr>
        <w:t>第四章</w:t>
      </w:r>
      <w:r>
        <w:rPr>
          <w:rFonts w:hint="eastAsia"/>
          <w:color w:val="auto"/>
          <w:highlight w:val="none"/>
          <w:lang w:eastAsia="zh-CN"/>
        </w:rPr>
        <w:t xml:space="preserve"> </w:t>
      </w:r>
      <w:r>
        <w:rPr>
          <w:rFonts w:hint="eastAsia"/>
          <w:color w:val="auto"/>
          <w:highlight w:val="none"/>
        </w:rPr>
        <w:t xml:space="preserve"> </w:t>
      </w:r>
      <w:r>
        <w:rPr>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_Toc23905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708E240B">
      <w:pPr>
        <w:pStyle w:val="16"/>
        <w:tabs>
          <w:tab w:val="right" w:leader="dot" w:pos="9360"/>
        </w:tabs>
        <w:spacing w:line="360" w:lineRule="auto"/>
        <w:rPr>
          <w:color w:val="auto"/>
          <w:highlight w:val="none"/>
        </w:rPr>
      </w:pPr>
      <w:r>
        <w:rPr>
          <w:color w:val="auto"/>
          <w:highlight w:val="none"/>
        </w:rPr>
        <w:fldChar w:fldCharType="begin"/>
      </w:r>
      <w:r>
        <w:rPr>
          <w:color w:val="auto"/>
          <w:highlight w:val="none"/>
        </w:rPr>
        <w:instrText xml:space="preserve"> HYPERLINK \l "_Toc27852" </w:instrText>
      </w:r>
      <w:r>
        <w:rPr>
          <w:color w:val="auto"/>
          <w:highlight w:val="none"/>
        </w:rPr>
        <w:fldChar w:fldCharType="separate"/>
      </w:r>
      <w:r>
        <w:rPr>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_Toc27852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374DE3FF">
      <w:pPr>
        <w:pStyle w:val="16"/>
        <w:tabs>
          <w:tab w:val="right" w:leader="dot" w:pos="9360"/>
        </w:tabs>
        <w:spacing w:line="360" w:lineRule="auto"/>
        <w:ind w:firstLine="420" w:firstLineChars="200"/>
        <w:rPr>
          <w:color w:val="auto"/>
          <w:highlight w:val="none"/>
        </w:rPr>
      </w:pPr>
      <w:r>
        <w:rPr>
          <w:color w:val="auto"/>
          <w:highlight w:val="none"/>
        </w:rPr>
        <w:fldChar w:fldCharType="begin"/>
      </w:r>
      <w:r>
        <w:rPr>
          <w:color w:val="auto"/>
          <w:highlight w:val="none"/>
        </w:rPr>
        <w:instrText xml:space="preserve"> HYPERLINK \l "_Toc29802" </w:instrText>
      </w:r>
      <w:r>
        <w:rPr>
          <w:color w:val="auto"/>
          <w:highlight w:val="none"/>
        </w:rPr>
        <w:fldChar w:fldCharType="separate"/>
      </w:r>
      <w:r>
        <w:rPr>
          <w:rFonts w:hint="eastAsia"/>
          <w:color w:val="auto"/>
          <w:highlight w:val="none"/>
        </w:rPr>
        <w:t>第五章</w:t>
      </w:r>
      <w:r>
        <w:rPr>
          <w:rFonts w:hint="eastAsia"/>
          <w:color w:val="auto"/>
          <w:highlight w:val="none"/>
          <w:lang w:eastAsia="zh-CN"/>
        </w:rPr>
        <w:t xml:space="preserve"> </w:t>
      </w:r>
      <w:r>
        <w:rPr>
          <w:rFonts w:hint="eastAsia"/>
          <w:color w:val="auto"/>
          <w:highlight w:val="none"/>
        </w:rPr>
        <w:t xml:space="preserve"> 发包人要求</w:t>
      </w:r>
      <w:r>
        <w:rPr>
          <w:color w:val="auto"/>
          <w:highlight w:val="none"/>
        </w:rPr>
        <w:tab/>
      </w:r>
      <w:r>
        <w:rPr>
          <w:color w:val="auto"/>
          <w:highlight w:val="none"/>
        </w:rPr>
        <w:fldChar w:fldCharType="begin"/>
      </w:r>
      <w:r>
        <w:rPr>
          <w:color w:val="auto"/>
          <w:highlight w:val="none"/>
        </w:rPr>
        <w:instrText xml:space="preserve"> PAGEREF _Toc29802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17F2A80A">
      <w:pPr>
        <w:pStyle w:val="16"/>
        <w:tabs>
          <w:tab w:val="right" w:leader="dot" w:pos="9360"/>
        </w:tabs>
        <w:spacing w:line="360" w:lineRule="auto"/>
        <w:rPr>
          <w:color w:val="auto"/>
          <w:highlight w:val="none"/>
        </w:rPr>
      </w:pPr>
      <w:r>
        <w:rPr>
          <w:color w:val="auto"/>
          <w:highlight w:val="none"/>
        </w:rPr>
        <w:fldChar w:fldCharType="begin"/>
      </w:r>
      <w:r>
        <w:rPr>
          <w:color w:val="auto"/>
          <w:highlight w:val="none"/>
        </w:rPr>
        <w:instrText xml:space="preserve"> HYPERLINK \l "_Toc15330" </w:instrText>
      </w:r>
      <w:r>
        <w:rPr>
          <w:color w:val="auto"/>
          <w:highlight w:val="none"/>
        </w:rPr>
        <w:fldChar w:fldCharType="separate"/>
      </w:r>
      <w:r>
        <w:rPr>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_Toc15330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6778F7F0">
      <w:pPr>
        <w:pStyle w:val="16"/>
        <w:tabs>
          <w:tab w:val="right" w:leader="dot" w:pos="9360"/>
        </w:tabs>
        <w:spacing w:line="360" w:lineRule="auto"/>
        <w:ind w:firstLine="420" w:firstLineChars="200"/>
        <w:rPr>
          <w:color w:val="auto"/>
          <w:highlight w:val="none"/>
        </w:rPr>
      </w:pPr>
      <w:r>
        <w:rPr>
          <w:color w:val="auto"/>
          <w:highlight w:val="none"/>
        </w:rPr>
        <w:fldChar w:fldCharType="begin"/>
      </w:r>
      <w:r>
        <w:rPr>
          <w:color w:val="auto"/>
          <w:highlight w:val="none"/>
        </w:rPr>
        <w:instrText xml:space="preserve"> HYPERLINK \l "_Toc2738" </w:instrText>
      </w:r>
      <w:r>
        <w:rPr>
          <w:color w:val="auto"/>
          <w:highlight w:val="none"/>
        </w:rPr>
        <w:fldChar w:fldCharType="separate"/>
      </w:r>
      <w:r>
        <w:rPr>
          <w:color w:val="auto"/>
          <w:highlight w:val="none"/>
        </w:rPr>
        <w:t>第六章</w:t>
      </w:r>
      <w:r>
        <w:rPr>
          <w:rFonts w:hint="eastAsia"/>
          <w:color w:val="auto"/>
          <w:highlight w:val="none"/>
        </w:rPr>
        <w:t xml:space="preserve">  </w:t>
      </w:r>
      <w:r>
        <w:rPr>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_Toc2738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071EA372">
      <w:pPr>
        <w:tabs>
          <w:tab w:val="left" w:pos="561"/>
        </w:tabs>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fldChar w:fldCharType="end"/>
      </w:r>
    </w:p>
    <w:p w14:paraId="5F0A7A02">
      <w:pPr>
        <w:spacing w:line="360" w:lineRule="auto"/>
        <w:rPr>
          <w:rFonts w:ascii="宋体" w:hAnsi="宋体" w:cs="Calibri"/>
          <w:color w:val="auto"/>
          <w:sz w:val="24"/>
          <w:szCs w:val="24"/>
          <w:highlight w:val="none"/>
        </w:rPr>
        <w:sectPr>
          <w:footerReference r:id="rId5" w:type="default"/>
          <w:pgSz w:w="12240" w:h="15840"/>
          <w:pgMar w:top="1440" w:right="1440" w:bottom="1440" w:left="1440" w:header="720" w:footer="720" w:gutter="0"/>
          <w:pgBorders>
            <w:top w:val="none" w:sz="0" w:space="0"/>
            <w:left w:val="none" w:sz="0" w:space="0"/>
            <w:bottom w:val="none" w:sz="0" w:space="0"/>
            <w:right w:val="none" w:sz="0" w:space="0"/>
          </w:pgBorders>
          <w:pgNumType w:start="1"/>
          <w:cols w:space="720" w:num="1"/>
        </w:sectPr>
      </w:pPr>
    </w:p>
    <w:p w14:paraId="1893CCAA">
      <w:pPr>
        <w:jc w:val="center"/>
        <w:rPr>
          <w:color w:val="auto"/>
          <w:highlight w:val="none"/>
        </w:rPr>
      </w:pPr>
    </w:p>
    <w:p w14:paraId="7198AB60">
      <w:pPr>
        <w:jc w:val="center"/>
        <w:rPr>
          <w:color w:val="auto"/>
          <w:highlight w:val="none"/>
        </w:rPr>
      </w:pPr>
    </w:p>
    <w:p w14:paraId="4E3CA9BB">
      <w:pPr>
        <w:jc w:val="center"/>
        <w:rPr>
          <w:color w:val="auto"/>
          <w:highlight w:val="none"/>
        </w:rPr>
      </w:pPr>
    </w:p>
    <w:p w14:paraId="7389C962">
      <w:pPr>
        <w:jc w:val="center"/>
        <w:rPr>
          <w:color w:val="auto"/>
          <w:highlight w:val="none"/>
        </w:rPr>
      </w:pPr>
    </w:p>
    <w:p w14:paraId="47475B50">
      <w:pPr>
        <w:jc w:val="center"/>
        <w:rPr>
          <w:color w:val="auto"/>
          <w:highlight w:val="none"/>
        </w:rPr>
      </w:pPr>
    </w:p>
    <w:p w14:paraId="5C3E087F">
      <w:pPr>
        <w:jc w:val="center"/>
        <w:rPr>
          <w:color w:val="auto"/>
          <w:highlight w:val="none"/>
        </w:rPr>
      </w:pPr>
    </w:p>
    <w:p w14:paraId="133E7D80">
      <w:pPr>
        <w:pStyle w:val="2"/>
        <w:jc w:val="center"/>
        <w:rPr>
          <w:rFonts w:ascii="宋体" w:hAnsi="宋体"/>
          <w:b w:val="0"/>
          <w:color w:val="auto"/>
          <w:highlight w:val="none"/>
        </w:rPr>
      </w:pPr>
      <w:bookmarkStart w:id="0" w:name="_Toc11420"/>
      <w:r>
        <w:rPr>
          <w:rFonts w:ascii="宋体" w:hAnsi="宋体"/>
          <w:b w:val="0"/>
          <w:color w:val="auto"/>
          <w:highlight w:val="none"/>
        </w:rPr>
        <w:t>第一卷</w:t>
      </w:r>
      <w:bookmarkEnd w:id="0"/>
    </w:p>
    <w:p w14:paraId="3EDDBB7C">
      <w:pPr>
        <w:pStyle w:val="2"/>
        <w:jc w:val="center"/>
        <w:rPr>
          <w:rFonts w:ascii="宋体" w:hAnsi="宋体"/>
          <w:b w:val="0"/>
          <w:color w:val="auto"/>
          <w:highlight w:val="none"/>
        </w:rPr>
        <w:sectPr>
          <w:pgSz w:w="12240" w:h="15840"/>
          <w:pgMar w:top="1500" w:right="1720" w:bottom="1120" w:left="1720" w:header="0" w:footer="921" w:gutter="0"/>
          <w:pgBorders>
            <w:top w:val="none" w:sz="0" w:space="0"/>
            <w:left w:val="none" w:sz="0" w:space="0"/>
            <w:bottom w:val="none" w:sz="0" w:space="0"/>
            <w:right w:val="none" w:sz="0" w:space="0"/>
          </w:pgBorders>
          <w:cols w:space="720" w:num="1"/>
        </w:sectPr>
      </w:pPr>
    </w:p>
    <w:p w14:paraId="382D91FC">
      <w:pPr>
        <w:pStyle w:val="2"/>
        <w:jc w:val="center"/>
        <w:rPr>
          <w:rFonts w:ascii="宋体" w:hAnsi="宋体"/>
          <w:b w:val="0"/>
          <w:color w:val="auto"/>
          <w:highlight w:val="none"/>
        </w:rPr>
      </w:pPr>
      <w:bookmarkStart w:id="1" w:name="_Toc32325"/>
      <w:r>
        <w:rPr>
          <w:rFonts w:ascii="宋体" w:hAnsi="宋体"/>
          <w:b w:val="0"/>
          <w:color w:val="auto"/>
          <w:highlight w:val="none"/>
        </w:rPr>
        <w:t>第一章</w:t>
      </w:r>
      <w:r>
        <w:rPr>
          <w:rFonts w:hint="eastAsia" w:ascii="宋体" w:hAnsi="宋体"/>
          <w:b w:val="0"/>
          <w:color w:val="auto"/>
          <w:highlight w:val="none"/>
        </w:rPr>
        <w:t xml:space="preserve">  </w:t>
      </w:r>
      <w:r>
        <w:rPr>
          <w:rFonts w:ascii="宋体" w:hAnsi="宋体"/>
          <w:b w:val="0"/>
          <w:color w:val="auto"/>
          <w:highlight w:val="none"/>
        </w:rPr>
        <w:t>招标公告</w:t>
      </w:r>
      <w:bookmarkEnd w:id="1"/>
    </w:p>
    <w:p w14:paraId="320BE3E7">
      <w:pPr>
        <w:widowControl/>
        <w:spacing w:line="360" w:lineRule="auto"/>
        <w:jc w:val="center"/>
        <w:rPr>
          <w:rFonts w:ascii="宋体" w:hAnsi="宋体"/>
          <w:color w:val="auto"/>
          <w:sz w:val="24"/>
          <w:szCs w:val="24"/>
          <w:highlight w:val="none"/>
        </w:rPr>
      </w:pPr>
    </w:p>
    <w:p w14:paraId="7500986C">
      <w:pPr>
        <w:widowControl/>
        <w:spacing w:line="360" w:lineRule="auto"/>
        <w:jc w:val="center"/>
        <w:rPr>
          <w:rFonts w:ascii="宋体" w:hAnsi="宋体"/>
          <w:bCs/>
          <w:color w:val="auto"/>
          <w:sz w:val="24"/>
          <w:szCs w:val="24"/>
          <w:highlight w:val="none"/>
        </w:rPr>
      </w:pPr>
      <w:r>
        <w:rPr>
          <w:rFonts w:hint="eastAsia" w:ascii="宋体" w:hAnsi="宋体"/>
          <w:color w:val="auto"/>
          <w:sz w:val="24"/>
          <w:szCs w:val="24"/>
          <w:highlight w:val="none"/>
        </w:rPr>
        <w:t>(另册)</w:t>
      </w:r>
      <w:r>
        <w:rPr>
          <w:rFonts w:ascii="宋体" w:hAnsi="宋体"/>
          <w:color w:val="auto"/>
          <w:sz w:val="24"/>
          <w:szCs w:val="24"/>
          <w:highlight w:val="none"/>
        </w:rPr>
        <w:br w:type="page"/>
      </w:r>
    </w:p>
    <w:p w14:paraId="4DF231D0">
      <w:pPr>
        <w:pStyle w:val="2"/>
        <w:jc w:val="center"/>
        <w:rPr>
          <w:rFonts w:ascii="宋体" w:hAnsi="宋体"/>
          <w:b w:val="0"/>
          <w:color w:val="auto"/>
          <w:highlight w:val="none"/>
        </w:rPr>
      </w:pPr>
      <w:bookmarkStart w:id="2" w:name="_Toc20618"/>
      <w:r>
        <w:rPr>
          <w:rFonts w:ascii="宋体" w:hAnsi="宋体"/>
          <w:b w:val="0"/>
          <w:color w:val="auto"/>
          <w:highlight w:val="none"/>
        </w:rPr>
        <w:t>第二章</w:t>
      </w:r>
      <w:r>
        <w:rPr>
          <w:rFonts w:hint="eastAsia" w:ascii="宋体" w:hAnsi="宋体"/>
          <w:b w:val="0"/>
          <w:color w:val="auto"/>
          <w:highlight w:val="none"/>
        </w:rPr>
        <w:t xml:space="preserve">  </w:t>
      </w:r>
      <w:r>
        <w:rPr>
          <w:rFonts w:ascii="宋体" w:hAnsi="宋体"/>
          <w:b w:val="0"/>
          <w:color w:val="auto"/>
          <w:highlight w:val="none"/>
        </w:rPr>
        <w:t>投标人须知</w:t>
      </w:r>
      <w:bookmarkEnd w:id="2"/>
    </w:p>
    <w:p w14:paraId="68381366">
      <w:pPr>
        <w:pStyle w:val="4"/>
        <w:ind w:left="220"/>
        <w:jc w:val="center"/>
        <w:rPr>
          <w:rFonts w:ascii="宋体" w:hAnsi="宋体" w:cs="Microsoft JhengHei"/>
          <w:b w:val="0"/>
          <w:bCs w:val="0"/>
          <w:color w:val="auto"/>
          <w:sz w:val="20"/>
          <w:szCs w:val="20"/>
          <w:highlight w:val="none"/>
        </w:rPr>
      </w:pPr>
      <w:bookmarkStart w:id="3" w:name="_Toc2993"/>
      <w:r>
        <w:rPr>
          <w:rFonts w:ascii="宋体" w:hAnsi="宋体"/>
          <w:b w:val="0"/>
          <w:color w:val="auto"/>
          <w:highlight w:val="none"/>
        </w:rPr>
        <w:t>投标人须知前附表</w:t>
      </w:r>
      <w:bookmarkEnd w:id="3"/>
    </w:p>
    <w:tbl>
      <w:tblPr>
        <w:tblStyle w:val="23"/>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7"/>
        <w:gridCol w:w="2441"/>
        <w:gridCol w:w="5871"/>
      </w:tblGrid>
      <w:tr w14:paraId="7102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787" w:type="dxa"/>
            <w:vAlign w:val="center"/>
          </w:tcPr>
          <w:p w14:paraId="36DB3F44">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条款号</w:t>
            </w:r>
          </w:p>
        </w:tc>
        <w:tc>
          <w:tcPr>
            <w:tcW w:w="2441" w:type="dxa"/>
            <w:vAlign w:val="center"/>
          </w:tcPr>
          <w:p w14:paraId="06B7B3CE">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条款名称</w:t>
            </w:r>
          </w:p>
        </w:tc>
        <w:tc>
          <w:tcPr>
            <w:tcW w:w="5871" w:type="dxa"/>
            <w:vAlign w:val="center"/>
          </w:tcPr>
          <w:p w14:paraId="2500747D">
            <w:pPr>
              <w:pStyle w:val="34"/>
              <w:keepNext w:val="0"/>
              <w:keepLines w:val="0"/>
              <w:pageBreakBefore w:val="0"/>
              <w:widowControl w:val="0"/>
              <w:kinsoku/>
              <w:wordWrap/>
              <w:overflowPunct/>
              <w:bidi w:val="0"/>
              <w:spacing w:line="276" w:lineRule="auto"/>
              <w:ind w:left="31" w:leftChars="15" w:right="21" w:rightChars="10"/>
              <w:jc w:val="center"/>
              <w:textAlignment w:val="auto"/>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编列内容</w:t>
            </w:r>
          </w:p>
        </w:tc>
      </w:tr>
      <w:tr w14:paraId="2D96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exact"/>
        </w:trPr>
        <w:tc>
          <w:tcPr>
            <w:tcW w:w="787" w:type="dxa"/>
            <w:vAlign w:val="center"/>
          </w:tcPr>
          <w:p w14:paraId="7BCC04E9">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2441" w:type="dxa"/>
            <w:vAlign w:val="center"/>
          </w:tcPr>
          <w:p w14:paraId="64475A09">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5871" w:type="dxa"/>
            <w:vAlign w:val="center"/>
          </w:tcPr>
          <w:p w14:paraId="3BAC3307">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名称：广东省代建项目管理局</w:t>
            </w:r>
          </w:p>
          <w:p w14:paraId="3FFFBAE9">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地址：广州市黄埔大道西108号11楼</w:t>
            </w:r>
          </w:p>
          <w:p w14:paraId="0231E7EA">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val="en-US" w:eastAsia="zh-CN"/>
              </w:rPr>
              <w:t>陈工</w:t>
            </w:r>
          </w:p>
          <w:p w14:paraId="54EEA508">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电话：020-83620834</w:t>
            </w:r>
          </w:p>
        </w:tc>
      </w:tr>
      <w:tr w14:paraId="4EC9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7" w:hRule="exact"/>
        </w:trPr>
        <w:tc>
          <w:tcPr>
            <w:tcW w:w="787" w:type="dxa"/>
            <w:vAlign w:val="center"/>
          </w:tcPr>
          <w:p w14:paraId="1E77793D">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2441" w:type="dxa"/>
            <w:vAlign w:val="center"/>
          </w:tcPr>
          <w:p w14:paraId="6C5E68BB">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5871" w:type="dxa"/>
            <w:vAlign w:val="center"/>
          </w:tcPr>
          <w:p w14:paraId="3E1D6233">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名称：广东建发工程管理有限公司</w:t>
            </w:r>
          </w:p>
          <w:p w14:paraId="6502D60D">
            <w:pPr>
              <w:pStyle w:val="34"/>
              <w:keepNext w:val="0"/>
              <w:keepLines w:val="0"/>
              <w:pageBreakBefore w:val="0"/>
              <w:widowControl w:val="0"/>
              <w:kinsoku/>
              <w:wordWrap/>
              <w:overflowPunct/>
              <w:bidi w:val="0"/>
              <w:spacing w:line="276" w:lineRule="auto"/>
              <w:ind w:left="31" w:leftChars="15" w:right="21" w:rightChars="1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地址：广州市番禺区市桥桥兴大道457号</w:t>
            </w:r>
          </w:p>
          <w:p w14:paraId="0B71C18D">
            <w:pPr>
              <w:pStyle w:val="34"/>
              <w:keepNext w:val="0"/>
              <w:keepLines w:val="0"/>
              <w:pageBreakBefore w:val="0"/>
              <w:widowControl w:val="0"/>
              <w:kinsoku/>
              <w:wordWrap/>
              <w:overflowPunct/>
              <w:bidi w:val="0"/>
              <w:spacing w:line="276" w:lineRule="auto"/>
              <w:ind w:left="31" w:leftChars="15" w:right="21" w:rightChars="1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val="en-US" w:eastAsia="zh-CN"/>
              </w:rPr>
              <w:t>甘工、古工</w:t>
            </w:r>
          </w:p>
          <w:p w14:paraId="7BBF81F0">
            <w:pPr>
              <w:pStyle w:val="34"/>
              <w:keepNext w:val="0"/>
              <w:keepLines w:val="0"/>
              <w:pageBreakBefore w:val="0"/>
              <w:widowControl w:val="0"/>
              <w:kinsoku/>
              <w:wordWrap/>
              <w:overflowPunct/>
              <w:bidi w:val="0"/>
              <w:spacing w:line="276" w:lineRule="auto"/>
              <w:ind w:left="31" w:leftChars="15" w:right="21" w:rightChars="1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电话：020-34801616、13560104599、13802994549</w:t>
            </w:r>
          </w:p>
        </w:tc>
      </w:tr>
      <w:tr w14:paraId="1C9D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exact"/>
        </w:trPr>
        <w:tc>
          <w:tcPr>
            <w:tcW w:w="787" w:type="dxa"/>
            <w:vAlign w:val="center"/>
          </w:tcPr>
          <w:p w14:paraId="205FD20D">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441" w:type="dxa"/>
            <w:vAlign w:val="center"/>
          </w:tcPr>
          <w:p w14:paraId="7869E56C">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招标项目名称</w:t>
            </w:r>
          </w:p>
        </w:tc>
        <w:tc>
          <w:tcPr>
            <w:tcW w:w="5871" w:type="dxa"/>
            <w:vAlign w:val="center"/>
          </w:tcPr>
          <w:p w14:paraId="4628B84F">
            <w:pPr>
              <w:keepNext w:val="0"/>
              <w:keepLines w:val="0"/>
              <w:pageBreakBefore w:val="0"/>
              <w:widowControl w:val="0"/>
              <w:kinsoku/>
              <w:wordWrap/>
              <w:overflowPunct/>
              <w:bidi w:val="0"/>
              <w:spacing w:line="276" w:lineRule="auto"/>
              <w:ind w:left="31" w:leftChars="15" w:right="21" w:rightChars="1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广东省城市技师学院钟落潭校区建设项目设计（施工图）</w:t>
            </w:r>
          </w:p>
        </w:tc>
      </w:tr>
      <w:tr w14:paraId="7B85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787" w:type="dxa"/>
            <w:vAlign w:val="center"/>
          </w:tcPr>
          <w:p w14:paraId="41C41F7A">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2441" w:type="dxa"/>
            <w:vAlign w:val="center"/>
          </w:tcPr>
          <w:p w14:paraId="6C6F49E6">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项目建设地点</w:t>
            </w:r>
          </w:p>
        </w:tc>
        <w:tc>
          <w:tcPr>
            <w:tcW w:w="5871" w:type="dxa"/>
            <w:vAlign w:val="center"/>
          </w:tcPr>
          <w:p w14:paraId="321AC31D">
            <w:pPr>
              <w:keepNext w:val="0"/>
              <w:keepLines w:val="0"/>
              <w:pageBreakBefore w:val="0"/>
              <w:widowControl w:val="0"/>
              <w:kinsoku/>
              <w:wordWrap/>
              <w:overflowPunct/>
              <w:bidi w:val="0"/>
              <w:spacing w:line="276" w:lineRule="auto"/>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0F41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rPr>
        <w:tc>
          <w:tcPr>
            <w:tcW w:w="787" w:type="dxa"/>
            <w:vAlign w:val="center"/>
          </w:tcPr>
          <w:p w14:paraId="6F4272E2">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2441" w:type="dxa"/>
            <w:vAlign w:val="center"/>
          </w:tcPr>
          <w:p w14:paraId="3868F61E">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项目建设规模</w:t>
            </w:r>
          </w:p>
        </w:tc>
        <w:tc>
          <w:tcPr>
            <w:tcW w:w="5871" w:type="dxa"/>
            <w:vAlign w:val="center"/>
          </w:tcPr>
          <w:p w14:paraId="0C95B027">
            <w:pPr>
              <w:keepNext w:val="0"/>
              <w:keepLines w:val="0"/>
              <w:pageBreakBefore w:val="0"/>
              <w:widowControl w:val="0"/>
              <w:kinsoku/>
              <w:wordWrap/>
              <w:overflowPunct/>
              <w:bidi w:val="0"/>
              <w:spacing w:line="276" w:lineRule="auto"/>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0F4C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787" w:type="dxa"/>
            <w:vAlign w:val="center"/>
          </w:tcPr>
          <w:p w14:paraId="4ABC2BEA">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1.1.7</w:t>
            </w:r>
          </w:p>
        </w:tc>
        <w:tc>
          <w:tcPr>
            <w:tcW w:w="2441" w:type="dxa"/>
            <w:vAlign w:val="center"/>
          </w:tcPr>
          <w:p w14:paraId="70DD26F8">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项目投资估算</w:t>
            </w:r>
          </w:p>
        </w:tc>
        <w:tc>
          <w:tcPr>
            <w:tcW w:w="5871" w:type="dxa"/>
            <w:vAlign w:val="center"/>
          </w:tcPr>
          <w:p w14:paraId="1EF1BA28">
            <w:pPr>
              <w:keepNext w:val="0"/>
              <w:keepLines w:val="0"/>
              <w:pageBreakBefore w:val="0"/>
              <w:widowControl w:val="0"/>
              <w:kinsoku/>
              <w:wordWrap/>
              <w:overflowPunct/>
              <w:bidi w:val="0"/>
              <w:spacing w:line="276" w:lineRule="auto"/>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42D3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exact"/>
        </w:trPr>
        <w:tc>
          <w:tcPr>
            <w:tcW w:w="787" w:type="dxa"/>
            <w:vAlign w:val="center"/>
          </w:tcPr>
          <w:p w14:paraId="45610ABB">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441" w:type="dxa"/>
            <w:vAlign w:val="center"/>
          </w:tcPr>
          <w:p w14:paraId="423367DA">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5871" w:type="dxa"/>
            <w:vAlign w:val="center"/>
          </w:tcPr>
          <w:p w14:paraId="3535CA7F">
            <w:pPr>
              <w:keepNext w:val="0"/>
              <w:keepLines w:val="0"/>
              <w:pageBreakBefore w:val="0"/>
              <w:widowControl w:val="0"/>
              <w:kinsoku/>
              <w:wordWrap/>
              <w:overflowPunct/>
              <w:bidi w:val="0"/>
              <w:spacing w:line="276" w:lineRule="auto"/>
              <w:ind w:left="31" w:leftChars="15" w:right="21" w:rightChars="1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详见招标公告</w:t>
            </w:r>
          </w:p>
        </w:tc>
      </w:tr>
      <w:tr w14:paraId="673D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787" w:type="dxa"/>
            <w:vAlign w:val="center"/>
          </w:tcPr>
          <w:p w14:paraId="1FC669E3">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2441" w:type="dxa"/>
            <w:vAlign w:val="center"/>
          </w:tcPr>
          <w:p w14:paraId="0CFDDF10">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5871" w:type="dxa"/>
            <w:vAlign w:val="center"/>
          </w:tcPr>
          <w:p w14:paraId="627BB217">
            <w:pPr>
              <w:keepNext w:val="0"/>
              <w:keepLines w:val="0"/>
              <w:pageBreakBefore w:val="0"/>
              <w:widowControl w:val="0"/>
              <w:kinsoku/>
              <w:wordWrap/>
              <w:overflowPunct/>
              <w:bidi w:val="0"/>
              <w:spacing w:line="276" w:lineRule="auto"/>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rPr>
              <w:t>已落实</w:t>
            </w:r>
          </w:p>
        </w:tc>
      </w:tr>
      <w:tr w14:paraId="35CB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rPr>
        <w:tc>
          <w:tcPr>
            <w:tcW w:w="787" w:type="dxa"/>
            <w:vAlign w:val="center"/>
          </w:tcPr>
          <w:p w14:paraId="0942B3CF">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441" w:type="dxa"/>
            <w:vAlign w:val="center"/>
          </w:tcPr>
          <w:p w14:paraId="5B7222D4">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5871" w:type="dxa"/>
            <w:vAlign w:val="center"/>
          </w:tcPr>
          <w:p w14:paraId="126A9D0D">
            <w:pPr>
              <w:keepNext w:val="0"/>
              <w:keepLines w:val="0"/>
              <w:pageBreakBefore w:val="0"/>
              <w:widowControl w:val="0"/>
              <w:kinsoku/>
              <w:wordWrap/>
              <w:overflowPunct/>
              <w:bidi w:val="0"/>
              <w:spacing w:line="276" w:lineRule="auto"/>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475B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787" w:type="dxa"/>
            <w:vAlign w:val="center"/>
          </w:tcPr>
          <w:p w14:paraId="09CBAB26">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2441" w:type="dxa"/>
            <w:vAlign w:val="center"/>
          </w:tcPr>
          <w:p w14:paraId="2F922687">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设计</w:t>
            </w:r>
            <w:r>
              <w:rPr>
                <w:rFonts w:hint="eastAsia" w:ascii="宋体" w:hAnsi="宋体" w:eastAsia="宋体" w:cs="宋体"/>
                <w:color w:val="auto"/>
                <w:sz w:val="21"/>
                <w:szCs w:val="21"/>
                <w:highlight w:val="none"/>
              </w:rPr>
              <w:t>服务期限</w:t>
            </w:r>
          </w:p>
        </w:tc>
        <w:tc>
          <w:tcPr>
            <w:tcW w:w="5871" w:type="dxa"/>
            <w:vAlign w:val="center"/>
          </w:tcPr>
          <w:p w14:paraId="11020623">
            <w:pPr>
              <w:keepNext w:val="0"/>
              <w:keepLines w:val="0"/>
              <w:pageBreakBefore w:val="0"/>
              <w:widowControl w:val="0"/>
              <w:kinsoku/>
              <w:wordWrap/>
              <w:overflowPunct/>
              <w:bidi w:val="0"/>
              <w:spacing w:line="276" w:lineRule="auto"/>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rPr>
              <w:t>具体详见设计合同</w:t>
            </w:r>
          </w:p>
        </w:tc>
      </w:tr>
      <w:tr w14:paraId="1D17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4" w:hRule="exact"/>
        </w:trPr>
        <w:tc>
          <w:tcPr>
            <w:tcW w:w="787" w:type="dxa"/>
            <w:vAlign w:val="center"/>
          </w:tcPr>
          <w:p w14:paraId="162DA5F9">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2441" w:type="dxa"/>
            <w:vAlign w:val="center"/>
          </w:tcPr>
          <w:p w14:paraId="3FAED77F">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5871" w:type="dxa"/>
            <w:vAlign w:val="center"/>
          </w:tcPr>
          <w:p w14:paraId="08C606F3">
            <w:pPr>
              <w:keepNext w:val="0"/>
              <w:keepLines w:val="0"/>
              <w:pageBreakBefore w:val="0"/>
              <w:widowControl w:val="0"/>
              <w:kinsoku/>
              <w:wordWrap/>
              <w:overflowPunct/>
              <w:bidi w:val="0"/>
              <w:spacing w:line="276" w:lineRule="auto"/>
              <w:ind w:left="31" w:leftChars="15" w:right="21" w:rightChars="10"/>
              <w:textAlignment w:val="auto"/>
              <w:rPr>
                <w:rFonts w:ascii="宋体" w:hAnsi="宋体" w:cs="宋体"/>
                <w:color w:val="auto"/>
                <w:szCs w:val="21"/>
                <w:highlight w:val="none"/>
              </w:rPr>
            </w:pPr>
            <w:r>
              <w:rPr>
                <w:rFonts w:hint="eastAsia" w:ascii="宋体" w:hAnsi="宋体"/>
                <w:color w:val="auto"/>
                <w:szCs w:val="21"/>
                <w:highlight w:val="none"/>
              </w:rPr>
              <w:t>本项目工程质量目标须符合《建设工程质量管理条例》、《建设工程勘察设计管理条例》、《建筑工程设计文件编制深度规定（2016年版）》等国家及地方有关工程设计管理法规和规章，达到行业相关规范技术标准等要求。绿色建筑目标为绿色建筑二星标准设计。（具体详见</w:t>
            </w:r>
            <w:r>
              <w:rPr>
                <w:rFonts w:hint="eastAsia" w:ascii="宋体" w:hAnsi="宋体"/>
                <w:color w:val="auto"/>
                <w:szCs w:val="21"/>
                <w:highlight w:val="none"/>
                <w:lang w:val="en-US" w:eastAsia="zh-CN"/>
              </w:rPr>
              <w:t>发包人要求</w:t>
            </w:r>
            <w:r>
              <w:rPr>
                <w:rFonts w:hint="eastAsia" w:ascii="宋体" w:hAnsi="宋体"/>
                <w:color w:val="auto"/>
                <w:szCs w:val="21"/>
                <w:highlight w:val="none"/>
              </w:rPr>
              <w:t>和设计合同）</w:t>
            </w:r>
          </w:p>
        </w:tc>
      </w:tr>
      <w:tr w14:paraId="4CA5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5" w:hRule="exact"/>
        </w:trPr>
        <w:tc>
          <w:tcPr>
            <w:tcW w:w="787" w:type="dxa"/>
            <w:vAlign w:val="center"/>
          </w:tcPr>
          <w:p w14:paraId="6B6FD3BF">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2441" w:type="dxa"/>
            <w:vAlign w:val="center"/>
          </w:tcPr>
          <w:p w14:paraId="6203C9CC">
            <w:pPr>
              <w:pStyle w:val="34"/>
              <w:spacing w:line="276"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投标人资质条件、能力、信誉</w:t>
            </w:r>
          </w:p>
        </w:tc>
        <w:tc>
          <w:tcPr>
            <w:tcW w:w="5871" w:type="dxa"/>
            <w:vAlign w:val="center"/>
          </w:tcPr>
          <w:p w14:paraId="46FCEB30">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1、资质要求：详见招标公告第3.2条要求</w:t>
            </w:r>
          </w:p>
          <w:p w14:paraId="6270D487">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2、财务要求：/</w:t>
            </w:r>
          </w:p>
          <w:p w14:paraId="3C243A95">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3、业绩要求：/</w:t>
            </w:r>
          </w:p>
          <w:p w14:paraId="04C6F17A">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4、信誉要求：详见招标公告第3.8条、</w:t>
            </w:r>
            <w:r>
              <w:rPr>
                <w:rFonts w:hint="eastAsia" w:ascii="宋体" w:hAnsi="宋体" w:eastAsia="宋体" w:cs="宋体"/>
                <w:bCs/>
                <w:color w:val="auto"/>
                <w:sz w:val="21"/>
                <w:szCs w:val="21"/>
                <w:highlight w:val="none"/>
                <w:lang w:val="en-US" w:eastAsia="zh-CN"/>
              </w:rPr>
              <w:t>第3.9条</w:t>
            </w:r>
            <w:r>
              <w:rPr>
                <w:rFonts w:hint="eastAsia" w:ascii="宋体" w:hAnsi="宋体" w:eastAsia="宋体" w:cs="宋体"/>
                <w:bCs/>
                <w:color w:val="auto"/>
                <w:sz w:val="21"/>
                <w:szCs w:val="21"/>
                <w:highlight w:val="none"/>
                <w:lang w:eastAsia="zh-CN"/>
              </w:rPr>
              <w:t>要求</w:t>
            </w:r>
          </w:p>
          <w:p w14:paraId="57B9958E">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5、项目负责人的资格要求：详见招标公告第3.5条要求</w:t>
            </w:r>
          </w:p>
          <w:p w14:paraId="58E78469">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6、其他主要人员要求：/</w:t>
            </w:r>
          </w:p>
          <w:p w14:paraId="5357B1A3">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7、其他要求：详见招标公告第3条投标人资格要求</w:t>
            </w:r>
          </w:p>
        </w:tc>
      </w:tr>
      <w:tr w14:paraId="6CA9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trPr>
        <w:tc>
          <w:tcPr>
            <w:tcW w:w="787" w:type="dxa"/>
            <w:vAlign w:val="center"/>
          </w:tcPr>
          <w:p w14:paraId="6857D0F5">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2441" w:type="dxa"/>
            <w:vAlign w:val="center"/>
          </w:tcPr>
          <w:p w14:paraId="23108D33">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5871" w:type="dxa"/>
            <w:vAlign w:val="center"/>
          </w:tcPr>
          <w:p w14:paraId="253AC267">
            <w:pPr>
              <w:keepNext w:val="0"/>
              <w:keepLines w:val="0"/>
              <w:pageBreakBefore w:val="0"/>
              <w:widowControl w:val="0"/>
              <w:kinsoku/>
              <w:wordWrap/>
              <w:overflowPunct/>
              <w:bidi w:val="0"/>
              <w:ind w:left="31" w:leftChars="15" w:right="21" w:rightChars="10"/>
              <w:textAlignment w:val="auto"/>
              <w:rPr>
                <w:color w:val="auto"/>
                <w:highlight w:val="none"/>
              </w:rPr>
            </w:pPr>
            <w:r>
              <w:rPr>
                <w:rFonts w:hint="eastAsia" w:ascii="宋体" w:hAnsi="宋体" w:cs="宋体"/>
                <w:color w:val="auto"/>
                <w:szCs w:val="21"/>
                <w:highlight w:val="none"/>
              </w:rPr>
              <w:t>□要求</w:t>
            </w:r>
          </w:p>
          <w:p w14:paraId="633DBA9B">
            <w:pPr>
              <w:keepNext w:val="0"/>
              <w:keepLines w:val="0"/>
              <w:pageBreakBefore w:val="0"/>
              <w:widowControl w:val="0"/>
              <w:kinsoku/>
              <w:wordWrap/>
              <w:overflowPunct/>
              <w:bidi w:val="0"/>
              <w:ind w:left="31" w:leftChars="15" w:right="21" w:rightChars="10"/>
              <w:textAlignment w:val="auto"/>
              <w:rPr>
                <w:color w:val="auto"/>
                <w:highlight w:val="none"/>
              </w:rPr>
            </w:pPr>
            <w:r>
              <w:rPr>
                <w:rFonts w:hint="eastAsia" w:ascii="宋体" w:hAnsi="宋体" w:cs="宋体"/>
                <w:color w:val="auto"/>
                <w:szCs w:val="21"/>
                <w:highlight w:val="none"/>
              </w:rPr>
              <w:t>■</w:t>
            </w:r>
            <w:r>
              <w:rPr>
                <w:rFonts w:hint="eastAsia" w:ascii="宋体" w:hAnsi="宋体"/>
                <w:color w:val="auto"/>
                <w:spacing w:val="-1"/>
                <w:szCs w:val="21"/>
                <w:highlight w:val="none"/>
              </w:rPr>
              <w:t>不</w:t>
            </w:r>
            <w:r>
              <w:rPr>
                <w:rFonts w:hint="eastAsia" w:ascii="宋体" w:hAnsi="宋体" w:cs="宋体"/>
                <w:color w:val="auto"/>
                <w:szCs w:val="21"/>
                <w:highlight w:val="none"/>
              </w:rPr>
              <w:t>要求</w:t>
            </w:r>
          </w:p>
          <w:p w14:paraId="3D05E7A1">
            <w:pPr>
              <w:keepNext w:val="0"/>
              <w:keepLines w:val="0"/>
              <w:pageBreakBefore w:val="0"/>
              <w:widowControl w:val="0"/>
              <w:kinsoku/>
              <w:wordWrap/>
              <w:overflowPunct/>
              <w:bidi w:val="0"/>
              <w:ind w:left="31" w:leftChars="15" w:right="21" w:rightChars="10"/>
              <w:textAlignment w:val="auto"/>
              <w:rPr>
                <w:rFonts w:ascii="宋体" w:hAnsi="宋体" w:cs="宋体"/>
                <w:color w:val="auto"/>
                <w:szCs w:val="21"/>
                <w:highlight w:val="none"/>
              </w:rPr>
            </w:pPr>
          </w:p>
        </w:tc>
      </w:tr>
      <w:tr w14:paraId="0D53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4" w:hRule="exact"/>
        </w:trPr>
        <w:tc>
          <w:tcPr>
            <w:tcW w:w="787" w:type="dxa"/>
            <w:vAlign w:val="center"/>
          </w:tcPr>
          <w:p w14:paraId="4EA293C6">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2441" w:type="dxa"/>
            <w:vAlign w:val="center"/>
          </w:tcPr>
          <w:p w14:paraId="20532A0A">
            <w:pPr>
              <w:pStyle w:val="34"/>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投标人不得存在的其他情形</w:t>
            </w:r>
          </w:p>
        </w:tc>
        <w:tc>
          <w:tcPr>
            <w:tcW w:w="5871" w:type="dxa"/>
            <w:vAlign w:val="center"/>
          </w:tcPr>
          <w:p w14:paraId="2EA5139A">
            <w:pPr>
              <w:pStyle w:val="34"/>
              <w:keepNext w:val="0"/>
              <w:keepLines w:val="0"/>
              <w:pageBreakBefore w:val="0"/>
              <w:widowControl w:val="0"/>
              <w:kinsoku/>
              <w:wordWrap/>
              <w:overflowPunct/>
              <w:bidi w:val="0"/>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1.4.3  投标人不得存在下列情形之一：</w:t>
            </w:r>
          </w:p>
          <w:p w14:paraId="4D57BB0A">
            <w:pPr>
              <w:pStyle w:val="34"/>
              <w:keepNext w:val="0"/>
              <w:keepLines w:val="0"/>
              <w:pageBreakBefore w:val="0"/>
              <w:widowControl w:val="0"/>
              <w:kinsoku/>
              <w:wordWrap/>
              <w:overflowPunct/>
              <w:bidi w:val="0"/>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（1）为招标人不具有独立法人资格的附属机构（单位）；</w:t>
            </w:r>
          </w:p>
          <w:p w14:paraId="77A50B0E">
            <w:pPr>
              <w:pStyle w:val="34"/>
              <w:keepNext w:val="0"/>
              <w:keepLines w:val="0"/>
              <w:pageBreakBefore w:val="0"/>
              <w:widowControl w:val="0"/>
              <w:kinsoku/>
              <w:wordWrap/>
              <w:overflowPunct/>
              <w:bidi w:val="0"/>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（2）与招标人存在利害关系且可能影响招标公正性；</w:t>
            </w:r>
          </w:p>
          <w:p w14:paraId="12A4B0FD">
            <w:pPr>
              <w:pStyle w:val="34"/>
              <w:keepNext w:val="0"/>
              <w:keepLines w:val="0"/>
              <w:pageBreakBefore w:val="0"/>
              <w:widowControl w:val="0"/>
              <w:kinsoku/>
              <w:wordWrap/>
              <w:overflowPunct/>
              <w:bidi w:val="0"/>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（3）与本招标项目的其他投标人为同一个单位负责人；</w:t>
            </w:r>
          </w:p>
          <w:p w14:paraId="07A74443">
            <w:pPr>
              <w:pStyle w:val="34"/>
              <w:keepNext w:val="0"/>
              <w:keepLines w:val="0"/>
              <w:pageBreakBefore w:val="0"/>
              <w:widowControl w:val="0"/>
              <w:kinsoku/>
              <w:wordWrap/>
              <w:overflowPunct/>
              <w:bidi w:val="0"/>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（4）与本招标项目的其他投标人存在控股、管理关系；</w:t>
            </w:r>
          </w:p>
          <w:p w14:paraId="5DC98679">
            <w:pPr>
              <w:pStyle w:val="34"/>
              <w:keepNext w:val="0"/>
              <w:keepLines w:val="0"/>
              <w:pageBreakBefore w:val="0"/>
              <w:widowControl w:val="0"/>
              <w:kinsoku/>
              <w:wordWrap/>
              <w:overflowPunct/>
              <w:bidi w:val="0"/>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（5）为本招标项目的代建人；</w:t>
            </w:r>
          </w:p>
          <w:p w14:paraId="6881A1B3">
            <w:pPr>
              <w:pStyle w:val="34"/>
              <w:keepNext w:val="0"/>
              <w:keepLines w:val="0"/>
              <w:pageBreakBefore w:val="0"/>
              <w:widowControl w:val="0"/>
              <w:kinsoku/>
              <w:wordWrap/>
              <w:overflowPunct/>
              <w:bidi w:val="0"/>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（6）为本招标项目的招标代理机构；</w:t>
            </w:r>
          </w:p>
          <w:p w14:paraId="7213DE48">
            <w:pPr>
              <w:pStyle w:val="34"/>
              <w:keepNext w:val="0"/>
              <w:keepLines w:val="0"/>
              <w:pageBreakBefore w:val="0"/>
              <w:widowControl w:val="0"/>
              <w:kinsoku/>
              <w:wordWrap/>
              <w:overflowPunct/>
              <w:bidi w:val="0"/>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（7）与本招标项目的代建人或招标代理机构同为一个法定代表人；</w:t>
            </w:r>
          </w:p>
          <w:p w14:paraId="5E6DFCFB">
            <w:pPr>
              <w:pStyle w:val="34"/>
              <w:keepNext w:val="0"/>
              <w:keepLines w:val="0"/>
              <w:pageBreakBefore w:val="0"/>
              <w:widowControl w:val="0"/>
              <w:kinsoku/>
              <w:wordWrap/>
              <w:overflowPunct/>
              <w:bidi w:val="0"/>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（8）与本招标项目的代建人或招标代理机构存在控股或参股关系；</w:t>
            </w:r>
          </w:p>
          <w:p w14:paraId="658CA8CB">
            <w:pPr>
              <w:keepNext w:val="0"/>
              <w:keepLines w:val="0"/>
              <w:pageBreakBefore w:val="0"/>
              <w:widowControl w:val="0"/>
              <w:kinsoku/>
              <w:wordWrap/>
              <w:overflowPunct/>
              <w:bidi w:val="0"/>
              <w:snapToGrid w:val="0"/>
              <w:ind w:left="31" w:leftChars="15" w:right="21" w:rightChars="10"/>
              <w:jc w:val="left"/>
              <w:textAlignment w:val="auto"/>
              <w:rPr>
                <w:rFonts w:ascii="Times New Roman" w:hAnsi="Times New Roman" w:cs="宋体"/>
                <w:color w:val="auto"/>
                <w:highlight w:val="none"/>
              </w:rPr>
            </w:pPr>
            <w:r>
              <w:rPr>
                <w:rStyle w:val="46"/>
                <w:rFonts w:hint="eastAsia" w:ascii="宋体" w:hAnsi="宋体" w:cs="宋体"/>
                <w:color w:val="auto"/>
                <w:highlight w:val="none"/>
                <w:lang w:bidi="ar"/>
              </w:rPr>
              <w:t>（</w:t>
            </w:r>
            <w:r>
              <w:rPr>
                <w:rStyle w:val="46"/>
                <w:color w:val="auto"/>
                <w:highlight w:val="none"/>
                <w:lang w:bidi="ar"/>
              </w:rPr>
              <w:t>9</w:t>
            </w:r>
            <w:r>
              <w:rPr>
                <w:rStyle w:val="46"/>
                <w:rFonts w:hint="eastAsia" w:ascii="宋体" w:hAnsi="宋体" w:cs="宋体"/>
                <w:color w:val="auto"/>
                <w:highlight w:val="none"/>
                <w:lang w:bidi="ar"/>
              </w:rPr>
              <w:t>）</w:t>
            </w:r>
            <w:bookmarkStart w:id="4" w:name="OLE_LINK2"/>
            <w:r>
              <w:rPr>
                <w:rStyle w:val="46"/>
                <w:rFonts w:hint="eastAsia" w:ascii="宋体" w:hAnsi="宋体" w:cs="宋体"/>
                <w:color w:val="auto"/>
                <w:highlight w:val="none"/>
                <w:lang w:bidi="ar"/>
              </w:rPr>
              <w:t>被依法暂停或取消投标资格</w:t>
            </w:r>
            <w:bookmarkEnd w:id="4"/>
            <w:r>
              <w:rPr>
                <w:rStyle w:val="46"/>
                <w:rFonts w:hint="eastAsia" w:ascii="宋体" w:hAnsi="宋体" w:cs="宋体"/>
                <w:color w:val="auto"/>
                <w:highlight w:val="none"/>
                <w:lang w:bidi="ar"/>
              </w:rPr>
              <w:t>的；</w:t>
            </w:r>
            <w:r>
              <w:rPr>
                <w:rStyle w:val="46"/>
                <w:rFonts w:hint="eastAsia" w:ascii="宋体" w:hAnsi="宋体" w:cs="宋体"/>
                <w:color w:val="auto"/>
                <w:highlight w:val="none"/>
                <w:u w:val="single"/>
                <w:lang w:bidi="ar"/>
              </w:rPr>
              <w:t>（本项事实应当以根据《中华人民共和国行政处罚法》依法作出并已经生效的行政处罚决定为认定依据。行政处罚决定中已经明确的暂停或取消投标资格的区域范围不包含本项目建设地点的，不受该项规定限制）</w:t>
            </w:r>
            <w:r>
              <w:rPr>
                <w:rStyle w:val="46"/>
                <w:rFonts w:cs="宋体"/>
                <w:color w:val="auto"/>
                <w:highlight w:val="none"/>
                <w:u w:val="single"/>
                <w:lang w:bidi="ar"/>
              </w:rPr>
              <w:t xml:space="preserve"> </w:t>
            </w:r>
          </w:p>
          <w:p w14:paraId="19F6DC15">
            <w:pPr>
              <w:pStyle w:val="34"/>
              <w:keepNext w:val="0"/>
              <w:keepLines w:val="0"/>
              <w:pageBreakBefore w:val="0"/>
              <w:widowControl w:val="0"/>
              <w:kinsoku/>
              <w:wordWrap/>
              <w:overflowPunct/>
              <w:bidi w:val="0"/>
              <w:ind w:left="31" w:leftChars="15" w:right="21" w:rightChars="10"/>
              <w:textAlignment w:val="auto"/>
              <w:rPr>
                <w:rFonts w:ascii="宋体" w:hAnsi="宋体" w:eastAsia="宋体" w:cs="宋体"/>
                <w:color w:val="auto"/>
                <w:sz w:val="21"/>
                <w:szCs w:val="21"/>
                <w:highlight w:val="none"/>
                <w:lang w:eastAsia="zh-CN"/>
              </w:rPr>
            </w:pPr>
            <w:r>
              <w:rPr>
                <w:rStyle w:val="46"/>
                <w:rFonts w:hint="eastAsia" w:ascii="宋体" w:hAnsi="宋体" w:eastAsia="宋体" w:cs="宋体"/>
                <w:color w:val="auto"/>
                <w:kern w:val="2"/>
                <w:highlight w:val="none"/>
                <w:lang w:eastAsia="zh-CN" w:bidi="ar"/>
              </w:rPr>
              <w:t>（</w:t>
            </w:r>
            <w:r>
              <w:rPr>
                <w:rStyle w:val="46"/>
                <w:rFonts w:eastAsia="宋体"/>
                <w:color w:val="auto"/>
                <w:kern w:val="2"/>
                <w:highlight w:val="none"/>
                <w:lang w:eastAsia="zh-CN" w:bidi="ar"/>
              </w:rPr>
              <w:t>10</w:t>
            </w:r>
            <w:r>
              <w:rPr>
                <w:rStyle w:val="46"/>
                <w:rFonts w:hint="eastAsia" w:ascii="宋体" w:hAnsi="宋体" w:eastAsia="宋体" w:cs="宋体"/>
                <w:color w:val="auto"/>
                <w:kern w:val="2"/>
                <w:highlight w:val="none"/>
                <w:lang w:eastAsia="zh-CN" w:bidi="ar"/>
              </w:rPr>
              <w:t>）被责令停产停业、暂扣或者吊销许可证、暂扣或者吊销执照的；</w:t>
            </w:r>
            <w:r>
              <w:rPr>
                <w:rStyle w:val="46"/>
                <w:rFonts w:hint="eastAsia" w:ascii="宋体" w:hAnsi="宋体" w:eastAsia="宋体" w:cs="宋体"/>
                <w:color w:val="auto"/>
                <w:kern w:val="2"/>
                <w:highlight w:val="none"/>
                <w:u w:val="single"/>
                <w:lang w:eastAsia="zh-CN" w:bidi="ar"/>
              </w:rPr>
              <w:t>（本项事实应当以根据《中华人民共和国行政处罚法》依法作出并已经生效的行政处罚决定为认定依据。）</w:t>
            </w:r>
          </w:p>
          <w:p w14:paraId="6093DD7D">
            <w:pPr>
              <w:pStyle w:val="34"/>
              <w:keepNext w:val="0"/>
              <w:keepLines w:val="0"/>
              <w:pageBreakBefore w:val="0"/>
              <w:widowControl w:val="0"/>
              <w:kinsoku/>
              <w:wordWrap/>
              <w:overflowPunct/>
              <w:bidi w:val="0"/>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（11）进入清算程序，或被宣告破产，或其他丧失履约能力的情形；</w:t>
            </w:r>
          </w:p>
          <w:p w14:paraId="15F99853">
            <w:pPr>
              <w:pStyle w:val="34"/>
              <w:keepNext w:val="0"/>
              <w:keepLines w:val="0"/>
              <w:pageBreakBefore w:val="0"/>
              <w:widowControl w:val="0"/>
              <w:kinsoku/>
              <w:wordWrap/>
              <w:overflowPunct/>
              <w:bidi w:val="0"/>
              <w:ind w:left="31" w:leftChars="15" w:right="21" w:rightChars="1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（12）在最近三年内发生重大勘察设计质量问题</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重大勘察设计质量问题”</w:t>
            </w:r>
            <w:r>
              <w:rPr>
                <w:rFonts w:hint="eastAsia" w:ascii="宋体" w:hAnsi="宋体" w:eastAsia="宋体" w:cs="宋体"/>
                <w:color w:val="auto"/>
                <w:sz w:val="21"/>
                <w:szCs w:val="21"/>
                <w:highlight w:val="none"/>
                <w:u w:val="single"/>
                <w:lang w:eastAsia="zh-CN"/>
              </w:rPr>
              <w:t>以相关行业主管部门的行政处罚决定或司法机关出具的有关法律文书为准，“最近三年”是指从投标截止时间之日起逆推三年，以相关行业主管部门、司法机关、仲裁机构出具的生效文件的落款时间起计算）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宋体"/>
                <w:color w:val="auto"/>
                <w:sz w:val="21"/>
                <w:szCs w:val="21"/>
                <w:highlight w:val="none"/>
                <w:lang w:eastAsia="zh-CN"/>
              </w:rPr>
              <w:t>；</w:t>
            </w:r>
          </w:p>
          <w:p w14:paraId="5483DD37">
            <w:pPr>
              <w:pStyle w:val="34"/>
              <w:keepNext w:val="0"/>
              <w:keepLines w:val="0"/>
              <w:pageBreakBefore w:val="0"/>
              <w:widowControl w:val="0"/>
              <w:kinsoku/>
              <w:wordWrap/>
              <w:overflowPunct/>
              <w:bidi w:val="0"/>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（13）法律法规或投标人须知前附表规定的其他情形。</w:t>
            </w:r>
          </w:p>
        </w:tc>
      </w:tr>
      <w:tr w14:paraId="1895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exact"/>
        </w:trPr>
        <w:tc>
          <w:tcPr>
            <w:tcW w:w="787" w:type="dxa"/>
            <w:vAlign w:val="center"/>
          </w:tcPr>
          <w:p w14:paraId="31A7750C">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441" w:type="dxa"/>
            <w:vAlign w:val="center"/>
          </w:tcPr>
          <w:p w14:paraId="63EEF7FE">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5871" w:type="dxa"/>
            <w:vAlign w:val="center"/>
          </w:tcPr>
          <w:p w14:paraId="41F80FA9">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■不组织</w:t>
            </w:r>
          </w:p>
          <w:p w14:paraId="6B3A1AEF">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□组织，踏勘时间：  </w:t>
            </w:r>
          </w:p>
          <w:p w14:paraId="1FBBFE2F">
            <w:pPr>
              <w:pStyle w:val="34"/>
              <w:keepNext w:val="0"/>
              <w:keepLines w:val="0"/>
              <w:pageBreakBefore w:val="0"/>
              <w:widowControl w:val="0"/>
              <w:kinsoku/>
              <w:wordWrap/>
              <w:overflowPunct/>
              <w:bidi w:val="0"/>
              <w:ind w:left="31" w:leftChars="15" w:right="21" w:rightChars="10" w:firstLine="840" w:firstLineChars="40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踏勘集中地点：</w:t>
            </w:r>
          </w:p>
        </w:tc>
      </w:tr>
      <w:tr w14:paraId="44F3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exact"/>
        </w:trPr>
        <w:tc>
          <w:tcPr>
            <w:tcW w:w="787" w:type="dxa"/>
            <w:vAlign w:val="center"/>
          </w:tcPr>
          <w:p w14:paraId="231F2ED5">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2441" w:type="dxa"/>
            <w:vAlign w:val="center"/>
          </w:tcPr>
          <w:p w14:paraId="7AACD14E">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5871" w:type="dxa"/>
            <w:vAlign w:val="center"/>
          </w:tcPr>
          <w:p w14:paraId="25532F32">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■不召开</w:t>
            </w:r>
          </w:p>
          <w:p w14:paraId="2888F330">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□召开，召开时间：</w:t>
            </w:r>
          </w:p>
          <w:p w14:paraId="55AFDDB9">
            <w:pPr>
              <w:pStyle w:val="34"/>
              <w:keepNext w:val="0"/>
              <w:keepLines w:val="0"/>
              <w:pageBreakBefore w:val="0"/>
              <w:widowControl w:val="0"/>
              <w:kinsoku/>
              <w:wordWrap/>
              <w:overflowPunct/>
              <w:bidi w:val="0"/>
              <w:ind w:left="31" w:leftChars="15" w:right="21" w:rightChars="10" w:firstLine="840" w:firstLineChars="400"/>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召开地点：</w:t>
            </w:r>
          </w:p>
        </w:tc>
      </w:tr>
      <w:tr w14:paraId="2BC6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787" w:type="dxa"/>
            <w:vMerge w:val="restart"/>
            <w:vAlign w:val="center"/>
          </w:tcPr>
          <w:p w14:paraId="5C0AE7E6">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1.10.2</w:t>
            </w:r>
          </w:p>
        </w:tc>
        <w:tc>
          <w:tcPr>
            <w:tcW w:w="2441" w:type="dxa"/>
            <w:vMerge w:val="restart"/>
            <w:vAlign w:val="center"/>
          </w:tcPr>
          <w:p w14:paraId="04CDFC6B">
            <w:pPr>
              <w:pStyle w:val="34"/>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投标人在投标预备会前提出问题</w:t>
            </w:r>
          </w:p>
        </w:tc>
        <w:tc>
          <w:tcPr>
            <w:tcW w:w="5871" w:type="dxa"/>
            <w:vAlign w:val="center"/>
          </w:tcPr>
          <w:p w14:paraId="6DA6B3B1">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w:t>
            </w:r>
          </w:p>
        </w:tc>
      </w:tr>
      <w:tr w14:paraId="6294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rPr>
        <w:tc>
          <w:tcPr>
            <w:tcW w:w="787" w:type="dxa"/>
            <w:vMerge w:val="continue"/>
            <w:vAlign w:val="center"/>
          </w:tcPr>
          <w:p w14:paraId="0D50627D">
            <w:pPr>
              <w:jc w:val="center"/>
              <w:rPr>
                <w:rFonts w:ascii="宋体" w:hAnsi="宋体" w:cs="宋体"/>
                <w:color w:val="auto"/>
                <w:szCs w:val="21"/>
                <w:highlight w:val="none"/>
              </w:rPr>
            </w:pPr>
          </w:p>
        </w:tc>
        <w:tc>
          <w:tcPr>
            <w:tcW w:w="2441" w:type="dxa"/>
            <w:vMerge w:val="continue"/>
            <w:vAlign w:val="center"/>
          </w:tcPr>
          <w:p w14:paraId="66307D95">
            <w:pPr>
              <w:jc w:val="center"/>
              <w:rPr>
                <w:rFonts w:ascii="宋体" w:hAnsi="宋体" w:cs="宋体"/>
                <w:color w:val="auto"/>
                <w:szCs w:val="21"/>
                <w:highlight w:val="none"/>
              </w:rPr>
            </w:pPr>
          </w:p>
        </w:tc>
        <w:tc>
          <w:tcPr>
            <w:tcW w:w="5871" w:type="dxa"/>
            <w:vAlign w:val="center"/>
          </w:tcPr>
          <w:p w14:paraId="14C01471">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形式：</w:t>
            </w:r>
            <w:r>
              <w:rPr>
                <w:rFonts w:hint="eastAsia" w:ascii="宋体" w:hAnsi="宋体" w:eastAsia="宋体" w:cs="宋体"/>
                <w:color w:val="auto"/>
                <w:sz w:val="21"/>
                <w:szCs w:val="21"/>
                <w:highlight w:val="none"/>
                <w:lang w:eastAsia="zh-CN"/>
              </w:rPr>
              <w:t>/。</w:t>
            </w:r>
          </w:p>
        </w:tc>
      </w:tr>
      <w:tr w14:paraId="627E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exact"/>
        </w:trPr>
        <w:tc>
          <w:tcPr>
            <w:tcW w:w="787" w:type="dxa"/>
            <w:vAlign w:val="center"/>
          </w:tcPr>
          <w:p w14:paraId="2E378B5C">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1.10.3</w:t>
            </w:r>
          </w:p>
        </w:tc>
        <w:tc>
          <w:tcPr>
            <w:tcW w:w="2441" w:type="dxa"/>
            <w:vAlign w:val="center"/>
          </w:tcPr>
          <w:p w14:paraId="0ECE2B61">
            <w:pPr>
              <w:pStyle w:val="34"/>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招标文件澄清发出的形式</w:t>
            </w:r>
          </w:p>
        </w:tc>
        <w:tc>
          <w:tcPr>
            <w:tcW w:w="5871" w:type="dxa"/>
            <w:vAlign w:val="center"/>
          </w:tcPr>
          <w:p w14:paraId="2F97E97A">
            <w:pPr>
              <w:keepNext w:val="0"/>
              <w:keepLines w:val="0"/>
              <w:pageBreakBefore w:val="0"/>
              <w:widowControl w:val="0"/>
              <w:kinsoku/>
              <w:wordWrap/>
              <w:overflowPunct/>
              <w:bidi w:val="0"/>
              <w:ind w:left="31" w:leftChars="15" w:right="21" w:rightChars="10"/>
              <w:textAlignment w:val="auto"/>
              <w:rPr>
                <w:color w:val="auto"/>
                <w:highlight w:val="none"/>
              </w:rPr>
            </w:pPr>
            <w:r>
              <w:rPr>
                <w:rFonts w:hint="eastAsia" w:ascii="宋体" w:hAnsi="宋体" w:cs="宋体"/>
                <w:color w:val="auto"/>
                <w:szCs w:val="21"/>
                <w:highlight w:val="none"/>
              </w:rPr>
              <w:t>/。</w:t>
            </w:r>
          </w:p>
        </w:tc>
      </w:tr>
      <w:tr w14:paraId="6EF4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5" w:hRule="exact"/>
        </w:trPr>
        <w:tc>
          <w:tcPr>
            <w:tcW w:w="787" w:type="dxa"/>
            <w:vAlign w:val="center"/>
          </w:tcPr>
          <w:p w14:paraId="0A4149AD">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1.11.1</w:t>
            </w:r>
          </w:p>
        </w:tc>
        <w:tc>
          <w:tcPr>
            <w:tcW w:w="2441" w:type="dxa"/>
            <w:vAlign w:val="center"/>
          </w:tcPr>
          <w:p w14:paraId="39941DF9">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5871" w:type="dxa"/>
            <w:vAlign w:val="center"/>
          </w:tcPr>
          <w:p w14:paraId="0CEED86E">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□不允许</w:t>
            </w:r>
          </w:p>
          <w:p w14:paraId="5680CC7C">
            <w:pPr>
              <w:keepNext w:val="0"/>
              <w:keepLines w:val="0"/>
              <w:pageBreakBefore w:val="0"/>
              <w:widowControl w:val="0"/>
              <w:kinsoku/>
              <w:wordWrap/>
              <w:overflowPunct/>
              <w:bidi w:val="0"/>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rPr>
              <w:t>■允许，分包内容要求：</w:t>
            </w:r>
            <w:r>
              <w:rPr>
                <w:rFonts w:hint="eastAsia" w:ascii="宋体" w:hAnsi="宋体" w:eastAsia="宋体" w:cs="宋体"/>
                <w:color w:val="auto"/>
                <w:spacing w:val="-2"/>
                <w:sz w:val="21"/>
                <w:szCs w:val="21"/>
                <w:highlight w:val="none"/>
                <w:u w:val="single"/>
                <w:lang w:eastAsia="zh-CN"/>
              </w:rPr>
              <w:t>如中标人不具备相关专业设计资质，应当自行完成本项目主体的设计业务，并在保证整个建筑工程项目完整性的前提下，经发包方同意，将其他部分专业设计业务依法分包给具备相应资质条件的分包单位。</w:t>
            </w:r>
            <w:r>
              <w:rPr>
                <w:rFonts w:hint="eastAsia" w:ascii="宋体" w:hAnsi="宋体" w:cs="宋体"/>
                <w:color w:val="auto"/>
                <w:szCs w:val="21"/>
                <w:highlight w:val="none"/>
              </w:rPr>
              <w:t>。</w:t>
            </w:r>
          </w:p>
          <w:p w14:paraId="0E26DA7C">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分包金额要求：/</w:t>
            </w:r>
          </w:p>
          <w:p w14:paraId="51C231D5">
            <w:pPr>
              <w:pStyle w:val="34"/>
              <w:keepNext w:val="0"/>
              <w:keepLines w:val="0"/>
              <w:pageBreakBefore w:val="0"/>
              <w:widowControl w:val="0"/>
              <w:kinsoku/>
              <w:wordWrap/>
              <w:overflowPunct/>
              <w:bidi w:val="0"/>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对分包人的资质要求：</w:t>
            </w:r>
            <w:r>
              <w:rPr>
                <w:rFonts w:hint="eastAsia" w:ascii="宋体" w:hAnsi="宋体" w:eastAsia="宋体" w:cs="宋体"/>
                <w:color w:val="auto"/>
                <w:sz w:val="21"/>
                <w:szCs w:val="21"/>
                <w:highlight w:val="none"/>
                <w:u w:val="single"/>
                <w:lang w:val="en-US" w:eastAsia="zh-CN"/>
              </w:rPr>
              <w:t>按国家规定</w:t>
            </w:r>
            <w:r>
              <w:rPr>
                <w:rFonts w:hint="eastAsia" w:ascii="宋体" w:hAnsi="宋体" w:eastAsia="宋体" w:cs="宋体"/>
                <w:color w:val="auto"/>
                <w:sz w:val="21"/>
                <w:szCs w:val="21"/>
                <w:highlight w:val="none"/>
                <w:u w:val="single"/>
                <w:lang w:eastAsia="zh-CN"/>
              </w:rPr>
              <w:t>。</w:t>
            </w:r>
          </w:p>
        </w:tc>
      </w:tr>
      <w:tr w14:paraId="0494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787" w:type="dxa"/>
            <w:vAlign w:val="center"/>
          </w:tcPr>
          <w:p w14:paraId="57A1264B">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1.12.1</w:t>
            </w:r>
          </w:p>
        </w:tc>
        <w:tc>
          <w:tcPr>
            <w:tcW w:w="2441" w:type="dxa"/>
            <w:vAlign w:val="center"/>
          </w:tcPr>
          <w:p w14:paraId="6788C62C">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实质性要求和条件</w:t>
            </w:r>
          </w:p>
        </w:tc>
        <w:tc>
          <w:tcPr>
            <w:tcW w:w="5871" w:type="dxa"/>
            <w:vAlign w:val="center"/>
          </w:tcPr>
          <w:p w14:paraId="62CE12B2">
            <w:pPr>
              <w:keepNext w:val="0"/>
              <w:keepLines w:val="0"/>
              <w:pageBreakBefore w:val="0"/>
              <w:widowControl w:val="0"/>
              <w:kinsoku/>
              <w:wordWrap/>
              <w:overflowPunct/>
              <w:bidi w:val="0"/>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rPr>
              <w:t>/。</w:t>
            </w:r>
          </w:p>
        </w:tc>
      </w:tr>
      <w:tr w14:paraId="17E5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787" w:type="dxa"/>
            <w:vAlign w:val="center"/>
          </w:tcPr>
          <w:p w14:paraId="563C479A">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1.12.3</w:t>
            </w:r>
          </w:p>
        </w:tc>
        <w:tc>
          <w:tcPr>
            <w:tcW w:w="2441" w:type="dxa"/>
            <w:vAlign w:val="center"/>
          </w:tcPr>
          <w:p w14:paraId="6B653456">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偏差</w:t>
            </w:r>
          </w:p>
        </w:tc>
        <w:tc>
          <w:tcPr>
            <w:tcW w:w="5871" w:type="dxa"/>
            <w:vAlign w:val="center"/>
          </w:tcPr>
          <w:p w14:paraId="7F188A0D">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■不允许</w:t>
            </w:r>
          </w:p>
          <w:p w14:paraId="2686909B">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□允许，偏差范围：</w:t>
            </w:r>
            <w:r>
              <w:rPr>
                <w:rFonts w:hint="eastAsia" w:ascii="宋体" w:hAnsi="宋体" w:eastAsia="宋体" w:cs="宋体"/>
                <w:color w:val="auto"/>
                <w:sz w:val="21"/>
                <w:szCs w:val="21"/>
                <w:highlight w:val="none"/>
                <w:u w:val="single"/>
                <w:lang w:eastAsia="zh-CN"/>
              </w:rPr>
              <w:t xml:space="preserve"> </w:t>
            </w:r>
          </w:p>
          <w:p w14:paraId="6D875292">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偏差幅度：/。</w:t>
            </w:r>
          </w:p>
        </w:tc>
      </w:tr>
      <w:tr w14:paraId="0556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exact"/>
        </w:trPr>
        <w:tc>
          <w:tcPr>
            <w:tcW w:w="787" w:type="dxa"/>
            <w:vAlign w:val="center"/>
          </w:tcPr>
          <w:p w14:paraId="4E766B63">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441" w:type="dxa"/>
            <w:vAlign w:val="center"/>
          </w:tcPr>
          <w:p w14:paraId="082BCE6F">
            <w:pPr>
              <w:pStyle w:val="34"/>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构成招标文件的其他资料</w:t>
            </w:r>
          </w:p>
        </w:tc>
        <w:tc>
          <w:tcPr>
            <w:tcW w:w="5871" w:type="dxa"/>
            <w:vAlign w:val="center"/>
          </w:tcPr>
          <w:p w14:paraId="276CA521">
            <w:pPr>
              <w:keepNext w:val="0"/>
              <w:keepLines w:val="0"/>
              <w:pageBreakBefore w:val="0"/>
              <w:widowControl w:val="0"/>
              <w:kinsoku/>
              <w:wordWrap/>
              <w:overflowPunct/>
              <w:bidi w:val="0"/>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rPr>
              <w:t>/。</w:t>
            </w:r>
          </w:p>
        </w:tc>
      </w:tr>
      <w:tr w14:paraId="3807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6" w:hRule="exact"/>
        </w:trPr>
        <w:tc>
          <w:tcPr>
            <w:tcW w:w="787" w:type="dxa"/>
            <w:vAlign w:val="center"/>
          </w:tcPr>
          <w:p w14:paraId="63CECA51">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441" w:type="dxa"/>
            <w:vAlign w:val="center"/>
          </w:tcPr>
          <w:p w14:paraId="696B1D1B">
            <w:pPr>
              <w:pStyle w:val="34"/>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投标人要求澄清招标文件</w:t>
            </w:r>
          </w:p>
        </w:tc>
        <w:tc>
          <w:tcPr>
            <w:tcW w:w="5871" w:type="dxa"/>
            <w:vAlign w:val="center"/>
          </w:tcPr>
          <w:p w14:paraId="0970BD12">
            <w:pPr>
              <w:keepNext w:val="0"/>
              <w:keepLines w:val="0"/>
              <w:pageBreakBefore w:val="0"/>
              <w:widowControl w:val="0"/>
              <w:kinsoku/>
              <w:wordWrap/>
              <w:overflowPunct/>
              <w:bidi w:val="0"/>
              <w:ind w:left="31" w:leftChars="15" w:right="21" w:rightChars="10"/>
              <w:textAlignment w:val="auto"/>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时间：在提交投标文件截止时间18天前提出。</w:t>
            </w:r>
          </w:p>
          <w:p w14:paraId="0BCC8579">
            <w:pPr>
              <w:keepNext w:val="0"/>
              <w:keepLines w:val="0"/>
              <w:pageBreakBefore w:val="0"/>
              <w:widowControl w:val="0"/>
              <w:kinsoku/>
              <w:wordWrap w:val="0"/>
              <w:overflowPunct/>
              <w:topLinePunct w:val="0"/>
              <w:autoSpaceDE/>
              <w:autoSpaceDN/>
              <w:bidi w:val="0"/>
              <w:adjustRightInd/>
              <w:snapToGrid/>
              <w:ind w:left="31" w:leftChars="15" w:right="21" w:rightChars="10"/>
              <w:textAlignment w:val="auto"/>
              <w:rPr>
                <w:rFonts w:ascii="宋体" w:hAnsi="宋体" w:cs="宋体"/>
                <w:color w:val="auto"/>
                <w:szCs w:val="21"/>
                <w:highlight w:val="none"/>
              </w:rPr>
            </w:pPr>
            <w:r>
              <w:rPr>
                <w:rFonts w:hint="eastAsia" w:ascii="宋体" w:hAnsi="宋体" w:eastAsia="宋体" w:cs="宋体"/>
                <w:color w:val="auto"/>
                <w:sz w:val="21"/>
                <w:szCs w:val="21"/>
                <w:highlight w:val="none"/>
                <w:u w:val="single"/>
                <w:lang w:eastAsia="zh-CN"/>
              </w:rPr>
              <w:t>形式：投标人的疑问通过广州公共资源交易中心交易平台提交。网上答疑的操作指南为：登陆</w:t>
            </w:r>
            <w:r>
              <w:rPr>
                <w:rFonts w:hint="eastAsia" w:ascii="宋体" w:hAnsi="宋体" w:cs="宋体"/>
                <w:color w:val="auto"/>
                <w:szCs w:val="21"/>
                <w:highlight w:val="none"/>
                <w:u w:val="single"/>
              </w:rPr>
              <w:t>广州交易集团有限公司（广州公共资源交易中心）网站</w:t>
            </w:r>
            <w:r>
              <w:rPr>
                <w:rFonts w:hint="eastAsia" w:ascii="宋体" w:hAnsi="宋体" w:eastAsia="宋体" w:cs="宋体"/>
                <w:color w:val="auto"/>
                <w:sz w:val="21"/>
                <w:szCs w:val="21"/>
                <w:highlight w:val="none"/>
                <w:u w:val="single"/>
                <w:lang w:eastAsia="zh-CN"/>
              </w:rPr>
              <w:t>→进入“我是投标人”→进入“新建设工程交易平台”→进入“我的投标”→进入“招标答疑提问”→通过项目编号或名称找到所需的项目→在上述的答疑时间内点击“答疑提问”进入到提问区域→无记名或匿名提出问题。</w:t>
            </w:r>
            <w:r>
              <w:rPr>
                <w:rFonts w:hint="eastAsia" w:ascii="宋体" w:hAnsi="宋体" w:cs="宋体"/>
                <w:color w:val="auto"/>
                <w:szCs w:val="21"/>
                <w:highlight w:val="none"/>
                <w:u w:val="single"/>
              </w:rPr>
              <w:t>按照广州交易集团有限公司（广州公共资源交易中心）网站关于全流程电子化项目的相关指南进行操作</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eastAsia="zh-CN"/>
              </w:rPr>
              <w:t>提问一律不得署名。</w:t>
            </w:r>
          </w:p>
        </w:tc>
      </w:tr>
      <w:tr w14:paraId="18EB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1" w:hRule="exact"/>
        </w:trPr>
        <w:tc>
          <w:tcPr>
            <w:tcW w:w="787" w:type="dxa"/>
            <w:vAlign w:val="center"/>
          </w:tcPr>
          <w:p w14:paraId="45718FC7">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441" w:type="dxa"/>
            <w:vAlign w:val="center"/>
          </w:tcPr>
          <w:p w14:paraId="6DF6DED9">
            <w:pPr>
              <w:pStyle w:val="34"/>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招标文件澄清发出的形式</w:t>
            </w:r>
          </w:p>
        </w:tc>
        <w:tc>
          <w:tcPr>
            <w:tcW w:w="5871" w:type="dxa"/>
            <w:vAlign w:val="center"/>
          </w:tcPr>
          <w:p w14:paraId="34E4D17D">
            <w:pPr>
              <w:keepNext w:val="0"/>
              <w:keepLines w:val="0"/>
              <w:pageBreakBefore w:val="0"/>
              <w:widowControl w:val="0"/>
              <w:kinsoku/>
              <w:wordWrap/>
              <w:overflowPunct/>
              <w:bidi w:val="0"/>
              <w:ind w:left="31" w:leftChars="15" w:right="21" w:rightChars="1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招标人应在递交投标文件截止时间15日前将招标文件澄清文件在广州交易集团有限公司（广州公共资源交易中心）网站“招标答疑”专区发布。不足15日的，招标人应当顺延投标文件的截止时间。</w:t>
            </w:r>
          </w:p>
        </w:tc>
      </w:tr>
      <w:tr w14:paraId="65A0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3" w:hRule="exact"/>
        </w:trPr>
        <w:tc>
          <w:tcPr>
            <w:tcW w:w="787" w:type="dxa"/>
            <w:vAlign w:val="center"/>
          </w:tcPr>
          <w:p w14:paraId="41A5C9E9">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2441" w:type="dxa"/>
            <w:vAlign w:val="center"/>
          </w:tcPr>
          <w:p w14:paraId="7AB2122E">
            <w:pPr>
              <w:pStyle w:val="34"/>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投标人确认收到招标文件澄清</w:t>
            </w:r>
          </w:p>
        </w:tc>
        <w:tc>
          <w:tcPr>
            <w:tcW w:w="5871" w:type="dxa"/>
            <w:vAlign w:val="center"/>
          </w:tcPr>
          <w:p w14:paraId="6BF17509">
            <w:pPr>
              <w:keepNext w:val="0"/>
              <w:keepLines w:val="0"/>
              <w:pageBreakBefore w:val="0"/>
              <w:widowControl w:val="0"/>
              <w:kinsoku/>
              <w:wordWrap/>
              <w:overflowPunct/>
              <w:bidi w:val="0"/>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rPr>
              <w:t>招标文件澄清文件一经在广州交易集团有限公司（广州公共资源交易中心）网站发布，视作已发放给所有投标人。招标答疑纪要</w:t>
            </w:r>
            <w:r>
              <w:rPr>
                <w:rFonts w:hint="eastAsia" w:ascii="宋体" w:hAnsi="宋体" w:cs="宋体"/>
                <w:color w:val="auto"/>
                <w:szCs w:val="21"/>
                <w:highlight w:val="none"/>
                <w:lang w:val="en-US" w:eastAsia="zh-CN"/>
              </w:rPr>
              <w:t>或澄清文件</w:t>
            </w:r>
            <w:r>
              <w:rPr>
                <w:rFonts w:hint="eastAsia" w:ascii="宋体" w:hAnsi="宋体" w:cs="宋体"/>
                <w:color w:val="auto"/>
                <w:szCs w:val="21"/>
                <w:highlight w:val="none"/>
              </w:rPr>
              <w:t>为招标文件的一部分。投标人可在广州交易集团有限公司（广州公共资源交易中心）网站浏览、下载招标答疑纪要</w:t>
            </w:r>
            <w:r>
              <w:rPr>
                <w:rFonts w:hint="eastAsia" w:ascii="宋体" w:hAnsi="宋体" w:cs="宋体"/>
                <w:color w:val="auto"/>
                <w:szCs w:val="21"/>
                <w:highlight w:val="none"/>
                <w:lang w:val="en-US" w:eastAsia="zh-CN"/>
              </w:rPr>
              <w:t>或澄清文件</w:t>
            </w:r>
            <w:r>
              <w:rPr>
                <w:rFonts w:hint="eastAsia" w:ascii="宋体" w:hAnsi="宋体" w:cs="宋体"/>
                <w:color w:val="auto"/>
                <w:szCs w:val="21"/>
                <w:highlight w:val="none"/>
              </w:rPr>
              <w:t>。若招标答疑纪要</w:t>
            </w:r>
            <w:r>
              <w:rPr>
                <w:rFonts w:hint="eastAsia" w:ascii="宋体" w:hAnsi="宋体" w:cs="宋体"/>
                <w:color w:val="auto"/>
                <w:szCs w:val="21"/>
                <w:highlight w:val="none"/>
                <w:lang w:val="en-US" w:eastAsia="zh-CN"/>
              </w:rPr>
              <w:t>或澄清文件</w:t>
            </w:r>
            <w:r>
              <w:rPr>
                <w:rFonts w:hint="eastAsia" w:ascii="宋体" w:hAnsi="宋体" w:cs="宋体"/>
                <w:color w:val="auto"/>
                <w:szCs w:val="21"/>
                <w:highlight w:val="none"/>
              </w:rPr>
              <w:t>与招标文件有矛盾时，以广州交易集团有限公司（广州公共资源交易中心）网站最后发布的答疑纪要</w:t>
            </w:r>
            <w:r>
              <w:rPr>
                <w:rFonts w:hint="eastAsia" w:ascii="宋体" w:hAnsi="宋体" w:cs="宋体"/>
                <w:color w:val="auto"/>
                <w:szCs w:val="21"/>
                <w:highlight w:val="none"/>
                <w:lang w:val="en-US" w:eastAsia="zh-CN"/>
              </w:rPr>
              <w:t>或澄清文件</w:t>
            </w:r>
            <w:r>
              <w:rPr>
                <w:rFonts w:hint="eastAsia" w:ascii="宋体" w:hAnsi="宋体" w:cs="宋体"/>
                <w:color w:val="auto"/>
                <w:szCs w:val="21"/>
                <w:highlight w:val="none"/>
              </w:rPr>
              <w:t>为准。</w:t>
            </w:r>
          </w:p>
        </w:tc>
      </w:tr>
      <w:tr w14:paraId="2168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exact"/>
        </w:trPr>
        <w:tc>
          <w:tcPr>
            <w:tcW w:w="787" w:type="dxa"/>
            <w:vAlign w:val="center"/>
          </w:tcPr>
          <w:p w14:paraId="6BFF62F9">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p>
        </w:tc>
        <w:tc>
          <w:tcPr>
            <w:tcW w:w="2441" w:type="dxa"/>
            <w:vAlign w:val="center"/>
          </w:tcPr>
          <w:p w14:paraId="725EAC97">
            <w:pPr>
              <w:pStyle w:val="34"/>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招标文件修改发出的形式</w:t>
            </w:r>
          </w:p>
        </w:tc>
        <w:tc>
          <w:tcPr>
            <w:tcW w:w="5871" w:type="dxa"/>
            <w:vAlign w:val="center"/>
          </w:tcPr>
          <w:p w14:paraId="6A66097F">
            <w:pPr>
              <w:keepNext w:val="0"/>
              <w:keepLines w:val="0"/>
              <w:pageBreakBefore w:val="0"/>
              <w:widowControl w:val="0"/>
              <w:kinsoku/>
              <w:wordWrap/>
              <w:overflowPunct/>
              <w:bidi w:val="0"/>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rPr>
              <w:t>以补充公告或项目答疑澄清的方式在广州交易集团有限公司（广州公共资源交易中心）网站发布。</w:t>
            </w:r>
          </w:p>
        </w:tc>
      </w:tr>
      <w:tr w14:paraId="0FAE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6" w:hRule="exact"/>
        </w:trPr>
        <w:tc>
          <w:tcPr>
            <w:tcW w:w="787" w:type="dxa"/>
            <w:vAlign w:val="center"/>
          </w:tcPr>
          <w:p w14:paraId="377CA3A5">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2441" w:type="dxa"/>
            <w:vAlign w:val="center"/>
          </w:tcPr>
          <w:p w14:paraId="73BAB4EF">
            <w:pPr>
              <w:pStyle w:val="34"/>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投标人确认收到招标文件修改</w:t>
            </w:r>
          </w:p>
        </w:tc>
        <w:tc>
          <w:tcPr>
            <w:tcW w:w="5871" w:type="dxa"/>
            <w:vAlign w:val="center"/>
          </w:tcPr>
          <w:p w14:paraId="1D48FEF6">
            <w:pPr>
              <w:keepNext w:val="0"/>
              <w:keepLines w:val="0"/>
              <w:pageBreakBefore w:val="0"/>
              <w:widowControl w:val="0"/>
              <w:kinsoku/>
              <w:wordWrap/>
              <w:overflowPunct/>
              <w:bidi w:val="0"/>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rPr>
              <w:t>招标文件修改文件一经在广州交易集团有限公司（广州公共资源交易中心）网站发布，视作已发放给所有投标人，无需确认。投标人应自行关注招标公告公布的网站公告，招标人不再一一通知。投标人因自身贻误行为导致投标失败的，责任自负。</w:t>
            </w:r>
          </w:p>
        </w:tc>
      </w:tr>
      <w:tr w14:paraId="09BD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trPr>
        <w:tc>
          <w:tcPr>
            <w:tcW w:w="787" w:type="dxa"/>
            <w:vAlign w:val="center"/>
          </w:tcPr>
          <w:p w14:paraId="440D5375">
            <w:pPr>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441" w:type="dxa"/>
            <w:vAlign w:val="center"/>
          </w:tcPr>
          <w:p w14:paraId="5BF9FF10">
            <w:pPr>
              <w:jc w:val="center"/>
              <w:rPr>
                <w:rFonts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5871" w:type="dxa"/>
            <w:vAlign w:val="center"/>
          </w:tcPr>
          <w:p w14:paraId="4CDA9388">
            <w:pPr>
              <w:keepNext w:val="0"/>
              <w:keepLines w:val="0"/>
              <w:pageBreakBefore w:val="0"/>
              <w:widowControl w:val="0"/>
              <w:kinsoku/>
              <w:wordWrap/>
              <w:overflowPunct/>
              <w:bidi w:val="0"/>
              <w:ind w:left="31" w:leftChars="15" w:right="21" w:rightChars="10"/>
              <w:textAlignment w:val="auto"/>
              <w:rPr>
                <w:rFonts w:ascii="宋体" w:hAnsi="宋体" w:cs="宋体"/>
                <w:bCs/>
                <w:color w:val="auto"/>
                <w:szCs w:val="21"/>
                <w:highlight w:val="none"/>
              </w:rPr>
            </w:pPr>
            <w:r>
              <w:rPr>
                <w:rFonts w:hint="eastAsia" w:ascii="宋体" w:hAnsi="宋体" w:cs="宋体"/>
                <w:bCs/>
                <w:color w:val="auto"/>
                <w:szCs w:val="21"/>
                <w:highlight w:val="none"/>
              </w:rPr>
              <w:t>满足本项目评审要求的其他资料。</w:t>
            </w:r>
          </w:p>
        </w:tc>
      </w:tr>
      <w:tr w14:paraId="7129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787" w:type="dxa"/>
            <w:vAlign w:val="center"/>
          </w:tcPr>
          <w:p w14:paraId="2780873C">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2441" w:type="dxa"/>
            <w:vAlign w:val="center"/>
          </w:tcPr>
          <w:p w14:paraId="5025EC84">
            <w:pPr>
              <w:pStyle w:val="34"/>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增值税税金的计算方法</w:t>
            </w:r>
          </w:p>
        </w:tc>
        <w:tc>
          <w:tcPr>
            <w:tcW w:w="5871" w:type="dxa"/>
            <w:vAlign w:val="center"/>
          </w:tcPr>
          <w:p w14:paraId="7E15E0D7">
            <w:pPr>
              <w:keepNext w:val="0"/>
              <w:keepLines w:val="0"/>
              <w:pageBreakBefore w:val="0"/>
              <w:widowControl w:val="0"/>
              <w:kinsoku/>
              <w:wordWrap/>
              <w:overflowPunct/>
              <w:bidi w:val="0"/>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u w:val="single"/>
              </w:rPr>
              <w:t>投标人的投标报价为含税报价。</w:t>
            </w:r>
          </w:p>
        </w:tc>
      </w:tr>
      <w:tr w14:paraId="12CC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exact"/>
        </w:trPr>
        <w:tc>
          <w:tcPr>
            <w:tcW w:w="787" w:type="dxa"/>
            <w:vAlign w:val="center"/>
          </w:tcPr>
          <w:p w14:paraId="0FA5053F">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3.2.3</w:t>
            </w:r>
          </w:p>
        </w:tc>
        <w:tc>
          <w:tcPr>
            <w:tcW w:w="2441" w:type="dxa"/>
            <w:vAlign w:val="center"/>
          </w:tcPr>
          <w:p w14:paraId="46150E1A">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报价方式</w:t>
            </w:r>
          </w:p>
        </w:tc>
        <w:tc>
          <w:tcPr>
            <w:tcW w:w="5871" w:type="dxa"/>
            <w:vAlign w:val="center"/>
          </w:tcPr>
          <w:p w14:paraId="376FFF9D">
            <w:pPr>
              <w:keepNext w:val="0"/>
              <w:keepLines w:val="0"/>
              <w:pageBreakBefore w:val="0"/>
              <w:widowControl w:val="0"/>
              <w:kinsoku/>
              <w:wordWrap/>
              <w:overflowPunct/>
              <w:bidi w:val="0"/>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u w:val="single"/>
              </w:rPr>
              <w:t>按招标文件第六章投标文件格式进行报价。</w:t>
            </w:r>
            <w:r>
              <w:rPr>
                <w:rFonts w:hint="eastAsia" w:ascii="宋体" w:hAnsi="宋体" w:cs="宋体"/>
                <w:color w:val="auto"/>
                <w:szCs w:val="21"/>
                <w:highlight w:val="none"/>
              </w:rPr>
              <w:t>投标人根据自身企业实力自行报价。</w:t>
            </w:r>
            <w:r>
              <w:rPr>
                <w:rFonts w:hint="eastAsia" w:ascii="宋体" w:hAnsi="宋体" w:cs="宋体"/>
                <w:color w:val="auto"/>
                <w:szCs w:val="21"/>
                <w:highlight w:val="none"/>
                <w:lang w:eastAsia="zh-CN"/>
              </w:rPr>
              <w:t>工程</w:t>
            </w:r>
            <w:r>
              <w:rPr>
                <w:rFonts w:hint="eastAsia" w:ascii="宋体" w:hAnsi="宋体" w:cs="宋体"/>
                <w:color w:val="auto"/>
                <w:szCs w:val="21"/>
                <w:highlight w:val="none"/>
              </w:rPr>
              <w:t>设计费</w:t>
            </w:r>
            <w:r>
              <w:rPr>
                <w:rFonts w:hint="eastAsia" w:ascii="宋体" w:hAnsi="宋体" w:cs="宋体"/>
                <w:color w:val="auto"/>
                <w:szCs w:val="21"/>
                <w:highlight w:val="none"/>
                <w:lang w:eastAsia="zh-CN"/>
              </w:rPr>
              <w:t>总</w:t>
            </w:r>
            <w:r>
              <w:rPr>
                <w:rFonts w:hint="eastAsia" w:ascii="宋体" w:hAnsi="宋体" w:cs="宋体"/>
                <w:color w:val="auto"/>
                <w:szCs w:val="21"/>
                <w:highlight w:val="none"/>
              </w:rPr>
              <w:t>报价为投标人完成本招标项目所有设计工作及履行合同的成本、利润、税金及风险等。</w:t>
            </w:r>
          </w:p>
        </w:tc>
      </w:tr>
      <w:tr w14:paraId="2DD2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5" w:hRule="atLeast"/>
        </w:trPr>
        <w:tc>
          <w:tcPr>
            <w:tcW w:w="787" w:type="dxa"/>
            <w:vAlign w:val="center"/>
          </w:tcPr>
          <w:p w14:paraId="048608C6">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2441" w:type="dxa"/>
            <w:vAlign w:val="center"/>
          </w:tcPr>
          <w:p w14:paraId="55AA9986">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tc>
        <w:tc>
          <w:tcPr>
            <w:tcW w:w="5871" w:type="dxa"/>
            <w:vAlign w:val="center"/>
          </w:tcPr>
          <w:p w14:paraId="74029772">
            <w:pPr>
              <w:keepNext w:val="0"/>
              <w:keepLines w:val="0"/>
              <w:pageBreakBefore w:val="0"/>
              <w:widowControl w:val="0"/>
              <w:kinsoku/>
              <w:wordWrap/>
              <w:overflowPunct/>
              <w:bidi w:val="0"/>
              <w:spacing w:line="360" w:lineRule="auto"/>
              <w:ind w:left="31" w:leftChars="15" w:right="21" w:rightChars="10"/>
              <w:jc w:val="both"/>
              <w:textAlignment w:val="auto"/>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□无</w:t>
            </w:r>
          </w:p>
          <w:p w14:paraId="03CBCBEC">
            <w:pPr>
              <w:spacing w:line="360" w:lineRule="auto"/>
              <w:ind w:left="31" w:leftChars="15" w:right="21" w:rightChars="10" w:firstLine="0" w:firstLineChars="0"/>
              <w:rPr>
                <w:rFonts w:hint="eastAsia" w:ascii="宋体" w:hAnsi="宋体" w:cs="宋体"/>
                <w:color w:val="auto"/>
                <w:sz w:val="21"/>
                <w:szCs w:val="21"/>
                <w:highlight w:val="none"/>
                <w:u w:val="single"/>
              </w:rPr>
            </w:pPr>
            <w:r>
              <w:rPr>
                <w:rFonts w:hint="eastAsia" w:ascii="宋体" w:hAnsi="宋体" w:cs="宋体"/>
                <w:color w:val="auto"/>
                <w:szCs w:val="21"/>
                <w:highlight w:val="none"/>
                <w:u w:val="single"/>
              </w:rPr>
              <w:t>■有，</w:t>
            </w:r>
            <w:r>
              <w:rPr>
                <w:rFonts w:ascii="宋体" w:hAnsi="宋体" w:cs="宋体"/>
                <w:color w:val="auto"/>
                <w:sz w:val="21"/>
                <w:szCs w:val="21"/>
                <w:highlight w:val="none"/>
              </w:rPr>
              <w:t>本项目工程设计费最高投标限价总价</w:t>
            </w:r>
            <w:r>
              <w:rPr>
                <w:rFonts w:hint="eastAsia" w:ascii="宋体" w:hAnsi="宋体" w:cs="宋体"/>
                <w:color w:val="auto"/>
                <w:sz w:val="21"/>
                <w:szCs w:val="21"/>
                <w:highlight w:val="none"/>
              </w:rPr>
              <w:t>为</w:t>
            </w:r>
            <w:r>
              <w:rPr>
                <w:rFonts w:hint="eastAsia" w:ascii="宋体" w:hAnsi="宋体" w:cs="宋体"/>
                <w:color w:val="auto"/>
                <w:sz w:val="21"/>
                <w:szCs w:val="21"/>
                <w:highlight w:val="none"/>
                <w:u w:val="single"/>
                <w:lang w:val="en-US" w:eastAsia="zh-CN" w:bidi="ar"/>
              </w:rPr>
              <w:t xml:space="preserve"> </w:t>
            </w:r>
            <w:r>
              <w:rPr>
                <w:rFonts w:hint="default" w:ascii="宋体" w:hAnsi="宋体" w:cs="宋体"/>
                <w:color w:val="auto"/>
                <w:szCs w:val="21"/>
                <w:highlight w:val="none"/>
                <w:u w:val="single"/>
                <w:lang w:bidi="ar"/>
              </w:rPr>
              <w:t>1309.62</w:t>
            </w:r>
            <w:r>
              <w:rPr>
                <w:rFonts w:hint="eastAsia" w:ascii="宋体" w:hAnsi="宋体" w:cs="宋体"/>
                <w:color w:val="auto"/>
                <w:sz w:val="21"/>
                <w:szCs w:val="21"/>
                <w:highlight w:val="none"/>
                <w:u w:val="single"/>
                <w:lang w:val="en-US" w:eastAsia="zh-CN" w:bidi="ar"/>
              </w:rPr>
              <w:t xml:space="preserve"> </w:t>
            </w:r>
            <w:r>
              <w:rPr>
                <w:rFonts w:ascii="宋体" w:hAnsi="宋体" w:cs="宋体"/>
                <w:color w:val="auto"/>
                <w:sz w:val="21"/>
                <w:szCs w:val="21"/>
                <w:highlight w:val="none"/>
              </w:rPr>
              <w:t>万元</w:t>
            </w:r>
            <w:r>
              <w:rPr>
                <w:rFonts w:hint="eastAsia" w:ascii="宋体" w:hAnsi="宋体" w:eastAsia="宋体" w:cs="宋体"/>
                <w:color w:val="auto"/>
                <w:sz w:val="24"/>
                <w:szCs w:val="24"/>
                <w:highlight w:val="none"/>
                <w:u w:val="none"/>
                <w:lang w:eastAsia="zh-CN" w:bidi="ar"/>
              </w:rPr>
              <w:t>：</w:t>
            </w:r>
            <w:r>
              <w:rPr>
                <w:rFonts w:ascii="宋体" w:hAnsi="宋体" w:cs="宋体"/>
                <w:color w:val="auto"/>
                <w:sz w:val="21"/>
                <w:szCs w:val="21"/>
                <w:highlight w:val="none"/>
              </w:rPr>
              <w:t>其中</w:t>
            </w:r>
            <w:r>
              <w:rPr>
                <w:rFonts w:hint="eastAsia" w:ascii="宋体" w:hAnsi="宋体" w:cs="宋体"/>
                <w:color w:val="auto"/>
                <w:sz w:val="21"/>
                <w:szCs w:val="21"/>
                <w:highlight w:val="none"/>
                <w:lang w:eastAsia="zh-CN"/>
              </w:rPr>
              <w:t>工程</w:t>
            </w:r>
            <w:r>
              <w:rPr>
                <w:rFonts w:ascii="宋体" w:hAnsi="宋体" w:cs="宋体"/>
                <w:color w:val="auto"/>
                <w:sz w:val="21"/>
                <w:szCs w:val="21"/>
                <w:highlight w:val="none"/>
              </w:rPr>
              <w:t>设计费最高投标限价为</w:t>
            </w:r>
            <w:r>
              <w:rPr>
                <w:rFonts w:hint="eastAsia" w:ascii="宋体" w:hAnsi="宋体" w:cs="宋体"/>
                <w:color w:val="auto"/>
                <w:sz w:val="21"/>
                <w:szCs w:val="21"/>
                <w:highlight w:val="none"/>
                <w:u w:val="single"/>
                <w:lang w:val="en-US" w:eastAsia="zh-CN" w:bidi="ar"/>
              </w:rPr>
              <w:t xml:space="preserve"> </w:t>
            </w:r>
            <w:r>
              <w:rPr>
                <w:rFonts w:hint="default" w:ascii="宋体" w:hAnsi="宋体" w:cs="宋体"/>
                <w:color w:val="auto"/>
                <w:szCs w:val="21"/>
                <w:highlight w:val="none"/>
                <w:u w:val="single"/>
                <w:lang w:bidi="ar"/>
              </w:rPr>
              <w:t>1231.33</w:t>
            </w:r>
            <w:r>
              <w:rPr>
                <w:rFonts w:hint="eastAsia" w:ascii="宋体" w:hAnsi="宋体" w:cs="宋体"/>
                <w:color w:val="auto"/>
                <w:sz w:val="21"/>
                <w:szCs w:val="21"/>
                <w:highlight w:val="none"/>
                <w:u w:val="single"/>
                <w:lang w:val="en-US" w:eastAsia="zh-CN" w:bidi="ar"/>
              </w:rPr>
              <w:t xml:space="preserve"> </w:t>
            </w:r>
            <w:r>
              <w:rPr>
                <w:rFonts w:ascii="宋体" w:hAnsi="宋体" w:cs="宋体"/>
                <w:color w:val="auto"/>
                <w:sz w:val="21"/>
                <w:szCs w:val="21"/>
                <w:highlight w:val="none"/>
              </w:rPr>
              <w:t>万元</w:t>
            </w:r>
            <w:r>
              <w:rPr>
                <w:rFonts w:hint="eastAsia" w:ascii="宋体" w:hAnsi="宋体" w:cs="宋体"/>
                <w:color w:val="auto"/>
                <w:szCs w:val="21"/>
                <w:highlight w:val="none"/>
                <w:u w:val="none"/>
              </w:rPr>
              <w:t>（其中施工图设计费最高投标限价为</w:t>
            </w:r>
            <w:r>
              <w:rPr>
                <w:rFonts w:hint="eastAsia" w:ascii="宋体" w:hAnsi="宋体" w:cs="宋体"/>
                <w:color w:val="auto"/>
                <w:szCs w:val="21"/>
                <w:highlight w:val="none"/>
                <w:u w:val="single"/>
              </w:rPr>
              <w:t xml:space="preserve"> 1059.47 </w:t>
            </w:r>
            <w:r>
              <w:rPr>
                <w:rFonts w:hint="eastAsia" w:ascii="宋体" w:hAnsi="宋体" w:cs="宋体"/>
                <w:color w:val="auto"/>
                <w:szCs w:val="21"/>
                <w:highlight w:val="none"/>
                <w:u w:val="none"/>
              </w:rPr>
              <w:t xml:space="preserve">万元，竣工图编制费最高投标限价为 </w:t>
            </w:r>
            <w:r>
              <w:rPr>
                <w:rFonts w:hint="eastAsia" w:ascii="宋体" w:hAnsi="宋体" w:cs="宋体"/>
                <w:color w:val="auto"/>
                <w:szCs w:val="21"/>
                <w:highlight w:val="none"/>
                <w:u w:val="single"/>
              </w:rPr>
              <w:t xml:space="preserve">171.86 </w:t>
            </w:r>
            <w:r>
              <w:rPr>
                <w:rFonts w:hint="eastAsia" w:ascii="宋体" w:hAnsi="宋体" w:cs="宋体"/>
                <w:color w:val="auto"/>
                <w:szCs w:val="21"/>
                <w:highlight w:val="none"/>
                <w:u w:val="none"/>
              </w:rPr>
              <w:t>万元）；BIM技术应用费最高投标限价为</w:t>
            </w:r>
            <w:r>
              <w:rPr>
                <w:rFonts w:hint="eastAsia" w:ascii="宋体" w:hAnsi="宋体" w:cs="宋体"/>
                <w:color w:val="auto"/>
                <w:szCs w:val="21"/>
                <w:highlight w:val="none"/>
                <w:u w:val="single"/>
              </w:rPr>
              <w:t xml:space="preserve"> 78.29 </w:t>
            </w:r>
            <w:r>
              <w:rPr>
                <w:rFonts w:hint="eastAsia" w:ascii="宋体" w:hAnsi="宋体" w:cs="宋体"/>
                <w:color w:val="auto"/>
                <w:szCs w:val="21"/>
                <w:highlight w:val="none"/>
                <w:u w:val="none"/>
              </w:rPr>
              <w:t>万元。</w:t>
            </w:r>
          </w:p>
          <w:p w14:paraId="5C006D0C">
            <w:pPr>
              <w:keepNext w:val="0"/>
              <w:keepLines w:val="0"/>
              <w:pageBreakBefore w:val="0"/>
              <w:widowControl w:val="0"/>
              <w:kinsoku/>
              <w:wordWrap/>
              <w:overflowPunct/>
              <w:bidi w:val="0"/>
              <w:spacing w:line="360" w:lineRule="auto"/>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u w:val="single"/>
              </w:rPr>
              <w:t>注：投标人的投标总价或工程设计费或施工图设计费或竣工图编制费或BIM技术应用费或综合包干单价超过上述相应最高投标限价的为无效标。</w:t>
            </w:r>
          </w:p>
        </w:tc>
      </w:tr>
      <w:tr w14:paraId="214C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7" w:hRule="exact"/>
        </w:trPr>
        <w:tc>
          <w:tcPr>
            <w:tcW w:w="787" w:type="dxa"/>
            <w:vAlign w:val="center"/>
          </w:tcPr>
          <w:p w14:paraId="476482A8">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2441" w:type="dxa"/>
            <w:vAlign w:val="center"/>
          </w:tcPr>
          <w:p w14:paraId="752F45B2">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投标报价的其他要求</w:t>
            </w:r>
          </w:p>
        </w:tc>
        <w:tc>
          <w:tcPr>
            <w:tcW w:w="5871" w:type="dxa"/>
            <w:vAlign w:val="center"/>
          </w:tcPr>
          <w:p w14:paraId="0094FCAA">
            <w:pPr>
              <w:keepNext w:val="0"/>
              <w:keepLines w:val="0"/>
              <w:pageBreakBefore w:val="0"/>
              <w:widowControl w:val="0"/>
              <w:kinsoku/>
              <w:wordWrap/>
              <w:overflowPunct/>
              <w:bidi w:val="0"/>
              <w:spacing w:line="276" w:lineRule="auto"/>
              <w:ind w:left="31" w:leftChars="15" w:right="21" w:rightChars="10" w:firstLine="105" w:firstLineChars="50"/>
              <w:textAlignment w:val="auto"/>
              <w:rPr>
                <w:rFonts w:ascii="宋体" w:hAnsi="宋体" w:cs="宋体"/>
                <w:color w:val="auto"/>
                <w:szCs w:val="21"/>
                <w:highlight w:val="none"/>
              </w:rPr>
            </w:pPr>
            <w:r>
              <w:rPr>
                <w:rFonts w:hint="eastAsia" w:ascii="宋体" w:hAnsi="宋体" w:cs="宋体"/>
                <w:color w:val="auto"/>
                <w:szCs w:val="21"/>
                <w:highlight w:val="none"/>
              </w:rPr>
              <w:t>1、各投标单位在最高投标限价内根据企业自身实力进行含税报价。</w:t>
            </w:r>
          </w:p>
          <w:p w14:paraId="0C682F50">
            <w:pPr>
              <w:keepNext w:val="0"/>
              <w:keepLines w:val="0"/>
              <w:pageBreakBefore w:val="0"/>
              <w:widowControl w:val="0"/>
              <w:kinsoku/>
              <w:wordWrap/>
              <w:overflowPunct/>
              <w:bidi w:val="0"/>
              <w:spacing w:line="276" w:lineRule="auto"/>
              <w:ind w:left="31" w:leftChars="15" w:right="21" w:rightChars="10" w:firstLine="105" w:firstLineChars="50"/>
              <w:textAlignment w:val="auto"/>
              <w:rPr>
                <w:rFonts w:ascii="宋体" w:hAnsi="宋体" w:cs="宋体"/>
                <w:color w:val="auto"/>
                <w:szCs w:val="21"/>
                <w:highlight w:val="none"/>
              </w:rPr>
            </w:pPr>
            <w:r>
              <w:rPr>
                <w:rFonts w:hint="eastAsia" w:ascii="宋体" w:hAnsi="宋体" w:cs="宋体"/>
                <w:color w:val="auto"/>
                <w:szCs w:val="21"/>
                <w:highlight w:val="none"/>
              </w:rPr>
              <w:t>2、投标人在投标截止时间前修改《工程设计费报价汇总表》中的投标总价的，应同时修改第六章“投标文件格式”中投标报价表的相应报价。</w:t>
            </w:r>
          </w:p>
          <w:p w14:paraId="3DB8AB0D">
            <w:pPr>
              <w:keepNext w:val="0"/>
              <w:keepLines w:val="0"/>
              <w:pageBreakBefore w:val="0"/>
              <w:widowControl w:val="0"/>
              <w:kinsoku/>
              <w:wordWrap/>
              <w:overflowPunct/>
              <w:bidi w:val="0"/>
              <w:spacing w:line="276" w:lineRule="auto"/>
              <w:ind w:left="31" w:leftChars="15" w:right="21" w:rightChars="10" w:firstLine="105" w:firstLineChars="50"/>
              <w:textAlignment w:val="auto"/>
              <w:rPr>
                <w:rFonts w:ascii="宋体" w:hAnsi="宋体" w:cs="宋体"/>
                <w:color w:val="auto"/>
                <w:szCs w:val="21"/>
                <w:highlight w:val="none"/>
              </w:rPr>
            </w:pPr>
            <w:r>
              <w:rPr>
                <w:rFonts w:hint="eastAsia" w:ascii="宋体" w:hAnsi="宋体" w:cs="宋体"/>
                <w:color w:val="auto"/>
                <w:szCs w:val="21"/>
                <w:highlight w:val="none"/>
              </w:rPr>
              <w:t>3、投标人的报价，应是其按发包人要求和设计合同</w:t>
            </w:r>
            <w:r>
              <w:rPr>
                <w:rFonts w:hint="eastAsia" w:ascii="宋体" w:hAnsi="宋体" w:cs="宋体"/>
                <w:color w:val="auto"/>
                <w:szCs w:val="21"/>
                <w:highlight w:val="none"/>
                <w:lang w:val="en-US" w:eastAsia="zh-CN"/>
              </w:rPr>
              <w:t>条款</w:t>
            </w:r>
            <w:r>
              <w:rPr>
                <w:rFonts w:hint="eastAsia" w:ascii="宋体" w:hAnsi="宋体" w:cs="宋体"/>
                <w:color w:val="auto"/>
                <w:szCs w:val="21"/>
                <w:highlight w:val="none"/>
              </w:rPr>
              <w:t>完成服务工作的所有费用，包括人工费、设备使用费、管理费和利润，以及保险费、合同明示或暗示的风险、责任和义务涉及费用等。</w:t>
            </w:r>
          </w:p>
          <w:p w14:paraId="0206FF16">
            <w:pPr>
              <w:keepNext w:val="0"/>
              <w:keepLines w:val="0"/>
              <w:pageBreakBefore w:val="0"/>
              <w:widowControl w:val="0"/>
              <w:kinsoku/>
              <w:wordWrap/>
              <w:overflowPunct/>
              <w:bidi w:val="0"/>
              <w:spacing w:line="276" w:lineRule="auto"/>
              <w:ind w:left="31" w:leftChars="15" w:right="21" w:rightChars="10" w:firstLine="105" w:firstLineChars="50"/>
              <w:textAlignment w:val="auto"/>
              <w:rPr>
                <w:color w:val="auto"/>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施工图</w:t>
            </w:r>
            <w:r>
              <w:rPr>
                <w:rFonts w:hint="eastAsia" w:ascii="宋体" w:hAnsi="宋体" w:cs="宋体"/>
                <w:color w:val="auto"/>
                <w:szCs w:val="21"/>
                <w:highlight w:val="none"/>
              </w:rPr>
              <w:t>设计费</w:t>
            </w:r>
            <w:r>
              <w:rPr>
                <w:rFonts w:hint="eastAsia" w:ascii="宋体" w:hAnsi="宋体" w:cs="宋体"/>
                <w:bCs/>
                <w:color w:val="auto"/>
                <w:szCs w:val="21"/>
                <w:highlight w:val="none"/>
              </w:rPr>
              <w:t>、</w:t>
            </w:r>
            <w:r>
              <w:rPr>
                <w:rFonts w:hint="eastAsia" w:ascii="宋体" w:hAnsi="宋体" w:cs="宋体"/>
                <w:color w:val="auto"/>
                <w:szCs w:val="21"/>
                <w:highlight w:val="none"/>
              </w:rPr>
              <w:t>竣工图编制费、BIM技术应用费的结算原则具体详见合同条款的约定。</w:t>
            </w:r>
          </w:p>
        </w:tc>
      </w:tr>
      <w:tr w14:paraId="1176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exact"/>
        </w:trPr>
        <w:tc>
          <w:tcPr>
            <w:tcW w:w="787" w:type="dxa"/>
            <w:vAlign w:val="center"/>
          </w:tcPr>
          <w:p w14:paraId="7C4E18F7">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2441" w:type="dxa"/>
            <w:vAlign w:val="center"/>
          </w:tcPr>
          <w:p w14:paraId="7F7113C3">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871" w:type="dxa"/>
            <w:vAlign w:val="center"/>
          </w:tcPr>
          <w:p w14:paraId="31F7B4D5">
            <w:pPr>
              <w:keepNext w:val="0"/>
              <w:keepLines w:val="0"/>
              <w:pageBreakBefore w:val="0"/>
              <w:widowControl w:val="0"/>
              <w:kinsoku/>
              <w:wordWrap/>
              <w:overflowPunct/>
              <w:bidi w:val="0"/>
              <w:spacing w:line="276" w:lineRule="auto"/>
              <w:ind w:left="31" w:leftChars="15" w:right="21" w:rightChars="10" w:firstLine="105" w:firstLineChars="50"/>
              <w:textAlignment w:val="auto"/>
              <w:rPr>
                <w:rFonts w:ascii="宋体" w:hAnsi="宋体" w:cs="宋体"/>
                <w:color w:val="auto"/>
                <w:szCs w:val="21"/>
                <w:highlight w:val="none"/>
              </w:rPr>
            </w:pP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日历天（从投标截止之日算起）</w:t>
            </w:r>
          </w:p>
        </w:tc>
      </w:tr>
      <w:tr w14:paraId="20BA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trPr>
        <w:tc>
          <w:tcPr>
            <w:tcW w:w="787" w:type="dxa"/>
            <w:vAlign w:val="center"/>
          </w:tcPr>
          <w:p w14:paraId="18229A31">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441" w:type="dxa"/>
            <w:vAlign w:val="center"/>
          </w:tcPr>
          <w:p w14:paraId="15043BF4">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871" w:type="dxa"/>
            <w:vAlign w:val="center"/>
          </w:tcPr>
          <w:p w14:paraId="324D4A07">
            <w:pPr>
              <w:keepNext w:val="0"/>
              <w:keepLines w:val="0"/>
              <w:pageBreakBefore w:val="0"/>
              <w:widowControl w:val="0"/>
              <w:kinsoku/>
              <w:wordWrap/>
              <w:overflowPunct/>
              <w:topLinePunct/>
              <w:bidi w:val="0"/>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rPr>
              <w:t>是否要求投标人递交投标保证金：</w:t>
            </w:r>
          </w:p>
          <w:p w14:paraId="2F12575D">
            <w:pPr>
              <w:keepNext w:val="0"/>
              <w:keepLines w:val="0"/>
              <w:pageBreakBefore w:val="0"/>
              <w:widowControl w:val="0"/>
              <w:kinsoku/>
              <w:wordWrap/>
              <w:overflowPunct/>
              <w:bidi w:val="0"/>
              <w:ind w:left="31" w:leftChars="15" w:right="21" w:rightChars="10"/>
              <w:textAlignment w:val="auto"/>
              <w:rPr>
                <w:color w:val="auto"/>
                <w:highlight w:val="none"/>
              </w:rPr>
            </w:pPr>
            <w:r>
              <w:rPr>
                <w:rFonts w:hint="eastAsia" w:ascii="宋体" w:hAnsi="宋体" w:cs="宋体"/>
                <w:color w:val="auto"/>
                <w:szCs w:val="21"/>
                <w:highlight w:val="none"/>
              </w:rPr>
              <w:t>□要求</w:t>
            </w:r>
          </w:p>
          <w:p w14:paraId="469C1E86">
            <w:pPr>
              <w:keepNext w:val="0"/>
              <w:keepLines w:val="0"/>
              <w:pageBreakBefore w:val="0"/>
              <w:widowControl w:val="0"/>
              <w:kinsoku/>
              <w:wordWrap/>
              <w:overflowPunct/>
              <w:bidi w:val="0"/>
              <w:ind w:left="31" w:leftChars="15" w:right="21" w:rightChars="10"/>
              <w:textAlignment w:val="auto"/>
              <w:rPr>
                <w:color w:val="auto"/>
                <w:highlight w:val="none"/>
              </w:rPr>
            </w:pPr>
            <w:r>
              <w:rPr>
                <w:rFonts w:hint="eastAsia" w:ascii="宋体" w:hAnsi="宋体" w:cs="宋体"/>
                <w:color w:val="auto"/>
                <w:szCs w:val="21"/>
                <w:highlight w:val="none"/>
              </w:rPr>
              <w:t>■</w:t>
            </w:r>
            <w:r>
              <w:rPr>
                <w:rFonts w:hint="eastAsia" w:ascii="宋体" w:hAnsi="宋体"/>
                <w:color w:val="auto"/>
                <w:spacing w:val="-1"/>
                <w:szCs w:val="21"/>
                <w:highlight w:val="none"/>
              </w:rPr>
              <w:t>不</w:t>
            </w:r>
            <w:r>
              <w:rPr>
                <w:rFonts w:hint="eastAsia" w:ascii="宋体" w:hAnsi="宋体" w:cs="宋体"/>
                <w:color w:val="auto"/>
                <w:szCs w:val="21"/>
                <w:highlight w:val="none"/>
              </w:rPr>
              <w:t>要求</w:t>
            </w:r>
          </w:p>
          <w:p w14:paraId="4A7E6B7A">
            <w:pPr>
              <w:keepNext w:val="0"/>
              <w:keepLines w:val="0"/>
              <w:pageBreakBefore w:val="0"/>
              <w:widowControl w:val="0"/>
              <w:kinsoku/>
              <w:wordWrap/>
              <w:overflowPunct/>
              <w:bidi w:val="0"/>
              <w:ind w:left="31" w:leftChars="15" w:right="21" w:rightChars="10"/>
              <w:textAlignment w:val="auto"/>
              <w:rPr>
                <w:color w:val="auto"/>
                <w:highlight w:val="none"/>
              </w:rPr>
            </w:pPr>
          </w:p>
          <w:p w14:paraId="7EC8F3C9">
            <w:pPr>
              <w:keepNext w:val="0"/>
              <w:keepLines w:val="0"/>
              <w:pageBreakBefore w:val="0"/>
              <w:widowControl w:val="0"/>
              <w:kinsoku/>
              <w:wordWrap/>
              <w:overflowPunct/>
              <w:bidi w:val="0"/>
              <w:ind w:left="31" w:leftChars="15" w:right="21" w:rightChars="10"/>
              <w:textAlignment w:val="auto"/>
              <w:rPr>
                <w:color w:val="auto"/>
                <w:highlight w:val="none"/>
              </w:rPr>
            </w:pPr>
          </w:p>
          <w:p w14:paraId="5BD9A0D5">
            <w:pPr>
              <w:keepNext w:val="0"/>
              <w:keepLines w:val="0"/>
              <w:pageBreakBefore w:val="0"/>
              <w:widowControl w:val="0"/>
              <w:kinsoku/>
              <w:wordWrap/>
              <w:overflowPunct/>
              <w:bidi w:val="0"/>
              <w:ind w:left="31" w:leftChars="15" w:right="21" w:rightChars="10"/>
              <w:textAlignment w:val="auto"/>
              <w:rPr>
                <w:color w:val="auto"/>
                <w:highlight w:val="none"/>
              </w:rPr>
            </w:pPr>
          </w:p>
          <w:p w14:paraId="36F6F697">
            <w:pPr>
              <w:keepNext w:val="0"/>
              <w:keepLines w:val="0"/>
              <w:pageBreakBefore w:val="0"/>
              <w:widowControl w:val="0"/>
              <w:kinsoku/>
              <w:wordWrap/>
              <w:overflowPunct/>
              <w:bidi w:val="0"/>
              <w:ind w:left="31" w:leftChars="15" w:right="21" w:rightChars="10"/>
              <w:textAlignment w:val="auto"/>
              <w:rPr>
                <w:color w:val="auto"/>
                <w:highlight w:val="none"/>
              </w:rPr>
            </w:pPr>
          </w:p>
          <w:p w14:paraId="3C7E0315">
            <w:pPr>
              <w:keepNext w:val="0"/>
              <w:keepLines w:val="0"/>
              <w:pageBreakBefore w:val="0"/>
              <w:widowControl w:val="0"/>
              <w:kinsoku/>
              <w:wordWrap/>
              <w:overflowPunct/>
              <w:bidi w:val="0"/>
              <w:ind w:left="31" w:leftChars="15" w:right="21" w:rightChars="10"/>
              <w:textAlignment w:val="auto"/>
              <w:rPr>
                <w:color w:val="auto"/>
                <w:highlight w:val="none"/>
              </w:rPr>
            </w:pPr>
          </w:p>
          <w:p w14:paraId="0B4CBF38">
            <w:pPr>
              <w:keepNext w:val="0"/>
              <w:keepLines w:val="0"/>
              <w:pageBreakBefore w:val="0"/>
              <w:widowControl w:val="0"/>
              <w:kinsoku/>
              <w:wordWrap/>
              <w:overflowPunct/>
              <w:bidi w:val="0"/>
              <w:ind w:left="31" w:leftChars="15" w:right="21" w:rightChars="10"/>
              <w:textAlignment w:val="auto"/>
              <w:rPr>
                <w:color w:val="auto"/>
                <w:highlight w:val="none"/>
              </w:rPr>
            </w:pPr>
          </w:p>
          <w:p w14:paraId="3BECF989">
            <w:pPr>
              <w:keepNext w:val="0"/>
              <w:keepLines w:val="0"/>
              <w:pageBreakBefore w:val="0"/>
              <w:widowControl w:val="0"/>
              <w:kinsoku/>
              <w:wordWrap/>
              <w:overflowPunct/>
              <w:bidi w:val="0"/>
              <w:ind w:left="31" w:leftChars="15" w:right="21" w:rightChars="10"/>
              <w:textAlignment w:val="auto"/>
              <w:rPr>
                <w:color w:val="auto"/>
                <w:highlight w:val="none"/>
              </w:rPr>
            </w:pPr>
          </w:p>
          <w:p w14:paraId="26386088">
            <w:pPr>
              <w:keepNext w:val="0"/>
              <w:keepLines w:val="0"/>
              <w:pageBreakBefore w:val="0"/>
              <w:widowControl w:val="0"/>
              <w:kinsoku/>
              <w:wordWrap/>
              <w:overflowPunct/>
              <w:topLinePunct/>
              <w:bidi w:val="0"/>
              <w:ind w:left="31" w:leftChars="15" w:right="21" w:rightChars="10"/>
              <w:textAlignment w:val="auto"/>
              <w:rPr>
                <w:rFonts w:ascii="宋体" w:hAnsi="宋体" w:cs="宋体"/>
                <w:color w:val="auto"/>
                <w:szCs w:val="21"/>
                <w:highlight w:val="none"/>
              </w:rPr>
            </w:pPr>
          </w:p>
          <w:p w14:paraId="48DA45E5">
            <w:pPr>
              <w:keepNext w:val="0"/>
              <w:keepLines w:val="0"/>
              <w:pageBreakBefore w:val="0"/>
              <w:widowControl w:val="0"/>
              <w:kinsoku/>
              <w:wordWrap/>
              <w:overflowPunct/>
              <w:topLinePunct/>
              <w:bidi w:val="0"/>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olor w:val="auto"/>
                <w:spacing w:val="-1"/>
                <w:szCs w:val="21"/>
                <w:highlight w:val="none"/>
              </w:rPr>
              <w:t>不</w:t>
            </w:r>
            <w:r>
              <w:rPr>
                <w:rFonts w:hint="eastAsia" w:ascii="宋体" w:hAnsi="宋体" w:cs="宋体"/>
                <w:color w:val="auto"/>
                <w:szCs w:val="21"/>
                <w:highlight w:val="none"/>
              </w:rPr>
              <w:t>要求</w:t>
            </w:r>
          </w:p>
        </w:tc>
      </w:tr>
      <w:tr w14:paraId="53CB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exact"/>
        </w:trPr>
        <w:tc>
          <w:tcPr>
            <w:tcW w:w="787" w:type="dxa"/>
            <w:vAlign w:val="center"/>
          </w:tcPr>
          <w:p w14:paraId="18B3561E">
            <w:pPr>
              <w:autoSpaceDE w:val="0"/>
              <w:autoSpaceDN w:val="0"/>
              <w:adjustRightInd w:val="0"/>
              <w:spacing w:line="276" w:lineRule="auto"/>
              <w:ind w:right="-20"/>
              <w:jc w:val="center"/>
              <w:rPr>
                <w:rFonts w:ascii="宋体" w:hAnsi="宋体" w:cs="宋体"/>
                <w:color w:val="auto"/>
                <w:szCs w:val="21"/>
                <w:highlight w:val="none"/>
              </w:rPr>
            </w:pPr>
            <w:r>
              <w:rPr>
                <w:rFonts w:hint="eastAsia" w:ascii="宋体" w:hAnsi="宋体" w:cs="宋体"/>
                <w:color w:val="auto"/>
                <w:szCs w:val="21"/>
                <w:highlight w:val="none"/>
              </w:rPr>
              <w:t>3.4.4</w:t>
            </w:r>
          </w:p>
        </w:tc>
        <w:tc>
          <w:tcPr>
            <w:tcW w:w="2441" w:type="dxa"/>
            <w:vAlign w:val="center"/>
          </w:tcPr>
          <w:p w14:paraId="3D89AEB6">
            <w:pPr>
              <w:autoSpaceDE w:val="0"/>
              <w:autoSpaceDN w:val="0"/>
              <w:adjustRightInd w:val="0"/>
              <w:spacing w:before="48" w:line="276" w:lineRule="auto"/>
              <w:ind w:right="-91"/>
              <w:jc w:val="center"/>
              <w:rPr>
                <w:rFonts w:ascii="宋体" w:hAnsi="宋体" w:cs="宋体"/>
                <w:color w:val="auto"/>
                <w:szCs w:val="21"/>
                <w:highlight w:val="none"/>
              </w:rPr>
            </w:pPr>
            <w:r>
              <w:rPr>
                <w:rFonts w:hint="eastAsia" w:ascii="宋体" w:hAnsi="宋体" w:cs="宋体"/>
                <w:color w:val="auto"/>
                <w:szCs w:val="21"/>
                <w:highlight w:val="none"/>
              </w:rPr>
              <w:t>其他可以不予退还投标保</w:t>
            </w:r>
          </w:p>
          <w:p w14:paraId="3C25CBF4">
            <w:pPr>
              <w:autoSpaceDE w:val="0"/>
              <w:autoSpaceDN w:val="0"/>
              <w:adjustRightInd w:val="0"/>
              <w:spacing w:before="48" w:line="276" w:lineRule="auto"/>
              <w:ind w:right="-91"/>
              <w:jc w:val="center"/>
              <w:rPr>
                <w:rFonts w:ascii="宋体" w:hAnsi="宋体" w:cs="宋体"/>
                <w:color w:val="auto"/>
                <w:szCs w:val="21"/>
                <w:highlight w:val="none"/>
              </w:rPr>
            </w:pPr>
            <w:r>
              <w:rPr>
                <w:rFonts w:hint="eastAsia" w:ascii="宋体" w:hAnsi="宋体" w:cs="宋体"/>
                <w:color w:val="auto"/>
                <w:szCs w:val="21"/>
                <w:highlight w:val="none"/>
              </w:rPr>
              <w:t>证金的情形</w:t>
            </w:r>
          </w:p>
        </w:tc>
        <w:tc>
          <w:tcPr>
            <w:tcW w:w="5871" w:type="dxa"/>
            <w:vAlign w:val="center"/>
          </w:tcPr>
          <w:p w14:paraId="7402A452">
            <w:pPr>
              <w:keepNext w:val="0"/>
              <w:keepLines w:val="0"/>
              <w:pageBreakBefore w:val="0"/>
              <w:widowControl w:val="0"/>
              <w:kinsoku/>
              <w:wordWrap/>
              <w:overflowPunct/>
              <w:autoSpaceDE w:val="0"/>
              <w:autoSpaceDN w:val="0"/>
              <w:bidi w:val="0"/>
              <w:adjustRightInd w:val="0"/>
              <w:spacing w:line="276" w:lineRule="auto"/>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rPr>
              <w:t>/。</w:t>
            </w:r>
          </w:p>
        </w:tc>
      </w:tr>
      <w:tr w14:paraId="5FD8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exact"/>
        </w:trPr>
        <w:tc>
          <w:tcPr>
            <w:tcW w:w="787" w:type="dxa"/>
            <w:vAlign w:val="center"/>
          </w:tcPr>
          <w:p w14:paraId="684489ED">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441" w:type="dxa"/>
            <w:vAlign w:val="center"/>
          </w:tcPr>
          <w:p w14:paraId="1C59C1A0">
            <w:pPr>
              <w:pStyle w:val="34"/>
              <w:spacing w:line="276"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资格审查资料的特殊要求</w:t>
            </w:r>
          </w:p>
        </w:tc>
        <w:tc>
          <w:tcPr>
            <w:tcW w:w="5871" w:type="dxa"/>
            <w:vAlign w:val="center"/>
          </w:tcPr>
          <w:p w14:paraId="18035AFD">
            <w:pPr>
              <w:keepNext w:val="0"/>
              <w:keepLines w:val="0"/>
              <w:pageBreakBefore w:val="0"/>
              <w:widowControl w:val="0"/>
              <w:kinsoku/>
              <w:wordWrap/>
              <w:overflowPunct/>
              <w:topLinePunct/>
              <w:bidi w:val="0"/>
              <w:spacing w:line="360" w:lineRule="auto"/>
              <w:ind w:left="31" w:leftChars="15" w:right="21" w:rightChars="10"/>
              <w:textAlignment w:val="auto"/>
              <w:rPr>
                <w:rFonts w:ascii="宋体" w:hAnsi="宋体"/>
                <w:color w:val="auto"/>
                <w:szCs w:val="21"/>
                <w:highlight w:val="none"/>
              </w:rPr>
            </w:pPr>
            <w:r>
              <w:rPr>
                <w:rFonts w:hint="eastAsia" w:ascii="宋体" w:hAnsi="宋体"/>
                <w:color w:val="auto"/>
                <w:szCs w:val="21"/>
                <w:highlight w:val="none"/>
              </w:rPr>
              <w:t>■无</w:t>
            </w:r>
          </w:p>
          <w:p w14:paraId="6B851DA6">
            <w:pPr>
              <w:keepNext w:val="0"/>
              <w:keepLines w:val="0"/>
              <w:pageBreakBefore w:val="0"/>
              <w:widowControl w:val="0"/>
              <w:kinsoku/>
              <w:wordWrap/>
              <w:overflowPunct/>
              <w:topLinePunct/>
              <w:bidi w:val="0"/>
              <w:spacing w:line="276" w:lineRule="auto"/>
              <w:ind w:left="31" w:leftChars="15" w:right="21" w:rightChars="10"/>
              <w:textAlignment w:val="auto"/>
              <w:rPr>
                <w:rFonts w:ascii="宋体" w:hAnsi="宋体" w:cs="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有，具体要求：</w:t>
            </w:r>
          </w:p>
        </w:tc>
      </w:tr>
      <w:tr w14:paraId="3289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exact"/>
        </w:trPr>
        <w:tc>
          <w:tcPr>
            <w:tcW w:w="787" w:type="dxa"/>
            <w:vAlign w:val="center"/>
          </w:tcPr>
          <w:p w14:paraId="23D1E99F">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3.5.2</w:t>
            </w:r>
          </w:p>
        </w:tc>
        <w:tc>
          <w:tcPr>
            <w:tcW w:w="2441" w:type="dxa"/>
            <w:vAlign w:val="center"/>
          </w:tcPr>
          <w:p w14:paraId="15D60864">
            <w:pPr>
              <w:pStyle w:val="34"/>
              <w:spacing w:line="276"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近年财务状况的年份要求</w:t>
            </w:r>
          </w:p>
        </w:tc>
        <w:tc>
          <w:tcPr>
            <w:tcW w:w="5871" w:type="dxa"/>
            <w:vAlign w:val="center"/>
          </w:tcPr>
          <w:p w14:paraId="45780AF7">
            <w:pPr>
              <w:keepNext w:val="0"/>
              <w:keepLines w:val="0"/>
              <w:pageBreakBefore w:val="0"/>
              <w:widowControl w:val="0"/>
              <w:kinsoku/>
              <w:wordWrap/>
              <w:overflowPunct/>
              <w:bidi w:val="0"/>
              <w:spacing w:line="276" w:lineRule="auto"/>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rPr>
              <w:t>/。</w:t>
            </w:r>
          </w:p>
        </w:tc>
      </w:tr>
      <w:tr w14:paraId="14A3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exact"/>
        </w:trPr>
        <w:tc>
          <w:tcPr>
            <w:tcW w:w="787" w:type="dxa"/>
            <w:vAlign w:val="center"/>
          </w:tcPr>
          <w:p w14:paraId="7CE9E6D5">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3.5.3</w:t>
            </w:r>
          </w:p>
        </w:tc>
        <w:tc>
          <w:tcPr>
            <w:tcW w:w="2441" w:type="dxa"/>
            <w:vAlign w:val="center"/>
          </w:tcPr>
          <w:p w14:paraId="4FAEF83F">
            <w:pPr>
              <w:pStyle w:val="34"/>
              <w:spacing w:line="276"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近年完成的类似项目情况的时间要求</w:t>
            </w:r>
          </w:p>
        </w:tc>
        <w:tc>
          <w:tcPr>
            <w:tcW w:w="5871" w:type="dxa"/>
            <w:vAlign w:val="center"/>
          </w:tcPr>
          <w:p w14:paraId="4763EEB2">
            <w:pPr>
              <w:keepNext w:val="0"/>
              <w:keepLines w:val="0"/>
              <w:pageBreakBefore w:val="0"/>
              <w:widowControl w:val="0"/>
              <w:kinsoku/>
              <w:wordWrap/>
              <w:overflowPunct/>
              <w:bidi w:val="0"/>
              <w:spacing w:line="276" w:lineRule="auto"/>
              <w:ind w:left="31" w:leftChars="15" w:right="21" w:rightChars="10" w:firstLine="105" w:firstLineChars="50"/>
              <w:textAlignment w:val="auto"/>
              <w:rPr>
                <w:rFonts w:ascii="宋体" w:hAnsi="宋体" w:cs="宋体"/>
                <w:color w:val="auto"/>
                <w:szCs w:val="21"/>
                <w:highlight w:val="none"/>
              </w:rPr>
            </w:pPr>
            <w:r>
              <w:rPr>
                <w:rFonts w:hint="eastAsia" w:ascii="宋体" w:hAnsi="宋体" w:cs="宋体"/>
                <w:color w:val="auto"/>
                <w:szCs w:val="21"/>
                <w:highlight w:val="none"/>
              </w:rPr>
              <w:t>/。</w:t>
            </w:r>
          </w:p>
        </w:tc>
      </w:tr>
      <w:tr w14:paraId="093E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exact"/>
        </w:trPr>
        <w:tc>
          <w:tcPr>
            <w:tcW w:w="787" w:type="dxa"/>
            <w:vAlign w:val="center"/>
          </w:tcPr>
          <w:p w14:paraId="060C7A46">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3.5.5</w:t>
            </w:r>
          </w:p>
        </w:tc>
        <w:tc>
          <w:tcPr>
            <w:tcW w:w="2441" w:type="dxa"/>
            <w:vAlign w:val="center"/>
          </w:tcPr>
          <w:p w14:paraId="1E2B7769">
            <w:pPr>
              <w:pStyle w:val="34"/>
              <w:spacing w:line="276"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近年发生的诉讼及仲裁情况的时间要求</w:t>
            </w:r>
          </w:p>
        </w:tc>
        <w:tc>
          <w:tcPr>
            <w:tcW w:w="5871" w:type="dxa"/>
            <w:vAlign w:val="center"/>
          </w:tcPr>
          <w:p w14:paraId="7CB0C03C">
            <w:pPr>
              <w:keepNext w:val="0"/>
              <w:keepLines w:val="0"/>
              <w:pageBreakBefore w:val="0"/>
              <w:widowControl w:val="0"/>
              <w:kinsoku/>
              <w:wordWrap/>
              <w:overflowPunct/>
              <w:bidi w:val="0"/>
              <w:spacing w:line="276" w:lineRule="auto"/>
              <w:ind w:left="31" w:leftChars="15" w:right="21" w:rightChars="10" w:firstLine="105" w:firstLineChars="50"/>
              <w:textAlignment w:val="auto"/>
              <w:rPr>
                <w:rFonts w:ascii="宋体" w:hAnsi="宋体" w:cs="宋体"/>
                <w:color w:val="auto"/>
                <w:szCs w:val="21"/>
                <w:highlight w:val="none"/>
              </w:rPr>
            </w:pPr>
            <w:r>
              <w:rPr>
                <w:rFonts w:hint="eastAsia" w:ascii="宋体" w:hAnsi="宋体" w:cs="宋体"/>
                <w:color w:val="auto"/>
                <w:szCs w:val="21"/>
                <w:highlight w:val="none"/>
              </w:rPr>
              <w:t>/。</w:t>
            </w:r>
          </w:p>
        </w:tc>
      </w:tr>
      <w:tr w14:paraId="2AF8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exact"/>
        </w:trPr>
        <w:tc>
          <w:tcPr>
            <w:tcW w:w="787" w:type="dxa"/>
            <w:vAlign w:val="center"/>
          </w:tcPr>
          <w:p w14:paraId="6B139C3E">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441" w:type="dxa"/>
            <w:vAlign w:val="center"/>
          </w:tcPr>
          <w:p w14:paraId="3709682C">
            <w:pPr>
              <w:pStyle w:val="34"/>
              <w:spacing w:line="276"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是否允许递交备选投标方案</w:t>
            </w:r>
          </w:p>
        </w:tc>
        <w:tc>
          <w:tcPr>
            <w:tcW w:w="5871" w:type="dxa"/>
            <w:vAlign w:val="center"/>
          </w:tcPr>
          <w:p w14:paraId="40503AB3">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p w14:paraId="4BEB5A1E">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□允许</w:t>
            </w:r>
          </w:p>
        </w:tc>
      </w:tr>
      <w:tr w14:paraId="6CC2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exact"/>
        </w:trPr>
        <w:tc>
          <w:tcPr>
            <w:tcW w:w="787" w:type="dxa"/>
            <w:vAlign w:val="center"/>
          </w:tcPr>
          <w:p w14:paraId="59EE85FA">
            <w:pPr>
              <w:autoSpaceDE w:val="0"/>
              <w:autoSpaceDN w:val="0"/>
              <w:adjustRightInd w:val="0"/>
              <w:spacing w:line="276" w:lineRule="auto"/>
              <w:ind w:right="-79"/>
              <w:jc w:val="center"/>
              <w:rPr>
                <w:rFonts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spacing w:val="-2"/>
                <w:szCs w:val="21"/>
                <w:highlight w:val="none"/>
              </w:rPr>
              <w:t>3</w:t>
            </w:r>
            <w:r>
              <w:rPr>
                <w:rFonts w:hint="eastAsia" w:ascii="宋体" w:hAnsi="宋体" w:cs="宋体"/>
                <w:color w:val="auto"/>
                <w:spacing w:val="-42"/>
                <w:szCs w:val="21"/>
                <w:highlight w:val="none"/>
              </w:rPr>
              <w:t>A</w:t>
            </w:r>
            <w:r>
              <w:rPr>
                <w:rFonts w:hint="eastAsia" w:ascii="宋体" w:hAnsi="宋体" w:cs="宋体"/>
                <w:color w:val="auto"/>
                <w:szCs w:val="21"/>
                <w:highlight w:val="none"/>
              </w:rPr>
              <w:t>（</w:t>
            </w:r>
            <w:r>
              <w:rPr>
                <w:rFonts w:hint="eastAsia" w:ascii="宋体" w:hAnsi="宋体" w:cs="宋体"/>
                <w:color w:val="auto"/>
                <w:spacing w:val="-2"/>
                <w:szCs w:val="21"/>
                <w:highlight w:val="none"/>
              </w:rPr>
              <w:t>2</w:t>
            </w:r>
            <w:r>
              <w:rPr>
                <w:rFonts w:hint="eastAsia" w:ascii="宋体" w:hAnsi="宋体" w:cs="宋体"/>
                <w:color w:val="auto"/>
                <w:szCs w:val="21"/>
                <w:highlight w:val="none"/>
              </w:rPr>
              <w:t>）</w:t>
            </w:r>
          </w:p>
        </w:tc>
        <w:tc>
          <w:tcPr>
            <w:tcW w:w="2441" w:type="dxa"/>
          </w:tcPr>
          <w:p w14:paraId="1BE863AA">
            <w:pPr>
              <w:autoSpaceDE w:val="0"/>
              <w:autoSpaceDN w:val="0"/>
              <w:adjustRightInd w:val="0"/>
              <w:spacing w:before="48" w:line="276" w:lineRule="auto"/>
              <w:ind w:right="-91"/>
              <w:jc w:val="center"/>
              <w:rPr>
                <w:rFonts w:ascii="宋体" w:hAnsi="宋体" w:cs="宋体"/>
                <w:color w:val="auto"/>
                <w:szCs w:val="21"/>
                <w:highlight w:val="none"/>
              </w:rPr>
            </w:pPr>
            <w:r>
              <w:rPr>
                <w:rFonts w:hint="eastAsia" w:ascii="宋体" w:hAnsi="宋体" w:cs="宋体"/>
                <w:color w:val="auto"/>
                <w:szCs w:val="21"/>
                <w:highlight w:val="none"/>
              </w:rPr>
              <w:t>投标文件副本份数及其他要求</w:t>
            </w:r>
          </w:p>
        </w:tc>
        <w:tc>
          <w:tcPr>
            <w:tcW w:w="5871" w:type="dxa"/>
            <w:vAlign w:val="center"/>
          </w:tcPr>
          <w:p w14:paraId="235F8CFB">
            <w:pPr>
              <w:keepNext w:val="0"/>
              <w:keepLines w:val="0"/>
              <w:pageBreakBefore w:val="0"/>
              <w:widowControl w:val="0"/>
              <w:kinsoku/>
              <w:wordWrap/>
              <w:overflowPunct/>
              <w:autoSpaceDE w:val="0"/>
              <w:autoSpaceDN w:val="0"/>
              <w:bidi w:val="0"/>
              <w:adjustRightInd w:val="0"/>
              <w:spacing w:before="61" w:line="276" w:lineRule="auto"/>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rPr>
              <w:t>本项目不适用。</w:t>
            </w:r>
          </w:p>
        </w:tc>
      </w:tr>
      <w:tr w14:paraId="3741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exact"/>
        </w:trPr>
        <w:tc>
          <w:tcPr>
            <w:tcW w:w="787" w:type="dxa"/>
            <w:vAlign w:val="center"/>
          </w:tcPr>
          <w:p w14:paraId="2A17ECE7">
            <w:pPr>
              <w:autoSpaceDE w:val="0"/>
              <w:autoSpaceDN w:val="0"/>
              <w:adjustRightInd w:val="0"/>
              <w:spacing w:line="276" w:lineRule="auto"/>
              <w:ind w:right="-79"/>
              <w:rPr>
                <w:rFonts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spacing w:val="-2"/>
                <w:szCs w:val="21"/>
                <w:highlight w:val="none"/>
              </w:rPr>
              <w:t>3</w:t>
            </w:r>
            <w:r>
              <w:rPr>
                <w:rFonts w:hint="eastAsia" w:ascii="宋体" w:hAnsi="宋体" w:cs="宋体"/>
                <w:color w:val="auto"/>
                <w:spacing w:val="-42"/>
                <w:szCs w:val="21"/>
                <w:highlight w:val="none"/>
              </w:rPr>
              <w:t>A</w:t>
            </w:r>
            <w:r>
              <w:rPr>
                <w:rFonts w:hint="eastAsia" w:ascii="宋体" w:hAnsi="宋体" w:cs="宋体"/>
                <w:color w:val="auto"/>
                <w:szCs w:val="21"/>
                <w:highlight w:val="none"/>
              </w:rPr>
              <w:t>（</w:t>
            </w:r>
            <w:r>
              <w:rPr>
                <w:rFonts w:hint="eastAsia" w:ascii="宋体" w:hAnsi="宋体" w:cs="宋体"/>
                <w:color w:val="auto"/>
                <w:spacing w:val="-2"/>
                <w:szCs w:val="21"/>
                <w:highlight w:val="none"/>
              </w:rPr>
              <w:t>3</w:t>
            </w:r>
            <w:r>
              <w:rPr>
                <w:rFonts w:hint="eastAsia" w:ascii="宋体" w:hAnsi="宋体" w:cs="宋体"/>
                <w:color w:val="auto"/>
                <w:szCs w:val="21"/>
                <w:highlight w:val="none"/>
              </w:rPr>
              <w:t>）</w:t>
            </w:r>
          </w:p>
        </w:tc>
        <w:tc>
          <w:tcPr>
            <w:tcW w:w="2441" w:type="dxa"/>
          </w:tcPr>
          <w:p w14:paraId="799A6815">
            <w:pPr>
              <w:autoSpaceDE w:val="0"/>
              <w:autoSpaceDN w:val="0"/>
              <w:adjustRightInd w:val="0"/>
              <w:spacing w:before="48" w:line="276" w:lineRule="auto"/>
              <w:ind w:right="-91"/>
              <w:jc w:val="center"/>
              <w:rPr>
                <w:rFonts w:ascii="宋体" w:hAnsi="宋体" w:cs="宋体"/>
                <w:color w:val="auto"/>
                <w:szCs w:val="21"/>
                <w:highlight w:val="none"/>
              </w:rPr>
            </w:pPr>
            <w:r>
              <w:rPr>
                <w:rFonts w:hint="eastAsia" w:ascii="宋体" w:hAnsi="宋体" w:cs="宋体"/>
                <w:color w:val="auto"/>
                <w:szCs w:val="21"/>
                <w:highlight w:val="none"/>
              </w:rPr>
              <w:t>投标文件是否需分册装订</w:t>
            </w:r>
          </w:p>
        </w:tc>
        <w:tc>
          <w:tcPr>
            <w:tcW w:w="5871" w:type="dxa"/>
            <w:vAlign w:val="center"/>
          </w:tcPr>
          <w:p w14:paraId="4B4F873B">
            <w:pPr>
              <w:keepNext w:val="0"/>
              <w:keepLines w:val="0"/>
              <w:pageBreakBefore w:val="0"/>
              <w:widowControl w:val="0"/>
              <w:kinsoku/>
              <w:wordWrap/>
              <w:overflowPunct/>
              <w:autoSpaceDE w:val="0"/>
              <w:autoSpaceDN w:val="0"/>
              <w:bidi w:val="0"/>
              <w:adjustRightInd w:val="0"/>
              <w:spacing w:before="61" w:line="276" w:lineRule="auto"/>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rPr>
              <w:t>本项目不适用。</w:t>
            </w:r>
          </w:p>
        </w:tc>
      </w:tr>
      <w:tr w14:paraId="5538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3" w:hRule="exact"/>
        </w:trPr>
        <w:tc>
          <w:tcPr>
            <w:tcW w:w="787" w:type="dxa"/>
            <w:vAlign w:val="center"/>
          </w:tcPr>
          <w:p w14:paraId="5DCDA0F4">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3.7.3（B）</w:t>
            </w:r>
          </w:p>
        </w:tc>
        <w:tc>
          <w:tcPr>
            <w:tcW w:w="2441" w:type="dxa"/>
            <w:vAlign w:val="center"/>
          </w:tcPr>
          <w:p w14:paraId="0A80776E">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投标文件所附证书证件要求</w:t>
            </w:r>
          </w:p>
        </w:tc>
        <w:tc>
          <w:tcPr>
            <w:tcW w:w="5871" w:type="dxa"/>
            <w:vAlign w:val="center"/>
          </w:tcPr>
          <w:p w14:paraId="10334F94">
            <w:pPr>
              <w:pStyle w:val="8"/>
              <w:keepNext w:val="0"/>
              <w:keepLines w:val="0"/>
              <w:pageBreakBefore w:val="0"/>
              <w:widowControl w:val="0"/>
              <w:kinsoku/>
              <w:wordWrap/>
              <w:overflowPunct/>
              <w:topLinePunct/>
              <w:bidi w:val="0"/>
              <w:spacing w:line="276" w:lineRule="auto"/>
              <w:ind w:left="31" w:leftChars="15" w:right="21" w:rightChars="10"/>
              <w:textAlignment w:val="auto"/>
              <w:rPr>
                <w:rFonts w:hAnsi="宋体" w:cs="宋体"/>
                <w:color w:val="auto"/>
                <w:sz w:val="21"/>
                <w:szCs w:val="21"/>
                <w:highlight w:val="none"/>
              </w:rPr>
            </w:pPr>
            <w:r>
              <w:rPr>
                <w:rFonts w:hint="eastAsia" w:hAnsi="宋体" w:cs="宋体"/>
                <w:color w:val="auto"/>
                <w:sz w:val="21"/>
                <w:szCs w:val="21"/>
                <w:highlight w:val="none"/>
              </w:rPr>
              <w:t>证书证件需为清晰扫描件，并采用单位数字证书，按照招标文件要求在相应位置加盖电子印章。具体详见第六章的设计投标文件编制要求。</w:t>
            </w:r>
          </w:p>
        </w:tc>
      </w:tr>
      <w:tr w14:paraId="1D28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8" w:hRule="exact"/>
        </w:trPr>
        <w:tc>
          <w:tcPr>
            <w:tcW w:w="787" w:type="dxa"/>
            <w:vAlign w:val="center"/>
          </w:tcPr>
          <w:p w14:paraId="1E273FBC">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3.7.3（B）</w:t>
            </w:r>
          </w:p>
        </w:tc>
        <w:tc>
          <w:tcPr>
            <w:tcW w:w="2441" w:type="dxa"/>
            <w:vAlign w:val="center"/>
          </w:tcPr>
          <w:p w14:paraId="3F857227">
            <w:pPr>
              <w:snapToGri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投标文件签字或盖章要求</w:t>
            </w:r>
          </w:p>
        </w:tc>
        <w:tc>
          <w:tcPr>
            <w:tcW w:w="5871" w:type="dxa"/>
            <w:vAlign w:val="center"/>
          </w:tcPr>
          <w:p w14:paraId="272BA39A">
            <w:pPr>
              <w:pStyle w:val="8"/>
              <w:keepNext w:val="0"/>
              <w:keepLines w:val="0"/>
              <w:pageBreakBefore w:val="0"/>
              <w:widowControl w:val="0"/>
              <w:kinsoku/>
              <w:wordWrap/>
              <w:overflowPunct/>
              <w:topLinePunct/>
              <w:bidi w:val="0"/>
              <w:snapToGrid/>
              <w:spacing w:line="276" w:lineRule="auto"/>
              <w:ind w:left="31" w:leftChars="15" w:right="21" w:rightChars="10"/>
              <w:jc w:val="left"/>
              <w:textAlignment w:val="auto"/>
              <w:rPr>
                <w:rFonts w:hAnsi="宋体" w:cs="宋体"/>
                <w:color w:val="auto"/>
                <w:sz w:val="21"/>
                <w:szCs w:val="21"/>
                <w:highlight w:val="none"/>
              </w:rPr>
            </w:pPr>
            <w:r>
              <w:rPr>
                <w:rFonts w:hint="eastAsia" w:hAnsi="宋体" w:cs="宋体"/>
                <w:color w:val="auto"/>
                <w:sz w:val="21"/>
                <w:szCs w:val="21"/>
                <w:highlight w:val="none"/>
              </w:rPr>
              <w:t>投标文件全部采用电子文档，投标文件所附证书证件均为清晰扫描件，并采用单位数字证书，按招标文件要求在相应位置加盖电子印章。投标文件中需个人签字或盖章的，应加盖个人电子印章或在线下完成后扫描上传。投标文件按招标文件要求加盖单位电子印章，具体操作详见《建设工程全流程电子化项目操作指南》。</w:t>
            </w:r>
          </w:p>
          <w:p w14:paraId="6F1D5629">
            <w:pPr>
              <w:pStyle w:val="8"/>
              <w:keepNext w:val="0"/>
              <w:keepLines w:val="0"/>
              <w:pageBreakBefore w:val="0"/>
              <w:widowControl w:val="0"/>
              <w:kinsoku/>
              <w:wordWrap/>
              <w:overflowPunct/>
              <w:topLinePunct/>
              <w:bidi w:val="0"/>
              <w:snapToGrid/>
              <w:spacing w:line="276" w:lineRule="auto"/>
              <w:ind w:left="31" w:leftChars="15" w:right="21" w:rightChars="10"/>
              <w:jc w:val="left"/>
              <w:textAlignment w:val="auto"/>
              <w:rPr>
                <w:rFonts w:hAnsi="宋体" w:cs="宋体"/>
                <w:color w:val="auto"/>
                <w:sz w:val="21"/>
                <w:szCs w:val="21"/>
                <w:highlight w:val="none"/>
              </w:rPr>
            </w:pPr>
          </w:p>
          <w:p w14:paraId="5352E79D">
            <w:pPr>
              <w:pStyle w:val="8"/>
              <w:keepNext w:val="0"/>
              <w:keepLines w:val="0"/>
              <w:pageBreakBefore w:val="0"/>
              <w:widowControl w:val="0"/>
              <w:kinsoku/>
              <w:wordWrap/>
              <w:overflowPunct/>
              <w:topLinePunct/>
              <w:bidi w:val="0"/>
              <w:snapToGrid/>
              <w:spacing w:line="276" w:lineRule="auto"/>
              <w:ind w:left="31" w:leftChars="15" w:right="21" w:rightChars="10"/>
              <w:jc w:val="left"/>
              <w:textAlignment w:val="auto"/>
              <w:rPr>
                <w:rFonts w:hAnsi="宋体" w:cs="宋体"/>
                <w:color w:val="auto"/>
                <w:sz w:val="21"/>
                <w:szCs w:val="21"/>
                <w:highlight w:val="none"/>
              </w:rPr>
            </w:pPr>
          </w:p>
        </w:tc>
      </w:tr>
      <w:tr w14:paraId="1E88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3" w:hRule="exact"/>
        </w:trPr>
        <w:tc>
          <w:tcPr>
            <w:tcW w:w="787" w:type="dxa"/>
            <w:vAlign w:val="center"/>
          </w:tcPr>
          <w:p w14:paraId="2AFBEE25">
            <w:pPr>
              <w:snapToGrid w:val="0"/>
              <w:spacing w:line="276"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3.7.4（增加）</w:t>
            </w:r>
          </w:p>
        </w:tc>
        <w:tc>
          <w:tcPr>
            <w:tcW w:w="2441" w:type="dxa"/>
            <w:vAlign w:val="center"/>
          </w:tcPr>
          <w:p w14:paraId="46FA10AE">
            <w:pPr>
              <w:snapToGrid w:val="0"/>
              <w:spacing w:line="276"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暗标的要求</w:t>
            </w:r>
          </w:p>
        </w:tc>
        <w:tc>
          <w:tcPr>
            <w:tcW w:w="5871" w:type="dxa"/>
            <w:vAlign w:val="center"/>
          </w:tcPr>
          <w:p w14:paraId="53F6C084">
            <w:pPr>
              <w:pStyle w:val="8"/>
              <w:keepNext w:val="0"/>
              <w:keepLines w:val="0"/>
              <w:pageBreakBefore w:val="0"/>
              <w:widowControl w:val="0"/>
              <w:kinsoku/>
              <w:wordWrap/>
              <w:overflowPunct/>
              <w:topLinePunct/>
              <w:bidi w:val="0"/>
              <w:snapToGrid w:val="0"/>
              <w:spacing w:line="276" w:lineRule="auto"/>
              <w:ind w:left="31" w:leftChars="15" w:right="21" w:rightChars="10"/>
              <w:textAlignment w:val="auto"/>
              <w:rPr>
                <w:rFonts w:hAnsi="宋体" w:cs="宋体"/>
                <w:color w:val="auto"/>
                <w:sz w:val="21"/>
                <w:szCs w:val="21"/>
                <w:highlight w:val="none"/>
              </w:rPr>
            </w:pPr>
            <w:r>
              <w:rPr>
                <w:rFonts w:hint="eastAsia" w:hAnsi="宋体" w:cs="宋体"/>
                <w:color w:val="auto"/>
                <w:sz w:val="21"/>
                <w:szCs w:val="21"/>
                <w:highlight w:val="none"/>
                <w:lang w:eastAsia="zh-CN"/>
              </w:rPr>
              <w:t>技术</w:t>
            </w:r>
            <w:r>
              <w:rPr>
                <w:rFonts w:hint="eastAsia" w:hAnsi="宋体" w:cs="宋体"/>
                <w:color w:val="auto"/>
                <w:sz w:val="21"/>
                <w:szCs w:val="21"/>
                <w:highlight w:val="none"/>
                <w:lang w:val="en-US" w:eastAsia="zh-CN"/>
              </w:rPr>
              <w:t>文件</w:t>
            </w:r>
            <w:r>
              <w:rPr>
                <w:rFonts w:hint="eastAsia" w:hAnsi="宋体" w:cs="宋体"/>
                <w:color w:val="auto"/>
                <w:sz w:val="21"/>
                <w:szCs w:val="21"/>
                <w:highlight w:val="none"/>
                <w:lang w:eastAsia="zh-CN"/>
              </w:rPr>
              <w:t>中不</w:t>
            </w:r>
            <w:r>
              <w:rPr>
                <w:rFonts w:hint="eastAsia" w:hAnsi="宋体" w:cs="宋体"/>
                <w:color w:val="auto"/>
                <w:sz w:val="21"/>
                <w:szCs w:val="21"/>
                <w:highlight w:val="none"/>
                <w:lang w:val="en-US" w:eastAsia="zh-CN"/>
              </w:rPr>
              <w:t>可</w:t>
            </w:r>
            <w:r>
              <w:rPr>
                <w:rFonts w:hint="eastAsia" w:hAnsi="宋体" w:cs="宋体"/>
                <w:color w:val="auto"/>
                <w:sz w:val="21"/>
                <w:szCs w:val="21"/>
                <w:highlight w:val="none"/>
                <w:lang w:eastAsia="zh-CN"/>
              </w:rPr>
              <w:t>辨认出投标人或其专业技术人员的身份。不</w:t>
            </w:r>
            <w:r>
              <w:rPr>
                <w:rFonts w:hint="eastAsia" w:hAnsi="宋体" w:cs="宋体"/>
                <w:color w:val="auto"/>
                <w:sz w:val="21"/>
                <w:szCs w:val="21"/>
                <w:highlight w:val="none"/>
                <w:lang w:val="en-US" w:eastAsia="zh-CN"/>
              </w:rPr>
              <w:t>得</w:t>
            </w:r>
            <w:r>
              <w:rPr>
                <w:rFonts w:hint="eastAsia" w:hAnsi="宋体" w:cs="宋体"/>
                <w:color w:val="auto"/>
                <w:sz w:val="21"/>
                <w:szCs w:val="21"/>
                <w:highlight w:val="none"/>
                <w:lang w:eastAsia="zh-CN"/>
              </w:rPr>
              <w:t>在设计方案上标注或做任何可以辨认投标人及专业技术人员身份的名称、印章、商标、图形等记认符号。</w:t>
            </w:r>
          </w:p>
        </w:tc>
      </w:tr>
      <w:tr w14:paraId="1E09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exact"/>
        </w:trPr>
        <w:tc>
          <w:tcPr>
            <w:tcW w:w="787" w:type="dxa"/>
            <w:vAlign w:val="center"/>
          </w:tcPr>
          <w:p w14:paraId="118136EA">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4.1.1（B）</w:t>
            </w:r>
          </w:p>
        </w:tc>
        <w:tc>
          <w:tcPr>
            <w:tcW w:w="2441" w:type="dxa"/>
            <w:vAlign w:val="center"/>
          </w:tcPr>
          <w:p w14:paraId="17E01F0C">
            <w:pPr>
              <w:pStyle w:val="34"/>
              <w:spacing w:line="276"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投标文件加密要求</w:t>
            </w:r>
          </w:p>
        </w:tc>
        <w:tc>
          <w:tcPr>
            <w:tcW w:w="5871" w:type="dxa"/>
            <w:vAlign w:val="center"/>
          </w:tcPr>
          <w:p w14:paraId="5BD168B8">
            <w:pPr>
              <w:pStyle w:val="34"/>
              <w:keepNext w:val="0"/>
              <w:keepLines w:val="0"/>
              <w:pageBreakBefore w:val="0"/>
              <w:widowControl w:val="0"/>
              <w:kinsoku/>
              <w:wordWrap/>
              <w:overflowPunct/>
              <w:bidi w:val="0"/>
              <w:spacing w:line="276" w:lineRule="auto"/>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网上递交的电子投标文件须进行加密。具体操作详见建设工程全流程电子化项目操作指南。</w:t>
            </w:r>
          </w:p>
        </w:tc>
      </w:tr>
      <w:tr w14:paraId="41B4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3" w:hRule="exact"/>
        </w:trPr>
        <w:tc>
          <w:tcPr>
            <w:tcW w:w="787" w:type="dxa"/>
            <w:vAlign w:val="center"/>
          </w:tcPr>
          <w:p w14:paraId="7C6EFD63">
            <w:pPr>
              <w:pStyle w:val="34"/>
              <w:spacing w:line="276" w:lineRule="auto"/>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4.1.2</w:t>
            </w:r>
          </w:p>
        </w:tc>
        <w:tc>
          <w:tcPr>
            <w:tcW w:w="2441" w:type="dxa"/>
            <w:vAlign w:val="center"/>
          </w:tcPr>
          <w:p w14:paraId="5D9B3CCF">
            <w:pPr>
              <w:pStyle w:val="34"/>
              <w:spacing w:line="276" w:lineRule="auto"/>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封套上应载明的信息</w:t>
            </w:r>
          </w:p>
        </w:tc>
        <w:tc>
          <w:tcPr>
            <w:tcW w:w="5871" w:type="dxa"/>
            <w:vAlign w:val="center"/>
          </w:tcPr>
          <w:p w14:paraId="38E0249D">
            <w:pPr>
              <w:keepNext w:val="0"/>
              <w:keepLines w:val="0"/>
              <w:pageBreakBefore w:val="0"/>
              <w:widowControl w:val="0"/>
              <w:kinsoku/>
              <w:wordWrap/>
              <w:overflowPunct/>
              <w:topLinePunct w:val="0"/>
              <w:autoSpaceDE/>
              <w:autoSpaceDN/>
              <w:bidi w:val="0"/>
              <w:adjustRightInd/>
              <w:snapToGrid/>
              <w:ind w:left="31" w:leftChars="15" w:right="21" w:rightChars="10"/>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如有提交投标文件备用光盘，封套上应注明如下信息：</w:t>
            </w:r>
          </w:p>
          <w:p w14:paraId="60AFF9B3">
            <w:pPr>
              <w:pStyle w:val="34"/>
              <w:keepNext w:val="0"/>
              <w:keepLines w:val="0"/>
              <w:pageBreakBefore w:val="0"/>
              <w:widowControl w:val="0"/>
              <w:kinsoku/>
              <w:wordWrap/>
              <w:overflowPunct/>
              <w:topLinePunct w:val="0"/>
              <w:autoSpaceDE/>
              <w:autoSpaceDN/>
              <w:bidi w:val="0"/>
              <w:adjustRightInd/>
              <w:snapToGrid/>
              <w:ind w:left="31" w:leftChars="15" w:right="21" w:rightChars="10"/>
              <w:jc w:val="both"/>
              <w:textAlignment w:val="auto"/>
              <w:rPr>
                <w:rFonts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（1）商务文件封套上应载明：</w:t>
            </w:r>
          </w:p>
          <w:p w14:paraId="7227683A">
            <w:pPr>
              <w:pStyle w:val="34"/>
              <w:keepNext w:val="0"/>
              <w:keepLines w:val="0"/>
              <w:pageBreakBefore w:val="0"/>
              <w:widowControl w:val="0"/>
              <w:kinsoku/>
              <w:wordWrap/>
              <w:overflowPunct/>
              <w:topLinePunct w:val="0"/>
              <w:autoSpaceDE/>
              <w:autoSpaceDN/>
              <w:bidi w:val="0"/>
              <w:adjustRightInd/>
              <w:snapToGrid/>
              <w:ind w:left="31" w:leftChars="15" w:right="21" w:rightChars="10"/>
              <w:jc w:val="both"/>
              <w:textAlignment w:val="auto"/>
              <w:rPr>
                <w:rFonts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招标人名称：</w:t>
            </w:r>
          </w:p>
          <w:p w14:paraId="40919099">
            <w:pPr>
              <w:pStyle w:val="34"/>
              <w:keepNext w:val="0"/>
              <w:keepLines w:val="0"/>
              <w:pageBreakBefore w:val="0"/>
              <w:widowControl w:val="0"/>
              <w:tabs>
                <w:tab w:val="left" w:pos="1157"/>
              </w:tabs>
              <w:kinsoku/>
              <w:wordWrap/>
              <w:overflowPunct/>
              <w:topLinePunct w:val="0"/>
              <w:autoSpaceDE/>
              <w:autoSpaceDN/>
              <w:bidi w:val="0"/>
              <w:adjustRightInd/>
              <w:snapToGrid/>
              <w:ind w:left="31" w:leftChars="15" w:right="21" w:rightChars="10"/>
              <w:jc w:val="both"/>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u w:val="single"/>
                <w:lang w:eastAsia="zh-CN"/>
              </w:rPr>
              <w:t xml:space="preserve">     （项目名称）        </w:t>
            </w:r>
            <w:r>
              <w:rPr>
                <w:rFonts w:hint="eastAsia" w:ascii="宋体" w:hAnsi="宋体" w:eastAsia="宋体" w:cs="宋体"/>
                <w:b w:val="0"/>
                <w:bCs/>
                <w:color w:val="auto"/>
                <w:sz w:val="21"/>
                <w:szCs w:val="21"/>
                <w:highlight w:val="none"/>
                <w:lang w:eastAsia="zh-CN"/>
              </w:rPr>
              <w:t>商务文件</w:t>
            </w:r>
          </w:p>
          <w:p w14:paraId="6C6DA4D0">
            <w:pPr>
              <w:pStyle w:val="34"/>
              <w:keepNext w:val="0"/>
              <w:keepLines w:val="0"/>
              <w:pageBreakBefore w:val="0"/>
              <w:widowControl w:val="0"/>
              <w:kinsoku/>
              <w:wordWrap/>
              <w:overflowPunct/>
              <w:topLinePunct w:val="0"/>
              <w:autoSpaceDE/>
              <w:autoSpaceDN/>
              <w:bidi w:val="0"/>
              <w:adjustRightInd/>
              <w:snapToGrid/>
              <w:ind w:left="31" w:leftChars="15" w:right="21" w:rightChars="10"/>
              <w:jc w:val="both"/>
              <w:textAlignment w:val="auto"/>
              <w:rPr>
                <w:rFonts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（2）技术文件封套上应载明：</w:t>
            </w:r>
          </w:p>
          <w:p w14:paraId="16201A8E">
            <w:pPr>
              <w:pStyle w:val="34"/>
              <w:keepNext w:val="0"/>
              <w:keepLines w:val="0"/>
              <w:pageBreakBefore w:val="0"/>
              <w:widowControl w:val="0"/>
              <w:kinsoku/>
              <w:wordWrap/>
              <w:overflowPunct/>
              <w:topLinePunct w:val="0"/>
              <w:autoSpaceDE/>
              <w:autoSpaceDN/>
              <w:bidi w:val="0"/>
              <w:adjustRightInd/>
              <w:snapToGrid/>
              <w:ind w:left="31" w:leftChars="15" w:right="21" w:rightChars="10"/>
              <w:jc w:val="both"/>
              <w:textAlignment w:val="auto"/>
              <w:rPr>
                <w:rFonts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招标人名称：</w:t>
            </w:r>
          </w:p>
          <w:p w14:paraId="07CF8CA1">
            <w:pPr>
              <w:pStyle w:val="34"/>
              <w:keepNext w:val="0"/>
              <w:keepLines w:val="0"/>
              <w:pageBreakBefore w:val="0"/>
              <w:widowControl w:val="0"/>
              <w:tabs>
                <w:tab w:val="left" w:pos="734"/>
                <w:tab w:val="left" w:pos="1365"/>
                <w:tab w:val="left" w:pos="1994"/>
                <w:tab w:val="left" w:pos="2623"/>
              </w:tabs>
              <w:kinsoku/>
              <w:wordWrap/>
              <w:overflowPunct/>
              <w:topLinePunct w:val="0"/>
              <w:autoSpaceDE/>
              <w:autoSpaceDN/>
              <w:bidi w:val="0"/>
              <w:adjustRightInd/>
              <w:snapToGrid/>
              <w:ind w:left="31" w:leftChars="15" w:right="21" w:rightChars="10"/>
              <w:jc w:val="both"/>
              <w:textAlignment w:val="auto"/>
              <w:rPr>
                <w:rFonts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u w:val="single"/>
                <w:lang w:eastAsia="zh-CN"/>
              </w:rPr>
              <w:t xml:space="preserve">     （项目名称）        </w:t>
            </w:r>
            <w:r>
              <w:rPr>
                <w:rFonts w:hint="eastAsia" w:ascii="宋体" w:hAnsi="宋体" w:eastAsia="宋体" w:cs="宋体"/>
                <w:b w:val="0"/>
                <w:bCs/>
                <w:color w:val="auto"/>
                <w:sz w:val="21"/>
                <w:szCs w:val="21"/>
                <w:highlight w:val="none"/>
                <w:lang w:eastAsia="zh-CN"/>
              </w:rPr>
              <w:t>技术文件</w:t>
            </w:r>
          </w:p>
          <w:p w14:paraId="311F6801">
            <w:pPr>
              <w:pStyle w:val="34"/>
              <w:keepNext w:val="0"/>
              <w:keepLines w:val="0"/>
              <w:pageBreakBefore w:val="0"/>
              <w:widowControl w:val="0"/>
              <w:kinsoku/>
              <w:wordWrap/>
              <w:overflowPunct/>
              <w:topLinePunct w:val="0"/>
              <w:autoSpaceDE/>
              <w:autoSpaceDN/>
              <w:bidi w:val="0"/>
              <w:adjustRightInd/>
              <w:snapToGrid/>
              <w:ind w:left="31" w:leftChars="15" w:right="21" w:rightChars="10"/>
              <w:jc w:val="both"/>
              <w:textAlignment w:val="auto"/>
              <w:rPr>
                <w:rFonts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（3）保密信封封套上应载明：</w:t>
            </w:r>
          </w:p>
          <w:p w14:paraId="45CBEFBC">
            <w:pPr>
              <w:pStyle w:val="34"/>
              <w:keepNext w:val="0"/>
              <w:keepLines w:val="0"/>
              <w:pageBreakBefore w:val="0"/>
              <w:widowControl w:val="0"/>
              <w:kinsoku/>
              <w:wordWrap/>
              <w:overflowPunct/>
              <w:topLinePunct w:val="0"/>
              <w:autoSpaceDE/>
              <w:autoSpaceDN/>
              <w:bidi w:val="0"/>
              <w:adjustRightInd/>
              <w:snapToGrid/>
              <w:ind w:left="31" w:leftChars="15" w:right="21" w:rightChars="10"/>
              <w:jc w:val="both"/>
              <w:textAlignment w:val="auto"/>
              <w:rPr>
                <w:rFonts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招标人名称：</w:t>
            </w:r>
          </w:p>
          <w:p w14:paraId="609EE92A">
            <w:pPr>
              <w:pStyle w:val="34"/>
              <w:keepNext w:val="0"/>
              <w:keepLines w:val="0"/>
              <w:pageBreakBefore w:val="0"/>
              <w:widowControl w:val="0"/>
              <w:tabs>
                <w:tab w:val="left" w:pos="734"/>
                <w:tab w:val="left" w:pos="1365"/>
                <w:tab w:val="left" w:pos="1994"/>
                <w:tab w:val="left" w:pos="2623"/>
              </w:tabs>
              <w:kinsoku/>
              <w:wordWrap/>
              <w:overflowPunct/>
              <w:topLinePunct w:val="0"/>
              <w:autoSpaceDE/>
              <w:autoSpaceDN/>
              <w:bidi w:val="0"/>
              <w:adjustRightInd/>
              <w:snapToGrid/>
              <w:ind w:left="31" w:leftChars="15" w:right="21" w:rightChars="10"/>
              <w:jc w:val="both"/>
              <w:textAlignment w:val="auto"/>
              <w:rPr>
                <w:rFonts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u w:val="single"/>
                <w:lang w:eastAsia="zh-CN"/>
              </w:rPr>
              <w:t xml:space="preserve">     （项目名称）        </w:t>
            </w:r>
            <w:r>
              <w:rPr>
                <w:rFonts w:hint="eastAsia" w:ascii="宋体" w:hAnsi="宋体" w:eastAsia="宋体" w:cs="宋体"/>
                <w:b w:val="0"/>
                <w:bCs/>
                <w:color w:val="auto"/>
                <w:sz w:val="21"/>
                <w:szCs w:val="21"/>
                <w:highlight w:val="none"/>
                <w:lang w:eastAsia="zh-CN"/>
              </w:rPr>
              <w:t>保密信封</w:t>
            </w:r>
          </w:p>
          <w:p w14:paraId="135C2B23">
            <w:pPr>
              <w:keepNext w:val="0"/>
              <w:keepLines w:val="0"/>
              <w:pageBreakBefore w:val="0"/>
              <w:widowControl w:val="0"/>
              <w:kinsoku/>
              <w:wordWrap/>
              <w:overflowPunct/>
              <w:topLinePunct w:val="0"/>
              <w:autoSpaceDE/>
              <w:autoSpaceDN/>
              <w:bidi w:val="0"/>
              <w:adjustRightInd/>
              <w:snapToGrid/>
              <w:ind w:left="31" w:leftChars="15" w:right="21" w:rightChars="10"/>
              <w:textAlignment w:val="auto"/>
              <w:rPr>
                <w:rFonts w:ascii="宋体" w:hAnsi="宋体" w:cs="宋体"/>
                <w:bCs/>
                <w:color w:val="auto"/>
                <w:sz w:val="21"/>
                <w:szCs w:val="21"/>
                <w:highlight w:val="none"/>
              </w:rPr>
            </w:pPr>
            <w:r>
              <w:rPr>
                <w:rFonts w:hint="eastAsia" w:ascii="宋体" w:hAnsi="宋体" w:eastAsia="宋体" w:cs="宋体"/>
                <w:b w:val="0"/>
                <w:bCs/>
                <w:color w:val="auto"/>
                <w:sz w:val="21"/>
                <w:szCs w:val="21"/>
                <w:highlight w:val="none"/>
                <w:lang w:eastAsia="zh-CN"/>
              </w:rPr>
              <w:t>注：如提交技术方案文件备用光盘及备用保密信封的，封面及封口不需要盖章</w:t>
            </w:r>
            <w:r>
              <w:rPr>
                <w:rFonts w:hint="eastAsia" w:ascii="宋体" w:hAnsi="宋体" w:cs="宋体"/>
                <w:b w:val="0"/>
                <w:bCs/>
                <w:color w:val="auto"/>
                <w:sz w:val="21"/>
                <w:szCs w:val="21"/>
                <w:highlight w:val="none"/>
                <w:lang w:eastAsia="zh-CN"/>
              </w:rPr>
              <w:t>，</w:t>
            </w:r>
            <w:r>
              <w:rPr>
                <w:rFonts w:hint="eastAsia" w:ascii="宋体" w:hAnsi="宋体"/>
                <w:color w:val="auto"/>
                <w:sz w:val="21"/>
                <w:szCs w:val="21"/>
                <w:highlight w:val="none"/>
                <w:u w:val="none"/>
                <w:lang w:val="en-US" w:eastAsia="zh-CN"/>
              </w:rPr>
              <w:t>密封袋不得标注</w:t>
            </w:r>
            <w:r>
              <w:rPr>
                <w:rFonts w:hint="eastAsia" w:ascii="宋体" w:hAnsi="宋体" w:eastAsia="宋体" w:cs="Times New Roman"/>
                <w:color w:val="auto"/>
                <w:sz w:val="21"/>
                <w:szCs w:val="21"/>
                <w:highlight w:val="none"/>
                <w:u w:val="none"/>
                <w:lang w:eastAsia="zh-CN"/>
              </w:rPr>
              <w:t>或做任何可以辨认投标人及专业技术人员身份的名称、印章、商标、图形等记认符号</w:t>
            </w:r>
            <w:r>
              <w:rPr>
                <w:rFonts w:hint="eastAsia" w:ascii="宋体" w:hAnsi="宋体" w:eastAsia="宋体" w:cs="宋体"/>
                <w:b w:val="0"/>
                <w:bCs/>
                <w:color w:val="auto"/>
                <w:sz w:val="21"/>
                <w:szCs w:val="21"/>
                <w:highlight w:val="none"/>
                <w:lang w:eastAsia="zh-CN"/>
              </w:rPr>
              <w:t>。</w:t>
            </w:r>
          </w:p>
        </w:tc>
      </w:tr>
      <w:tr w14:paraId="13BA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6" w:hRule="exact"/>
        </w:trPr>
        <w:tc>
          <w:tcPr>
            <w:tcW w:w="787" w:type="dxa"/>
            <w:vAlign w:val="center"/>
          </w:tcPr>
          <w:p w14:paraId="37FAEFFE">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2441" w:type="dxa"/>
            <w:vAlign w:val="center"/>
          </w:tcPr>
          <w:p w14:paraId="2805FB40">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5871" w:type="dxa"/>
            <w:vAlign w:val="center"/>
          </w:tcPr>
          <w:p w14:paraId="241F3648">
            <w:pPr>
              <w:pStyle w:val="34"/>
              <w:keepNext w:val="0"/>
              <w:keepLines w:val="0"/>
              <w:pageBreakBefore w:val="0"/>
              <w:widowControl w:val="0"/>
              <w:kinsoku/>
              <w:wordWrap/>
              <w:overflowPunct/>
              <w:bidi w:val="0"/>
              <w:spacing w:line="276" w:lineRule="auto"/>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详见招标公告。具体时间可以</w:t>
            </w:r>
            <w:r>
              <w:rPr>
                <w:rFonts w:hint="eastAsia" w:ascii="宋体" w:hAnsi="宋体" w:eastAsia="宋体" w:cs="宋体"/>
                <w:color w:val="auto"/>
                <w:sz w:val="21"/>
                <w:szCs w:val="21"/>
                <w:highlight w:val="none"/>
                <w:lang w:val="en-US" w:eastAsia="zh-CN"/>
              </w:rPr>
              <w:t>登录</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lang w:val="en-US" w:eastAsia="zh-CN"/>
              </w:rPr>
              <w:t>网站</w:t>
            </w:r>
            <w:r>
              <w:rPr>
                <w:rFonts w:hint="eastAsia" w:ascii="宋体" w:hAnsi="宋体" w:eastAsia="宋体" w:cs="宋体"/>
                <w:color w:val="auto"/>
                <w:sz w:val="21"/>
                <w:szCs w:val="21"/>
                <w:highlight w:val="none"/>
                <w:lang w:eastAsia="zh-CN"/>
              </w:rPr>
              <w:t>“建设工程→项目查询（日程安排、答疑纪要）”输入本项目编号或项目名称进行查询。</w:t>
            </w:r>
          </w:p>
        </w:tc>
      </w:tr>
      <w:tr w14:paraId="76D5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exact"/>
        </w:trPr>
        <w:tc>
          <w:tcPr>
            <w:tcW w:w="787" w:type="dxa"/>
            <w:vAlign w:val="center"/>
          </w:tcPr>
          <w:p w14:paraId="53D2ECF4">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r>
              <w:rPr>
                <w:rFonts w:hint="eastAsia" w:ascii="宋体" w:hAnsi="宋体" w:eastAsia="宋体" w:cs="宋体"/>
                <w:color w:val="auto"/>
                <w:sz w:val="21"/>
                <w:szCs w:val="21"/>
                <w:highlight w:val="none"/>
                <w:lang w:eastAsia="zh-CN"/>
              </w:rPr>
              <w:t>B</w:t>
            </w:r>
            <w:r>
              <w:rPr>
                <w:rFonts w:hint="eastAsia" w:ascii="宋体" w:hAnsi="宋体" w:eastAsia="宋体" w:cs="宋体"/>
                <w:color w:val="auto"/>
                <w:sz w:val="21"/>
                <w:szCs w:val="21"/>
                <w:highlight w:val="none"/>
              </w:rPr>
              <w:t>）</w:t>
            </w:r>
          </w:p>
        </w:tc>
        <w:tc>
          <w:tcPr>
            <w:tcW w:w="2441" w:type="dxa"/>
            <w:vAlign w:val="center"/>
          </w:tcPr>
          <w:p w14:paraId="3E2EEFC7">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递交投标文件地点</w:t>
            </w:r>
          </w:p>
        </w:tc>
        <w:tc>
          <w:tcPr>
            <w:tcW w:w="5871" w:type="dxa"/>
            <w:vAlign w:val="center"/>
          </w:tcPr>
          <w:p w14:paraId="172C7808">
            <w:pPr>
              <w:pStyle w:val="34"/>
              <w:keepNext w:val="0"/>
              <w:keepLines w:val="0"/>
              <w:pageBreakBefore w:val="0"/>
              <w:widowControl w:val="0"/>
              <w:kinsoku/>
              <w:wordWrap/>
              <w:overflowPunct/>
              <w:bidi w:val="0"/>
              <w:spacing w:line="276" w:lineRule="auto"/>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详见招标公告。 具体时间可以到广州交易集团有限公司（广州公共资源交易中心）交易平台“建设工程→项目查询（日程安排、答疑纪要）”输入本项目编号或项目名称进行查询。</w:t>
            </w:r>
          </w:p>
        </w:tc>
      </w:tr>
      <w:tr w14:paraId="32C1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2" w:hRule="exact"/>
        </w:trPr>
        <w:tc>
          <w:tcPr>
            <w:tcW w:w="787" w:type="dxa"/>
            <w:vAlign w:val="center"/>
          </w:tcPr>
          <w:p w14:paraId="35477417">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2441" w:type="dxa"/>
            <w:vAlign w:val="center"/>
          </w:tcPr>
          <w:p w14:paraId="537FB417">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投标文件是否退还</w:t>
            </w:r>
          </w:p>
        </w:tc>
        <w:tc>
          <w:tcPr>
            <w:tcW w:w="5871" w:type="dxa"/>
            <w:vAlign w:val="center"/>
          </w:tcPr>
          <w:p w14:paraId="4F4ED62B">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w:t>
            </w:r>
          </w:p>
          <w:p w14:paraId="7664C182">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□是，退还时间：</w:t>
            </w:r>
          </w:p>
        </w:tc>
      </w:tr>
      <w:tr w14:paraId="6E2A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6" w:hRule="exact"/>
        </w:trPr>
        <w:tc>
          <w:tcPr>
            <w:tcW w:w="787" w:type="dxa"/>
            <w:vAlign w:val="center"/>
          </w:tcPr>
          <w:p w14:paraId="30F70F41">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5.1（A）</w:t>
            </w:r>
          </w:p>
        </w:tc>
        <w:tc>
          <w:tcPr>
            <w:tcW w:w="2441" w:type="dxa"/>
            <w:vAlign w:val="center"/>
          </w:tcPr>
          <w:p w14:paraId="0AE24E3F">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5871" w:type="dxa"/>
            <w:vAlign w:val="center"/>
          </w:tcPr>
          <w:p w14:paraId="7ABA4CA6">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同投标文件递交截止时间和递交备用光盘地点。</w:t>
            </w:r>
          </w:p>
          <w:p w14:paraId="58CC85D9">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具体时间和地点可以到广州交易集团有限公司（广州公共资源交易中心）交易平台“建设工程→项目查询（日程安排、答疑纪要）”输入本项目编号或项目名称进行查询。</w:t>
            </w:r>
          </w:p>
        </w:tc>
      </w:tr>
      <w:tr w14:paraId="1343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38" w:hRule="exact"/>
        </w:trPr>
        <w:tc>
          <w:tcPr>
            <w:tcW w:w="787" w:type="dxa"/>
            <w:vAlign w:val="center"/>
          </w:tcPr>
          <w:p w14:paraId="0FE64FF4">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5.2（B）</w:t>
            </w:r>
          </w:p>
        </w:tc>
        <w:tc>
          <w:tcPr>
            <w:tcW w:w="2441" w:type="dxa"/>
            <w:vAlign w:val="center"/>
          </w:tcPr>
          <w:p w14:paraId="321CA034">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5871" w:type="dxa"/>
            <w:vAlign w:val="center"/>
          </w:tcPr>
          <w:p w14:paraId="62E02CC4">
            <w:pPr>
              <w:pStyle w:val="34"/>
              <w:keepNext w:val="0"/>
              <w:keepLines w:val="0"/>
              <w:pageBreakBefore w:val="0"/>
              <w:widowControl w:val="0"/>
              <w:kinsoku/>
              <w:wordWrap/>
              <w:overflowPunct/>
              <w:bidi w:val="0"/>
              <w:spacing w:line="276" w:lineRule="auto"/>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1.在投标截止时间后</w:t>
            </w:r>
            <w:r>
              <w:rPr>
                <w:rFonts w:hint="eastAsia" w:ascii="宋体" w:hAnsi="宋体" w:eastAsia="宋体" w:cs="宋体"/>
                <w:color w:val="auto"/>
                <w:sz w:val="21"/>
                <w:szCs w:val="21"/>
                <w:highlight w:val="none"/>
                <w:u w:val="single"/>
                <w:lang w:val="en-US" w:eastAsia="zh-CN"/>
              </w:rPr>
              <w:t>一</w:t>
            </w:r>
            <w:r>
              <w:rPr>
                <w:rFonts w:hint="eastAsia" w:ascii="宋体" w:hAnsi="宋体" w:eastAsia="宋体" w:cs="宋体"/>
                <w:bCs/>
                <w:color w:val="auto"/>
                <w:sz w:val="21"/>
                <w:szCs w:val="21"/>
                <w:highlight w:val="none"/>
                <w:u w:val="single"/>
                <w:lang w:eastAsia="zh-CN"/>
              </w:rPr>
              <w:t>小时内</w:t>
            </w:r>
            <w:r>
              <w:rPr>
                <w:rFonts w:hint="eastAsia" w:ascii="宋体" w:hAnsi="宋体" w:eastAsia="宋体" w:cs="宋体"/>
                <w:color w:val="auto"/>
                <w:sz w:val="21"/>
                <w:szCs w:val="21"/>
                <w:highlight w:val="none"/>
                <w:lang w:eastAsia="zh-CN"/>
              </w:rPr>
              <w:t>，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14:paraId="43180454">
            <w:pPr>
              <w:pStyle w:val="34"/>
              <w:keepNext w:val="0"/>
              <w:keepLines w:val="0"/>
              <w:pageBreakBefore w:val="0"/>
              <w:widowControl w:val="0"/>
              <w:kinsoku/>
              <w:wordWrap/>
              <w:overflowPunct/>
              <w:bidi w:val="0"/>
              <w:spacing w:line="276" w:lineRule="auto"/>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2.截标后，开标开始时间因故推迟的，相关评标信息仍以原定的开标开始时间的信息为准。</w:t>
            </w:r>
          </w:p>
          <w:p w14:paraId="13B77BED">
            <w:pPr>
              <w:pStyle w:val="34"/>
              <w:keepNext w:val="0"/>
              <w:keepLines w:val="0"/>
              <w:pageBreakBefore w:val="0"/>
              <w:widowControl w:val="0"/>
              <w:kinsoku/>
              <w:wordWrap/>
              <w:overflowPunct/>
              <w:bidi w:val="0"/>
              <w:spacing w:line="276" w:lineRule="auto"/>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3.备用光盘的读取按投标须知前附表第9点的规定执行。</w:t>
            </w:r>
          </w:p>
          <w:p w14:paraId="19484886">
            <w:pPr>
              <w:pStyle w:val="34"/>
              <w:keepNext w:val="0"/>
              <w:keepLines w:val="0"/>
              <w:pageBreakBefore w:val="0"/>
              <w:widowControl w:val="0"/>
              <w:kinsoku/>
              <w:wordWrap/>
              <w:overflowPunct/>
              <w:bidi w:val="0"/>
              <w:spacing w:line="276" w:lineRule="auto"/>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4.投标截止时间前未完成投标文件传输的或因投标人之外的原因造成投标文件未解密的，视为投标人撤回投标文件。因投标人原因造成投标文件未解密或未在规定的时间内解密的，视为撤销其投标文件。</w:t>
            </w:r>
          </w:p>
          <w:p w14:paraId="4A889230">
            <w:pPr>
              <w:pStyle w:val="34"/>
              <w:keepNext w:val="0"/>
              <w:keepLines w:val="0"/>
              <w:pageBreakBefore w:val="0"/>
              <w:widowControl w:val="0"/>
              <w:kinsoku/>
              <w:wordWrap/>
              <w:overflowPunct/>
              <w:bidi w:val="0"/>
              <w:spacing w:line="276" w:lineRule="auto"/>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5752487D">
            <w:pPr>
              <w:pStyle w:val="34"/>
              <w:keepNext w:val="0"/>
              <w:keepLines w:val="0"/>
              <w:pageBreakBefore w:val="0"/>
              <w:widowControl w:val="0"/>
              <w:kinsoku/>
              <w:wordWrap/>
              <w:overflowPunct/>
              <w:bidi w:val="0"/>
              <w:spacing w:line="276" w:lineRule="auto"/>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6.参加现场开标的投标人对开标结果有异议的，应当在开标现场提出，招标人应当当场作出答复，并制作记录。</w:t>
            </w:r>
          </w:p>
          <w:p w14:paraId="2F4BD518">
            <w:pPr>
              <w:pStyle w:val="34"/>
              <w:keepNext w:val="0"/>
              <w:keepLines w:val="0"/>
              <w:pageBreakBefore w:val="0"/>
              <w:widowControl w:val="0"/>
              <w:kinsoku/>
              <w:wordWrap/>
              <w:overflowPunct/>
              <w:bidi w:val="0"/>
              <w:spacing w:line="276" w:lineRule="auto"/>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49CA9D2">
            <w:pPr>
              <w:pStyle w:val="34"/>
              <w:keepNext w:val="0"/>
              <w:keepLines w:val="0"/>
              <w:pageBreakBefore w:val="0"/>
              <w:widowControl w:val="0"/>
              <w:kinsoku/>
              <w:wordWrap/>
              <w:overflowPunct/>
              <w:bidi w:val="0"/>
              <w:spacing w:line="276" w:lineRule="auto"/>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8.投标人未参加开标或在规定的时间内未提出异议的，视为对开标无异议。</w:t>
            </w:r>
          </w:p>
          <w:p w14:paraId="600058AA">
            <w:pPr>
              <w:pStyle w:val="34"/>
              <w:keepNext w:val="0"/>
              <w:keepLines w:val="0"/>
              <w:pageBreakBefore w:val="0"/>
              <w:widowControl w:val="0"/>
              <w:kinsoku/>
              <w:wordWrap/>
              <w:overflowPunct/>
              <w:bidi w:val="0"/>
              <w:spacing w:line="276" w:lineRule="auto"/>
              <w:ind w:left="31" w:leftChars="15" w:right="21" w:rightChars="10"/>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9.开标时，两个（含两个）以上的投标人加密打包投标文件电脑机器特征码一致的，不参与下一程序，并由评标委员会否决其投标。</w:t>
            </w:r>
          </w:p>
        </w:tc>
      </w:tr>
      <w:tr w14:paraId="56C8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exact"/>
        </w:trPr>
        <w:tc>
          <w:tcPr>
            <w:tcW w:w="787" w:type="dxa"/>
            <w:vAlign w:val="center"/>
          </w:tcPr>
          <w:p w14:paraId="61436AFE">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2441" w:type="dxa"/>
            <w:vAlign w:val="center"/>
          </w:tcPr>
          <w:p w14:paraId="6719877F">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5871" w:type="dxa"/>
            <w:vAlign w:val="center"/>
          </w:tcPr>
          <w:p w14:paraId="430038CA">
            <w:pPr>
              <w:pStyle w:val="34"/>
              <w:keepNext w:val="0"/>
              <w:keepLines w:val="0"/>
              <w:pageBreakBefore w:val="0"/>
              <w:widowControl w:val="0"/>
              <w:tabs>
                <w:tab w:val="left" w:pos="2309"/>
                <w:tab w:val="left" w:pos="2729"/>
                <w:tab w:val="left" w:pos="3826"/>
              </w:tabs>
              <w:kinsoku/>
              <w:wordWrap/>
              <w:overflowPunct/>
              <w:bidi w:val="0"/>
              <w:spacing w:line="276" w:lineRule="auto"/>
              <w:ind w:left="31" w:leftChars="15" w:right="21" w:rightChars="10"/>
              <w:jc w:val="both"/>
              <w:textAlignment w:val="auto"/>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由招标人依法组建。</w:t>
            </w:r>
          </w:p>
        </w:tc>
      </w:tr>
      <w:tr w14:paraId="0A2F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exact"/>
        </w:trPr>
        <w:tc>
          <w:tcPr>
            <w:tcW w:w="787" w:type="dxa"/>
            <w:vAlign w:val="center"/>
          </w:tcPr>
          <w:p w14:paraId="2E00BE36">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2441" w:type="dxa"/>
            <w:vAlign w:val="center"/>
          </w:tcPr>
          <w:p w14:paraId="1AECE3BC">
            <w:pPr>
              <w:pStyle w:val="34"/>
              <w:spacing w:line="276"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评标委员会推荐中标候选人的人数</w:t>
            </w:r>
          </w:p>
        </w:tc>
        <w:tc>
          <w:tcPr>
            <w:tcW w:w="5871" w:type="dxa"/>
            <w:vAlign w:val="center"/>
          </w:tcPr>
          <w:p w14:paraId="56205263">
            <w:pPr>
              <w:keepNext w:val="0"/>
              <w:keepLines w:val="0"/>
              <w:pageBreakBefore w:val="0"/>
              <w:widowControl w:val="0"/>
              <w:kinsoku/>
              <w:wordWrap/>
              <w:overflowPunct/>
              <w:bidi w:val="0"/>
              <w:spacing w:line="276" w:lineRule="auto"/>
              <w:ind w:left="31" w:leftChars="15" w:right="21" w:rightChars="1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推荐中标候选人3名。</w:t>
            </w:r>
          </w:p>
        </w:tc>
      </w:tr>
      <w:tr w14:paraId="4562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exact"/>
        </w:trPr>
        <w:tc>
          <w:tcPr>
            <w:tcW w:w="787" w:type="dxa"/>
            <w:vAlign w:val="center"/>
          </w:tcPr>
          <w:p w14:paraId="6288702B">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2441" w:type="dxa"/>
            <w:vAlign w:val="center"/>
          </w:tcPr>
          <w:p w14:paraId="46076D26">
            <w:pPr>
              <w:pStyle w:val="34"/>
              <w:spacing w:line="276"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中标候选人公示媒介及期限</w:t>
            </w:r>
          </w:p>
        </w:tc>
        <w:tc>
          <w:tcPr>
            <w:tcW w:w="5871" w:type="dxa"/>
            <w:vAlign w:val="center"/>
          </w:tcPr>
          <w:p w14:paraId="3E14DE26">
            <w:pPr>
              <w:pStyle w:val="34"/>
              <w:keepNext w:val="0"/>
              <w:keepLines w:val="0"/>
              <w:pageBreakBefore w:val="0"/>
              <w:widowControl w:val="0"/>
              <w:tabs>
                <w:tab w:val="left" w:pos="2100"/>
              </w:tabs>
              <w:kinsoku/>
              <w:wordWrap/>
              <w:overflowPunct/>
              <w:bidi w:val="0"/>
              <w:spacing w:line="276" w:lineRule="auto"/>
              <w:ind w:left="31" w:leftChars="15" w:right="21" w:rightChars="1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公示媒介：中国招标投标公共服务平台、广东省招标投标监管网、广州交易集团有限公司（广州公共资源交易中心）网</w:t>
            </w:r>
            <w:r>
              <w:rPr>
                <w:rFonts w:hint="eastAsia" w:ascii="宋体" w:hAnsi="宋体" w:eastAsia="宋体" w:cs="宋体"/>
                <w:color w:val="auto"/>
                <w:sz w:val="21"/>
                <w:szCs w:val="21"/>
                <w:highlight w:val="none"/>
                <w:lang w:val="en-US" w:eastAsia="zh-CN"/>
              </w:rPr>
              <w:t>站</w:t>
            </w:r>
          </w:p>
          <w:p w14:paraId="62B65759">
            <w:pPr>
              <w:pStyle w:val="34"/>
              <w:keepNext w:val="0"/>
              <w:keepLines w:val="0"/>
              <w:pageBreakBefore w:val="0"/>
              <w:widowControl w:val="0"/>
              <w:tabs>
                <w:tab w:val="left" w:pos="2100"/>
              </w:tabs>
              <w:kinsoku/>
              <w:wordWrap/>
              <w:overflowPunct/>
              <w:bidi w:val="0"/>
              <w:spacing w:line="276" w:lineRule="auto"/>
              <w:ind w:left="31" w:leftChars="15" w:right="21" w:rightChars="10"/>
              <w:jc w:val="both"/>
              <w:textAlignment w:val="auto"/>
              <w:rPr>
                <w:rFonts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公示期限：</w:t>
            </w:r>
            <w:r>
              <w:rPr>
                <w:rFonts w:hint="eastAsia" w:ascii="宋体" w:hAnsi="宋体" w:eastAsia="宋体" w:cs="宋体"/>
                <w:color w:val="auto"/>
                <w:spacing w:val="-2"/>
                <w:sz w:val="21"/>
                <w:szCs w:val="21"/>
                <w:highlight w:val="none"/>
                <w:u w:val="single" w:color="000000"/>
                <w:lang w:eastAsia="zh-CN"/>
              </w:rPr>
              <w:t>3</w:t>
            </w:r>
            <w:r>
              <w:rPr>
                <w:rFonts w:hint="eastAsia" w:ascii="宋体" w:hAnsi="宋体" w:eastAsia="宋体" w:cs="宋体"/>
                <w:color w:val="auto"/>
                <w:sz w:val="21"/>
                <w:szCs w:val="21"/>
                <w:highlight w:val="none"/>
              </w:rPr>
              <w:t>日</w:t>
            </w:r>
          </w:p>
        </w:tc>
      </w:tr>
      <w:tr w14:paraId="0922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exact"/>
        </w:trPr>
        <w:tc>
          <w:tcPr>
            <w:tcW w:w="787" w:type="dxa"/>
            <w:vAlign w:val="center"/>
          </w:tcPr>
          <w:p w14:paraId="690A768E">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2441" w:type="dxa"/>
            <w:vAlign w:val="center"/>
          </w:tcPr>
          <w:p w14:paraId="60B27A3C">
            <w:pPr>
              <w:pStyle w:val="34"/>
              <w:spacing w:line="276"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是否授权评标委员会确定中标人</w:t>
            </w:r>
          </w:p>
        </w:tc>
        <w:tc>
          <w:tcPr>
            <w:tcW w:w="5871" w:type="dxa"/>
            <w:vAlign w:val="center"/>
          </w:tcPr>
          <w:p w14:paraId="4824440B">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w:t>
            </w:r>
          </w:p>
          <w:p w14:paraId="4BFE85F9">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w:t>
            </w:r>
          </w:p>
        </w:tc>
      </w:tr>
      <w:tr w14:paraId="2342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exact"/>
        </w:trPr>
        <w:tc>
          <w:tcPr>
            <w:tcW w:w="787" w:type="dxa"/>
            <w:vAlign w:val="center"/>
          </w:tcPr>
          <w:p w14:paraId="6C68379A">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7.6</w:t>
            </w:r>
          </w:p>
        </w:tc>
        <w:tc>
          <w:tcPr>
            <w:tcW w:w="2441" w:type="dxa"/>
            <w:vAlign w:val="center"/>
          </w:tcPr>
          <w:p w14:paraId="084D234B">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技术成果经济补偿</w:t>
            </w:r>
          </w:p>
        </w:tc>
        <w:tc>
          <w:tcPr>
            <w:tcW w:w="5871" w:type="dxa"/>
            <w:vAlign w:val="center"/>
          </w:tcPr>
          <w:p w14:paraId="1D877C30">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■不补偿。</w:t>
            </w:r>
          </w:p>
          <w:p w14:paraId="0F2F0CCB">
            <w:pPr>
              <w:pStyle w:val="34"/>
              <w:keepNext w:val="0"/>
              <w:keepLines w:val="0"/>
              <w:pageBreakBefore w:val="0"/>
              <w:widowControl w:val="0"/>
              <w:kinsoku/>
              <w:wordWrap/>
              <w:overflowPunct/>
              <w:bidi w:val="0"/>
              <w:spacing w:line="276" w:lineRule="auto"/>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□补偿，</w:t>
            </w:r>
            <w:r>
              <w:rPr>
                <w:rFonts w:hint="eastAsia" w:ascii="宋体" w:hAnsi="宋体" w:eastAsia="宋体" w:cs="宋体"/>
                <w:color w:val="auto"/>
                <w:sz w:val="21"/>
                <w:szCs w:val="21"/>
                <w:highlight w:val="none"/>
                <w:lang w:val="en-US" w:eastAsia="zh-CN"/>
              </w:rPr>
              <w:t>补偿方式详见招标公告第4条详细内容。</w:t>
            </w:r>
          </w:p>
        </w:tc>
      </w:tr>
      <w:tr w14:paraId="5D7B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1" w:hRule="exact"/>
        </w:trPr>
        <w:tc>
          <w:tcPr>
            <w:tcW w:w="787" w:type="dxa"/>
            <w:vAlign w:val="center"/>
          </w:tcPr>
          <w:p w14:paraId="53EC3384">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7.7.1</w:t>
            </w:r>
          </w:p>
        </w:tc>
        <w:tc>
          <w:tcPr>
            <w:tcW w:w="2441" w:type="dxa"/>
            <w:vAlign w:val="center"/>
          </w:tcPr>
          <w:p w14:paraId="4AC8D49E">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5871" w:type="dxa"/>
            <w:vAlign w:val="center"/>
          </w:tcPr>
          <w:p w14:paraId="6B9DE323">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是否要求中标人提交履约保证金：</w:t>
            </w:r>
          </w:p>
          <w:p w14:paraId="2645504C">
            <w:pPr>
              <w:pStyle w:val="34"/>
              <w:keepNext w:val="0"/>
              <w:keepLines w:val="0"/>
              <w:pageBreakBefore w:val="0"/>
              <w:widowControl w:val="0"/>
              <w:kinsoku/>
              <w:wordWrap/>
              <w:overflowPunct/>
              <w:bidi w:val="0"/>
              <w:ind w:left="31" w:leftChars="15" w:right="21" w:rightChars="1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■要求，履约保证金的形式：</w:t>
            </w:r>
            <w:r>
              <w:rPr>
                <w:rFonts w:hint="eastAsia" w:ascii="宋体" w:hAnsi="宋体" w:eastAsia="宋体" w:cs="宋体"/>
                <w:color w:val="auto"/>
                <w:sz w:val="21"/>
                <w:szCs w:val="21"/>
                <w:highlight w:val="none"/>
                <w:u w:val="single"/>
                <w:lang w:val="en-US" w:eastAsia="zh-CN"/>
              </w:rPr>
              <w:t>以</w:t>
            </w:r>
            <w:r>
              <w:rPr>
                <w:rFonts w:hint="eastAsia" w:ascii="宋体" w:hAnsi="宋体" w:eastAsia="宋体" w:cs="宋体"/>
                <w:color w:val="auto"/>
                <w:sz w:val="21"/>
                <w:szCs w:val="21"/>
                <w:highlight w:val="none"/>
                <w:u w:val="single"/>
                <w:lang w:eastAsia="zh-CN"/>
              </w:rPr>
              <w:t>合同约定</w:t>
            </w:r>
            <w:r>
              <w:rPr>
                <w:rFonts w:hint="eastAsia" w:ascii="宋体" w:hAnsi="宋体" w:eastAsia="宋体" w:cs="宋体"/>
                <w:color w:val="auto"/>
                <w:sz w:val="21"/>
                <w:szCs w:val="21"/>
                <w:highlight w:val="none"/>
                <w:u w:val="single"/>
                <w:lang w:val="en-US" w:eastAsia="zh-CN"/>
              </w:rPr>
              <w:t>为准</w:t>
            </w:r>
            <w:r>
              <w:rPr>
                <w:rFonts w:hint="eastAsia" w:ascii="宋体" w:hAnsi="宋体" w:eastAsia="宋体" w:cs="宋体"/>
                <w:color w:val="auto"/>
                <w:sz w:val="21"/>
                <w:szCs w:val="21"/>
                <w:highlight w:val="none"/>
                <w:lang w:val="en-US" w:eastAsia="zh-CN"/>
              </w:rPr>
              <w:t>。</w:t>
            </w:r>
          </w:p>
          <w:p w14:paraId="1535A3CF">
            <w:pPr>
              <w:pStyle w:val="34"/>
              <w:keepNext w:val="0"/>
              <w:keepLines w:val="0"/>
              <w:pageBreakBefore w:val="0"/>
              <w:widowControl w:val="0"/>
              <w:kinsoku/>
              <w:wordWrap/>
              <w:overflowPunct/>
              <w:bidi w:val="0"/>
              <w:ind w:left="31" w:leftChars="15" w:right="21" w:rightChars="10"/>
              <w:jc w:val="left"/>
              <w:textAlignment w:val="auto"/>
              <w:rPr>
                <w:rFonts w:hint="eastAsia"/>
                <w:color w:val="auto"/>
                <w:highlight w:val="none"/>
                <w:u w:val="single"/>
              </w:rPr>
            </w:pPr>
            <w:r>
              <w:rPr>
                <w:rFonts w:hint="eastAsia" w:ascii="宋体" w:hAnsi="宋体" w:eastAsia="宋体" w:cs="宋体"/>
                <w:color w:val="auto"/>
                <w:sz w:val="21"/>
                <w:szCs w:val="21"/>
                <w:highlight w:val="none"/>
                <w:lang w:eastAsia="zh-CN"/>
              </w:rPr>
              <w:t>履约保证金的金额：</w:t>
            </w:r>
            <w:r>
              <w:rPr>
                <w:rFonts w:hint="eastAsia"/>
                <w:color w:val="auto"/>
                <w:highlight w:val="none"/>
                <w:u w:val="single"/>
              </w:rPr>
              <w:t>中标人提供的履约保证金为中标价款的10%。</w:t>
            </w:r>
          </w:p>
          <w:p w14:paraId="03FC6B8E">
            <w:pPr>
              <w:pStyle w:val="34"/>
              <w:keepNext w:val="0"/>
              <w:keepLines w:val="0"/>
              <w:pageBreakBefore w:val="0"/>
              <w:widowControl w:val="0"/>
              <w:kinsoku/>
              <w:wordWrap/>
              <w:overflowPunct/>
              <w:bidi w:val="0"/>
              <w:ind w:left="31" w:leftChars="15" w:right="21" w:rightChars="10"/>
              <w:jc w:val="left"/>
              <w:textAlignment w:val="auto"/>
              <w:rPr>
                <w:rFonts w:hint="eastAsia"/>
                <w:color w:val="auto"/>
                <w:highlight w:val="none"/>
                <w:u w:val="single"/>
              </w:rPr>
            </w:pPr>
            <w:r>
              <w:rPr>
                <w:rFonts w:hint="eastAsia"/>
                <w:color w:val="auto"/>
                <w:highlight w:val="none"/>
                <w:u w:val="single"/>
              </w:rPr>
              <w:t>履约担保期限从提供履约担保之日起至项目完成工程结算审定且缺陷责任期满之日止。履约保函担保期限未满前，无论何种原因，中标人承诺无条件续保，如履约保函到期前7天未提交续保保函或其他担保，视为一般违约责任。</w:t>
            </w:r>
          </w:p>
          <w:p w14:paraId="3637FABD">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□不要求</w:t>
            </w:r>
          </w:p>
        </w:tc>
      </w:tr>
      <w:tr w14:paraId="75EC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8" w:hRule="exact"/>
        </w:trPr>
        <w:tc>
          <w:tcPr>
            <w:tcW w:w="787" w:type="dxa"/>
            <w:vAlign w:val="center"/>
          </w:tcPr>
          <w:p w14:paraId="6D058181">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441" w:type="dxa"/>
            <w:vAlign w:val="center"/>
          </w:tcPr>
          <w:p w14:paraId="7AB7175B">
            <w:pPr>
              <w:pStyle w:val="34"/>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是否采用电子招标投标</w:t>
            </w:r>
          </w:p>
        </w:tc>
        <w:tc>
          <w:tcPr>
            <w:tcW w:w="5871" w:type="dxa"/>
            <w:vAlign w:val="center"/>
          </w:tcPr>
          <w:p w14:paraId="3FCC437C">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w:t>
            </w:r>
          </w:p>
          <w:p w14:paraId="24729729">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■是，具体要求：</w:t>
            </w:r>
          </w:p>
          <w:p w14:paraId="6F69EAF4">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1、具体操作详见广州交易集团有限公司（广州公共资源交易中心）网</w:t>
            </w:r>
            <w:r>
              <w:rPr>
                <w:rFonts w:hint="eastAsia" w:ascii="宋体" w:hAnsi="宋体" w:eastAsia="宋体" w:cs="宋体"/>
                <w:color w:val="auto"/>
                <w:sz w:val="21"/>
                <w:szCs w:val="21"/>
                <w:highlight w:val="none"/>
                <w:lang w:val="en-US" w:eastAsia="zh-CN"/>
              </w:rPr>
              <w:t>站</w:t>
            </w:r>
            <w:r>
              <w:rPr>
                <w:rFonts w:hint="eastAsia" w:ascii="宋体" w:hAnsi="宋体" w:eastAsia="宋体" w:cs="宋体"/>
                <w:color w:val="auto"/>
                <w:sz w:val="21"/>
                <w:szCs w:val="21"/>
                <w:highlight w:val="none"/>
                <w:lang w:eastAsia="zh-CN"/>
              </w:rPr>
              <w:t>《建设工程全流程电子化项目操作指南》。</w:t>
            </w:r>
          </w:p>
          <w:p w14:paraId="66C59352">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2、提交投标文件光盘备用</w:t>
            </w:r>
          </w:p>
          <w:p w14:paraId="7BE4FCCA">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投标人将按《建设工程全流程电子化项目操作指南》的操作方法制作的非加密的电子投标文件刻入光盘</w:t>
            </w:r>
            <w:r>
              <w:rPr>
                <w:rFonts w:hint="eastAsia" w:ascii="宋体" w:hAnsi="宋体" w:cs="宋体"/>
                <w:color w:val="auto"/>
                <w:szCs w:val="21"/>
                <w:highlight w:val="none"/>
                <w:u w:val="single"/>
                <w:lang w:eastAsia="zh-CN"/>
              </w:rPr>
              <w:t>（1份）</w:t>
            </w:r>
            <w:r>
              <w:rPr>
                <w:rFonts w:hint="eastAsia" w:ascii="宋体" w:hAnsi="宋体" w:eastAsia="宋体" w:cs="宋体"/>
                <w:color w:val="auto"/>
                <w:sz w:val="21"/>
                <w:szCs w:val="21"/>
                <w:highlight w:val="none"/>
                <w:lang w:eastAsia="zh-CN"/>
              </w:rPr>
              <w:t>，在规定的时间、地点提交备用。刻录好的投标文件光盘密封在密封袋中，并在封口处加盖投标人单位公章。密封袋上应写明的内容见投标人须知前附表要求4.1.2。递交的投标文件（光盘）不得加密。光盘（投标文件）无法读取或导入的，则视为未提交备用投标文件光盘。如果投标人没有按规定通过交易平台网上递交电子投标文件的，不再接受提交的光盘。</w:t>
            </w:r>
          </w:p>
          <w:p w14:paraId="0599EA94">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3、补救方案</w:t>
            </w:r>
          </w:p>
          <w:p w14:paraId="3E00A60C">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（1）投标文件解密失败的补救方案：</w:t>
            </w:r>
          </w:p>
          <w:p w14:paraId="38EC7C54">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E3E063E">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（2）评标时突发情况的补救方案</w:t>
            </w:r>
          </w:p>
          <w:p w14:paraId="3CA5517D">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若遇不可抗力发生（如：网络瘫痪、服务器损坏、交易系统故障短期无法恢复等因素），由评标委员会开启现场递交的全部投标文件光盘，并按光盘内容进行评审。</w:t>
            </w:r>
          </w:p>
          <w:p w14:paraId="57BCC915">
            <w:pPr>
              <w:pStyle w:val="34"/>
              <w:keepNext w:val="0"/>
              <w:keepLines w:val="0"/>
              <w:pageBreakBefore w:val="0"/>
              <w:widowControl w:val="0"/>
              <w:kinsoku/>
              <w:wordWrap/>
              <w:overflowPunct/>
              <w:bidi w:val="0"/>
              <w:ind w:left="31" w:leftChars="15" w:right="21" w:rightChars="10"/>
              <w:jc w:val="both"/>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（3）除发生上述情况外，开标评标均以投标人通过交易平台网上递交的电子投标文件为准。</w:t>
            </w:r>
          </w:p>
        </w:tc>
      </w:tr>
      <w:tr w14:paraId="436D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exact"/>
        </w:trPr>
        <w:tc>
          <w:tcPr>
            <w:tcW w:w="787" w:type="dxa"/>
            <w:vAlign w:val="center"/>
          </w:tcPr>
          <w:p w14:paraId="5883DC7D">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441" w:type="dxa"/>
            <w:vAlign w:val="center"/>
          </w:tcPr>
          <w:p w14:paraId="2692D991">
            <w:pPr>
              <w:pStyle w:val="34"/>
              <w:spacing w:line="276"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c>
          <w:tcPr>
            <w:tcW w:w="5871" w:type="dxa"/>
            <w:vAlign w:val="center"/>
          </w:tcPr>
          <w:p w14:paraId="648A615F">
            <w:pPr>
              <w:keepNext w:val="0"/>
              <w:keepLines w:val="0"/>
              <w:pageBreakBefore w:val="0"/>
              <w:widowControl w:val="0"/>
              <w:kinsoku/>
              <w:wordWrap/>
              <w:overflowPunct/>
              <w:bidi w:val="0"/>
              <w:spacing w:line="276" w:lineRule="auto"/>
              <w:ind w:left="31" w:leftChars="15" w:right="21" w:rightChars="10"/>
              <w:textAlignment w:val="auto"/>
              <w:rPr>
                <w:rFonts w:ascii="宋体" w:hAnsi="宋体" w:cs="宋体"/>
                <w:color w:val="auto"/>
                <w:szCs w:val="21"/>
                <w:highlight w:val="none"/>
              </w:rPr>
            </w:pPr>
          </w:p>
        </w:tc>
      </w:tr>
      <w:tr w14:paraId="4710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exact"/>
        </w:trPr>
        <w:tc>
          <w:tcPr>
            <w:tcW w:w="787" w:type="dxa"/>
            <w:vAlign w:val="center"/>
          </w:tcPr>
          <w:p w14:paraId="4629E5D6">
            <w:pPr>
              <w:autoSpaceDE w:val="0"/>
              <w:autoSpaceDN w:val="0"/>
              <w:adjustRightInd w:val="0"/>
              <w:spacing w:line="276" w:lineRule="auto"/>
              <w:ind w:right="130"/>
              <w:jc w:val="center"/>
              <w:rPr>
                <w:rFonts w:ascii="宋体" w:hAnsi="宋体" w:cs="宋体"/>
                <w:color w:val="auto"/>
                <w:szCs w:val="21"/>
                <w:highlight w:val="none"/>
              </w:rPr>
            </w:pPr>
            <w:r>
              <w:rPr>
                <w:rFonts w:hint="eastAsia" w:ascii="宋体" w:hAnsi="宋体" w:cs="宋体"/>
                <w:color w:val="auto"/>
                <w:szCs w:val="21"/>
                <w:highlight w:val="none"/>
              </w:rPr>
              <w:t>10.1</w:t>
            </w:r>
          </w:p>
        </w:tc>
        <w:tc>
          <w:tcPr>
            <w:tcW w:w="2441" w:type="dxa"/>
          </w:tcPr>
          <w:p w14:paraId="150D165A">
            <w:pPr>
              <w:autoSpaceDE w:val="0"/>
              <w:autoSpaceDN w:val="0"/>
              <w:adjustRightInd w:val="0"/>
              <w:spacing w:before="48" w:line="276" w:lineRule="auto"/>
              <w:ind w:right="354"/>
              <w:jc w:val="center"/>
              <w:rPr>
                <w:rFonts w:ascii="宋体" w:hAnsi="宋体" w:cs="宋体"/>
                <w:color w:val="auto"/>
                <w:szCs w:val="21"/>
                <w:highlight w:val="none"/>
              </w:rPr>
            </w:pPr>
            <w:r>
              <w:rPr>
                <w:rFonts w:hint="eastAsia" w:ascii="宋体" w:hAnsi="宋体" w:cs="宋体"/>
                <w:color w:val="auto"/>
                <w:szCs w:val="21"/>
                <w:highlight w:val="none"/>
              </w:rPr>
              <w:t>资格审查方式</w:t>
            </w:r>
          </w:p>
        </w:tc>
        <w:tc>
          <w:tcPr>
            <w:tcW w:w="5871" w:type="dxa"/>
          </w:tcPr>
          <w:p w14:paraId="0AAA1BD8">
            <w:pPr>
              <w:keepNext w:val="0"/>
              <w:keepLines w:val="0"/>
              <w:pageBreakBefore w:val="0"/>
              <w:widowControl w:val="0"/>
              <w:kinsoku/>
              <w:wordWrap/>
              <w:overflowPunct/>
              <w:autoSpaceDE w:val="0"/>
              <w:autoSpaceDN w:val="0"/>
              <w:bidi w:val="0"/>
              <w:adjustRightInd w:val="0"/>
              <w:spacing w:line="276" w:lineRule="auto"/>
              <w:ind w:left="31" w:leftChars="15" w:right="21"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本招标项目采用全电子化资格后审方式，具体要求详见《建设工程全流程电子化项目操作指南》。</w:t>
            </w:r>
          </w:p>
        </w:tc>
      </w:tr>
      <w:tr w14:paraId="2947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6" w:hRule="exact"/>
        </w:trPr>
        <w:tc>
          <w:tcPr>
            <w:tcW w:w="787" w:type="dxa"/>
            <w:vAlign w:val="center"/>
          </w:tcPr>
          <w:p w14:paraId="46C2EC24">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10.2</w:t>
            </w:r>
          </w:p>
        </w:tc>
        <w:tc>
          <w:tcPr>
            <w:tcW w:w="2441" w:type="dxa"/>
            <w:vAlign w:val="center"/>
          </w:tcPr>
          <w:p w14:paraId="27AA0263">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特别提示</w:t>
            </w:r>
          </w:p>
        </w:tc>
        <w:tc>
          <w:tcPr>
            <w:tcW w:w="5871" w:type="dxa"/>
            <w:vAlign w:val="center"/>
          </w:tcPr>
          <w:p w14:paraId="768706C0">
            <w:pPr>
              <w:keepNext w:val="0"/>
              <w:keepLines w:val="0"/>
              <w:pageBreakBefore w:val="0"/>
              <w:widowControl w:val="0"/>
              <w:kinsoku/>
              <w:wordWrap/>
              <w:overflowPunct/>
              <w:topLinePunct w:val="0"/>
              <w:autoSpaceDE/>
              <w:autoSpaceDN/>
              <w:bidi w:val="0"/>
              <w:adjustRightInd/>
              <w:snapToGrid/>
              <w:spacing w:line="276" w:lineRule="auto"/>
              <w:ind w:left="31" w:leftChars="15" w:right="21"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投标人在本项目招标人的工程项目中存在下列行为的，将被拒绝</w:t>
            </w:r>
            <w:r>
              <w:rPr>
                <w:rFonts w:hint="eastAsia" w:ascii="宋体" w:hAnsi="宋体" w:eastAsia="宋体" w:cs="宋体"/>
                <w:color w:val="auto"/>
                <w:sz w:val="21"/>
                <w:szCs w:val="21"/>
                <w:highlight w:val="none"/>
                <w:u w:val="single"/>
              </w:rPr>
              <w:t>一年内</w:t>
            </w:r>
            <w:r>
              <w:rPr>
                <w:rFonts w:hint="eastAsia" w:ascii="宋体" w:hAnsi="宋体" w:eastAsia="宋体" w:cs="宋体"/>
                <w:color w:val="auto"/>
                <w:sz w:val="21"/>
                <w:szCs w:val="21"/>
                <w:highlight w:val="none"/>
              </w:rPr>
              <w:t>参与我单位后续工程投标。（注：拒绝投标时限自招标人发出通知之日起计）：</w:t>
            </w:r>
          </w:p>
          <w:p w14:paraId="2A248EB1">
            <w:pPr>
              <w:keepNext w:val="0"/>
              <w:keepLines w:val="0"/>
              <w:pageBreakBefore w:val="0"/>
              <w:widowControl w:val="0"/>
              <w:kinsoku/>
              <w:wordWrap/>
              <w:overflowPunct/>
              <w:topLinePunct w:val="0"/>
              <w:autoSpaceDE/>
              <w:autoSpaceDN/>
              <w:bidi w:val="0"/>
              <w:adjustRightInd/>
              <w:snapToGrid/>
              <w:spacing w:line="276" w:lineRule="auto"/>
              <w:ind w:left="31" w:leftChars="15" w:right="21" w:rightChars="1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）将中标工程转包或者违法分包的；</w:t>
            </w:r>
          </w:p>
          <w:p w14:paraId="70F08AE3">
            <w:pPr>
              <w:keepNext w:val="0"/>
              <w:keepLines w:val="0"/>
              <w:pageBreakBefore w:val="0"/>
              <w:widowControl w:val="0"/>
              <w:kinsoku/>
              <w:wordWrap/>
              <w:overflowPunct/>
              <w:topLinePunct w:val="0"/>
              <w:autoSpaceDE/>
              <w:autoSpaceDN/>
              <w:bidi w:val="0"/>
              <w:adjustRightInd/>
              <w:snapToGrid/>
              <w:spacing w:line="276" w:lineRule="auto"/>
              <w:ind w:left="31" w:leftChars="15" w:right="21" w:rightChars="1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）存在围标或串通投标情形的；</w:t>
            </w:r>
          </w:p>
          <w:p w14:paraId="6F028FF7">
            <w:pPr>
              <w:keepNext w:val="0"/>
              <w:keepLines w:val="0"/>
              <w:pageBreakBefore w:val="0"/>
              <w:widowControl w:val="0"/>
              <w:kinsoku/>
              <w:wordWrap/>
              <w:overflowPunct/>
              <w:topLinePunct w:val="0"/>
              <w:autoSpaceDE/>
              <w:autoSpaceDN/>
              <w:bidi w:val="0"/>
              <w:adjustRightInd/>
              <w:snapToGrid/>
              <w:spacing w:line="276" w:lineRule="auto"/>
              <w:ind w:left="31" w:leftChars="15" w:right="21" w:rightChars="1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）存在弄虚作假骗取中标、行贿情形的；</w:t>
            </w:r>
          </w:p>
          <w:p w14:paraId="644057B2">
            <w:pPr>
              <w:keepNext w:val="0"/>
              <w:keepLines w:val="0"/>
              <w:pageBreakBefore w:val="0"/>
              <w:widowControl w:val="0"/>
              <w:kinsoku/>
              <w:wordWrap/>
              <w:overflowPunct/>
              <w:topLinePunct w:val="0"/>
              <w:autoSpaceDE/>
              <w:autoSpaceDN/>
              <w:bidi w:val="0"/>
              <w:adjustRightInd/>
              <w:snapToGrid/>
              <w:spacing w:line="276" w:lineRule="auto"/>
              <w:ind w:left="31" w:leftChars="15" w:right="21" w:rightChars="1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）在中标工程中不执行质量、安全生产相关规定，造成质量或安全事故的；</w:t>
            </w:r>
          </w:p>
          <w:p w14:paraId="25723A40">
            <w:pPr>
              <w:keepNext w:val="0"/>
              <w:keepLines w:val="0"/>
              <w:pageBreakBefore w:val="0"/>
              <w:widowControl w:val="0"/>
              <w:kinsoku/>
              <w:wordWrap/>
              <w:overflowPunct/>
              <w:topLinePunct w:val="0"/>
              <w:autoSpaceDE/>
              <w:autoSpaceDN/>
              <w:bidi w:val="0"/>
              <w:adjustRightInd/>
              <w:snapToGrid/>
              <w:spacing w:line="276" w:lineRule="auto"/>
              <w:ind w:left="31" w:leftChars="15" w:right="21" w:rightChars="1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出让投标资格的</w:t>
            </w:r>
          </w:p>
          <w:p w14:paraId="0B87567E">
            <w:pPr>
              <w:keepNext w:val="0"/>
              <w:keepLines w:val="0"/>
              <w:pageBreakBefore w:val="0"/>
              <w:widowControl w:val="0"/>
              <w:kinsoku/>
              <w:wordWrap/>
              <w:overflowPunct/>
              <w:topLinePunct w:val="0"/>
              <w:autoSpaceDE/>
              <w:autoSpaceDN/>
              <w:bidi w:val="0"/>
              <w:adjustRightInd/>
              <w:snapToGrid/>
              <w:spacing w:line="276" w:lineRule="auto"/>
              <w:ind w:left="31" w:leftChars="15" w:right="21" w:rightChars="1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在投标文件中提供虚假材料的</w:t>
            </w:r>
          </w:p>
          <w:p w14:paraId="462AB53C">
            <w:pPr>
              <w:keepNext w:val="0"/>
              <w:keepLines w:val="0"/>
              <w:pageBreakBefore w:val="0"/>
              <w:widowControl w:val="0"/>
              <w:kinsoku/>
              <w:wordWrap/>
              <w:overflowPunct/>
              <w:topLinePunct w:val="0"/>
              <w:autoSpaceDE/>
              <w:autoSpaceDN/>
              <w:bidi w:val="0"/>
              <w:adjustRightInd/>
              <w:snapToGrid/>
              <w:spacing w:line="276" w:lineRule="auto"/>
              <w:ind w:left="31" w:leftChars="15" w:right="21" w:rightChars="1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存在少放、不放业绩、奖项等客观评审资料，减少自身竞争力情形的</w:t>
            </w:r>
          </w:p>
          <w:p w14:paraId="0A9B9A2E">
            <w:pPr>
              <w:keepNext w:val="0"/>
              <w:keepLines w:val="0"/>
              <w:pageBreakBefore w:val="0"/>
              <w:widowControl w:val="0"/>
              <w:kinsoku/>
              <w:wordWrap/>
              <w:overflowPunct/>
              <w:topLinePunct w:val="0"/>
              <w:autoSpaceDE/>
              <w:autoSpaceDN/>
              <w:bidi w:val="0"/>
              <w:adjustRightInd/>
              <w:snapToGrid/>
              <w:spacing w:line="276" w:lineRule="auto"/>
              <w:ind w:left="31" w:leftChars="15" w:right="21" w:rightChars="1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）由于承包人原因拖欠农民工工资的；</w:t>
            </w:r>
          </w:p>
          <w:p w14:paraId="7F002060">
            <w:pPr>
              <w:keepNext w:val="0"/>
              <w:keepLines w:val="0"/>
              <w:pageBreakBefore w:val="0"/>
              <w:widowControl w:val="0"/>
              <w:kinsoku/>
              <w:wordWrap/>
              <w:overflowPunct/>
              <w:topLinePunct w:val="0"/>
              <w:autoSpaceDE/>
              <w:autoSpaceDN/>
              <w:bidi w:val="0"/>
              <w:adjustRightInd/>
              <w:snapToGrid/>
              <w:spacing w:line="276" w:lineRule="auto"/>
              <w:ind w:left="31" w:leftChars="15" w:right="21" w:rightChars="1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）承包人因合同履行过错行为被生效法律文书认定承担违约或侵权责任的；</w:t>
            </w:r>
          </w:p>
          <w:p w14:paraId="493FD834">
            <w:pPr>
              <w:keepNext w:val="0"/>
              <w:keepLines w:val="0"/>
              <w:pageBreakBefore w:val="0"/>
              <w:widowControl w:val="0"/>
              <w:kinsoku/>
              <w:wordWrap/>
              <w:overflowPunct/>
              <w:topLinePunct w:val="0"/>
              <w:autoSpaceDE/>
              <w:autoSpaceDN/>
              <w:bidi w:val="0"/>
              <w:adjustRightInd/>
              <w:snapToGrid/>
              <w:spacing w:line="276" w:lineRule="auto"/>
              <w:ind w:left="31" w:leftChars="15" w:right="21" w:rightChars="1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）由于承包人原因提交竣工结算申请时间超过两年的；</w:t>
            </w:r>
          </w:p>
          <w:p w14:paraId="259F29E1">
            <w:pPr>
              <w:keepNext w:val="0"/>
              <w:keepLines w:val="0"/>
              <w:pageBreakBefore w:val="0"/>
              <w:widowControl w:val="0"/>
              <w:kinsoku/>
              <w:wordWrap/>
              <w:overflowPunct/>
              <w:topLinePunct w:val="0"/>
              <w:autoSpaceDE/>
              <w:autoSpaceDN/>
              <w:bidi w:val="0"/>
              <w:adjustRightInd/>
              <w:snapToGrid/>
              <w:spacing w:line="276" w:lineRule="auto"/>
              <w:ind w:left="31" w:leftChars="15" w:right="21" w:rightChars="1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）由于承包人原因未按合同约定工期完工超过两年的</w:t>
            </w:r>
            <w:r>
              <w:rPr>
                <w:rFonts w:hint="eastAsia" w:ascii="宋体" w:hAnsi="宋体" w:eastAsia="宋体" w:cs="宋体"/>
                <w:color w:val="auto"/>
                <w:sz w:val="21"/>
                <w:szCs w:val="21"/>
                <w:highlight w:val="none"/>
                <w:lang w:eastAsia="zh-CN"/>
              </w:rPr>
              <w:t>；</w:t>
            </w:r>
          </w:p>
          <w:p w14:paraId="3962C7E6">
            <w:pPr>
              <w:keepNext w:val="0"/>
              <w:keepLines w:val="0"/>
              <w:pageBreakBefore w:val="0"/>
              <w:widowControl w:val="0"/>
              <w:kinsoku/>
              <w:wordWrap/>
              <w:overflowPunct/>
              <w:topLinePunct w:val="0"/>
              <w:autoSpaceDE/>
              <w:autoSpaceDN/>
              <w:bidi w:val="0"/>
              <w:adjustRightInd/>
              <w:snapToGrid/>
              <w:spacing w:line="276" w:lineRule="auto"/>
              <w:ind w:left="31" w:leftChars="15" w:right="21" w:rightChars="1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承包人如出现更换项目负责人的情况，发包人有权视情况认为存在不诚信行为或不充分履约行为的。</w:t>
            </w:r>
          </w:p>
        </w:tc>
      </w:tr>
      <w:tr w14:paraId="4F87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 w:hRule="exact"/>
        </w:trPr>
        <w:tc>
          <w:tcPr>
            <w:tcW w:w="787" w:type="dxa"/>
            <w:vAlign w:val="center"/>
          </w:tcPr>
          <w:p w14:paraId="2CB5EAA0">
            <w:pPr>
              <w:spacing w:line="276"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10.3</w:t>
            </w:r>
          </w:p>
        </w:tc>
        <w:tc>
          <w:tcPr>
            <w:tcW w:w="2441" w:type="dxa"/>
            <w:vAlign w:val="center"/>
          </w:tcPr>
          <w:p w14:paraId="7D632119">
            <w:pPr>
              <w:spacing w:line="276" w:lineRule="auto"/>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送达</w:t>
            </w:r>
          </w:p>
        </w:tc>
        <w:tc>
          <w:tcPr>
            <w:tcW w:w="5871" w:type="dxa"/>
            <w:vAlign w:val="center"/>
          </w:tcPr>
          <w:p w14:paraId="2C2AED15">
            <w:pPr>
              <w:keepNext w:val="0"/>
              <w:keepLines w:val="0"/>
              <w:pageBreakBefore w:val="0"/>
              <w:widowControl w:val="0"/>
              <w:kinsoku/>
              <w:wordWrap/>
              <w:overflowPunct/>
              <w:topLinePunct w:val="0"/>
              <w:autoSpaceDE/>
              <w:autoSpaceDN/>
              <w:bidi w:val="0"/>
              <w:adjustRightInd/>
              <w:snapToGrid/>
              <w:spacing w:line="276" w:lineRule="auto"/>
              <w:ind w:left="31" w:leftChars="15" w:right="21" w:rightChars="1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lang w:eastAsia="zh-CN"/>
              </w:rPr>
              <w:t>《投诉处理决定书》和《行政处理决定书》在广州市住房和城乡建设局网站上公布的，视为送达其他与决定书有关的当事人。</w:t>
            </w:r>
          </w:p>
        </w:tc>
      </w:tr>
      <w:tr w14:paraId="0A0B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exact"/>
        </w:trPr>
        <w:tc>
          <w:tcPr>
            <w:tcW w:w="787" w:type="dxa"/>
            <w:vAlign w:val="center"/>
          </w:tcPr>
          <w:p w14:paraId="40F29C9E">
            <w:pPr>
              <w:spacing w:line="276"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4</w:t>
            </w:r>
          </w:p>
        </w:tc>
        <w:tc>
          <w:tcPr>
            <w:tcW w:w="2441" w:type="dxa"/>
            <w:vAlign w:val="center"/>
          </w:tcPr>
          <w:p w14:paraId="387C7667">
            <w:pPr>
              <w:spacing w:line="276"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招标失败的情形</w:t>
            </w:r>
          </w:p>
        </w:tc>
        <w:tc>
          <w:tcPr>
            <w:tcW w:w="5871" w:type="dxa"/>
            <w:vAlign w:val="center"/>
          </w:tcPr>
          <w:p w14:paraId="22B3C4E7">
            <w:pPr>
              <w:keepNext w:val="0"/>
              <w:keepLines w:val="0"/>
              <w:pageBreakBefore w:val="0"/>
              <w:widowControl w:val="0"/>
              <w:kinsoku/>
              <w:wordWrap/>
              <w:overflowPunct/>
              <w:bidi w:val="0"/>
              <w:spacing w:line="276" w:lineRule="auto"/>
              <w:ind w:left="31" w:leftChars="15" w:right="21" w:rightChars="1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本项目采用资格后审方式，满足资格审查合格条件或通过初步评审的投标申请人不足3名时为招标失败。招标人分析招标失败原因，修正招标方案，报有关管理部门核准后，重新组织招标。</w:t>
            </w:r>
          </w:p>
        </w:tc>
      </w:tr>
      <w:tr w14:paraId="2843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5" w:hRule="exact"/>
        </w:trPr>
        <w:tc>
          <w:tcPr>
            <w:tcW w:w="787" w:type="dxa"/>
            <w:vAlign w:val="center"/>
          </w:tcPr>
          <w:p w14:paraId="37C5A81E">
            <w:pPr>
              <w:spacing w:line="276"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5</w:t>
            </w:r>
          </w:p>
        </w:tc>
        <w:tc>
          <w:tcPr>
            <w:tcW w:w="2441" w:type="dxa"/>
            <w:vAlign w:val="center"/>
          </w:tcPr>
          <w:p w14:paraId="6C0105F7">
            <w:pPr>
              <w:spacing w:line="276"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招标人拒绝接收其投标文件情况</w:t>
            </w:r>
          </w:p>
        </w:tc>
        <w:tc>
          <w:tcPr>
            <w:tcW w:w="5871" w:type="dxa"/>
            <w:vAlign w:val="center"/>
          </w:tcPr>
          <w:p w14:paraId="493522B7">
            <w:pPr>
              <w:keepNext w:val="0"/>
              <w:keepLines w:val="0"/>
              <w:pageBreakBefore w:val="0"/>
              <w:widowControl w:val="0"/>
              <w:kinsoku/>
              <w:wordWrap/>
              <w:overflowPunct/>
              <w:bidi w:val="0"/>
              <w:spacing w:line="276" w:lineRule="auto"/>
              <w:ind w:left="31" w:leftChars="15" w:right="21" w:rightChars="1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招标人在本须知前附表第4.2.1项规定的投标截止时间以后收到的及不按照招标文件要求密封的投标文件将被拒绝并退回给投标人。</w:t>
            </w:r>
          </w:p>
        </w:tc>
      </w:tr>
      <w:tr w14:paraId="6E67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5" w:hRule="exact"/>
        </w:trPr>
        <w:tc>
          <w:tcPr>
            <w:tcW w:w="787" w:type="dxa"/>
            <w:vAlign w:val="center"/>
          </w:tcPr>
          <w:p w14:paraId="309B8A30">
            <w:pPr>
              <w:spacing w:line="276"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10.6</w:t>
            </w:r>
          </w:p>
        </w:tc>
        <w:tc>
          <w:tcPr>
            <w:tcW w:w="2441" w:type="dxa"/>
            <w:vAlign w:val="center"/>
          </w:tcPr>
          <w:p w14:paraId="4E6A4DA5">
            <w:pPr>
              <w:spacing w:line="276" w:lineRule="auto"/>
              <w:jc w:val="center"/>
              <w:rPr>
                <w:rFonts w:hint="eastAsia" w:ascii="宋体" w:hAnsi="宋体" w:cs="宋体"/>
                <w:color w:val="auto"/>
                <w:szCs w:val="21"/>
                <w:highlight w:val="none"/>
                <w:u w:val="single"/>
              </w:rPr>
            </w:pPr>
            <w:r>
              <w:rPr>
                <w:rFonts w:hint="eastAsia" w:ascii="宋体" w:hAnsi="宋体" w:eastAsia="宋体" w:cs="宋体"/>
                <w:color w:val="auto"/>
                <w:sz w:val="21"/>
                <w:szCs w:val="21"/>
                <w:highlight w:val="none"/>
                <w:u w:val="single"/>
              </w:rPr>
              <w:t>投标文件公开</w:t>
            </w:r>
          </w:p>
        </w:tc>
        <w:tc>
          <w:tcPr>
            <w:tcW w:w="5871" w:type="dxa"/>
            <w:vAlign w:val="center"/>
          </w:tcPr>
          <w:p w14:paraId="43D173EA">
            <w:pPr>
              <w:keepNext w:val="0"/>
              <w:keepLines w:val="0"/>
              <w:pageBreakBefore w:val="0"/>
              <w:widowControl w:val="0"/>
              <w:kinsoku/>
              <w:wordWrap/>
              <w:overflowPunct/>
              <w:bidi w:val="0"/>
              <w:spacing w:line="276" w:lineRule="auto"/>
              <w:ind w:left="31" w:leftChars="15" w:right="21" w:rightChars="10"/>
              <w:textAlignment w:val="auto"/>
              <w:rPr>
                <w:rFonts w:hint="eastAsia" w:ascii="宋体" w:hAnsi="宋体" w:cs="宋体"/>
                <w:color w:val="auto"/>
                <w:szCs w:val="21"/>
                <w:highlight w:val="none"/>
                <w:u w:val="single"/>
              </w:rPr>
            </w:pPr>
            <w:r>
              <w:rPr>
                <w:rFonts w:hint="eastAsia" w:ascii="宋体" w:hAnsi="宋体" w:eastAsia="宋体" w:cs="宋体"/>
                <w:color w:val="auto"/>
                <w:spacing w:val="-2"/>
                <w:sz w:val="21"/>
                <w:szCs w:val="21"/>
                <w:highlight w:val="none"/>
                <w:u w:val="single"/>
                <w:lang w:eastAsia="zh-CN"/>
              </w:rPr>
              <w:t>在产生中标候选人后，招标人将中标候选人的投标文件商务部分的电子版（报价清单、方案等涉及商业秘密的内容除外）在广州交易集团有限公司（广州公共资源交易中心）网</w:t>
            </w:r>
            <w:r>
              <w:rPr>
                <w:rFonts w:hint="eastAsia" w:ascii="宋体" w:hAnsi="宋体" w:eastAsia="宋体" w:cs="宋体"/>
                <w:color w:val="auto"/>
                <w:spacing w:val="-2"/>
                <w:sz w:val="21"/>
                <w:szCs w:val="21"/>
                <w:highlight w:val="none"/>
                <w:u w:val="single"/>
                <w:lang w:val="en-US" w:eastAsia="zh-CN"/>
              </w:rPr>
              <w:t>站、广东省招标投标监管网</w:t>
            </w:r>
            <w:r>
              <w:rPr>
                <w:rFonts w:hint="eastAsia" w:ascii="宋体" w:hAnsi="宋体" w:eastAsia="宋体" w:cs="宋体"/>
                <w:color w:val="auto"/>
                <w:spacing w:val="-2"/>
                <w:sz w:val="21"/>
                <w:szCs w:val="21"/>
                <w:highlight w:val="none"/>
                <w:u w:val="single"/>
                <w:lang w:eastAsia="zh-CN"/>
              </w:rPr>
              <w:t>公开。</w:t>
            </w:r>
          </w:p>
        </w:tc>
      </w:tr>
      <w:tr w14:paraId="17A2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3" w:hRule="exact"/>
        </w:trPr>
        <w:tc>
          <w:tcPr>
            <w:tcW w:w="787" w:type="dxa"/>
            <w:vAlign w:val="center"/>
          </w:tcPr>
          <w:p w14:paraId="2DF40092">
            <w:pPr>
              <w:autoSpaceDE w:val="0"/>
              <w:autoSpaceDN w:val="0"/>
              <w:adjustRightInd w:val="0"/>
              <w:spacing w:before="4"/>
              <w:ind w:right="13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7</w:t>
            </w:r>
          </w:p>
        </w:tc>
        <w:tc>
          <w:tcPr>
            <w:tcW w:w="2441" w:type="dxa"/>
            <w:vAlign w:val="center"/>
          </w:tcPr>
          <w:p w14:paraId="27274E55">
            <w:pPr>
              <w:autoSpaceDE w:val="0"/>
              <w:autoSpaceDN w:val="0"/>
              <w:adjustRightInd w:val="0"/>
              <w:spacing w:before="48"/>
              <w:ind w:right="354"/>
              <w:jc w:val="center"/>
              <w:rPr>
                <w:rFonts w:ascii="宋体" w:hAnsi="宋体" w:cs="宋体"/>
                <w:color w:val="auto"/>
                <w:szCs w:val="21"/>
                <w:highlight w:val="none"/>
              </w:rPr>
            </w:pPr>
            <w:r>
              <w:rPr>
                <w:rFonts w:hint="eastAsia" w:ascii="宋体" w:hAnsi="宋体" w:cs="宋体"/>
                <w:color w:val="auto"/>
                <w:szCs w:val="21"/>
                <w:highlight w:val="none"/>
                <w:u w:val="single"/>
              </w:rPr>
              <w:t>否决投标</w:t>
            </w:r>
          </w:p>
        </w:tc>
        <w:tc>
          <w:tcPr>
            <w:tcW w:w="5871" w:type="dxa"/>
            <w:vAlign w:val="center"/>
          </w:tcPr>
          <w:p w14:paraId="1D265B0D">
            <w:pPr>
              <w:keepNext w:val="0"/>
              <w:keepLines w:val="0"/>
              <w:pageBreakBefore w:val="0"/>
              <w:widowControl w:val="0"/>
              <w:kinsoku/>
              <w:wordWrap/>
              <w:overflowPunct/>
              <w:bidi w:val="0"/>
              <w:ind w:left="31" w:leftChars="15" w:right="21" w:rightChars="1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10.</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.1投标人有下列情况之一的，评标委员会应当否决其投标：</w:t>
            </w:r>
          </w:p>
          <w:p w14:paraId="6D2F2FE6">
            <w:pPr>
              <w:keepNext w:val="0"/>
              <w:keepLines w:val="0"/>
              <w:pageBreakBefore w:val="0"/>
              <w:widowControl w:val="0"/>
              <w:kinsoku/>
              <w:wordWrap/>
              <w:overflowPunct/>
              <w:bidi w:val="0"/>
              <w:ind w:left="31" w:leftChars="15" w:right="21" w:rightChars="10"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(a) 投标人与招标人、评标委员会成员或者其他投标人串通投标；</w:t>
            </w:r>
          </w:p>
          <w:p w14:paraId="21EC1FC8">
            <w:pPr>
              <w:keepNext w:val="0"/>
              <w:keepLines w:val="0"/>
              <w:pageBreakBefore w:val="0"/>
              <w:widowControl w:val="0"/>
              <w:kinsoku/>
              <w:wordWrap/>
              <w:overflowPunct/>
              <w:bidi w:val="0"/>
              <w:ind w:left="31" w:leftChars="15" w:right="21" w:rightChars="10"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(b) 在投标截止期后逾期或未在广州交易集团有限公司（广州公共资源交易中心）交易平台（http://www.gzggzy.cn）递交电子投标文件的，电子招标投标交易平台将拒绝接收其投标文件。</w:t>
            </w:r>
          </w:p>
          <w:p w14:paraId="0F298330">
            <w:pPr>
              <w:keepNext w:val="0"/>
              <w:keepLines w:val="0"/>
              <w:pageBreakBefore w:val="0"/>
              <w:widowControl w:val="0"/>
              <w:kinsoku/>
              <w:wordWrap/>
              <w:overflowPunct/>
              <w:bidi w:val="0"/>
              <w:ind w:left="31" w:leftChars="15" w:right="21" w:rightChars="1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10.</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.2投标书有下列情况之一的，评标委员会应当否决其投标：</w:t>
            </w:r>
          </w:p>
          <w:p w14:paraId="0D27A71B">
            <w:pPr>
              <w:keepNext w:val="0"/>
              <w:keepLines w:val="0"/>
              <w:pageBreakBefore w:val="0"/>
              <w:widowControl w:val="0"/>
              <w:kinsoku/>
              <w:wordWrap/>
              <w:overflowPunct/>
              <w:bidi w:val="0"/>
              <w:ind w:left="31" w:leftChars="15" w:right="21" w:rightChars="10"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(a)《投标书》未加盖投标人印章，也未经法定代表人或者其授权代表签字或签章；</w:t>
            </w:r>
          </w:p>
          <w:p w14:paraId="522DF8AF">
            <w:pPr>
              <w:keepNext w:val="0"/>
              <w:keepLines w:val="0"/>
              <w:pageBreakBefore w:val="0"/>
              <w:widowControl w:val="0"/>
              <w:kinsoku/>
              <w:wordWrap/>
              <w:overflowPunct/>
              <w:bidi w:val="0"/>
              <w:ind w:left="31" w:leftChars="15" w:right="21" w:rightChars="10"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(b)《投标书》包含有招标人不能接受的偏差，并且投标人拒绝书面撤回偏差。</w:t>
            </w:r>
          </w:p>
          <w:p w14:paraId="7D1AD6AD">
            <w:pPr>
              <w:keepNext w:val="0"/>
              <w:keepLines w:val="0"/>
              <w:pageBreakBefore w:val="0"/>
              <w:widowControl w:val="0"/>
              <w:kinsoku/>
              <w:wordWrap/>
              <w:overflowPunct/>
              <w:bidi w:val="0"/>
              <w:ind w:left="31" w:leftChars="15" w:right="21" w:rightChars="1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10.</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.3投标文件有下列情况之一的，评标委员会应当否决其投标：</w:t>
            </w:r>
          </w:p>
          <w:p w14:paraId="68322474">
            <w:pPr>
              <w:keepNext w:val="0"/>
              <w:keepLines w:val="0"/>
              <w:pageBreakBefore w:val="0"/>
              <w:widowControl w:val="0"/>
              <w:kinsoku/>
              <w:wordWrap/>
              <w:overflowPunct/>
              <w:bidi w:val="0"/>
              <w:ind w:left="31" w:leftChars="15" w:right="21" w:rightChars="10"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（a）有互相雷同的现象和串通投标的嫌疑；</w:t>
            </w:r>
          </w:p>
          <w:p w14:paraId="71043BE2">
            <w:pPr>
              <w:keepNext w:val="0"/>
              <w:keepLines w:val="0"/>
              <w:pageBreakBefore w:val="0"/>
              <w:widowControl w:val="0"/>
              <w:kinsoku/>
              <w:wordWrap/>
              <w:overflowPunct/>
              <w:bidi w:val="0"/>
              <w:ind w:left="31" w:leftChars="15" w:right="21" w:rightChars="10"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（b）</w:t>
            </w:r>
            <w:r>
              <w:rPr>
                <w:rFonts w:hint="eastAsia" w:ascii="宋体" w:hAnsi="宋体" w:eastAsia="宋体" w:cs="宋体"/>
                <w:color w:val="auto"/>
                <w:szCs w:val="21"/>
                <w:highlight w:val="none"/>
                <w:u w:val="single"/>
                <w:lang w:eastAsia="zh-CN"/>
              </w:rPr>
              <w:t>投标报价高于最高投标限价总价、各分项限价及投标单价限价的</w:t>
            </w:r>
            <w:r>
              <w:rPr>
                <w:rFonts w:hint="eastAsia" w:ascii="宋体" w:hAnsi="宋体" w:eastAsia="宋体" w:cs="宋体"/>
                <w:color w:val="auto"/>
                <w:szCs w:val="21"/>
                <w:highlight w:val="none"/>
                <w:u w:val="single"/>
              </w:rPr>
              <w:t>。</w:t>
            </w:r>
          </w:p>
          <w:p w14:paraId="216C164D">
            <w:pPr>
              <w:keepNext w:val="0"/>
              <w:keepLines w:val="0"/>
              <w:pageBreakBefore w:val="0"/>
              <w:widowControl w:val="0"/>
              <w:kinsoku/>
              <w:wordWrap/>
              <w:overflowPunct/>
              <w:bidi w:val="0"/>
              <w:ind w:left="31" w:leftChars="15" w:right="21" w:rightChars="1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10.</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.4投标文件如果隐瞒不符合评审标准的事实，一切法律责任由投标人承担。</w:t>
            </w:r>
          </w:p>
          <w:p w14:paraId="22821618">
            <w:pPr>
              <w:keepNext w:val="0"/>
              <w:keepLines w:val="0"/>
              <w:pageBreakBefore w:val="0"/>
              <w:widowControl w:val="0"/>
              <w:kinsoku/>
              <w:wordWrap/>
              <w:overflowPunct/>
              <w:bidi w:val="0"/>
              <w:ind w:left="31" w:leftChars="15" w:right="21" w:rightChars="1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10.</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.5资格审查</w:t>
            </w:r>
          </w:p>
          <w:p w14:paraId="195D1883">
            <w:pPr>
              <w:keepNext w:val="0"/>
              <w:keepLines w:val="0"/>
              <w:pageBreakBefore w:val="0"/>
              <w:widowControl w:val="0"/>
              <w:kinsoku/>
              <w:wordWrap/>
              <w:overflowPunct/>
              <w:bidi w:val="0"/>
              <w:ind w:left="31" w:leftChars="15" w:right="21" w:rightChars="10"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（a）投标人的资格条件不满足招标公告第3条“投标人资格要求”所列的条件，则由评标委员会否决其投标，不予通过资格审查；（资格审查详见《评标办法前附表》）；</w:t>
            </w:r>
          </w:p>
          <w:p w14:paraId="3EC758A2">
            <w:pPr>
              <w:keepNext w:val="0"/>
              <w:keepLines w:val="0"/>
              <w:pageBreakBefore w:val="0"/>
              <w:widowControl w:val="0"/>
              <w:kinsoku/>
              <w:wordWrap/>
              <w:overflowPunct/>
              <w:bidi w:val="0"/>
              <w:ind w:left="31" w:leftChars="15" w:right="21" w:rightChars="1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u w:val="single"/>
              </w:rPr>
              <w:t>（b）</w:t>
            </w:r>
            <w:r>
              <w:rPr>
                <w:rFonts w:hint="eastAsia" w:ascii="宋体" w:hAnsi="宋体" w:cs="宋体"/>
                <w:color w:val="auto"/>
                <w:szCs w:val="21"/>
                <w:highlight w:val="none"/>
                <w:u w:val="single"/>
                <w:lang w:bidi="ar"/>
              </w:rPr>
              <w:t>满足资格审查合格条件或通过初步评审的投标人不足3名时为招标失败</w:t>
            </w:r>
            <w:r>
              <w:rPr>
                <w:rFonts w:hint="eastAsia" w:ascii="宋体" w:hAnsi="宋体" w:cs="宋体"/>
                <w:color w:val="auto"/>
                <w:szCs w:val="21"/>
                <w:highlight w:val="none"/>
                <w:u w:val="single"/>
              </w:rPr>
              <w:t>，招标人应该依法重新组织招标。</w:t>
            </w:r>
          </w:p>
        </w:tc>
      </w:tr>
      <w:tr w14:paraId="4900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2" w:hRule="exact"/>
        </w:trPr>
        <w:tc>
          <w:tcPr>
            <w:tcW w:w="787" w:type="dxa"/>
            <w:vAlign w:val="center"/>
          </w:tcPr>
          <w:p w14:paraId="6E4BEA94">
            <w:pPr>
              <w:autoSpaceDE w:val="0"/>
              <w:autoSpaceDN w:val="0"/>
              <w:adjustRightInd w:val="0"/>
              <w:spacing w:before="4" w:line="276" w:lineRule="auto"/>
              <w:ind w:right="13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8</w:t>
            </w:r>
          </w:p>
        </w:tc>
        <w:tc>
          <w:tcPr>
            <w:tcW w:w="2441" w:type="dxa"/>
            <w:vAlign w:val="center"/>
          </w:tcPr>
          <w:p w14:paraId="4411ABA4">
            <w:pPr>
              <w:spacing w:line="276" w:lineRule="auto"/>
              <w:ind w:left="40" w:leftChars="19" w:right="107" w:rightChars="51"/>
              <w:jc w:val="center"/>
              <w:rPr>
                <w:rFonts w:ascii="宋体" w:hAnsi="宋体" w:cs="宋体"/>
                <w:color w:val="auto"/>
                <w:szCs w:val="21"/>
                <w:highlight w:val="none"/>
              </w:rPr>
            </w:pPr>
            <w:r>
              <w:rPr>
                <w:rFonts w:hint="eastAsia" w:ascii="宋体" w:hAnsi="宋体" w:cs="宋体"/>
                <w:color w:val="auto"/>
                <w:szCs w:val="21"/>
                <w:highlight w:val="none"/>
                <w:u w:val="single"/>
              </w:rPr>
              <w:t>投标文件份数</w:t>
            </w:r>
          </w:p>
        </w:tc>
        <w:tc>
          <w:tcPr>
            <w:tcW w:w="5871" w:type="dxa"/>
            <w:vAlign w:val="center"/>
          </w:tcPr>
          <w:p w14:paraId="6A4CE648">
            <w:pPr>
              <w:keepNext w:val="0"/>
              <w:keepLines w:val="0"/>
              <w:pageBreakBefore w:val="0"/>
              <w:widowControl w:val="0"/>
              <w:kinsoku/>
              <w:wordWrap/>
              <w:overflowPunct/>
              <w:bidi w:val="0"/>
              <w:spacing w:line="276" w:lineRule="auto"/>
              <w:ind w:left="31" w:leftChars="15" w:right="21" w:rightChars="10"/>
              <w:textAlignment w:val="auto"/>
              <w:rPr>
                <w:rFonts w:ascii="宋体" w:hAnsi="宋体" w:cs="宋体"/>
                <w:color w:val="auto"/>
                <w:szCs w:val="21"/>
                <w:highlight w:val="none"/>
              </w:rPr>
            </w:pPr>
            <w:r>
              <w:rPr>
                <w:rFonts w:hint="eastAsia" w:ascii="宋体" w:hAnsi="宋体" w:cs="宋体"/>
                <w:color w:val="auto"/>
                <w:szCs w:val="21"/>
                <w:highlight w:val="none"/>
                <w:u w:val="single"/>
              </w:rPr>
              <w:t>领取中标通知书后，签订合同签前，中标人须向招标人提供独立装订成册的纸质投标文件一</w:t>
            </w:r>
            <w:r>
              <w:rPr>
                <w:rFonts w:hint="eastAsia" w:ascii="宋体" w:hAnsi="宋体" w:cs="宋体"/>
                <w:color w:val="auto"/>
                <w:szCs w:val="21"/>
                <w:highlight w:val="none"/>
                <w:u w:val="single"/>
                <w:lang w:val="en-US" w:eastAsia="zh-CN"/>
              </w:rPr>
              <w:t>正</w:t>
            </w:r>
            <w:r>
              <w:rPr>
                <w:rFonts w:hint="eastAsia" w:ascii="宋体" w:hAnsi="宋体" w:cs="宋体"/>
                <w:color w:val="auto"/>
                <w:szCs w:val="21"/>
                <w:highlight w:val="none"/>
                <w:u w:val="single"/>
              </w:rPr>
              <w:t>三</w:t>
            </w:r>
            <w:r>
              <w:rPr>
                <w:rFonts w:hint="eastAsia" w:ascii="宋体" w:hAnsi="宋体" w:cs="宋体"/>
                <w:color w:val="auto"/>
                <w:szCs w:val="21"/>
                <w:highlight w:val="none"/>
                <w:u w:val="single"/>
                <w:lang w:val="en-US" w:eastAsia="zh-CN"/>
              </w:rPr>
              <w:t>副（</w:t>
            </w:r>
            <w:r>
              <w:rPr>
                <w:rFonts w:ascii="宋体" w:hAnsi="宋体" w:eastAsia="宋体" w:cs="宋体"/>
                <w:color w:val="auto"/>
                <w:sz w:val="21"/>
                <w:szCs w:val="21"/>
                <w:highlight w:val="none"/>
                <w:u w:val="single"/>
                <w:lang w:eastAsia="zh-CN"/>
              </w:rPr>
              <w:t>加盖公章</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u w:val="single"/>
              </w:rPr>
              <w:t>，纸质投标文件内容须与投标时提交的电子投标文件内容一致。</w:t>
            </w:r>
          </w:p>
        </w:tc>
      </w:tr>
      <w:tr w14:paraId="4F4D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exact"/>
        </w:trPr>
        <w:tc>
          <w:tcPr>
            <w:tcW w:w="787" w:type="dxa"/>
            <w:vAlign w:val="center"/>
          </w:tcPr>
          <w:p w14:paraId="38A0FDC7">
            <w:pPr>
              <w:autoSpaceDE w:val="0"/>
              <w:autoSpaceDN w:val="0"/>
              <w:adjustRightInd w:val="0"/>
              <w:spacing w:before="4" w:line="276" w:lineRule="auto"/>
              <w:ind w:right="13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10.9</w:t>
            </w:r>
          </w:p>
        </w:tc>
        <w:tc>
          <w:tcPr>
            <w:tcW w:w="2441" w:type="dxa"/>
            <w:vAlign w:val="center"/>
          </w:tcPr>
          <w:p w14:paraId="1C3B225D">
            <w:pPr>
              <w:spacing w:line="276" w:lineRule="auto"/>
              <w:ind w:left="40" w:leftChars="19" w:right="107" w:rightChars="51"/>
              <w:jc w:val="center"/>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其他</w:t>
            </w:r>
          </w:p>
        </w:tc>
        <w:tc>
          <w:tcPr>
            <w:tcW w:w="5871" w:type="dxa"/>
            <w:vAlign w:val="center"/>
          </w:tcPr>
          <w:p w14:paraId="6BA8BA35">
            <w:pPr>
              <w:keepNext w:val="0"/>
              <w:keepLines w:val="0"/>
              <w:pageBreakBefore w:val="0"/>
              <w:widowControl w:val="0"/>
              <w:kinsoku/>
              <w:wordWrap/>
              <w:overflowPunct/>
              <w:bidi w:val="0"/>
              <w:ind w:left="31" w:leftChars="15" w:right="21" w:rightChars="10"/>
              <w:textAlignment w:val="auto"/>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w:t>
            </w:r>
            <w:r>
              <w:rPr>
                <w:rFonts w:ascii="宋体" w:hAnsi="宋体" w:eastAsia="宋体" w:cs="宋体"/>
                <w:color w:val="auto"/>
                <w:sz w:val="21"/>
                <w:szCs w:val="21"/>
                <w:highlight w:val="none"/>
                <w:u w:val="single"/>
                <w:lang w:eastAsia="zh-CN"/>
              </w:rPr>
              <w:t>1）交易服务费：中标人代缴广州交易集团有限公司交易服务费，由广州交易集团有限公司向中标人开具增值税发票，其费用在承包人第一次请款时一并申请。</w:t>
            </w:r>
          </w:p>
          <w:p w14:paraId="182B5B81">
            <w:pPr>
              <w:keepNext w:val="0"/>
              <w:keepLines w:val="0"/>
              <w:pageBreakBefore w:val="0"/>
              <w:widowControl w:val="0"/>
              <w:kinsoku/>
              <w:wordWrap/>
              <w:overflowPunct/>
              <w:bidi w:val="0"/>
              <w:spacing w:line="276" w:lineRule="auto"/>
              <w:ind w:left="31" w:leftChars="15" w:right="21" w:rightChars="10"/>
              <w:textAlignment w:val="auto"/>
              <w:rPr>
                <w:rFonts w:hint="eastAsia" w:ascii="宋体" w:hAnsi="宋体" w:cs="宋体"/>
                <w:color w:val="auto"/>
                <w:szCs w:val="21"/>
                <w:highlight w:val="none"/>
                <w:u w:val="single"/>
              </w:rPr>
            </w:pPr>
            <w:r>
              <w:rPr>
                <w:rFonts w:hint="eastAsia" w:ascii="宋体" w:hAnsi="宋体" w:eastAsia="宋体" w:cs="宋体"/>
                <w:color w:val="auto"/>
                <w:sz w:val="21"/>
                <w:szCs w:val="21"/>
                <w:highlight w:val="none"/>
                <w:u w:val="single"/>
                <w:lang w:eastAsia="zh-CN"/>
              </w:rPr>
              <w:t>（</w:t>
            </w:r>
            <w:r>
              <w:rPr>
                <w:rFonts w:ascii="宋体" w:hAnsi="宋体" w:eastAsia="宋体" w:cs="宋体"/>
                <w:color w:val="auto"/>
                <w:sz w:val="21"/>
                <w:szCs w:val="21"/>
                <w:highlight w:val="none"/>
                <w:u w:val="single"/>
                <w:lang w:eastAsia="zh-CN"/>
              </w:rPr>
              <w:t>2）招标代理费：由招标人支付给招标代理。</w:t>
            </w:r>
          </w:p>
        </w:tc>
      </w:tr>
    </w:tbl>
    <w:p w14:paraId="7895D09B">
      <w:pPr>
        <w:spacing w:line="443" w:lineRule="exact"/>
        <w:ind w:right="44"/>
        <w:rPr>
          <w:color w:val="auto"/>
          <w:highlight w:val="none"/>
        </w:rPr>
      </w:pPr>
    </w:p>
    <w:p w14:paraId="44316EA6">
      <w:pPr>
        <w:spacing w:line="360" w:lineRule="auto"/>
        <w:rPr>
          <w:rFonts w:ascii="宋体" w:hAnsi="宋体"/>
          <w:color w:val="auto"/>
          <w:sz w:val="24"/>
          <w:szCs w:val="24"/>
          <w:highlight w:val="none"/>
        </w:rPr>
      </w:pPr>
      <w:r>
        <w:rPr>
          <w:rFonts w:ascii="宋体" w:hAnsi="宋体"/>
          <w:color w:val="auto"/>
          <w:highlight w:val="none"/>
        </w:rPr>
        <w:br w:type="page"/>
      </w:r>
    </w:p>
    <w:p w14:paraId="56470331">
      <w:pPr>
        <w:pStyle w:val="4"/>
        <w:spacing w:line="276" w:lineRule="auto"/>
        <w:ind w:right="44"/>
        <w:rPr>
          <w:rFonts w:ascii="宋体" w:hAnsi="宋体"/>
          <w:b w:val="0"/>
          <w:color w:val="auto"/>
          <w:sz w:val="24"/>
          <w:szCs w:val="24"/>
          <w:highlight w:val="none"/>
        </w:rPr>
      </w:pPr>
      <w:bookmarkStart w:id="5" w:name="_Toc27978"/>
      <w:r>
        <w:rPr>
          <w:rFonts w:ascii="宋体" w:hAnsi="宋体"/>
          <w:b w:val="0"/>
          <w:color w:val="auto"/>
          <w:highlight w:val="none"/>
        </w:rPr>
        <w:t>1. 总则</w:t>
      </w:r>
      <w:bookmarkEnd w:id="5"/>
    </w:p>
    <w:p w14:paraId="7F56BC92">
      <w:pPr>
        <w:pStyle w:val="5"/>
        <w:spacing w:line="276" w:lineRule="auto"/>
        <w:ind w:right="44"/>
        <w:rPr>
          <w:b w:val="0"/>
          <w:color w:val="auto"/>
          <w:sz w:val="24"/>
          <w:szCs w:val="24"/>
          <w:highlight w:val="none"/>
        </w:rPr>
      </w:pPr>
      <w:r>
        <w:rPr>
          <w:b w:val="0"/>
          <w:color w:val="auto"/>
          <w:highlight w:val="none"/>
        </w:rPr>
        <w:t>1.1招标项目概况</w:t>
      </w:r>
    </w:p>
    <w:p w14:paraId="7D582212">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1.1.1</w:t>
      </w:r>
      <w:r>
        <w:rPr>
          <w:color w:val="auto"/>
          <w:spacing w:val="-8"/>
          <w:sz w:val="24"/>
          <w:szCs w:val="24"/>
          <w:highlight w:val="none"/>
          <w:lang w:eastAsia="zh-CN"/>
        </w:rPr>
        <w:t>根据《中华人民共和国招标投标法》、《中华人民共和国招标投标法实施条例》等有关</w:t>
      </w:r>
      <w:r>
        <w:rPr>
          <w:color w:val="auto"/>
          <w:sz w:val="24"/>
          <w:szCs w:val="24"/>
          <w:highlight w:val="none"/>
          <w:lang w:eastAsia="zh-CN"/>
        </w:rPr>
        <w:t>法律、法规和规章的规定，本招标项目已具备招标条件，现对</w:t>
      </w:r>
      <w:r>
        <w:rPr>
          <w:rFonts w:hint="eastAsia"/>
          <w:color w:val="auto"/>
          <w:sz w:val="24"/>
          <w:szCs w:val="24"/>
          <w:highlight w:val="none"/>
          <w:u w:val="single"/>
          <w:lang w:eastAsia="zh-CN"/>
        </w:rPr>
        <w:t>本项目设计</w:t>
      </w:r>
      <w:r>
        <w:rPr>
          <w:color w:val="auto"/>
          <w:sz w:val="24"/>
          <w:szCs w:val="24"/>
          <w:highlight w:val="none"/>
          <w:lang w:eastAsia="zh-CN"/>
        </w:rPr>
        <w:t>进行招标。</w:t>
      </w:r>
    </w:p>
    <w:p w14:paraId="1815C080">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1.1.2招标人：见投标人须知前附表。</w:t>
      </w:r>
    </w:p>
    <w:p w14:paraId="192B6600">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1.1.3招标代理机构：见投标人须知前附表。</w:t>
      </w:r>
    </w:p>
    <w:p w14:paraId="297A5939">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1.1.4招标项目名称：见投标人须知前附表。</w:t>
      </w:r>
    </w:p>
    <w:p w14:paraId="47AB5CF9">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1.1.5项目建设地点：见投标人须知前附表。</w:t>
      </w:r>
    </w:p>
    <w:p w14:paraId="27526A70">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1.1.6项目建设规模：见投标人须知前附表。</w:t>
      </w:r>
    </w:p>
    <w:p w14:paraId="418C3061">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1.1.7项目投资估算：见投标人须知前附表。</w:t>
      </w:r>
    </w:p>
    <w:p w14:paraId="19EEEAFC">
      <w:pPr>
        <w:spacing w:line="276" w:lineRule="auto"/>
        <w:rPr>
          <w:rFonts w:ascii="宋体" w:hAnsi="宋体"/>
          <w:color w:val="auto"/>
          <w:sz w:val="24"/>
          <w:szCs w:val="24"/>
          <w:highlight w:val="none"/>
        </w:rPr>
      </w:pPr>
    </w:p>
    <w:p w14:paraId="4782FDD0">
      <w:pPr>
        <w:pStyle w:val="5"/>
        <w:spacing w:line="360" w:lineRule="auto"/>
        <w:ind w:right="44"/>
        <w:rPr>
          <w:b w:val="0"/>
          <w:color w:val="auto"/>
          <w:sz w:val="24"/>
          <w:szCs w:val="24"/>
          <w:highlight w:val="none"/>
        </w:rPr>
      </w:pPr>
      <w:r>
        <w:rPr>
          <w:b w:val="0"/>
          <w:color w:val="auto"/>
          <w:highlight w:val="none"/>
        </w:rPr>
        <w:t>1.2招标项目的资金来源和落实情况</w:t>
      </w:r>
    </w:p>
    <w:p w14:paraId="33FE7DA6">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1.2.1资金来源及比例：见投标人须知前附表。</w:t>
      </w:r>
    </w:p>
    <w:p w14:paraId="46D1955C">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1.2.2资金落实情况：见投标人须知前附表。</w:t>
      </w:r>
    </w:p>
    <w:p w14:paraId="4EF8F335">
      <w:pPr>
        <w:spacing w:line="276" w:lineRule="auto"/>
        <w:rPr>
          <w:rFonts w:ascii="宋体" w:hAnsi="宋体"/>
          <w:color w:val="auto"/>
          <w:sz w:val="24"/>
          <w:szCs w:val="24"/>
          <w:highlight w:val="none"/>
        </w:rPr>
      </w:pPr>
    </w:p>
    <w:p w14:paraId="11A68665">
      <w:pPr>
        <w:pStyle w:val="5"/>
        <w:spacing w:line="360" w:lineRule="auto"/>
        <w:ind w:right="44"/>
        <w:rPr>
          <w:b w:val="0"/>
          <w:color w:val="auto"/>
          <w:sz w:val="24"/>
          <w:szCs w:val="24"/>
          <w:highlight w:val="none"/>
        </w:rPr>
      </w:pPr>
      <w:r>
        <w:rPr>
          <w:b w:val="0"/>
          <w:color w:val="auto"/>
          <w:highlight w:val="none"/>
        </w:rPr>
        <w:t>1.3招标范围、</w:t>
      </w:r>
      <w:r>
        <w:rPr>
          <w:rFonts w:hint="eastAsia"/>
          <w:b w:val="0"/>
          <w:color w:val="auto"/>
          <w:highlight w:val="none"/>
        </w:rPr>
        <w:t>设计</w:t>
      </w:r>
      <w:r>
        <w:rPr>
          <w:b w:val="0"/>
          <w:color w:val="auto"/>
          <w:highlight w:val="none"/>
        </w:rPr>
        <w:t>服务期限和质量标准</w:t>
      </w:r>
    </w:p>
    <w:p w14:paraId="1E2AE1E0">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1.3.1招标范围：见投标人须知前附表。</w:t>
      </w:r>
    </w:p>
    <w:p w14:paraId="00AF72C6">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1.3.2</w:t>
      </w:r>
      <w:r>
        <w:rPr>
          <w:rFonts w:hint="eastAsia"/>
          <w:color w:val="auto"/>
          <w:sz w:val="24"/>
          <w:szCs w:val="24"/>
          <w:highlight w:val="none"/>
          <w:lang w:eastAsia="zh-CN"/>
        </w:rPr>
        <w:t>设计</w:t>
      </w:r>
      <w:r>
        <w:rPr>
          <w:color w:val="auto"/>
          <w:sz w:val="24"/>
          <w:szCs w:val="24"/>
          <w:highlight w:val="none"/>
          <w:lang w:eastAsia="zh-CN"/>
        </w:rPr>
        <w:t>服务期限：见投标人须知前附表。</w:t>
      </w:r>
    </w:p>
    <w:p w14:paraId="0817E7C7">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1.3.3质量标准：见投标人须知前附表。</w:t>
      </w:r>
    </w:p>
    <w:p w14:paraId="131D2CD5">
      <w:pPr>
        <w:spacing w:line="276" w:lineRule="auto"/>
        <w:rPr>
          <w:rFonts w:ascii="宋体" w:hAnsi="宋体"/>
          <w:color w:val="auto"/>
          <w:sz w:val="24"/>
          <w:szCs w:val="24"/>
          <w:highlight w:val="none"/>
        </w:rPr>
      </w:pPr>
    </w:p>
    <w:p w14:paraId="166D1501">
      <w:pPr>
        <w:pStyle w:val="5"/>
        <w:spacing w:line="360" w:lineRule="auto"/>
        <w:ind w:right="44"/>
        <w:rPr>
          <w:b w:val="0"/>
          <w:color w:val="auto"/>
          <w:sz w:val="24"/>
          <w:szCs w:val="24"/>
          <w:highlight w:val="none"/>
        </w:rPr>
      </w:pPr>
      <w:r>
        <w:rPr>
          <w:b w:val="0"/>
          <w:color w:val="auto"/>
          <w:highlight w:val="none"/>
        </w:rPr>
        <w:t>1.4投标人资格要求</w:t>
      </w:r>
    </w:p>
    <w:p w14:paraId="24FFE549">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1.4.1投标人应具备承担本招标项目资质条件、能力和信誉：</w:t>
      </w:r>
    </w:p>
    <w:p w14:paraId="106BA7E1">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（1）资质要求：见投标人须知前附表；</w:t>
      </w:r>
    </w:p>
    <w:p w14:paraId="1724F6AE">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（2）财务要求：见投标人须知前附表；</w:t>
      </w:r>
    </w:p>
    <w:p w14:paraId="6E650E55">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（3）业绩要求：见投标人须知前附表；</w:t>
      </w:r>
    </w:p>
    <w:p w14:paraId="16A0971A">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（4）信誉要求：见投标人须知前附表；</w:t>
      </w:r>
    </w:p>
    <w:p w14:paraId="1A03BE7A">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（5）项目负责人的资格要求：具体要求见投标人须知前附表；</w:t>
      </w:r>
    </w:p>
    <w:p w14:paraId="519A8C97">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（6）其他主要人员要求：见投标人须知前附表。</w:t>
      </w:r>
    </w:p>
    <w:p w14:paraId="0E2A8753">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w:t>
      </w:r>
      <w:r>
        <w:rPr>
          <w:rFonts w:hint="eastAsia"/>
          <w:color w:val="auto"/>
          <w:sz w:val="24"/>
          <w:szCs w:val="24"/>
          <w:highlight w:val="none"/>
          <w:lang w:eastAsia="zh-CN"/>
        </w:rPr>
        <w:t>7</w:t>
      </w:r>
      <w:r>
        <w:rPr>
          <w:color w:val="auto"/>
          <w:sz w:val="24"/>
          <w:szCs w:val="24"/>
          <w:highlight w:val="none"/>
          <w:lang w:eastAsia="zh-CN"/>
        </w:rPr>
        <w:t>）其他要求：见投标人须知前附表。</w:t>
      </w:r>
    </w:p>
    <w:p w14:paraId="493125DE">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需要提交的相关证明材料见本章第3.5款的规定。</w:t>
      </w:r>
    </w:p>
    <w:p w14:paraId="2194E996">
      <w:pPr>
        <w:pStyle w:val="9"/>
        <w:spacing w:line="360" w:lineRule="auto"/>
        <w:ind w:left="0" w:firstLine="480" w:firstLineChars="200"/>
        <w:rPr>
          <w:strike/>
          <w:color w:val="auto"/>
          <w:sz w:val="24"/>
          <w:szCs w:val="24"/>
          <w:highlight w:val="none"/>
          <w:lang w:eastAsia="zh-CN"/>
        </w:rPr>
      </w:pPr>
      <w:r>
        <w:rPr>
          <w:strike/>
          <w:color w:val="auto"/>
          <w:sz w:val="24"/>
          <w:szCs w:val="24"/>
          <w:highlight w:val="none"/>
          <w:lang w:eastAsia="zh-CN"/>
        </w:rPr>
        <w:t>1.4.2 投标人须知前附表规定接受联合体投标的，联合体除应符合本章第1.4.1项和投标人须知前附表的要求外，还应遵守以下规定：</w:t>
      </w:r>
    </w:p>
    <w:p w14:paraId="0942AB74">
      <w:pPr>
        <w:pStyle w:val="9"/>
        <w:spacing w:line="360" w:lineRule="auto"/>
        <w:ind w:left="0" w:firstLine="480" w:firstLineChars="200"/>
        <w:rPr>
          <w:strike/>
          <w:color w:val="auto"/>
          <w:sz w:val="24"/>
          <w:szCs w:val="24"/>
          <w:highlight w:val="none"/>
          <w:lang w:eastAsia="zh-CN"/>
        </w:rPr>
      </w:pPr>
      <w:r>
        <w:rPr>
          <w:strike/>
          <w:color w:val="auto"/>
          <w:sz w:val="24"/>
          <w:szCs w:val="24"/>
          <w:highlight w:val="none"/>
          <w:lang w:eastAsia="zh-CN"/>
        </w:rPr>
        <w:t>（1）联合体各方应按招标文件提供的格式签订联合体协议书，明确联合体牵头人和各方权利义务，并承诺就中标项目向招标人承担连带责任；</w:t>
      </w:r>
    </w:p>
    <w:p w14:paraId="0F775E22">
      <w:pPr>
        <w:pStyle w:val="9"/>
        <w:spacing w:line="360" w:lineRule="auto"/>
        <w:ind w:left="0" w:firstLine="480" w:firstLineChars="200"/>
        <w:rPr>
          <w:strike/>
          <w:color w:val="auto"/>
          <w:sz w:val="24"/>
          <w:szCs w:val="24"/>
          <w:highlight w:val="none"/>
          <w:lang w:eastAsia="zh-CN"/>
        </w:rPr>
      </w:pPr>
      <w:r>
        <w:rPr>
          <w:strike/>
          <w:color w:val="auto"/>
          <w:sz w:val="24"/>
          <w:szCs w:val="24"/>
          <w:highlight w:val="none"/>
          <w:lang w:eastAsia="zh-CN"/>
        </w:rPr>
        <w:t>（2）由同一专业的单位组成的联合体，按照资质等级较低的单位确定资质等级；</w:t>
      </w:r>
    </w:p>
    <w:p w14:paraId="333C3333">
      <w:pPr>
        <w:pStyle w:val="9"/>
        <w:spacing w:line="360" w:lineRule="auto"/>
        <w:ind w:left="0" w:firstLine="480" w:firstLineChars="200"/>
        <w:rPr>
          <w:color w:val="auto"/>
          <w:sz w:val="24"/>
          <w:szCs w:val="24"/>
          <w:highlight w:val="none"/>
          <w:lang w:eastAsia="zh-CN"/>
        </w:rPr>
      </w:pPr>
      <w:r>
        <w:rPr>
          <w:strike/>
          <w:color w:val="auto"/>
          <w:sz w:val="24"/>
          <w:szCs w:val="24"/>
          <w:highlight w:val="none"/>
          <w:lang w:eastAsia="zh-CN"/>
        </w:rPr>
        <w:t>（3）联合体各方不得再以自己名义单独或参加其他联合体在本招标项目中投标，否则各相关投标均无效。</w:t>
      </w:r>
    </w:p>
    <w:p w14:paraId="1CB72051">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1.4.3投标人不得存在下列情形之一：</w:t>
      </w:r>
    </w:p>
    <w:p w14:paraId="0B55004D">
      <w:pPr>
        <w:pStyle w:val="9"/>
        <w:spacing w:line="360" w:lineRule="auto"/>
        <w:ind w:left="0" w:firstLine="480" w:firstLineChars="200"/>
        <w:rPr>
          <w:color w:val="auto"/>
          <w:sz w:val="24"/>
          <w:szCs w:val="24"/>
          <w:highlight w:val="none"/>
          <w:lang w:eastAsia="zh-CN"/>
        </w:rPr>
      </w:pPr>
      <w:r>
        <w:rPr>
          <w:rFonts w:hint="eastAsia"/>
          <w:color w:val="auto"/>
          <w:sz w:val="24"/>
          <w:szCs w:val="24"/>
          <w:highlight w:val="none"/>
          <w:lang w:eastAsia="zh-CN"/>
        </w:rPr>
        <w:t>（1）为招标人不具有独立法人资格的附属机构（单位）；</w:t>
      </w:r>
    </w:p>
    <w:p w14:paraId="45C1AD9C">
      <w:pPr>
        <w:pStyle w:val="9"/>
        <w:spacing w:line="360" w:lineRule="auto"/>
        <w:ind w:left="0" w:firstLine="480" w:firstLineChars="200"/>
        <w:rPr>
          <w:color w:val="auto"/>
          <w:sz w:val="24"/>
          <w:szCs w:val="24"/>
          <w:highlight w:val="none"/>
          <w:lang w:eastAsia="zh-CN"/>
        </w:rPr>
      </w:pPr>
      <w:r>
        <w:rPr>
          <w:rFonts w:hint="eastAsia"/>
          <w:color w:val="auto"/>
          <w:sz w:val="24"/>
          <w:szCs w:val="24"/>
          <w:highlight w:val="none"/>
          <w:lang w:eastAsia="zh-CN"/>
        </w:rPr>
        <w:t>（2）与招标人存在利害关系且可能影响招标公正性；</w:t>
      </w:r>
    </w:p>
    <w:p w14:paraId="79A85221">
      <w:pPr>
        <w:pStyle w:val="9"/>
        <w:spacing w:line="360" w:lineRule="auto"/>
        <w:ind w:left="0" w:firstLine="480" w:firstLineChars="200"/>
        <w:rPr>
          <w:color w:val="auto"/>
          <w:sz w:val="24"/>
          <w:szCs w:val="24"/>
          <w:highlight w:val="none"/>
          <w:lang w:eastAsia="zh-CN"/>
        </w:rPr>
      </w:pPr>
      <w:r>
        <w:rPr>
          <w:rFonts w:hint="eastAsia"/>
          <w:color w:val="auto"/>
          <w:sz w:val="24"/>
          <w:szCs w:val="24"/>
          <w:highlight w:val="none"/>
          <w:lang w:eastAsia="zh-CN"/>
        </w:rPr>
        <w:t>（3）与本招标项目的其他投标人为同一个单位负责人；</w:t>
      </w:r>
    </w:p>
    <w:p w14:paraId="22C07959">
      <w:pPr>
        <w:pStyle w:val="9"/>
        <w:spacing w:line="360" w:lineRule="auto"/>
        <w:ind w:left="0" w:firstLine="480" w:firstLineChars="200"/>
        <w:rPr>
          <w:color w:val="auto"/>
          <w:sz w:val="24"/>
          <w:szCs w:val="24"/>
          <w:highlight w:val="none"/>
          <w:lang w:eastAsia="zh-CN"/>
        </w:rPr>
      </w:pPr>
      <w:r>
        <w:rPr>
          <w:rFonts w:hint="eastAsia"/>
          <w:color w:val="auto"/>
          <w:sz w:val="24"/>
          <w:szCs w:val="24"/>
          <w:highlight w:val="none"/>
          <w:lang w:eastAsia="zh-CN"/>
        </w:rPr>
        <w:t>（4）与本招标项目的其他投标人存在控股、管理关系；</w:t>
      </w:r>
    </w:p>
    <w:p w14:paraId="6B65CCEA">
      <w:pPr>
        <w:pStyle w:val="9"/>
        <w:spacing w:line="360" w:lineRule="auto"/>
        <w:ind w:left="0" w:firstLine="480" w:firstLineChars="200"/>
        <w:rPr>
          <w:color w:val="auto"/>
          <w:sz w:val="24"/>
          <w:szCs w:val="24"/>
          <w:highlight w:val="none"/>
          <w:lang w:eastAsia="zh-CN"/>
        </w:rPr>
      </w:pPr>
      <w:r>
        <w:rPr>
          <w:rFonts w:hint="eastAsia"/>
          <w:color w:val="auto"/>
          <w:sz w:val="24"/>
          <w:szCs w:val="24"/>
          <w:highlight w:val="none"/>
          <w:lang w:eastAsia="zh-CN"/>
        </w:rPr>
        <w:t>（5）为本招标项目的代建人；</w:t>
      </w:r>
    </w:p>
    <w:p w14:paraId="340F688F">
      <w:pPr>
        <w:pStyle w:val="9"/>
        <w:spacing w:line="360" w:lineRule="auto"/>
        <w:ind w:left="0" w:firstLine="480" w:firstLineChars="200"/>
        <w:rPr>
          <w:color w:val="auto"/>
          <w:sz w:val="24"/>
          <w:szCs w:val="24"/>
          <w:highlight w:val="none"/>
          <w:lang w:eastAsia="zh-CN"/>
        </w:rPr>
      </w:pPr>
      <w:r>
        <w:rPr>
          <w:rFonts w:hint="eastAsia"/>
          <w:color w:val="auto"/>
          <w:sz w:val="24"/>
          <w:szCs w:val="24"/>
          <w:highlight w:val="none"/>
          <w:lang w:eastAsia="zh-CN"/>
        </w:rPr>
        <w:t>（6）为本招标项目的招标代理机构；</w:t>
      </w:r>
    </w:p>
    <w:p w14:paraId="5D7EC289">
      <w:pPr>
        <w:pStyle w:val="9"/>
        <w:spacing w:line="360" w:lineRule="auto"/>
        <w:ind w:left="0" w:firstLine="480" w:firstLineChars="200"/>
        <w:rPr>
          <w:color w:val="auto"/>
          <w:sz w:val="24"/>
          <w:szCs w:val="24"/>
          <w:highlight w:val="none"/>
          <w:lang w:eastAsia="zh-CN"/>
        </w:rPr>
      </w:pPr>
      <w:r>
        <w:rPr>
          <w:rFonts w:hint="eastAsia"/>
          <w:color w:val="auto"/>
          <w:sz w:val="24"/>
          <w:szCs w:val="24"/>
          <w:highlight w:val="none"/>
          <w:lang w:eastAsia="zh-CN"/>
        </w:rPr>
        <w:t>（7）与本招标项目的代建人或招标代理机构同为一个法定代表人；</w:t>
      </w:r>
    </w:p>
    <w:p w14:paraId="57DD8CCD">
      <w:pPr>
        <w:pStyle w:val="9"/>
        <w:spacing w:line="360" w:lineRule="auto"/>
        <w:ind w:left="0" w:firstLine="480" w:firstLineChars="200"/>
        <w:rPr>
          <w:color w:val="auto"/>
          <w:sz w:val="24"/>
          <w:szCs w:val="24"/>
          <w:highlight w:val="none"/>
          <w:lang w:eastAsia="zh-CN"/>
        </w:rPr>
      </w:pPr>
      <w:r>
        <w:rPr>
          <w:rFonts w:hint="eastAsia"/>
          <w:color w:val="auto"/>
          <w:sz w:val="24"/>
          <w:szCs w:val="24"/>
          <w:highlight w:val="none"/>
          <w:lang w:eastAsia="zh-CN"/>
        </w:rPr>
        <w:t>（8）与本招标项目的代建人或招标代理机构存在控股或参股关系；</w:t>
      </w:r>
    </w:p>
    <w:p w14:paraId="79A1F515">
      <w:pPr>
        <w:pStyle w:val="9"/>
        <w:spacing w:line="360" w:lineRule="auto"/>
        <w:ind w:left="0" w:firstLine="480" w:firstLineChars="200"/>
        <w:rPr>
          <w:color w:val="auto"/>
          <w:sz w:val="24"/>
          <w:szCs w:val="24"/>
          <w:highlight w:val="none"/>
          <w:lang w:eastAsia="zh-CN"/>
        </w:rPr>
      </w:pPr>
      <w:r>
        <w:rPr>
          <w:rFonts w:hint="eastAsia"/>
          <w:color w:val="auto"/>
          <w:sz w:val="24"/>
          <w:szCs w:val="24"/>
          <w:highlight w:val="none"/>
          <w:lang w:eastAsia="zh-CN"/>
        </w:rPr>
        <w:t>（9）被依法暂停或者取消投标资格；</w:t>
      </w:r>
      <w:r>
        <w:rPr>
          <w:rFonts w:hint="eastAsia"/>
          <w:color w:val="auto"/>
          <w:sz w:val="24"/>
          <w:szCs w:val="24"/>
          <w:highlight w:val="none"/>
          <w:u w:val="single"/>
          <w:lang w:eastAsia="zh-CN"/>
        </w:rPr>
        <w:t xml:space="preserve">（本项事实应当以根据《中华人民共和国行政处罚法》依法作出并已经生效的行政处罚决定为认定依据。行政处罚决定中已经明确的暂停或取消投标资格的区域范围不包含本项目建设地点的，不受该项规定限制） </w:t>
      </w:r>
    </w:p>
    <w:p w14:paraId="7590452D">
      <w:pPr>
        <w:pStyle w:val="9"/>
        <w:spacing w:line="360" w:lineRule="auto"/>
        <w:ind w:left="0" w:firstLine="480" w:firstLineChars="200"/>
        <w:rPr>
          <w:color w:val="auto"/>
          <w:sz w:val="24"/>
          <w:szCs w:val="24"/>
          <w:highlight w:val="none"/>
          <w:u w:val="single"/>
          <w:lang w:eastAsia="zh-CN"/>
        </w:rPr>
      </w:pPr>
      <w:r>
        <w:rPr>
          <w:rFonts w:hint="eastAsia"/>
          <w:color w:val="auto"/>
          <w:sz w:val="24"/>
          <w:szCs w:val="24"/>
          <w:highlight w:val="none"/>
          <w:lang w:eastAsia="zh-CN"/>
        </w:rPr>
        <w:t>（10）被责令停产停业、暂扣或者吊销许可证、暂扣或者吊销执照；</w:t>
      </w:r>
      <w:r>
        <w:rPr>
          <w:rFonts w:hint="eastAsia"/>
          <w:color w:val="auto"/>
          <w:sz w:val="24"/>
          <w:szCs w:val="24"/>
          <w:highlight w:val="none"/>
          <w:u w:val="single"/>
          <w:lang w:eastAsia="zh-CN"/>
        </w:rPr>
        <w:t>（本项事实应当以根据《中华人民共和国行政处罚法》依法作出并已经生效的行政处罚决定为认定依据。）</w:t>
      </w:r>
    </w:p>
    <w:p w14:paraId="6BBEE587">
      <w:pPr>
        <w:pStyle w:val="9"/>
        <w:spacing w:line="360" w:lineRule="auto"/>
        <w:ind w:left="0" w:firstLine="480" w:firstLineChars="200"/>
        <w:rPr>
          <w:color w:val="auto"/>
          <w:sz w:val="24"/>
          <w:szCs w:val="24"/>
          <w:highlight w:val="none"/>
          <w:lang w:eastAsia="zh-CN"/>
        </w:rPr>
      </w:pPr>
      <w:r>
        <w:rPr>
          <w:rFonts w:hint="eastAsia"/>
          <w:color w:val="auto"/>
          <w:sz w:val="24"/>
          <w:szCs w:val="24"/>
          <w:highlight w:val="none"/>
          <w:lang w:eastAsia="zh-CN"/>
        </w:rPr>
        <w:t>（11）进入清算程序，或被宣告破产，或其他丧失履约能力的情形；</w:t>
      </w:r>
    </w:p>
    <w:p w14:paraId="7EE17963">
      <w:pPr>
        <w:pStyle w:val="9"/>
        <w:spacing w:line="360" w:lineRule="auto"/>
        <w:ind w:left="0" w:firstLine="480" w:firstLineChars="200"/>
        <w:rPr>
          <w:color w:val="auto"/>
          <w:sz w:val="24"/>
          <w:szCs w:val="24"/>
          <w:highlight w:val="none"/>
          <w:u w:val="single"/>
          <w:lang w:eastAsia="zh-CN"/>
        </w:rPr>
      </w:pPr>
      <w:r>
        <w:rPr>
          <w:rFonts w:hint="eastAsia"/>
          <w:color w:val="auto"/>
          <w:sz w:val="24"/>
          <w:szCs w:val="24"/>
          <w:highlight w:val="none"/>
          <w:u w:val="single"/>
          <w:lang w:eastAsia="zh-CN"/>
        </w:rPr>
        <w:t>（12）在最近三年内发生重大勘察设计质量问题</w:t>
      </w:r>
      <w:r>
        <w:rPr>
          <w:rFonts w:hint="eastAsia" w:ascii="宋体" w:hAnsi="宋体" w:eastAsia="宋体" w:cs="Times New Roman"/>
          <w:color w:val="auto"/>
          <w:sz w:val="24"/>
          <w:szCs w:val="24"/>
          <w:highlight w:val="none"/>
          <w:u w:val="single"/>
          <w:lang w:val="en-US" w:eastAsia="zh-CN"/>
        </w:rPr>
        <w:t>（“重大勘察设计质量问题”</w:t>
      </w:r>
      <w:r>
        <w:rPr>
          <w:rFonts w:hint="eastAsia" w:ascii="宋体" w:hAnsi="宋体" w:eastAsia="宋体" w:cs="Times New Roman"/>
          <w:color w:val="auto"/>
          <w:sz w:val="24"/>
          <w:szCs w:val="24"/>
          <w:highlight w:val="none"/>
          <w:u w:val="single"/>
          <w:lang w:eastAsia="zh-CN"/>
        </w:rPr>
        <w:t>以相关行业主管部门的行政处罚决定或司法机关出具的有关法律文书为准，“最近三年”是指从投标截止时间之日起逆推三年，以相关行业主管部门、司法机关、仲裁机构出具的生效文件的落款时间起计算）</w:t>
      </w:r>
      <w:r>
        <w:rPr>
          <w:rFonts w:hint="eastAsia"/>
          <w:color w:val="auto"/>
          <w:sz w:val="24"/>
          <w:szCs w:val="24"/>
          <w:highlight w:val="none"/>
          <w:u w:val="single"/>
          <w:lang w:eastAsia="zh-CN"/>
        </w:rPr>
        <w:t>；</w:t>
      </w:r>
    </w:p>
    <w:p w14:paraId="45F148DB">
      <w:pPr>
        <w:pStyle w:val="9"/>
        <w:spacing w:line="360" w:lineRule="auto"/>
        <w:ind w:left="0" w:firstLine="480" w:firstLineChars="200"/>
        <w:rPr>
          <w:color w:val="auto"/>
          <w:sz w:val="24"/>
          <w:szCs w:val="24"/>
          <w:highlight w:val="none"/>
          <w:u w:val="single"/>
          <w:lang w:eastAsia="zh-CN"/>
        </w:rPr>
      </w:pPr>
      <w:r>
        <w:rPr>
          <w:rFonts w:hint="eastAsia"/>
          <w:color w:val="auto"/>
          <w:sz w:val="24"/>
          <w:szCs w:val="24"/>
          <w:highlight w:val="none"/>
          <w:u w:val="single"/>
          <w:lang w:eastAsia="zh-CN"/>
        </w:rPr>
        <w:t>（13）法律法规或投标人须知前附表规定的其他情形。</w:t>
      </w:r>
    </w:p>
    <w:p w14:paraId="49BC0290">
      <w:pPr>
        <w:spacing w:line="276" w:lineRule="auto"/>
        <w:rPr>
          <w:rFonts w:ascii="宋体" w:hAnsi="宋体"/>
          <w:color w:val="auto"/>
          <w:sz w:val="24"/>
          <w:szCs w:val="24"/>
          <w:highlight w:val="none"/>
        </w:rPr>
      </w:pPr>
    </w:p>
    <w:p w14:paraId="354283F5">
      <w:pPr>
        <w:pStyle w:val="5"/>
        <w:spacing w:line="360" w:lineRule="auto"/>
        <w:ind w:right="44"/>
        <w:rPr>
          <w:b w:val="0"/>
          <w:color w:val="auto"/>
          <w:sz w:val="24"/>
          <w:szCs w:val="24"/>
          <w:highlight w:val="none"/>
        </w:rPr>
      </w:pPr>
      <w:r>
        <w:rPr>
          <w:b w:val="0"/>
          <w:color w:val="auto"/>
          <w:highlight w:val="none"/>
        </w:rPr>
        <w:t>1.5费用承担</w:t>
      </w:r>
    </w:p>
    <w:p w14:paraId="48A11380">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投标人准备和参加投标活动发生的费用自理。</w:t>
      </w:r>
    </w:p>
    <w:p w14:paraId="33635723">
      <w:pPr>
        <w:spacing w:line="360" w:lineRule="auto"/>
        <w:rPr>
          <w:rFonts w:ascii="宋体" w:hAnsi="宋体"/>
          <w:color w:val="auto"/>
          <w:sz w:val="24"/>
          <w:szCs w:val="24"/>
          <w:highlight w:val="none"/>
        </w:rPr>
      </w:pPr>
    </w:p>
    <w:p w14:paraId="5332AEBB">
      <w:pPr>
        <w:pStyle w:val="5"/>
        <w:spacing w:line="360" w:lineRule="auto"/>
        <w:ind w:right="44"/>
        <w:rPr>
          <w:b w:val="0"/>
          <w:color w:val="auto"/>
          <w:sz w:val="24"/>
          <w:szCs w:val="24"/>
          <w:highlight w:val="none"/>
        </w:rPr>
      </w:pPr>
      <w:r>
        <w:rPr>
          <w:b w:val="0"/>
          <w:color w:val="auto"/>
          <w:highlight w:val="none"/>
        </w:rPr>
        <w:t>1.6保密</w:t>
      </w:r>
    </w:p>
    <w:p w14:paraId="3C1D24BE">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参与招标投标活动的各方应对招标文件和投标文件中的商业和技术等秘密保密，否则应承担相应的法律责任。</w:t>
      </w:r>
    </w:p>
    <w:p w14:paraId="0F88EF17">
      <w:pPr>
        <w:spacing w:line="276" w:lineRule="auto"/>
        <w:rPr>
          <w:rFonts w:ascii="宋体" w:hAnsi="宋体"/>
          <w:color w:val="auto"/>
          <w:sz w:val="24"/>
          <w:szCs w:val="24"/>
          <w:highlight w:val="none"/>
        </w:rPr>
      </w:pPr>
    </w:p>
    <w:p w14:paraId="583CE64C">
      <w:pPr>
        <w:pStyle w:val="5"/>
        <w:spacing w:line="360" w:lineRule="auto"/>
        <w:ind w:right="44"/>
        <w:rPr>
          <w:b w:val="0"/>
          <w:color w:val="auto"/>
          <w:sz w:val="24"/>
          <w:szCs w:val="24"/>
          <w:highlight w:val="none"/>
        </w:rPr>
      </w:pPr>
      <w:r>
        <w:rPr>
          <w:b w:val="0"/>
          <w:color w:val="auto"/>
          <w:highlight w:val="none"/>
        </w:rPr>
        <w:t>1.7语言文字</w:t>
      </w:r>
    </w:p>
    <w:p w14:paraId="2D18B18E">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招标投标文件使用的语言文字为中文。专用术语使用外文的，应附有中文注释。</w:t>
      </w:r>
    </w:p>
    <w:p w14:paraId="36A71AF8">
      <w:pPr>
        <w:pStyle w:val="9"/>
        <w:spacing w:line="276" w:lineRule="auto"/>
        <w:ind w:left="0" w:firstLine="480" w:firstLineChars="200"/>
        <w:rPr>
          <w:color w:val="auto"/>
          <w:sz w:val="24"/>
          <w:szCs w:val="24"/>
          <w:highlight w:val="none"/>
          <w:lang w:eastAsia="zh-CN"/>
        </w:rPr>
      </w:pPr>
    </w:p>
    <w:p w14:paraId="4EDB43B0">
      <w:pPr>
        <w:pStyle w:val="5"/>
        <w:spacing w:line="360" w:lineRule="auto"/>
        <w:ind w:right="44"/>
        <w:rPr>
          <w:b w:val="0"/>
          <w:color w:val="auto"/>
          <w:sz w:val="24"/>
          <w:szCs w:val="24"/>
          <w:highlight w:val="none"/>
        </w:rPr>
      </w:pPr>
      <w:r>
        <w:rPr>
          <w:b w:val="0"/>
          <w:color w:val="auto"/>
          <w:highlight w:val="none"/>
        </w:rPr>
        <w:t>1.8计量单位</w:t>
      </w:r>
    </w:p>
    <w:p w14:paraId="065BA0A8">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所有计量均采用中华人民共和国法定计量单位。</w:t>
      </w:r>
    </w:p>
    <w:p w14:paraId="5A8E1581">
      <w:pPr>
        <w:spacing w:line="276" w:lineRule="auto"/>
        <w:rPr>
          <w:rFonts w:ascii="宋体" w:hAnsi="宋体"/>
          <w:color w:val="auto"/>
          <w:sz w:val="24"/>
          <w:szCs w:val="24"/>
          <w:highlight w:val="none"/>
        </w:rPr>
      </w:pPr>
    </w:p>
    <w:p w14:paraId="3B2BF76A">
      <w:pPr>
        <w:pStyle w:val="5"/>
        <w:spacing w:line="360" w:lineRule="auto"/>
        <w:ind w:right="44"/>
        <w:rPr>
          <w:b w:val="0"/>
          <w:color w:val="auto"/>
          <w:sz w:val="24"/>
          <w:szCs w:val="24"/>
          <w:highlight w:val="none"/>
        </w:rPr>
      </w:pPr>
      <w:r>
        <w:rPr>
          <w:b w:val="0"/>
          <w:color w:val="auto"/>
          <w:highlight w:val="none"/>
        </w:rPr>
        <w:t>1.9踏勘现场</w:t>
      </w:r>
    </w:p>
    <w:p w14:paraId="581E685E">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1.9.1投标人须知前附表规定组织踏勘现场的，招标人按投标人须知前附表规定的时间、地点组织投标人踏勘项目现场。部分投标人未按时参加踏勘现场的，不影响踏勘现场的正常进行。</w:t>
      </w:r>
    </w:p>
    <w:p w14:paraId="0A057260">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1.9.2投标人踏勘现场发生的费用自理。</w:t>
      </w:r>
    </w:p>
    <w:p w14:paraId="2F80E985">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1.9.3除招标人的原因外，投标人自行负责在踏勘现场中所发生的人员伤亡和财产损失。</w:t>
      </w:r>
    </w:p>
    <w:p w14:paraId="5EAF97E7">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1.9.4招标人在踏勘现场中介绍的工程场地和相关的周边环境情况，供投标人在编制投标文件时参考，招标人不对投标人据此作出的判断和决策负责。</w:t>
      </w:r>
    </w:p>
    <w:p w14:paraId="2E9E6CE1">
      <w:pPr>
        <w:spacing w:line="276" w:lineRule="auto"/>
        <w:rPr>
          <w:rFonts w:ascii="宋体" w:hAnsi="宋体"/>
          <w:color w:val="auto"/>
          <w:sz w:val="24"/>
          <w:szCs w:val="24"/>
          <w:highlight w:val="none"/>
        </w:rPr>
      </w:pPr>
    </w:p>
    <w:p w14:paraId="19E7DDF6">
      <w:pPr>
        <w:pStyle w:val="5"/>
        <w:spacing w:line="360" w:lineRule="auto"/>
        <w:ind w:right="44"/>
        <w:rPr>
          <w:b w:val="0"/>
          <w:color w:val="auto"/>
          <w:sz w:val="24"/>
          <w:szCs w:val="24"/>
          <w:highlight w:val="none"/>
        </w:rPr>
      </w:pPr>
      <w:r>
        <w:rPr>
          <w:b w:val="0"/>
          <w:color w:val="auto"/>
          <w:highlight w:val="none"/>
        </w:rPr>
        <w:t>1.10投标预备会</w:t>
      </w:r>
    </w:p>
    <w:p w14:paraId="4FD53725">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1.10.1投标人须知前附表规定召开投标预备会的，招标人按投标人须知前附表规定的时间和地点召开投标预备会，澄清投标人提出的问题。</w:t>
      </w:r>
    </w:p>
    <w:p w14:paraId="63AB1E20">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1.10.2投标人应按投标人须知前附表规定的时间和形式将提出的问题送达招标人，以便招标人在会议期间澄清。</w:t>
      </w:r>
    </w:p>
    <w:p w14:paraId="1E666A35">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1.10.3投标预备会后，招标人将对投标人所提问题的澄清，以投标人须知前附表规定的形式通知所有购买招标文件的投标人。该澄清内容为招标文件的组成部分。</w:t>
      </w:r>
    </w:p>
    <w:p w14:paraId="739EF9DA">
      <w:pPr>
        <w:spacing w:line="276" w:lineRule="auto"/>
        <w:rPr>
          <w:rFonts w:ascii="宋体" w:hAnsi="宋体"/>
          <w:color w:val="auto"/>
          <w:sz w:val="24"/>
          <w:szCs w:val="24"/>
          <w:highlight w:val="none"/>
        </w:rPr>
      </w:pPr>
    </w:p>
    <w:p w14:paraId="4AADE923">
      <w:pPr>
        <w:pStyle w:val="5"/>
        <w:spacing w:line="360" w:lineRule="auto"/>
        <w:ind w:right="44"/>
        <w:rPr>
          <w:b w:val="0"/>
          <w:color w:val="auto"/>
          <w:sz w:val="24"/>
          <w:szCs w:val="24"/>
          <w:highlight w:val="none"/>
        </w:rPr>
      </w:pPr>
      <w:r>
        <w:rPr>
          <w:b w:val="0"/>
          <w:color w:val="auto"/>
          <w:highlight w:val="none"/>
        </w:rPr>
        <w:t>1.11分包</w:t>
      </w:r>
    </w:p>
    <w:p w14:paraId="1D756E35">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1.11.1投标人拟在中标后将中标项目的非主体、非关键性</w:t>
      </w:r>
      <w:r>
        <w:rPr>
          <w:rFonts w:hint="eastAsia"/>
          <w:color w:val="auto"/>
          <w:sz w:val="24"/>
          <w:szCs w:val="24"/>
          <w:highlight w:val="none"/>
          <w:lang w:eastAsia="zh-CN"/>
        </w:rPr>
        <w:t>设计</w:t>
      </w:r>
      <w:r>
        <w:rPr>
          <w:color w:val="auto"/>
          <w:sz w:val="24"/>
          <w:szCs w:val="24"/>
          <w:highlight w:val="none"/>
          <w:lang w:eastAsia="zh-CN"/>
        </w:rPr>
        <w:t>工作进行分包的，应符合投标人须知前附表规定的分包内容、分包金额和资质要求等限制性条件，除投标人须知前附表规定的非主体、非关键性</w:t>
      </w:r>
      <w:r>
        <w:rPr>
          <w:rFonts w:hint="eastAsia"/>
          <w:color w:val="auto"/>
          <w:sz w:val="24"/>
          <w:szCs w:val="24"/>
          <w:highlight w:val="none"/>
          <w:lang w:eastAsia="zh-CN"/>
        </w:rPr>
        <w:t>设计</w:t>
      </w:r>
      <w:r>
        <w:rPr>
          <w:color w:val="auto"/>
          <w:sz w:val="24"/>
          <w:szCs w:val="24"/>
          <w:highlight w:val="none"/>
          <w:lang w:eastAsia="zh-CN"/>
        </w:rPr>
        <w:t>工作外，其他工作不得分包。</w:t>
      </w:r>
    </w:p>
    <w:p w14:paraId="2B56E43D">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1.11.2中标人不得向他人转让中标项目，接受分包的人不得再次分包。中标人应当就分包项目向招标人负责，接受分包的人就分包项目承担连带责任。</w:t>
      </w:r>
    </w:p>
    <w:p w14:paraId="6186598C">
      <w:pPr>
        <w:spacing w:line="276" w:lineRule="auto"/>
        <w:rPr>
          <w:rFonts w:ascii="宋体" w:hAnsi="宋体"/>
          <w:color w:val="auto"/>
          <w:sz w:val="24"/>
          <w:szCs w:val="24"/>
          <w:highlight w:val="none"/>
        </w:rPr>
      </w:pPr>
    </w:p>
    <w:p w14:paraId="6FCDC12E">
      <w:pPr>
        <w:pStyle w:val="5"/>
        <w:spacing w:line="360" w:lineRule="auto"/>
        <w:ind w:right="44"/>
        <w:rPr>
          <w:b w:val="0"/>
          <w:color w:val="auto"/>
          <w:sz w:val="24"/>
          <w:szCs w:val="24"/>
          <w:highlight w:val="none"/>
        </w:rPr>
      </w:pPr>
      <w:r>
        <w:rPr>
          <w:b w:val="0"/>
          <w:color w:val="auto"/>
          <w:highlight w:val="none"/>
        </w:rPr>
        <w:t>1.12响应和偏差</w:t>
      </w:r>
    </w:p>
    <w:p w14:paraId="2EF42B9B">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1.12.1投标文件应当对招标文件的实质性要求和条件作出满足性或更有利于招标人的响应，否则，投标人的投标将被否决。实质性要求和条件见投标人须知前附表。</w:t>
      </w:r>
    </w:p>
    <w:p w14:paraId="77B4F397">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1.12.2投标人应根据招标文件的要求提供投标</w:t>
      </w:r>
      <w:r>
        <w:rPr>
          <w:rFonts w:hint="eastAsia"/>
          <w:color w:val="auto"/>
          <w:sz w:val="24"/>
          <w:szCs w:val="24"/>
          <w:highlight w:val="none"/>
          <w:u w:val="single"/>
          <w:lang w:eastAsia="zh-CN"/>
        </w:rPr>
        <w:t>设计工作方案</w:t>
      </w:r>
      <w:r>
        <w:rPr>
          <w:color w:val="auto"/>
          <w:sz w:val="24"/>
          <w:szCs w:val="24"/>
          <w:highlight w:val="none"/>
          <w:lang w:eastAsia="zh-CN"/>
        </w:rPr>
        <w:t>等内容以对招标文件作出响应。</w:t>
      </w:r>
    </w:p>
    <w:p w14:paraId="328C8B9C">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1.12.3投标人须知前附表允许投标文件偏离招标文件某些要求的，偏差应当符合招标文件规定的偏差范围和幅度。</w:t>
      </w:r>
    </w:p>
    <w:p w14:paraId="1CC74AF6">
      <w:pPr>
        <w:spacing w:line="276" w:lineRule="auto"/>
        <w:rPr>
          <w:rFonts w:ascii="宋体" w:hAnsi="宋体"/>
          <w:color w:val="auto"/>
          <w:sz w:val="24"/>
          <w:szCs w:val="24"/>
          <w:highlight w:val="none"/>
        </w:rPr>
      </w:pPr>
    </w:p>
    <w:p w14:paraId="2F48B3CE">
      <w:pPr>
        <w:pStyle w:val="4"/>
        <w:spacing w:line="360" w:lineRule="auto"/>
        <w:ind w:right="44"/>
        <w:rPr>
          <w:rFonts w:ascii="宋体" w:hAnsi="宋体"/>
          <w:b w:val="0"/>
          <w:color w:val="auto"/>
          <w:sz w:val="24"/>
          <w:szCs w:val="24"/>
          <w:highlight w:val="none"/>
        </w:rPr>
      </w:pPr>
      <w:bookmarkStart w:id="6" w:name="_Toc21633"/>
      <w:r>
        <w:rPr>
          <w:rFonts w:ascii="宋体" w:hAnsi="宋体"/>
          <w:b w:val="0"/>
          <w:color w:val="auto"/>
          <w:highlight w:val="none"/>
        </w:rPr>
        <w:t>2. 招标文件</w:t>
      </w:r>
      <w:bookmarkEnd w:id="6"/>
    </w:p>
    <w:p w14:paraId="59560C8A">
      <w:pPr>
        <w:pStyle w:val="5"/>
        <w:spacing w:line="360" w:lineRule="auto"/>
        <w:ind w:right="44"/>
        <w:rPr>
          <w:b w:val="0"/>
          <w:color w:val="auto"/>
          <w:sz w:val="24"/>
          <w:szCs w:val="24"/>
          <w:highlight w:val="none"/>
        </w:rPr>
      </w:pPr>
      <w:r>
        <w:rPr>
          <w:b w:val="0"/>
          <w:color w:val="auto"/>
          <w:highlight w:val="none"/>
        </w:rPr>
        <w:t>2.1招标文件的组成</w:t>
      </w:r>
    </w:p>
    <w:p w14:paraId="16866438">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本招标文件包括：</w:t>
      </w:r>
    </w:p>
    <w:p w14:paraId="49803544">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（1）招标公告；</w:t>
      </w:r>
    </w:p>
    <w:p w14:paraId="40524A0D">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（2）投标人须知；</w:t>
      </w:r>
    </w:p>
    <w:p w14:paraId="0224F53F">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（3）评标办法；</w:t>
      </w:r>
    </w:p>
    <w:p w14:paraId="52E37DFA">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（4）合同条款及格式；</w:t>
      </w:r>
    </w:p>
    <w:p w14:paraId="6BD5EF22">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（5）发包人要求；</w:t>
      </w:r>
    </w:p>
    <w:p w14:paraId="22046F57">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（6）投标文件格式；</w:t>
      </w:r>
    </w:p>
    <w:p w14:paraId="0E3E360E">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（7）投标人须知前附表规定的其他资料。</w:t>
      </w:r>
    </w:p>
    <w:p w14:paraId="38353382">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根据本章第1.10款、第2.2款和第2.3款对招标文件所作的澄清、修改，构成招标文件的组成部分。</w:t>
      </w:r>
    </w:p>
    <w:p w14:paraId="3E470E82">
      <w:pPr>
        <w:spacing w:line="360" w:lineRule="auto"/>
        <w:rPr>
          <w:rFonts w:ascii="宋体" w:hAnsi="宋体"/>
          <w:color w:val="auto"/>
          <w:sz w:val="24"/>
          <w:szCs w:val="24"/>
          <w:highlight w:val="none"/>
        </w:rPr>
      </w:pPr>
    </w:p>
    <w:p w14:paraId="0FF1642A">
      <w:pPr>
        <w:pStyle w:val="5"/>
        <w:spacing w:line="360" w:lineRule="auto"/>
        <w:ind w:right="44"/>
        <w:rPr>
          <w:b w:val="0"/>
          <w:color w:val="auto"/>
          <w:sz w:val="24"/>
          <w:szCs w:val="24"/>
          <w:highlight w:val="none"/>
        </w:rPr>
      </w:pPr>
      <w:r>
        <w:rPr>
          <w:b w:val="0"/>
          <w:color w:val="auto"/>
          <w:highlight w:val="none"/>
        </w:rPr>
        <w:t>2.2招标文件的澄清</w:t>
      </w:r>
    </w:p>
    <w:p w14:paraId="324896AA">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58DF086">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2.2.2招标文件的澄清以投标人须知前附表规定的形式发给所有</w:t>
      </w:r>
      <w:r>
        <w:rPr>
          <w:strike/>
          <w:color w:val="auto"/>
          <w:sz w:val="24"/>
          <w:szCs w:val="24"/>
          <w:highlight w:val="none"/>
          <w:lang w:eastAsia="zh-CN"/>
        </w:rPr>
        <w:t>购买招标文件的</w:t>
      </w:r>
      <w:r>
        <w:rPr>
          <w:color w:val="auto"/>
          <w:sz w:val="24"/>
          <w:szCs w:val="24"/>
          <w:highlight w:val="none"/>
          <w:lang w:eastAsia="zh-CN"/>
        </w:rPr>
        <w:t>投标人，但不指明澄清问题的来源。澄清发出的时间距本章第4.2.1项规定的投标截止时间不足15日的，并且澄清内容可能影响投标文件编制的，将相应延长投标截止时间。</w:t>
      </w:r>
    </w:p>
    <w:p w14:paraId="2955DB60">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2.2.3投标人在收到澄清后，应按投标人须知前附表规定的时间和形式通知招标人，确认已收到该澄清。</w:t>
      </w:r>
    </w:p>
    <w:p w14:paraId="1F55513C">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2.2.4 除非招标人认为确有必要答复，否则，招标人有权拒绝回复投标人在本章第 2.2.1项规定的时间后的任何澄清要求。</w:t>
      </w:r>
    </w:p>
    <w:p w14:paraId="72145A7F">
      <w:pPr>
        <w:spacing w:line="360" w:lineRule="auto"/>
        <w:rPr>
          <w:rFonts w:ascii="宋体" w:hAnsi="宋体"/>
          <w:color w:val="auto"/>
          <w:sz w:val="24"/>
          <w:szCs w:val="24"/>
          <w:highlight w:val="none"/>
        </w:rPr>
      </w:pPr>
    </w:p>
    <w:p w14:paraId="3311143F">
      <w:pPr>
        <w:pStyle w:val="5"/>
        <w:spacing w:line="360" w:lineRule="auto"/>
        <w:ind w:right="44"/>
        <w:rPr>
          <w:b w:val="0"/>
          <w:color w:val="auto"/>
          <w:sz w:val="24"/>
          <w:szCs w:val="24"/>
          <w:highlight w:val="none"/>
        </w:rPr>
      </w:pPr>
      <w:r>
        <w:rPr>
          <w:b w:val="0"/>
          <w:color w:val="auto"/>
          <w:highlight w:val="none"/>
        </w:rPr>
        <w:t>2.3招标文件的修改</w:t>
      </w:r>
    </w:p>
    <w:p w14:paraId="68069B16">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2.3.1招标人以投标人须知前附表规定的形式修改招标文件，并通知所有投标人。修改招标文件的时间距本章第4.2.1项规定的投标截止时间不足15日的，并且修改内容可能影响投标文件编制的，将相应延长投标截止时间。</w:t>
      </w:r>
    </w:p>
    <w:p w14:paraId="219314BC">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2.3.2投标人收到修改内容后，应按投标人须知前附表规定的时间和形式通知招标人，确认已收到该修改。</w:t>
      </w:r>
    </w:p>
    <w:p w14:paraId="548EDE5A">
      <w:pPr>
        <w:spacing w:line="360" w:lineRule="auto"/>
        <w:rPr>
          <w:rFonts w:ascii="宋体" w:hAnsi="宋体"/>
          <w:color w:val="auto"/>
          <w:sz w:val="24"/>
          <w:szCs w:val="24"/>
          <w:highlight w:val="none"/>
        </w:rPr>
      </w:pPr>
    </w:p>
    <w:p w14:paraId="6FB1442E">
      <w:pPr>
        <w:pStyle w:val="5"/>
        <w:spacing w:line="360" w:lineRule="auto"/>
        <w:ind w:right="44"/>
        <w:rPr>
          <w:b w:val="0"/>
          <w:color w:val="auto"/>
          <w:sz w:val="24"/>
          <w:szCs w:val="24"/>
          <w:highlight w:val="none"/>
        </w:rPr>
      </w:pPr>
      <w:r>
        <w:rPr>
          <w:b w:val="0"/>
          <w:color w:val="auto"/>
          <w:highlight w:val="none"/>
        </w:rPr>
        <w:t>2.4招标文件的异议</w:t>
      </w:r>
    </w:p>
    <w:p w14:paraId="36C12B2B">
      <w:pPr>
        <w:pStyle w:val="9"/>
        <w:spacing w:line="360" w:lineRule="auto"/>
        <w:ind w:left="0" w:firstLine="480" w:firstLineChars="200"/>
        <w:rPr>
          <w:color w:val="auto"/>
          <w:sz w:val="24"/>
          <w:szCs w:val="24"/>
          <w:highlight w:val="none"/>
          <w:u w:val="single"/>
          <w:lang w:eastAsia="zh-CN"/>
        </w:rPr>
      </w:pPr>
      <w:r>
        <w:rPr>
          <w:color w:val="auto"/>
          <w:sz w:val="24"/>
          <w:szCs w:val="24"/>
          <w:highlight w:val="none"/>
          <w:lang w:eastAsia="zh-CN"/>
        </w:rPr>
        <w:t>投标人或者其他利害关系人对招标文件有异议的，应当在投标截止时间10日前提出。</w:t>
      </w:r>
      <w:r>
        <w:rPr>
          <w:rFonts w:hint="eastAsia"/>
          <w:color w:val="auto"/>
          <w:sz w:val="24"/>
          <w:szCs w:val="24"/>
          <w:highlight w:val="none"/>
          <w:u w:val="single"/>
          <w:lang w:eastAsia="zh-CN"/>
        </w:rPr>
        <w:t>可以通过线下或线上的形式提出异议。线上提交的，应通过交易平台进行，招标人也应通过交易平台答复线上提交的异议。作出答复前，应当暂停招标投标活动</w:t>
      </w:r>
      <w:r>
        <w:rPr>
          <w:color w:val="auto"/>
          <w:sz w:val="24"/>
          <w:szCs w:val="24"/>
          <w:highlight w:val="none"/>
          <w:u w:val="single"/>
          <w:lang w:eastAsia="zh-CN"/>
        </w:rPr>
        <w:t>。</w:t>
      </w:r>
    </w:p>
    <w:p w14:paraId="29443BBE">
      <w:pPr>
        <w:spacing w:line="360" w:lineRule="auto"/>
        <w:rPr>
          <w:rFonts w:ascii="宋体" w:hAnsi="宋体"/>
          <w:color w:val="auto"/>
          <w:sz w:val="24"/>
          <w:szCs w:val="24"/>
          <w:highlight w:val="none"/>
        </w:rPr>
      </w:pPr>
    </w:p>
    <w:p w14:paraId="4403885C">
      <w:pPr>
        <w:pStyle w:val="4"/>
        <w:spacing w:line="360" w:lineRule="auto"/>
        <w:ind w:right="44"/>
        <w:rPr>
          <w:rFonts w:ascii="宋体" w:hAnsi="宋体"/>
          <w:b w:val="0"/>
          <w:color w:val="auto"/>
          <w:sz w:val="24"/>
          <w:szCs w:val="24"/>
          <w:highlight w:val="none"/>
        </w:rPr>
      </w:pPr>
      <w:bookmarkStart w:id="7" w:name="_Toc27465"/>
      <w:r>
        <w:rPr>
          <w:rFonts w:ascii="宋体" w:hAnsi="宋体"/>
          <w:b w:val="0"/>
          <w:color w:val="auto"/>
          <w:highlight w:val="none"/>
        </w:rPr>
        <w:t>3. 投标文件</w:t>
      </w:r>
      <w:bookmarkEnd w:id="7"/>
    </w:p>
    <w:p w14:paraId="50482907">
      <w:pPr>
        <w:pStyle w:val="5"/>
        <w:spacing w:line="360" w:lineRule="auto"/>
        <w:ind w:right="44"/>
        <w:rPr>
          <w:b w:val="0"/>
          <w:color w:val="auto"/>
          <w:sz w:val="24"/>
          <w:szCs w:val="24"/>
          <w:highlight w:val="none"/>
        </w:rPr>
      </w:pPr>
      <w:r>
        <w:rPr>
          <w:b w:val="0"/>
          <w:color w:val="auto"/>
          <w:highlight w:val="none"/>
        </w:rPr>
        <w:t>3.1投标文件的组成</w:t>
      </w:r>
    </w:p>
    <w:p w14:paraId="2281D75A">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 xml:space="preserve">3.1.1 </w:t>
      </w:r>
      <w:r>
        <w:rPr>
          <w:rFonts w:hint="eastAsia" w:cs="宋体"/>
          <w:color w:val="auto"/>
          <w:sz w:val="24"/>
          <w:szCs w:val="24"/>
          <w:highlight w:val="none"/>
          <w:lang w:eastAsia="zh-CN"/>
        </w:rPr>
        <w:t>投标文件应包括下列内容：</w:t>
      </w:r>
    </w:p>
    <w:p w14:paraId="5A6DA9AE">
      <w:pPr>
        <w:pStyle w:val="9"/>
        <w:spacing w:line="360" w:lineRule="auto"/>
        <w:ind w:left="0" w:firstLine="480" w:firstLineChars="200"/>
        <w:rPr>
          <w:rFonts w:cs="宋体"/>
          <w:b w:val="0"/>
          <w:bCs/>
          <w:color w:val="auto"/>
          <w:sz w:val="24"/>
          <w:szCs w:val="24"/>
          <w:highlight w:val="none"/>
          <w:u w:val="single"/>
          <w:lang w:eastAsia="zh-CN"/>
        </w:rPr>
      </w:pPr>
      <w:r>
        <w:rPr>
          <w:rFonts w:hint="eastAsia" w:cs="宋体"/>
          <w:b w:val="0"/>
          <w:bCs/>
          <w:color w:val="auto"/>
          <w:sz w:val="24"/>
          <w:szCs w:val="24"/>
          <w:highlight w:val="none"/>
          <w:u w:val="single"/>
          <w:lang w:eastAsia="zh-CN"/>
        </w:rPr>
        <w:t>投标文件由商务文件（含资格审查部分、资信业绩部分）、技术文件（含设计方案部分）两个部分组成。各部分投标文件应分别编制。</w:t>
      </w:r>
    </w:p>
    <w:p w14:paraId="2A899416">
      <w:pPr>
        <w:pStyle w:val="6"/>
        <w:spacing w:line="360" w:lineRule="auto"/>
        <w:ind w:firstLine="480"/>
        <w:rPr>
          <w:rFonts w:hint="eastAsia" w:cs="宋体"/>
          <w:b/>
          <w:color w:val="auto"/>
          <w:sz w:val="24"/>
          <w:szCs w:val="24"/>
          <w:highlight w:val="none"/>
          <w:u w:val="single"/>
          <w:lang w:eastAsia="zh-CN"/>
        </w:rPr>
      </w:pPr>
      <w:r>
        <w:rPr>
          <w:rFonts w:hint="eastAsia" w:cs="宋体"/>
          <w:b w:val="0"/>
          <w:bCs/>
          <w:color w:val="auto"/>
          <w:sz w:val="24"/>
          <w:szCs w:val="24"/>
          <w:highlight w:val="none"/>
          <w:u w:val="single"/>
          <w:lang w:eastAsia="zh-CN"/>
        </w:rPr>
        <w:t>注：技术文件（含设计方案部分）为暗标。技术标中不</w:t>
      </w:r>
      <w:r>
        <w:rPr>
          <w:rFonts w:hint="eastAsia" w:cs="宋体"/>
          <w:b w:val="0"/>
          <w:bCs/>
          <w:color w:val="auto"/>
          <w:sz w:val="24"/>
          <w:szCs w:val="24"/>
          <w:highlight w:val="none"/>
          <w:u w:val="single"/>
          <w:lang w:val="en-US" w:eastAsia="zh-CN"/>
        </w:rPr>
        <w:t>可</w:t>
      </w:r>
      <w:r>
        <w:rPr>
          <w:rFonts w:hint="eastAsia" w:cs="宋体"/>
          <w:b w:val="0"/>
          <w:bCs/>
          <w:color w:val="auto"/>
          <w:sz w:val="24"/>
          <w:szCs w:val="24"/>
          <w:highlight w:val="none"/>
          <w:u w:val="single"/>
          <w:lang w:eastAsia="zh-CN"/>
        </w:rPr>
        <w:t>辨认出投标人或其专业技术人员的身份。不</w:t>
      </w:r>
      <w:r>
        <w:rPr>
          <w:rFonts w:hint="eastAsia" w:cs="宋体"/>
          <w:b w:val="0"/>
          <w:bCs/>
          <w:color w:val="auto"/>
          <w:sz w:val="24"/>
          <w:szCs w:val="24"/>
          <w:highlight w:val="none"/>
          <w:u w:val="single"/>
          <w:lang w:val="en-US" w:eastAsia="zh-CN"/>
        </w:rPr>
        <w:t>得</w:t>
      </w:r>
      <w:r>
        <w:rPr>
          <w:rFonts w:hint="eastAsia" w:cs="宋体"/>
          <w:b w:val="0"/>
          <w:bCs/>
          <w:color w:val="auto"/>
          <w:sz w:val="24"/>
          <w:szCs w:val="24"/>
          <w:highlight w:val="none"/>
          <w:u w:val="single"/>
          <w:lang w:eastAsia="zh-CN"/>
        </w:rPr>
        <w:t>在设计方案上标注或做任何可以辨认投标人及专业技术人员身份的名称、印章、商标、图形等记认符号。</w:t>
      </w:r>
    </w:p>
    <w:p w14:paraId="7138FB45">
      <w:pPr>
        <w:pStyle w:val="6"/>
        <w:spacing w:line="360" w:lineRule="auto"/>
        <w:ind w:firstLine="480"/>
        <w:rPr>
          <w:color w:val="auto"/>
          <w:highlight w:val="none"/>
          <w:lang w:eastAsia="zh-CN"/>
        </w:rPr>
      </w:pPr>
      <w:r>
        <w:rPr>
          <w:rFonts w:hint="eastAsia" w:ascii="宋体" w:hAnsi="宋体"/>
          <w:color w:val="auto"/>
          <w:sz w:val="24"/>
          <w:szCs w:val="24"/>
          <w:highlight w:val="none"/>
          <w:u w:val="single"/>
          <w:lang w:eastAsia="zh-CN"/>
        </w:rPr>
        <w:t>具体详见招标文件第六章的设计投标文件编制要求。</w:t>
      </w:r>
    </w:p>
    <w:p w14:paraId="2B947F39">
      <w:pPr>
        <w:pStyle w:val="9"/>
        <w:spacing w:line="360" w:lineRule="auto"/>
        <w:ind w:left="0" w:firstLine="480" w:firstLineChars="200"/>
        <w:rPr>
          <w:rFonts w:cs="宋体"/>
          <w:color w:val="auto"/>
          <w:sz w:val="24"/>
          <w:szCs w:val="24"/>
          <w:highlight w:val="none"/>
          <w:lang w:eastAsia="zh-CN"/>
        </w:rPr>
      </w:pPr>
      <w:r>
        <w:rPr>
          <w:rFonts w:hint="eastAsia" w:cs="宋体"/>
          <w:color w:val="auto"/>
          <w:sz w:val="24"/>
          <w:szCs w:val="24"/>
          <w:highlight w:val="none"/>
          <w:lang w:eastAsia="zh-CN"/>
        </w:rPr>
        <w:t>投标人在评标过程中作出的符合法律法规和招标文件规定的澄清确认，构成投标文件的组成部分。</w:t>
      </w:r>
    </w:p>
    <w:p w14:paraId="3C7C9F39">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3.1.2投标人须知前附表规定不接受联合体投标的，或投标人没有组成联合体的，投标文件不包括联合体协议书。</w:t>
      </w:r>
    </w:p>
    <w:p w14:paraId="6D1442E8">
      <w:pPr>
        <w:spacing w:line="360" w:lineRule="auto"/>
        <w:rPr>
          <w:rFonts w:ascii="宋体" w:hAnsi="宋体"/>
          <w:color w:val="auto"/>
          <w:sz w:val="24"/>
          <w:szCs w:val="24"/>
          <w:highlight w:val="none"/>
        </w:rPr>
      </w:pPr>
    </w:p>
    <w:p w14:paraId="2ED35E62">
      <w:pPr>
        <w:pStyle w:val="5"/>
        <w:spacing w:line="360" w:lineRule="auto"/>
        <w:ind w:right="44"/>
        <w:rPr>
          <w:b w:val="0"/>
          <w:color w:val="auto"/>
          <w:sz w:val="24"/>
          <w:szCs w:val="24"/>
          <w:highlight w:val="none"/>
        </w:rPr>
      </w:pPr>
      <w:r>
        <w:rPr>
          <w:b w:val="0"/>
          <w:color w:val="auto"/>
          <w:highlight w:val="none"/>
        </w:rPr>
        <w:t>3.2投标报价</w:t>
      </w:r>
    </w:p>
    <w:p w14:paraId="00DCC2D5">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3.2.1投标报价应包括国家规定的增值税税金，除投标人须知前附表另有规定外，增值税税金按一般计税方法计算。投标人应按第六章“投标文件格式”的要求在投标函中进行报价并填写</w:t>
      </w:r>
      <w:r>
        <w:rPr>
          <w:rFonts w:hint="eastAsia"/>
          <w:color w:val="auto"/>
          <w:sz w:val="24"/>
          <w:szCs w:val="24"/>
          <w:highlight w:val="none"/>
          <w:u w:val="single"/>
          <w:lang w:eastAsia="zh-CN"/>
        </w:rPr>
        <w:t>设计</w:t>
      </w:r>
      <w:r>
        <w:rPr>
          <w:color w:val="auto"/>
          <w:sz w:val="24"/>
          <w:szCs w:val="24"/>
          <w:highlight w:val="none"/>
          <w:u w:val="single"/>
          <w:lang w:eastAsia="zh-CN"/>
        </w:rPr>
        <w:t>费</w:t>
      </w:r>
      <w:r>
        <w:rPr>
          <w:color w:val="auto"/>
          <w:sz w:val="24"/>
          <w:szCs w:val="24"/>
          <w:highlight w:val="none"/>
          <w:lang w:eastAsia="zh-CN"/>
        </w:rPr>
        <w:t>用清单。</w:t>
      </w:r>
    </w:p>
    <w:p w14:paraId="0E4E1868">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3.2.2投标人应充分了解该项目的总体情况以及影响投标报价的其他要素。</w:t>
      </w:r>
    </w:p>
    <w:p w14:paraId="6AF3FBD9">
      <w:pPr>
        <w:pStyle w:val="9"/>
        <w:spacing w:line="360" w:lineRule="auto"/>
        <w:ind w:left="0" w:firstLine="480" w:firstLineChars="200"/>
        <w:rPr>
          <w:strike/>
          <w:color w:val="auto"/>
          <w:sz w:val="24"/>
          <w:szCs w:val="24"/>
          <w:highlight w:val="none"/>
          <w:lang w:eastAsia="zh-CN"/>
        </w:rPr>
      </w:pPr>
      <w:r>
        <w:rPr>
          <w:color w:val="auto"/>
          <w:sz w:val="24"/>
          <w:szCs w:val="24"/>
          <w:highlight w:val="none"/>
          <w:lang w:eastAsia="zh-CN"/>
        </w:rPr>
        <w:t>3.2.3本项目的报价方式见投标人须知前附表。</w:t>
      </w:r>
    </w:p>
    <w:p w14:paraId="425D8C81">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3.2.4招标人设有最高投标限价的，投标人的投标报价不得超过最高投标限价，最高投标限价在投标人须知前附表中载明。</w:t>
      </w:r>
    </w:p>
    <w:p w14:paraId="65E64C4F">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3.2.5投标报价的其他要求见投标人须知前附表。</w:t>
      </w:r>
    </w:p>
    <w:p w14:paraId="2414C36D">
      <w:pPr>
        <w:pStyle w:val="5"/>
        <w:spacing w:line="360" w:lineRule="auto"/>
        <w:ind w:right="44"/>
        <w:rPr>
          <w:b w:val="0"/>
          <w:color w:val="auto"/>
          <w:sz w:val="24"/>
          <w:szCs w:val="24"/>
          <w:highlight w:val="none"/>
        </w:rPr>
      </w:pPr>
      <w:r>
        <w:rPr>
          <w:b w:val="0"/>
          <w:color w:val="auto"/>
          <w:highlight w:val="none"/>
        </w:rPr>
        <w:t>3.3投标有效期</w:t>
      </w:r>
    </w:p>
    <w:p w14:paraId="34992BB1">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3.3.1除投标人须知前附表另有规定外，投标有效期为90天。</w:t>
      </w:r>
    </w:p>
    <w:p w14:paraId="0223404C">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3.3.2在投标有效期内，投标人撤销投标文件的，应承担招标文件和法律规定的责任。</w:t>
      </w:r>
    </w:p>
    <w:p w14:paraId="23D60F0F">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19F9B613">
      <w:pPr>
        <w:pStyle w:val="5"/>
        <w:spacing w:line="360" w:lineRule="auto"/>
        <w:ind w:right="44"/>
        <w:rPr>
          <w:b w:val="0"/>
          <w:strike/>
          <w:color w:val="auto"/>
          <w:sz w:val="24"/>
          <w:szCs w:val="24"/>
          <w:highlight w:val="none"/>
        </w:rPr>
      </w:pPr>
      <w:r>
        <w:rPr>
          <w:b w:val="0"/>
          <w:color w:val="auto"/>
          <w:highlight w:val="none"/>
        </w:rPr>
        <w:t>3.4投标保证金</w:t>
      </w:r>
    </w:p>
    <w:p w14:paraId="72202077">
      <w:pPr>
        <w:pStyle w:val="9"/>
        <w:spacing w:line="360" w:lineRule="auto"/>
        <w:ind w:left="0" w:firstLine="480" w:firstLineChars="200"/>
        <w:rPr>
          <w:color w:val="auto"/>
          <w:sz w:val="24"/>
          <w:szCs w:val="24"/>
          <w:highlight w:val="none"/>
          <w:u w:val="single"/>
          <w:lang w:eastAsia="zh-CN"/>
        </w:rPr>
      </w:pPr>
      <w:r>
        <w:rPr>
          <w:rFonts w:hint="eastAsia"/>
          <w:color w:val="auto"/>
          <w:sz w:val="24"/>
          <w:szCs w:val="24"/>
          <w:highlight w:val="none"/>
          <w:u w:val="single"/>
          <w:lang w:eastAsia="zh-CN"/>
        </w:rPr>
        <w:t>本项目不要求投标人递交投标保证金。</w:t>
      </w:r>
    </w:p>
    <w:p w14:paraId="7156F7D6">
      <w:pPr>
        <w:pStyle w:val="5"/>
        <w:spacing w:line="360" w:lineRule="auto"/>
        <w:ind w:right="44"/>
        <w:rPr>
          <w:b w:val="0"/>
          <w:color w:val="auto"/>
          <w:sz w:val="24"/>
          <w:szCs w:val="24"/>
          <w:highlight w:val="none"/>
        </w:rPr>
      </w:pPr>
      <w:r>
        <w:rPr>
          <w:b w:val="0"/>
          <w:color w:val="auto"/>
          <w:highlight w:val="none"/>
        </w:rPr>
        <w:t>3.5资格审查资料（适用于未进行资格预审的）</w:t>
      </w:r>
    </w:p>
    <w:p w14:paraId="03AFD10F">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除投标人须知前附表另有规定外，投标人应按</w:t>
      </w:r>
      <w:r>
        <w:rPr>
          <w:rFonts w:hint="eastAsia"/>
          <w:color w:val="auto"/>
          <w:sz w:val="24"/>
          <w:szCs w:val="24"/>
          <w:highlight w:val="none"/>
          <w:u w:val="single"/>
          <w:lang w:eastAsia="zh-CN"/>
        </w:rPr>
        <w:t>招标公告和本章第3.1项的要求</w:t>
      </w:r>
      <w:r>
        <w:rPr>
          <w:color w:val="auto"/>
          <w:sz w:val="24"/>
          <w:szCs w:val="24"/>
          <w:highlight w:val="none"/>
          <w:lang w:eastAsia="zh-CN"/>
        </w:rPr>
        <w:t>提供资格审查资料，以证明其满足本章第1.4款规定的资质、财务、业绩、信誉等要求。</w:t>
      </w:r>
    </w:p>
    <w:p w14:paraId="0F375C5F">
      <w:pPr>
        <w:pStyle w:val="5"/>
        <w:spacing w:line="360" w:lineRule="auto"/>
        <w:ind w:right="44"/>
        <w:rPr>
          <w:b w:val="0"/>
          <w:color w:val="auto"/>
          <w:sz w:val="24"/>
          <w:szCs w:val="24"/>
          <w:highlight w:val="none"/>
        </w:rPr>
      </w:pPr>
      <w:r>
        <w:rPr>
          <w:b w:val="0"/>
          <w:color w:val="auto"/>
          <w:highlight w:val="none"/>
        </w:rPr>
        <w:t>3.6备选投标方案</w:t>
      </w:r>
    </w:p>
    <w:p w14:paraId="7A558FEA">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3.6.1除投标人须知前附表规定允许外，投标人不得递交备选投标方案，否则其投标将被否决。</w:t>
      </w:r>
    </w:p>
    <w:p w14:paraId="0BB6932E">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1879CFE2">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3.6.3投标人提供两个或两个以上投标报价，或者在投标文件中提供一个报价，但同时提供两个或两个以上</w:t>
      </w:r>
      <w:r>
        <w:rPr>
          <w:rFonts w:hint="eastAsia"/>
          <w:color w:val="auto"/>
          <w:sz w:val="24"/>
          <w:szCs w:val="24"/>
          <w:highlight w:val="none"/>
          <w:lang w:eastAsia="zh-CN"/>
        </w:rPr>
        <w:t>设计</w:t>
      </w:r>
      <w:r>
        <w:rPr>
          <w:color w:val="auto"/>
          <w:sz w:val="24"/>
          <w:szCs w:val="24"/>
          <w:highlight w:val="none"/>
          <w:lang w:eastAsia="zh-CN"/>
        </w:rPr>
        <w:t>方案的，视为提供备选方案。</w:t>
      </w:r>
    </w:p>
    <w:p w14:paraId="0AB35D60">
      <w:pPr>
        <w:pStyle w:val="5"/>
        <w:spacing w:line="360" w:lineRule="auto"/>
        <w:ind w:right="44"/>
        <w:rPr>
          <w:b w:val="0"/>
          <w:color w:val="auto"/>
          <w:sz w:val="24"/>
          <w:szCs w:val="24"/>
          <w:highlight w:val="none"/>
        </w:rPr>
      </w:pPr>
      <w:r>
        <w:rPr>
          <w:b w:val="0"/>
          <w:color w:val="auto"/>
          <w:highlight w:val="none"/>
        </w:rPr>
        <w:t>3.7投标文件的编制</w:t>
      </w:r>
    </w:p>
    <w:p w14:paraId="1792C546">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1265B968">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3.7.2投标文件应当对招标文件有关</w:t>
      </w:r>
      <w:r>
        <w:rPr>
          <w:rFonts w:hint="eastAsia"/>
          <w:color w:val="auto"/>
          <w:sz w:val="24"/>
          <w:szCs w:val="24"/>
          <w:highlight w:val="none"/>
          <w:lang w:eastAsia="zh-CN"/>
        </w:rPr>
        <w:t>设计</w:t>
      </w:r>
      <w:r>
        <w:rPr>
          <w:color w:val="auto"/>
          <w:sz w:val="24"/>
          <w:szCs w:val="24"/>
          <w:highlight w:val="none"/>
          <w:lang w:eastAsia="zh-CN"/>
        </w:rPr>
        <w:t>服务期限、投标有效期、发包人要求、招标范围等实质性内容作出响应。</w:t>
      </w:r>
    </w:p>
    <w:p w14:paraId="40CC12E1">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3.7.3（B）投标文件全部采用电子文档，除投标人须知前附表另有规定外，投标文件所附证书证件均为</w:t>
      </w:r>
      <w:r>
        <w:rPr>
          <w:rFonts w:hint="eastAsia"/>
          <w:color w:val="auto"/>
          <w:sz w:val="24"/>
          <w:szCs w:val="24"/>
          <w:highlight w:val="none"/>
          <w:lang w:eastAsia="zh-CN"/>
        </w:rPr>
        <w:t>清晰</w:t>
      </w:r>
      <w:r>
        <w:rPr>
          <w:color w:val="auto"/>
          <w:sz w:val="24"/>
          <w:szCs w:val="24"/>
          <w:highlight w:val="none"/>
          <w:lang w:eastAsia="zh-CN"/>
        </w:rPr>
        <w:t>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507142DB">
      <w:pPr>
        <w:pStyle w:val="9"/>
        <w:spacing w:line="360" w:lineRule="auto"/>
        <w:ind w:left="0" w:firstLine="480" w:firstLineChars="200"/>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u w:val="single"/>
          <w:lang w:val="en-US" w:eastAsia="zh-CN"/>
        </w:rPr>
        <w:t>3.7.4</w:t>
      </w:r>
      <w:r>
        <w:rPr>
          <w:rFonts w:hint="eastAsia" w:ascii="宋体" w:hAnsi="宋体" w:eastAsia="宋体" w:cs="Times New Roman"/>
          <w:color w:val="auto"/>
          <w:sz w:val="24"/>
          <w:szCs w:val="24"/>
          <w:highlight w:val="none"/>
          <w:u w:val="single"/>
          <w:lang w:eastAsia="zh-CN"/>
        </w:rPr>
        <w:t>暗标的具体要求：技术</w:t>
      </w:r>
      <w:r>
        <w:rPr>
          <w:rFonts w:hint="eastAsia" w:ascii="宋体" w:hAnsi="宋体" w:eastAsia="宋体" w:cs="Times New Roman"/>
          <w:color w:val="auto"/>
          <w:sz w:val="24"/>
          <w:szCs w:val="24"/>
          <w:highlight w:val="none"/>
          <w:u w:val="single"/>
          <w:lang w:val="en-US" w:eastAsia="zh-CN"/>
        </w:rPr>
        <w:t>文件</w:t>
      </w:r>
      <w:r>
        <w:rPr>
          <w:rFonts w:hint="eastAsia" w:ascii="宋体" w:hAnsi="宋体" w:eastAsia="宋体" w:cs="Times New Roman"/>
          <w:color w:val="auto"/>
          <w:sz w:val="24"/>
          <w:szCs w:val="24"/>
          <w:highlight w:val="none"/>
          <w:u w:val="single"/>
          <w:lang w:eastAsia="zh-CN"/>
        </w:rPr>
        <w:t>中不</w:t>
      </w:r>
      <w:r>
        <w:rPr>
          <w:rFonts w:hint="eastAsia" w:cs="Times New Roman"/>
          <w:color w:val="auto"/>
          <w:sz w:val="24"/>
          <w:szCs w:val="24"/>
          <w:highlight w:val="none"/>
          <w:u w:val="single"/>
          <w:lang w:val="en-US" w:eastAsia="zh-CN"/>
        </w:rPr>
        <w:t>可</w:t>
      </w:r>
      <w:r>
        <w:rPr>
          <w:rFonts w:hint="eastAsia" w:ascii="宋体" w:hAnsi="宋体" w:eastAsia="宋体" w:cs="Times New Roman"/>
          <w:color w:val="auto"/>
          <w:sz w:val="24"/>
          <w:szCs w:val="24"/>
          <w:highlight w:val="none"/>
          <w:u w:val="single"/>
          <w:lang w:eastAsia="zh-CN"/>
        </w:rPr>
        <w:t>辨认出投标人或其专业技术人员的身份。不</w:t>
      </w:r>
      <w:r>
        <w:rPr>
          <w:rFonts w:hint="eastAsia" w:cs="Times New Roman"/>
          <w:color w:val="auto"/>
          <w:sz w:val="24"/>
          <w:szCs w:val="24"/>
          <w:highlight w:val="none"/>
          <w:u w:val="single"/>
          <w:lang w:val="en-US" w:eastAsia="zh-CN"/>
        </w:rPr>
        <w:t>得</w:t>
      </w:r>
      <w:r>
        <w:rPr>
          <w:rFonts w:hint="eastAsia" w:ascii="宋体" w:hAnsi="宋体" w:eastAsia="宋体" w:cs="Times New Roman"/>
          <w:color w:val="auto"/>
          <w:sz w:val="24"/>
          <w:szCs w:val="24"/>
          <w:highlight w:val="none"/>
          <w:u w:val="single"/>
          <w:lang w:eastAsia="zh-CN"/>
        </w:rPr>
        <w:t>在设计方案上标注或做任何可以辨认投标人及专业技术人员身份的名称、印章、商标、图形等记认符号。</w:t>
      </w:r>
    </w:p>
    <w:p w14:paraId="3AB6117F">
      <w:pPr>
        <w:rPr>
          <w:color w:val="auto"/>
          <w:highlight w:val="none"/>
          <w:lang w:eastAsia="zh-CN"/>
        </w:rPr>
      </w:pPr>
    </w:p>
    <w:p w14:paraId="0EE2F858">
      <w:pPr>
        <w:spacing w:line="360" w:lineRule="auto"/>
        <w:rPr>
          <w:rFonts w:ascii="宋体" w:hAnsi="宋体"/>
          <w:color w:val="auto"/>
          <w:sz w:val="24"/>
          <w:szCs w:val="24"/>
          <w:highlight w:val="none"/>
        </w:rPr>
      </w:pPr>
    </w:p>
    <w:p w14:paraId="5DD52812">
      <w:pPr>
        <w:pStyle w:val="4"/>
        <w:spacing w:line="360" w:lineRule="auto"/>
        <w:ind w:right="44"/>
        <w:rPr>
          <w:rFonts w:ascii="宋体" w:hAnsi="宋体"/>
          <w:b w:val="0"/>
          <w:color w:val="auto"/>
          <w:sz w:val="24"/>
          <w:szCs w:val="24"/>
          <w:highlight w:val="none"/>
        </w:rPr>
      </w:pPr>
      <w:bookmarkStart w:id="8" w:name="_Toc12380"/>
      <w:r>
        <w:rPr>
          <w:rFonts w:ascii="宋体" w:hAnsi="宋体"/>
          <w:b w:val="0"/>
          <w:color w:val="auto"/>
          <w:highlight w:val="none"/>
        </w:rPr>
        <w:t>4. 投标</w:t>
      </w:r>
      <w:bookmarkEnd w:id="8"/>
    </w:p>
    <w:p w14:paraId="73909DE1">
      <w:pPr>
        <w:pStyle w:val="5"/>
        <w:spacing w:line="360" w:lineRule="auto"/>
        <w:ind w:right="44"/>
        <w:rPr>
          <w:b w:val="0"/>
          <w:color w:val="auto"/>
          <w:sz w:val="24"/>
          <w:szCs w:val="24"/>
          <w:highlight w:val="none"/>
        </w:rPr>
      </w:pPr>
      <w:r>
        <w:rPr>
          <w:b w:val="0"/>
          <w:color w:val="auto"/>
          <w:highlight w:val="none"/>
        </w:rPr>
        <w:t>4.1投标文件的密封和标记</w:t>
      </w:r>
    </w:p>
    <w:p w14:paraId="2CC4B37B">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4.1.1（B）投标人应当按照招标文件和电子招标投标交易平台的要求加密投标文件，具体要求见投标人须知前附表。</w:t>
      </w:r>
    </w:p>
    <w:p w14:paraId="25034578">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4.1.2投标文件</w:t>
      </w:r>
      <w:r>
        <w:rPr>
          <w:rFonts w:hint="eastAsia"/>
          <w:color w:val="auto"/>
          <w:sz w:val="24"/>
          <w:szCs w:val="24"/>
          <w:highlight w:val="none"/>
          <w:u w:val="single"/>
          <w:lang w:eastAsia="zh-CN"/>
        </w:rPr>
        <w:t>备用光盘</w:t>
      </w:r>
      <w:r>
        <w:rPr>
          <w:color w:val="auto"/>
          <w:sz w:val="24"/>
          <w:szCs w:val="24"/>
          <w:highlight w:val="none"/>
          <w:lang w:eastAsia="zh-CN"/>
        </w:rPr>
        <w:t>封套上应写明的内容见投标人须知前附表。</w:t>
      </w:r>
    </w:p>
    <w:p w14:paraId="75FDC5DD">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4.1.3未按本章第 4.1.1项要求密封的投标文件，招标人将予以拒收。</w:t>
      </w:r>
    </w:p>
    <w:p w14:paraId="0D893A35">
      <w:pPr>
        <w:spacing w:line="360" w:lineRule="auto"/>
        <w:rPr>
          <w:rFonts w:ascii="宋体" w:hAnsi="宋体"/>
          <w:color w:val="auto"/>
          <w:sz w:val="24"/>
          <w:szCs w:val="24"/>
          <w:highlight w:val="none"/>
        </w:rPr>
      </w:pPr>
    </w:p>
    <w:p w14:paraId="468F1CF4">
      <w:pPr>
        <w:pStyle w:val="5"/>
        <w:spacing w:line="360" w:lineRule="auto"/>
        <w:ind w:right="44"/>
        <w:rPr>
          <w:b w:val="0"/>
          <w:color w:val="auto"/>
          <w:sz w:val="24"/>
          <w:szCs w:val="24"/>
          <w:highlight w:val="none"/>
        </w:rPr>
      </w:pPr>
      <w:r>
        <w:rPr>
          <w:b w:val="0"/>
          <w:color w:val="auto"/>
          <w:highlight w:val="none"/>
        </w:rPr>
        <w:t>4.2投标文件的递交</w:t>
      </w:r>
    </w:p>
    <w:p w14:paraId="239BF823">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4.2.1投标人应在投标人须知前附表规定的投标截止时间前递交投标文件。</w:t>
      </w:r>
    </w:p>
    <w:p w14:paraId="04796D8E">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4.2.2（B）投标人通过下载招标文件的电子招标投标交易平台递交电子投标文件。</w:t>
      </w:r>
    </w:p>
    <w:p w14:paraId="5633F9BF">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4.2.3除投标人须知前附表另有规定外，投标人所递交的投标文件不予退还。</w:t>
      </w:r>
    </w:p>
    <w:p w14:paraId="30F1F554">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4.2.4（B）投标人完成电子投标文件上传后，电子招标投标交易平台即时向投标人发出递交回执通知。递交时间以递交回执通知载明的传输完成时间为准。</w:t>
      </w:r>
    </w:p>
    <w:p w14:paraId="43F83308">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4.2.5（B）逾期送达的投标文件，电子招标投标交易平台将予以拒收。</w:t>
      </w:r>
    </w:p>
    <w:p w14:paraId="04DD148B">
      <w:pPr>
        <w:spacing w:line="360" w:lineRule="auto"/>
        <w:rPr>
          <w:rFonts w:ascii="宋体" w:hAnsi="宋体"/>
          <w:color w:val="auto"/>
          <w:sz w:val="24"/>
          <w:szCs w:val="24"/>
          <w:highlight w:val="none"/>
        </w:rPr>
      </w:pPr>
    </w:p>
    <w:p w14:paraId="00257A86">
      <w:pPr>
        <w:pStyle w:val="5"/>
        <w:spacing w:line="360" w:lineRule="auto"/>
        <w:ind w:right="44"/>
        <w:rPr>
          <w:b w:val="0"/>
          <w:color w:val="auto"/>
          <w:sz w:val="24"/>
          <w:szCs w:val="24"/>
          <w:highlight w:val="none"/>
        </w:rPr>
      </w:pPr>
      <w:r>
        <w:rPr>
          <w:b w:val="0"/>
          <w:color w:val="auto"/>
          <w:highlight w:val="none"/>
        </w:rPr>
        <w:t>4.3投标文件的修改与撤回</w:t>
      </w:r>
    </w:p>
    <w:p w14:paraId="7968212A">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4.3.1在本章第 4.2.1项规定的投标截止时间前，投标人可以修改或撤回已递交的投标文件，但应以书面形式通知招标人</w:t>
      </w:r>
      <w:r>
        <w:rPr>
          <w:rFonts w:hint="eastAsia"/>
          <w:color w:val="auto"/>
          <w:sz w:val="24"/>
          <w:szCs w:val="24"/>
          <w:highlight w:val="none"/>
          <w:lang w:eastAsia="zh-CN"/>
        </w:rPr>
        <w:t>。</w:t>
      </w:r>
      <w:r>
        <w:rPr>
          <w:rFonts w:hint="eastAsia"/>
          <w:color w:val="auto"/>
          <w:sz w:val="24"/>
          <w:szCs w:val="24"/>
          <w:highlight w:val="none"/>
          <w:u w:val="single"/>
          <w:lang w:val="en-US" w:eastAsia="zh-CN"/>
        </w:rPr>
        <w:t>电子投标的，</w:t>
      </w:r>
      <w:r>
        <w:rPr>
          <w:rFonts w:hint="eastAsia" w:ascii="宋体" w:hAnsi="宋体" w:eastAsia="宋体" w:cs="Times New Roman"/>
          <w:color w:val="auto"/>
          <w:sz w:val="24"/>
          <w:szCs w:val="24"/>
          <w:highlight w:val="none"/>
          <w:u w:val="single"/>
          <w:lang w:val="en-US" w:eastAsia="zh-CN"/>
        </w:rPr>
        <w:t>需在电子招投标交易平台发出撤回通知</w:t>
      </w:r>
      <w:r>
        <w:rPr>
          <w:color w:val="auto"/>
          <w:sz w:val="24"/>
          <w:szCs w:val="24"/>
          <w:highlight w:val="none"/>
          <w:lang w:eastAsia="zh-CN"/>
        </w:rPr>
        <w:t>。</w:t>
      </w:r>
    </w:p>
    <w:p w14:paraId="46C5B7A1">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4.3.2（B）投标人修改或撤回已递交投标文件的通知，应按照本章第3.7.3（B）项的要求加盖电子印章。电子招标投标交易平台收到通知后，即时向投标人发出确认回执通知。</w:t>
      </w:r>
    </w:p>
    <w:p w14:paraId="4A8BACF2">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4.3.3投标人撤回投标文件的，招标人自收到投标人书面撤回通知之日起 5日内退还已收取的投标保证金。</w:t>
      </w:r>
      <w:r>
        <w:rPr>
          <w:rFonts w:hint="eastAsia"/>
          <w:color w:val="auto"/>
          <w:sz w:val="24"/>
          <w:szCs w:val="24"/>
          <w:highlight w:val="none"/>
          <w:lang w:eastAsia="zh-CN"/>
        </w:rPr>
        <w:t>（本项目不适用）</w:t>
      </w:r>
    </w:p>
    <w:p w14:paraId="346144DC">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4.3.4修改的内容为投标文件的组成部分。修改的投标文件应按照本章第3条、第4条的规定进行编制、密封、标记和递交，并标明“修改”字样。</w:t>
      </w:r>
    </w:p>
    <w:p w14:paraId="1C7C166B">
      <w:pPr>
        <w:spacing w:line="360" w:lineRule="auto"/>
        <w:rPr>
          <w:rFonts w:ascii="宋体" w:hAnsi="宋体"/>
          <w:color w:val="auto"/>
          <w:sz w:val="24"/>
          <w:szCs w:val="24"/>
          <w:highlight w:val="none"/>
        </w:rPr>
      </w:pPr>
    </w:p>
    <w:p w14:paraId="5EAA3681">
      <w:pPr>
        <w:pStyle w:val="4"/>
        <w:spacing w:line="360" w:lineRule="auto"/>
        <w:ind w:right="44"/>
        <w:rPr>
          <w:rFonts w:ascii="宋体" w:hAnsi="宋体"/>
          <w:b w:val="0"/>
          <w:color w:val="auto"/>
          <w:sz w:val="24"/>
          <w:szCs w:val="24"/>
          <w:highlight w:val="none"/>
        </w:rPr>
      </w:pPr>
      <w:bookmarkStart w:id="9" w:name="_Toc14543"/>
      <w:r>
        <w:rPr>
          <w:rFonts w:ascii="宋体" w:hAnsi="宋体"/>
          <w:b w:val="0"/>
          <w:color w:val="auto"/>
          <w:highlight w:val="none"/>
        </w:rPr>
        <w:t>5. 开标</w:t>
      </w:r>
      <w:bookmarkEnd w:id="9"/>
    </w:p>
    <w:p w14:paraId="1D1DEFFB">
      <w:pPr>
        <w:pStyle w:val="5"/>
        <w:spacing w:line="360" w:lineRule="auto"/>
        <w:ind w:right="44"/>
        <w:rPr>
          <w:b w:val="0"/>
          <w:color w:val="auto"/>
          <w:sz w:val="24"/>
          <w:szCs w:val="24"/>
          <w:highlight w:val="none"/>
        </w:rPr>
      </w:pPr>
      <w:r>
        <w:rPr>
          <w:b w:val="0"/>
          <w:color w:val="auto"/>
          <w:highlight w:val="none"/>
        </w:rPr>
        <w:t>5.1开标时间和地点（B）</w:t>
      </w:r>
    </w:p>
    <w:p w14:paraId="50DF38B7">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招标人在本章第 4.2.1项规定的投标截止时间（开标时间）,通过电子招标投标交易平台公开开标，所有投标人的法定代表人或其委托代理人应当准时参加</w:t>
      </w:r>
      <w:r>
        <w:rPr>
          <w:rFonts w:hint="eastAsia"/>
          <w:color w:val="auto"/>
          <w:sz w:val="24"/>
          <w:szCs w:val="24"/>
          <w:highlight w:val="none"/>
          <w:lang w:eastAsia="zh-CN"/>
        </w:rPr>
        <w:t>，</w:t>
      </w:r>
      <w:r>
        <w:rPr>
          <w:rFonts w:hint="eastAsia"/>
          <w:color w:val="auto"/>
          <w:sz w:val="24"/>
          <w:szCs w:val="24"/>
          <w:highlight w:val="none"/>
          <w:u w:val="single"/>
          <w:lang w:eastAsia="zh-CN"/>
        </w:rPr>
        <w:t>也可不参加</w:t>
      </w:r>
      <w:r>
        <w:rPr>
          <w:color w:val="auto"/>
          <w:sz w:val="24"/>
          <w:szCs w:val="24"/>
          <w:highlight w:val="none"/>
          <w:lang w:eastAsia="zh-CN"/>
        </w:rPr>
        <w:t>。</w:t>
      </w:r>
    </w:p>
    <w:p w14:paraId="411329AD">
      <w:pPr>
        <w:spacing w:line="360" w:lineRule="auto"/>
        <w:rPr>
          <w:rFonts w:ascii="宋体" w:hAnsi="宋体"/>
          <w:color w:val="auto"/>
          <w:sz w:val="24"/>
          <w:szCs w:val="24"/>
          <w:highlight w:val="none"/>
        </w:rPr>
      </w:pPr>
    </w:p>
    <w:p w14:paraId="6A14412C">
      <w:pPr>
        <w:pStyle w:val="5"/>
        <w:spacing w:line="360" w:lineRule="auto"/>
        <w:ind w:right="44"/>
        <w:rPr>
          <w:b w:val="0"/>
          <w:color w:val="auto"/>
          <w:sz w:val="24"/>
          <w:szCs w:val="24"/>
          <w:highlight w:val="none"/>
        </w:rPr>
      </w:pPr>
      <w:r>
        <w:rPr>
          <w:b w:val="0"/>
          <w:color w:val="auto"/>
          <w:highlight w:val="none"/>
        </w:rPr>
        <w:t>5.2开标程序</w:t>
      </w:r>
    </w:p>
    <w:p w14:paraId="38158FCD">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主持人按下列程序进行开标：</w:t>
      </w:r>
    </w:p>
    <w:p w14:paraId="4B5F7AE1">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（1）宣布开标纪律；</w:t>
      </w:r>
    </w:p>
    <w:p w14:paraId="15BE3132">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（2）公布在投标截止时间前递交投标文件的投标人名称；</w:t>
      </w:r>
    </w:p>
    <w:p w14:paraId="02CB3480">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（3）宣布开标人、唱标人、记录人、监标人等有关人员姓名；</w:t>
      </w:r>
    </w:p>
    <w:p w14:paraId="73D2B906">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（4）（B）投标人通过电子招标投标交易平台对已递交的电子投标文件进行解密，公布招标项目名称、投标人名称、投标报价、</w:t>
      </w:r>
      <w:r>
        <w:rPr>
          <w:rFonts w:hint="eastAsia"/>
          <w:color w:val="auto"/>
          <w:sz w:val="24"/>
          <w:szCs w:val="24"/>
          <w:highlight w:val="none"/>
          <w:lang w:eastAsia="zh-CN"/>
        </w:rPr>
        <w:t>设计</w:t>
      </w:r>
      <w:r>
        <w:rPr>
          <w:color w:val="auto"/>
          <w:sz w:val="24"/>
          <w:szCs w:val="24"/>
          <w:highlight w:val="none"/>
          <w:lang w:eastAsia="zh-CN"/>
        </w:rPr>
        <w:t>服务期限及其他内容，并记录在案；</w:t>
      </w:r>
    </w:p>
    <w:p w14:paraId="00FE376D">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（5）（A）投标人代表、招标人代表、监标人、记录人等有关人员在开标记录上签字确认；</w:t>
      </w:r>
    </w:p>
    <w:p w14:paraId="19EEEB81">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（6）开标结束。</w:t>
      </w:r>
    </w:p>
    <w:p w14:paraId="40A10850">
      <w:pPr>
        <w:pStyle w:val="5"/>
        <w:spacing w:line="360" w:lineRule="auto"/>
        <w:ind w:right="44"/>
        <w:rPr>
          <w:b w:val="0"/>
          <w:color w:val="auto"/>
          <w:sz w:val="24"/>
          <w:szCs w:val="24"/>
          <w:highlight w:val="none"/>
        </w:rPr>
      </w:pPr>
      <w:r>
        <w:rPr>
          <w:b w:val="0"/>
          <w:color w:val="auto"/>
          <w:highlight w:val="none"/>
        </w:rPr>
        <w:t>5.3开标异议</w:t>
      </w:r>
    </w:p>
    <w:p w14:paraId="1C70AED6">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投标人对开标有异议的，应当在开标现场提出，招标人当场作出答复，并制作记录。</w:t>
      </w:r>
      <w:r>
        <w:rPr>
          <w:rFonts w:hint="eastAsia"/>
          <w:color w:val="auto"/>
          <w:sz w:val="24"/>
          <w:szCs w:val="24"/>
          <w:highlight w:val="none"/>
          <w:u w:val="single"/>
          <w:lang w:eastAsia="zh-CN"/>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52F02DE4">
      <w:pPr>
        <w:spacing w:line="360" w:lineRule="auto"/>
        <w:rPr>
          <w:rFonts w:ascii="宋体" w:hAnsi="宋体"/>
          <w:color w:val="auto"/>
          <w:sz w:val="24"/>
          <w:szCs w:val="24"/>
          <w:highlight w:val="none"/>
        </w:rPr>
      </w:pPr>
    </w:p>
    <w:p w14:paraId="43B351F8">
      <w:pPr>
        <w:pStyle w:val="4"/>
        <w:spacing w:line="360" w:lineRule="auto"/>
        <w:ind w:right="44"/>
        <w:rPr>
          <w:rFonts w:ascii="宋体" w:hAnsi="宋体"/>
          <w:b w:val="0"/>
          <w:color w:val="auto"/>
          <w:sz w:val="24"/>
          <w:szCs w:val="24"/>
          <w:highlight w:val="none"/>
        </w:rPr>
      </w:pPr>
      <w:bookmarkStart w:id="10" w:name="_Toc31906"/>
      <w:r>
        <w:rPr>
          <w:rFonts w:ascii="宋体" w:hAnsi="宋体"/>
          <w:b w:val="0"/>
          <w:color w:val="auto"/>
          <w:highlight w:val="none"/>
        </w:rPr>
        <w:t>6. 评标</w:t>
      </w:r>
      <w:bookmarkEnd w:id="10"/>
    </w:p>
    <w:p w14:paraId="59F83DFC">
      <w:pPr>
        <w:pStyle w:val="5"/>
        <w:spacing w:line="360" w:lineRule="auto"/>
        <w:ind w:right="44"/>
        <w:rPr>
          <w:b w:val="0"/>
          <w:color w:val="auto"/>
          <w:sz w:val="24"/>
          <w:szCs w:val="24"/>
          <w:highlight w:val="none"/>
        </w:rPr>
      </w:pPr>
      <w:r>
        <w:rPr>
          <w:b w:val="0"/>
          <w:color w:val="auto"/>
          <w:highlight w:val="none"/>
        </w:rPr>
        <w:t>6.1评标委员会</w:t>
      </w:r>
    </w:p>
    <w:p w14:paraId="2B09EAA2">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71BBB1C">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6.1.2评标委员会成员有下列情形之一的，应当回避：</w:t>
      </w:r>
    </w:p>
    <w:p w14:paraId="3D74587F">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（1）投标人或投标人主要负责人的近亲属；</w:t>
      </w:r>
    </w:p>
    <w:p w14:paraId="266E6F2C">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（2）项目主管部门或者行政监督部门的人员；</w:t>
      </w:r>
    </w:p>
    <w:p w14:paraId="67812449">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（3）与投标人有经济利益关系，可能影响对投标公正评审的；</w:t>
      </w:r>
    </w:p>
    <w:p w14:paraId="156A3A89">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（4）曾因在招标、评标以及其他与招标投标有关活动中从事违法行为而受过行政处罚或刑事处罚的；</w:t>
      </w:r>
    </w:p>
    <w:p w14:paraId="487A8C20">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（5）与投标人有其他利害关系。</w:t>
      </w:r>
    </w:p>
    <w:p w14:paraId="03789C84">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6.1.3评标过程中，评标委员会成员有回避事由、擅离职守或者因健康等原因不能继续评标的，招标人有权更换。被更换的评标委员会成员作出的评审结论无效，由更换后的评标委员会成员重新进行评审。</w:t>
      </w:r>
    </w:p>
    <w:p w14:paraId="30C17989">
      <w:pPr>
        <w:pStyle w:val="9"/>
        <w:spacing w:line="360" w:lineRule="auto"/>
        <w:ind w:left="0"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6.1.4</w:t>
      </w:r>
      <w:r>
        <w:rPr>
          <w:rFonts w:hint="eastAsia" w:ascii="宋体" w:hAnsi="宋体" w:eastAsia="宋体" w:cs="宋体"/>
          <w:color w:val="auto"/>
          <w:sz w:val="24"/>
          <w:szCs w:val="24"/>
          <w:highlight w:val="none"/>
          <w:u w:val="single"/>
          <w:lang w:eastAsia="zh-CN"/>
        </w:rPr>
        <w:t>评标委员会在开始评标前，应了解评标专家的职责及守则，认真阅读附件《评标委员会成员声明》的内容并签名，签字后方可进行评标</w:t>
      </w:r>
      <w:r>
        <w:rPr>
          <w:rFonts w:hint="eastAsia" w:cs="宋体"/>
          <w:color w:val="auto"/>
          <w:sz w:val="24"/>
          <w:szCs w:val="24"/>
          <w:highlight w:val="none"/>
          <w:u w:val="single"/>
          <w:lang w:eastAsia="zh-CN"/>
        </w:rPr>
        <w:t>。</w:t>
      </w:r>
    </w:p>
    <w:p w14:paraId="3D0F35C7">
      <w:pPr>
        <w:spacing w:line="360" w:lineRule="auto"/>
        <w:rPr>
          <w:rFonts w:ascii="宋体" w:hAnsi="宋体"/>
          <w:color w:val="auto"/>
          <w:sz w:val="24"/>
          <w:szCs w:val="24"/>
          <w:highlight w:val="none"/>
        </w:rPr>
      </w:pPr>
    </w:p>
    <w:p w14:paraId="2D3A4BF6">
      <w:pPr>
        <w:pStyle w:val="5"/>
        <w:spacing w:line="360" w:lineRule="auto"/>
        <w:ind w:right="44"/>
        <w:rPr>
          <w:b w:val="0"/>
          <w:color w:val="auto"/>
          <w:sz w:val="24"/>
          <w:szCs w:val="24"/>
          <w:highlight w:val="none"/>
        </w:rPr>
      </w:pPr>
      <w:r>
        <w:rPr>
          <w:b w:val="0"/>
          <w:color w:val="auto"/>
          <w:highlight w:val="none"/>
        </w:rPr>
        <w:t>6.2评标原则</w:t>
      </w:r>
    </w:p>
    <w:p w14:paraId="29FFE50D">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评标活动遵循公平、公正、科学和择优的原则。</w:t>
      </w:r>
    </w:p>
    <w:p w14:paraId="7CA729A8">
      <w:pPr>
        <w:spacing w:line="360" w:lineRule="auto"/>
        <w:rPr>
          <w:rFonts w:ascii="宋体" w:hAnsi="宋体"/>
          <w:color w:val="auto"/>
          <w:sz w:val="24"/>
          <w:szCs w:val="24"/>
          <w:highlight w:val="none"/>
        </w:rPr>
      </w:pPr>
    </w:p>
    <w:p w14:paraId="3FB69236">
      <w:pPr>
        <w:pStyle w:val="5"/>
        <w:spacing w:line="360" w:lineRule="auto"/>
        <w:ind w:right="44"/>
        <w:rPr>
          <w:b w:val="0"/>
          <w:color w:val="auto"/>
          <w:sz w:val="24"/>
          <w:szCs w:val="24"/>
          <w:highlight w:val="none"/>
        </w:rPr>
      </w:pPr>
      <w:r>
        <w:rPr>
          <w:b w:val="0"/>
          <w:color w:val="auto"/>
          <w:highlight w:val="none"/>
        </w:rPr>
        <w:t>6.3评标</w:t>
      </w:r>
    </w:p>
    <w:p w14:paraId="282DDF0A">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6.3.1评标委员会按照第三章“评标办法”规定的方法、评审因素、标准和程序对投标文件进行评审。第三章“评标办法”没有规定的方法、评审因素和标准，不作为评标依据。</w:t>
      </w:r>
    </w:p>
    <w:p w14:paraId="3C16ECF4">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6.3.2评标完成后，评标委员会应当向招标人提交书面评标报告和中标候选人名单。评标委员会推荐中标候选人的人数见投标人须知前附表。</w:t>
      </w:r>
    </w:p>
    <w:p w14:paraId="4A909409">
      <w:pPr>
        <w:spacing w:line="360" w:lineRule="auto"/>
        <w:rPr>
          <w:rFonts w:ascii="宋体" w:hAnsi="宋体"/>
          <w:color w:val="auto"/>
          <w:sz w:val="24"/>
          <w:szCs w:val="24"/>
          <w:highlight w:val="none"/>
        </w:rPr>
      </w:pPr>
    </w:p>
    <w:p w14:paraId="41F82BB6">
      <w:pPr>
        <w:pStyle w:val="4"/>
        <w:spacing w:line="360" w:lineRule="auto"/>
        <w:ind w:right="44"/>
        <w:rPr>
          <w:rFonts w:ascii="宋体" w:hAnsi="宋体"/>
          <w:b w:val="0"/>
          <w:color w:val="auto"/>
          <w:sz w:val="24"/>
          <w:szCs w:val="24"/>
          <w:highlight w:val="none"/>
        </w:rPr>
      </w:pPr>
      <w:bookmarkStart w:id="11" w:name="_Toc11536"/>
      <w:r>
        <w:rPr>
          <w:rFonts w:ascii="宋体" w:hAnsi="宋体"/>
          <w:b w:val="0"/>
          <w:color w:val="auto"/>
          <w:highlight w:val="none"/>
        </w:rPr>
        <w:t>7. 合同授予</w:t>
      </w:r>
      <w:bookmarkEnd w:id="11"/>
    </w:p>
    <w:p w14:paraId="1D9B52B9">
      <w:pPr>
        <w:pStyle w:val="5"/>
        <w:spacing w:line="360" w:lineRule="auto"/>
        <w:ind w:right="44"/>
        <w:rPr>
          <w:b w:val="0"/>
          <w:color w:val="auto"/>
          <w:sz w:val="24"/>
          <w:szCs w:val="24"/>
          <w:highlight w:val="none"/>
        </w:rPr>
      </w:pPr>
      <w:r>
        <w:rPr>
          <w:b w:val="0"/>
          <w:color w:val="auto"/>
          <w:highlight w:val="none"/>
        </w:rPr>
        <w:t>7.1中标候选人公示</w:t>
      </w:r>
    </w:p>
    <w:p w14:paraId="701E8190">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招标人在收到评标报告之日起 3日内，按照投标人须知前附表规定的公示媒介和期限公示中标候选人，公示期不得少于3天。</w:t>
      </w:r>
    </w:p>
    <w:p w14:paraId="225CD1CE">
      <w:pPr>
        <w:pStyle w:val="9"/>
        <w:spacing w:line="360" w:lineRule="auto"/>
        <w:ind w:left="0" w:firstLine="480" w:firstLineChars="200"/>
        <w:jc w:val="both"/>
        <w:rPr>
          <w:color w:val="auto"/>
          <w:sz w:val="24"/>
          <w:szCs w:val="24"/>
          <w:highlight w:val="none"/>
          <w:u w:val="single"/>
          <w:lang w:eastAsia="zh-CN"/>
        </w:rPr>
      </w:pPr>
      <w:r>
        <w:rPr>
          <w:rFonts w:hint="eastAsia"/>
          <w:color w:val="auto"/>
          <w:sz w:val="24"/>
          <w:szCs w:val="24"/>
          <w:highlight w:val="none"/>
          <w:u w:val="single"/>
          <w:lang w:eastAsia="zh-CN"/>
        </w:rPr>
        <w:t>在产生中标候选人后，招标人将中标候选人的</w:t>
      </w:r>
      <w:r>
        <w:rPr>
          <w:rFonts w:hint="eastAsia"/>
          <w:color w:val="auto"/>
          <w:sz w:val="24"/>
          <w:szCs w:val="24"/>
          <w:highlight w:val="none"/>
          <w:u w:val="single"/>
          <w:lang w:val="en-US" w:eastAsia="zh-CN"/>
        </w:rPr>
        <w:t>商务</w:t>
      </w:r>
      <w:r>
        <w:rPr>
          <w:rFonts w:hint="eastAsia"/>
          <w:color w:val="auto"/>
          <w:sz w:val="24"/>
          <w:szCs w:val="24"/>
          <w:highlight w:val="none"/>
          <w:u w:val="single"/>
          <w:lang w:eastAsia="zh-CN"/>
        </w:rPr>
        <w:t>部分</w:t>
      </w:r>
      <w:r>
        <w:rPr>
          <w:rFonts w:hint="eastAsia"/>
          <w:color w:val="auto"/>
          <w:sz w:val="24"/>
          <w:szCs w:val="24"/>
          <w:highlight w:val="none"/>
          <w:u w:val="single"/>
          <w:lang w:val="en-US" w:eastAsia="zh-CN"/>
        </w:rPr>
        <w:t>投标文件</w:t>
      </w:r>
      <w:r>
        <w:rPr>
          <w:rFonts w:hint="eastAsia"/>
          <w:color w:val="auto"/>
          <w:sz w:val="24"/>
          <w:szCs w:val="24"/>
          <w:highlight w:val="none"/>
          <w:u w:val="single"/>
          <w:lang w:eastAsia="zh-CN"/>
        </w:rPr>
        <w:t>的电子版（报价清单、方案等涉及商业秘密的内容除外）在广州交易集团有限公司（广州公共资源交易中心）网（网址：</w:t>
      </w:r>
      <w:r>
        <w:rPr>
          <w:color w:val="auto"/>
          <w:sz w:val="24"/>
          <w:szCs w:val="24"/>
          <w:highlight w:val="none"/>
          <w:u w:val="single"/>
          <w:lang w:eastAsia="zh-CN"/>
        </w:rPr>
        <w:t>http://www.gzggzy.cn</w:t>
      </w:r>
      <w:r>
        <w:rPr>
          <w:rFonts w:hint="eastAsia"/>
          <w:color w:val="auto"/>
          <w:sz w:val="24"/>
          <w:szCs w:val="24"/>
          <w:highlight w:val="none"/>
          <w:u w:val="single"/>
          <w:lang w:eastAsia="zh-CN"/>
        </w:rPr>
        <w:t>）、广东省招标投标监管网（网址：</w:t>
      </w:r>
      <w:r>
        <w:rPr>
          <w:color w:val="auto"/>
          <w:sz w:val="24"/>
          <w:szCs w:val="24"/>
          <w:highlight w:val="none"/>
          <w:u w:val="single"/>
          <w:lang w:eastAsia="zh-CN"/>
        </w:rPr>
        <w:t>http://zbtb.gd.gov.cn</w:t>
      </w:r>
      <w:r>
        <w:rPr>
          <w:rFonts w:hint="eastAsia"/>
          <w:color w:val="auto"/>
          <w:sz w:val="24"/>
          <w:szCs w:val="24"/>
          <w:highlight w:val="none"/>
          <w:u w:val="single"/>
          <w:lang w:eastAsia="zh-CN"/>
        </w:rPr>
        <w:t>）发布公示。</w:t>
      </w:r>
    </w:p>
    <w:p w14:paraId="7383A7D6">
      <w:pPr>
        <w:spacing w:line="360" w:lineRule="auto"/>
        <w:rPr>
          <w:rFonts w:ascii="宋体" w:hAnsi="宋体"/>
          <w:color w:val="auto"/>
          <w:sz w:val="24"/>
          <w:szCs w:val="24"/>
          <w:highlight w:val="none"/>
        </w:rPr>
      </w:pPr>
    </w:p>
    <w:p w14:paraId="77BC3D18">
      <w:pPr>
        <w:pStyle w:val="5"/>
        <w:spacing w:line="360" w:lineRule="auto"/>
        <w:ind w:right="44"/>
        <w:rPr>
          <w:b w:val="0"/>
          <w:color w:val="auto"/>
          <w:sz w:val="24"/>
          <w:szCs w:val="24"/>
          <w:highlight w:val="none"/>
        </w:rPr>
      </w:pPr>
      <w:r>
        <w:rPr>
          <w:b w:val="0"/>
          <w:color w:val="auto"/>
          <w:highlight w:val="none"/>
        </w:rPr>
        <w:t>7.2评标结果异议</w:t>
      </w:r>
    </w:p>
    <w:p w14:paraId="637E9E49">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投标人或者其他利害关系人对评标结果有异议的，应当在中标候选人公示期间提出</w:t>
      </w:r>
      <w:r>
        <w:rPr>
          <w:rFonts w:hint="eastAsia"/>
          <w:color w:val="auto"/>
          <w:sz w:val="24"/>
          <w:szCs w:val="24"/>
          <w:highlight w:val="none"/>
          <w:lang w:eastAsia="zh-CN"/>
        </w:rPr>
        <w:t>，</w:t>
      </w:r>
      <w:r>
        <w:rPr>
          <w:rFonts w:hint="eastAsia"/>
          <w:color w:val="auto"/>
          <w:sz w:val="24"/>
          <w:szCs w:val="24"/>
          <w:highlight w:val="none"/>
          <w:u w:val="single"/>
          <w:lang w:eastAsia="zh-CN"/>
        </w:rPr>
        <w:t>可以通过线下或线上的形式提出异议。线上提交的，应通过交易平台进行，招标人也应通过交易平台答复线上提交的异议。</w:t>
      </w:r>
      <w:r>
        <w:rPr>
          <w:color w:val="auto"/>
          <w:sz w:val="24"/>
          <w:szCs w:val="24"/>
          <w:highlight w:val="none"/>
          <w:lang w:eastAsia="zh-CN"/>
        </w:rPr>
        <w:t>招标人将在收到异议之日起3日内作出答复；作出答复前，将暂停招标投标活动。</w:t>
      </w:r>
    </w:p>
    <w:p w14:paraId="707EF76D">
      <w:pPr>
        <w:pStyle w:val="9"/>
        <w:spacing w:line="360" w:lineRule="auto"/>
        <w:ind w:left="0" w:firstLine="480" w:firstLineChars="200"/>
        <w:rPr>
          <w:color w:val="auto"/>
          <w:sz w:val="24"/>
          <w:szCs w:val="24"/>
          <w:highlight w:val="none"/>
          <w:lang w:eastAsia="zh-CN"/>
        </w:rPr>
      </w:pPr>
    </w:p>
    <w:p w14:paraId="620B3DC2">
      <w:pPr>
        <w:pStyle w:val="5"/>
        <w:spacing w:line="360" w:lineRule="auto"/>
        <w:ind w:right="44"/>
        <w:rPr>
          <w:b w:val="0"/>
          <w:color w:val="auto"/>
          <w:sz w:val="24"/>
          <w:szCs w:val="24"/>
          <w:highlight w:val="none"/>
        </w:rPr>
      </w:pPr>
      <w:r>
        <w:rPr>
          <w:b w:val="0"/>
          <w:color w:val="auto"/>
          <w:highlight w:val="none"/>
        </w:rPr>
        <w:t>7.3中标候选人履约能力审查</w:t>
      </w:r>
    </w:p>
    <w:p w14:paraId="420BDB2E">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26B8D2C6">
      <w:pPr>
        <w:pStyle w:val="5"/>
        <w:spacing w:line="360" w:lineRule="auto"/>
        <w:ind w:right="44"/>
        <w:rPr>
          <w:b w:val="0"/>
          <w:color w:val="auto"/>
          <w:sz w:val="24"/>
          <w:szCs w:val="24"/>
          <w:highlight w:val="none"/>
        </w:rPr>
      </w:pPr>
      <w:r>
        <w:rPr>
          <w:b w:val="0"/>
          <w:color w:val="auto"/>
          <w:highlight w:val="none"/>
        </w:rPr>
        <w:t>7.4定标</w:t>
      </w:r>
    </w:p>
    <w:p w14:paraId="3A5E2144">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按照投标人须知前附表的规定，招标人依法确定中标人。</w:t>
      </w:r>
    </w:p>
    <w:p w14:paraId="56E12ED2">
      <w:pPr>
        <w:pStyle w:val="5"/>
        <w:spacing w:line="360" w:lineRule="auto"/>
        <w:ind w:right="44"/>
        <w:rPr>
          <w:b w:val="0"/>
          <w:color w:val="auto"/>
          <w:sz w:val="24"/>
          <w:szCs w:val="24"/>
          <w:highlight w:val="none"/>
        </w:rPr>
      </w:pPr>
      <w:r>
        <w:rPr>
          <w:b w:val="0"/>
          <w:color w:val="auto"/>
          <w:highlight w:val="none"/>
        </w:rPr>
        <w:t>7.5中标通知</w:t>
      </w:r>
    </w:p>
    <w:p w14:paraId="5172091B">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在本章第 3.3款规定的投标有效期内，招标人以书面形式向中标人发出中标通知书，同时将中标结果通知未中标的投标人。</w:t>
      </w:r>
    </w:p>
    <w:p w14:paraId="0C564A1E">
      <w:pPr>
        <w:spacing w:line="360" w:lineRule="auto"/>
        <w:rPr>
          <w:rFonts w:ascii="宋体" w:hAnsi="宋体"/>
          <w:color w:val="auto"/>
          <w:sz w:val="24"/>
          <w:szCs w:val="24"/>
          <w:highlight w:val="none"/>
        </w:rPr>
      </w:pPr>
    </w:p>
    <w:p w14:paraId="3B02F685">
      <w:pPr>
        <w:pStyle w:val="5"/>
        <w:spacing w:line="360" w:lineRule="auto"/>
        <w:ind w:right="44"/>
        <w:rPr>
          <w:b w:val="0"/>
          <w:color w:val="auto"/>
          <w:sz w:val="24"/>
          <w:szCs w:val="24"/>
          <w:highlight w:val="none"/>
        </w:rPr>
      </w:pPr>
      <w:r>
        <w:rPr>
          <w:b w:val="0"/>
          <w:color w:val="auto"/>
          <w:highlight w:val="none"/>
        </w:rPr>
        <w:t>7.6技术成果经济补偿</w:t>
      </w:r>
    </w:p>
    <w:p w14:paraId="15CCD139">
      <w:pPr>
        <w:spacing w:line="360" w:lineRule="auto"/>
        <w:ind w:firstLine="480" w:firstLineChars="200"/>
        <w:rPr>
          <w:rFonts w:ascii="宋体" w:hAnsi="宋体" w:eastAsia="宋体" w:cs="Times New Roman"/>
          <w:color w:val="auto"/>
          <w:kern w:val="0"/>
          <w:sz w:val="24"/>
          <w:szCs w:val="24"/>
          <w:highlight w:val="none"/>
          <w:u w:val="single"/>
          <w:lang w:val="en-US" w:eastAsia="zh-CN" w:bidi="ar-SA"/>
        </w:rPr>
      </w:pPr>
      <w:r>
        <w:rPr>
          <w:rFonts w:hint="eastAsia" w:ascii="宋体" w:hAnsi="宋体" w:eastAsia="宋体" w:cs="Times New Roman"/>
          <w:color w:val="auto"/>
          <w:kern w:val="0"/>
          <w:sz w:val="24"/>
          <w:szCs w:val="24"/>
          <w:highlight w:val="none"/>
          <w:u w:val="single"/>
          <w:lang w:val="en-US" w:eastAsia="zh-CN" w:bidi="ar-SA"/>
        </w:rPr>
        <w:t>详见</w:t>
      </w:r>
      <w:r>
        <w:rPr>
          <w:rFonts w:ascii="宋体" w:hAnsi="宋体" w:eastAsia="宋体" w:cs="Times New Roman"/>
          <w:color w:val="auto"/>
          <w:kern w:val="0"/>
          <w:sz w:val="24"/>
          <w:szCs w:val="24"/>
          <w:highlight w:val="none"/>
          <w:u w:val="single"/>
          <w:lang w:val="en-US" w:eastAsia="zh-CN" w:bidi="ar-SA"/>
        </w:rPr>
        <w:t>投标人须知前附表</w:t>
      </w:r>
      <w:r>
        <w:rPr>
          <w:rFonts w:hint="eastAsia" w:ascii="宋体" w:hAnsi="宋体" w:eastAsia="宋体" w:cs="Times New Roman"/>
          <w:color w:val="auto"/>
          <w:kern w:val="0"/>
          <w:sz w:val="24"/>
          <w:szCs w:val="24"/>
          <w:highlight w:val="none"/>
          <w:u w:val="single"/>
          <w:lang w:val="en-US" w:eastAsia="zh-CN" w:bidi="ar-SA"/>
        </w:rPr>
        <w:t>。</w:t>
      </w:r>
    </w:p>
    <w:p w14:paraId="10972A8A">
      <w:pPr>
        <w:spacing w:line="360" w:lineRule="auto"/>
        <w:rPr>
          <w:rFonts w:ascii="宋体" w:hAnsi="宋体"/>
          <w:color w:val="auto"/>
          <w:sz w:val="24"/>
          <w:szCs w:val="24"/>
          <w:highlight w:val="none"/>
        </w:rPr>
      </w:pPr>
    </w:p>
    <w:p w14:paraId="058B124C">
      <w:pPr>
        <w:pStyle w:val="5"/>
        <w:spacing w:line="360" w:lineRule="auto"/>
        <w:ind w:right="44"/>
        <w:rPr>
          <w:b w:val="0"/>
          <w:color w:val="auto"/>
          <w:sz w:val="24"/>
          <w:szCs w:val="24"/>
          <w:highlight w:val="none"/>
        </w:rPr>
      </w:pPr>
      <w:r>
        <w:rPr>
          <w:b w:val="0"/>
          <w:color w:val="auto"/>
          <w:highlight w:val="none"/>
        </w:rPr>
        <w:t>7.7履约保证金</w:t>
      </w:r>
    </w:p>
    <w:p w14:paraId="27BBBFB3">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7.7.1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p>
    <w:p w14:paraId="7CC3EA0C">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7.7.2中标人不能按本章第 7.7.1项要求提交履约保证金的，视为放弃中标，</w:t>
      </w:r>
      <w:r>
        <w:rPr>
          <w:strike/>
          <w:dstrike w:val="0"/>
          <w:color w:val="auto"/>
          <w:sz w:val="24"/>
          <w:szCs w:val="24"/>
          <w:highlight w:val="none"/>
          <w:lang w:eastAsia="zh-CN"/>
        </w:rPr>
        <w:t>其投标保证金不予退还，</w:t>
      </w:r>
      <w:r>
        <w:rPr>
          <w:color w:val="auto"/>
          <w:sz w:val="24"/>
          <w:szCs w:val="24"/>
          <w:highlight w:val="none"/>
          <w:lang w:eastAsia="zh-CN"/>
        </w:rPr>
        <w:t>给招标人造成</w:t>
      </w:r>
      <w:r>
        <w:rPr>
          <w:strike/>
          <w:dstrike w:val="0"/>
          <w:color w:val="auto"/>
          <w:sz w:val="24"/>
          <w:szCs w:val="24"/>
          <w:highlight w:val="none"/>
          <w:lang w:eastAsia="zh-CN"/>
        </w:rPr>
        <w:t>的</w:t>
      </w:r>
      <w:r>
        <w:rPr>
          <w:color w:val="auto"/>
          <w:sz w:val="24"/>
          <w:szCs w:val="24"/>
          <w:highlight w:val="none"/>
          <w:lang w:eastAsia="zh-CN"/>
        </w:rPr>
        <w:t>损失</w:t>
      </w:r>
      <w:r>
        <w:rPr>
          <w:strike/>
          <w:dstrike w:val="0"/>
          <w:color w:val="auto"/>
          <w:sz w:val="24"/>
          <w:szCs w:val="24"/>
          <w:highlight w:val="none"/>
          <w:lang w:eastAsia="zh-CN"/>
        </w:rPr>
        <w:t>超过投标保证金数额</w:t>
      </w:r>
      <w:r>
        <w:rPr>
          <w:color w:val="auto"/>
          <w:sz w:val="24"/>
          <w:szCs w:val="24"/>
          <w:highlight w:val="none"/>
          <w:lang w:eastAsia="zh-CN"/>
        </w:rPr>
        <w:t>的，中标人还应当</w:t>
      </w:r>
      <w:r>
        <w:rPr>
          <w:strike/>
          <w:dstrike w:val="0"/>
          <w:color w:val="auto"/>
          <w:sz w:val="24"/>
          <w:szCs w:val="24"/>
          <w:highlight w:val="none"/>
          <w:lang w:eastAsia="zh-CN"/>
        </w:rPr>
        <w:t>对超过部分</w:t>
      </w:r>
      <w:r>
        <w:rPr>
          <w:color w:val="auto"/>
          <w:sz w:val="24"/>
          <w:szCs w:val="24"/>
          <w:highlight w:val="none"/>
          <w:lang w:eastAsia="zh-CN"/>
        </w:rPr>
        <w:t>予以赔偿。</w:t>
      </w:r>
    </w:p>
    <w:p w14:paraId="11030091">
      <w:pPr>
        <w:spacing w:line="360" w:lineRule="auto"/>
        <w:rPr>
          <w:rFonts w:ascii="宋体" w:hAnsi="宋体"/>
          <w:color w:val="auto"/>
          <w:sz w:val="24"/>
          <w:szCs w:val="24"/>
          <w:highlight w:val="none"/>
        </w:rPr>
      </w:pPr>
    </w:p>
    <w:p w14:paraId="298C7382">
      <w:pPr>
        <w:pStyle w:val="5"/>
        <w:spacing w:line="360" w:lineRule="auto"/>
        <w:ind w:right="44"/>
        <w:rPr>
          <w:b w:val="0"/>
          <w:color w:val="auto"/>
          <w:highlight w:val="none"/>
        </w:rPr>
      </w:pPr>
      <w:r>
        <w:rPr>
          <w:b w:val="0"/>
          <w:color w:val="auto"/>
          <w:highlight w:val="none"/>
        </w:rPr>
        <w:t>7.8签订合同</w:t>
      </w:r>
    </w:p>
    <w:p w14:paraId="5BABC9B7">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7.8.1招标人和中标人应当在中标通知书发出之日起 30日内，根据招标文件和中标人的投标文件订立书面合同。中标人无正当理由拒签合同，在签订合同时向招标人提出附加条件，或者不按照招标文件要求提交履约保证金的，招标人有权取消其中标资格，</w:t>
      </w:r>
      <w:r>
        <w:rPr>
          <w:strike/>
          <w:dstrike w:val="0"/>
          <w:color w:val="auto"/>
          <w:sz w:val="24"/>
          <w:szCs w:val="24"/>
          <w:highlight w:val="none"/>
          <w:lang w:eastAsia="zh-CN"/>
        </w:rPr>
        <w:t>其投标保证金不予退还；</w:t>
      </w:r>
      <w:r>
        <w:rPr>
          <w:color w:val="auto"/>
          <w:sz w:val="24"/>
          <w:szCs w:val="24"/>
          <w:highlight w:val="none"/>
          <w:lang w:eastAsia="zh-CN"/>
        </w:rPr>
        <w:t>给招标人造成</w:t>
      </w:r>
      <w:r>
        <w:rPr>
          <w:strike/>
          <w:dstrike w:val="0"/>
          <w:color w:val="auto"/>
          <w:sz w:val="24"/>
          <w:szCs w:val="24"/>
          <w:highlight w:val="none"/>
          <w:lang w:eastAsia="zh-CN"/>
        </w:rPr>
        <w:t>的</w:t>
      </w:r>
      <w:r>
        <w:rPr>
          <w:strike w:val="0"/>
          <w:dstrike w:val="0"/>
          <w:color w:val="auto"/>
          <w:sz w:val="24"/>
          <w:szCs w:val="24"/>
          <w:highlight w:val="none"/>
          <w:lang w:eastAsia="zh-CN"/>
        </w:rPr>
        <w:t>损失</w:t>
      </w:r>
      <w:r>
        <w:rPr>
          <w:strike/>
          <w:dstrike w:val="0"/>
          <w:color w:val="auto"/>
          <w:sz w:val="24"/>
          <w:szCs w:val="24"/>
          <w:highlight w:val="none"/>
          <w:lang w:eastAsia="zh-CN"/>
        </w:rPr>
        <w:t>超过投标保证金数额</w:t>
      </w:r>
      <w:r>
        <w:rPr>
          <w:color w:val="auto"/>
          <w:sz w:val="24"/>
          <w:szCs w:val="24"/>
          <w:highlight w:val="none"/>
          <w:lang w:eastAsia="zh-CN"/>
        </w:rPr>
        <w:t>的，中标人还应当</w:t>
      </w:r>
      <w:r>
        <w:rPr>
          <w:strike/>
          <w:dstrike w:val="0"/>
          <w:color w:val="auto"/>
          <w:sz w:val="24"/>
          <w:szCs w:val="24"/>
          <w:highlight w:val="none"/>
          <w:lang w:eastAsia="zh-CN"/>
        </w:rPr>
        <w:t>对超过部分</w:t>
      </w:r>
      <w:r>
        <w:rPr>
          <w:color w:val="auto"/>
          <w:sz w:val="24"/>
          <w:szCs w:val="24"/>
          <w:highlight w:val="none"/>
          <w:lang w:eastAsia="zh-CN"/>
        </w:rPr>
        <w:t>予以赔偿。</w:t>
      </w:r>
    </w:p>
    <w:p w14:paraId="39201014">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7.8.2发出中标通知书后，招标人无正当理由拒签合同，或者在签订合同时向中标人提出附加条件的，</w:t>
      </w:r>
      <w:r>
        <w:rPr>
          <w:strike/>
          <w:dstrike w:val="0"/>
          <w:color w:val="auto"/>
          <w:sz w:val="24"/>
          <w:szCs w:val="24"/>
          <w:highlight w:val="none"/>
          <w:lang w:eastAsia="zh-CN"/>
        </w:rPr>
        <w:t>招标人向中标人退还投标保证金；</w:t>
      </w:r>
      <w:r>
        <w:rPr>
          <w:color w:val="auto"/>
          <w:sz w:val="24"/>
          <w:szCs w:val="24"/>
          <w:highlight w:val="none"/>
          <w:lang w:eastAsia="zh-CN"/>
        </w:rPr>
        <w:t>给中标人造成损失的，还应当赔偿损失。</w:t>
      </w:r>
    </w:p>
    <w:p w14:paraId="4CC8D6DE">
      <w:pPr>
        <w:pStyle w:val="9"/>
        <w:spacing w:line="360" w:lineRule="auto"/>
        <w:ind w:left="0" w:firstLine="480" w:firstLineChars="200"/>
        <w:rPr>
          <w:color w:val="auto"/>
          <w:sz w:val="24"/>
          <w:szCs w:val="24"/>
          <w:highlight w:val="none"/>
          <w:lang w:eastAsia="zh-CN"/>
        </w:rPr>
      </w:pPr>
      <w:r>
        <w:rPr>
          <w:strike/>
          <w:color w:val="auto"/>
          <w:sz w:val="24"/>
          <w:szCs w:val="24"/>
          <w:highlight w:val="none"/>
          <w:lang w:eastAsia="zh-CN"/>
        </w:rPr>
        <w:t>7.8.3联合体中标的，联合体各方应当共同与招标人签订合同，就中标项目向招标人承担连带责任。</w:t>
      </w:r>
    </w:p>
    <w:p w14:paraId="042F4DA5">
      <w:pPr>
        <w:pStyle w:val="9"/>
        <w:spacing w:line="360" w:lineRule="auto"/>
        <w:ind w:left="0" w:firstLine="480" w:firstLineChars="200"/>
        <w:rPr>
          <w:color w:val="auto"/>
          <w:sz w:val="24"/>
          <w:szCs w:val="24"/>
          <w:highlight w:val="none"/>
          <w:lang w:eastAsia="zh-CN"/>
        </w:rPr>
      </w:pPr>
    </w:p>
    <w:p w14:paraId="7D8F39AB">
      <w:pPr>
        <w:pStyle w:val="4"/>
        <w:spacing w:line="360" w:lineRule="auto"/>
        <w:ind w:right="44"/>
        <w:rPr>
          <w:rFonts w:ascii="宋体" w:hAnsi="宋体"/>
          <w:b w:val="0"/>
          <w:color w:val="auto"/>
          <w:sz w:val="24"/>
          <w:szCs w:val="24"/>
          <w:highlight w:val="none"/>
        </w:rPr>
      </w:pPr>
      <w:bookmarkStart w:id="12" w:name="_Toc11717"/>
      <w:r>
        <w:rPr>
          <w:rFonts w:ascii="宋体" w:hAnsi="宋体"/>
          <w:b w:val="0"/>
          <w:color w:val="auto"/>
          <w:highlight w:val="none"/>
        </w:rPr>
        <w:t>8.</w:t>
      </w:r>
      <w:r>
        <w:rPr>
          <w:rFonts w:hint="eastAsia" w:ascii="宋体" w:hAnsi="宋体"/>
          <w:b w:val="0"/>
          <w:color w:val="auto"/>
          <w:highlight w:val="none"/>
        </w:rPr>
        <w:t xml:space="preserve"> </w:t>
      </w:r>
      <w:r>
        <w:rPr>
          <w:rFonts w:ascii="宋体" w:hAnsi="宋体"/>
          <w:b w:val="0"/>
          <w:color w:val="auto"/>
          <w:highlight w:val="none"/>
        </w:rPr>
        <w:t>纪律和监督</w:t>
      </w:r>
      <w:bookmarkEnd w:id="12"/>
    </w:p>
    <w:p w14:paraId="6E402D5D">
      <w:pPr>
        <w:pStyle w:val="5"/>
        <w:spacing w:line="360" w:lineRule="auto"/>
        <w:ind w:right="44"/>
        <w:rPr>
          <w:b w:val="0"/>
          <w:color w:val="auto"/>
          <w:sz w:val="24"/>
          <w:szCs w:val="24"/>
          <w:highlight w:val="none"/>
        </w:rPr>
      </w:pPr>
      <w:r>
        <w:rPr>
          <w:b w:val="0"/>
          <w:color w:val="auto"/>
          <w:highlight w:val="none"/>
        </w:rPr>
        <w:t>8.1对招标人的纪律要求</w:t>
      </w:r>
    </w:p>
    <w:p w14:paraId="75CEC81B">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招标人不得泄露招标投标活动中应当保密的情况和资料，不得与投标人串通损害国家利益、社会公共利益或者他人合法权益。</w:t>
      </w:r>
    </w:p>
    <w:p w14:paraId="23349C81">
      <w:pPr>
        <w:pStyle w:val="9"/>
        <w:spacing w:line="360" w:lineRule="auto"/>
        <w:ind w:left="0" w:firstLine="480" w:firstLineChars="200"/>
        <w:rPr>
          <w:color w:val="auto"/>
          <w:sz w:val="24"/>
          <w:szCs w:val="24"/>
          <w:highlight w:val="none"/>
          <w:lang w:eastAsia="zh-CN"/>
        </w:rPr>
      </w:pPr>
    </w:p>
    <w:p w14:paraId="00A34049">
      <w:pPr>
        <w:pStyle w:val="5"/>
        <w:spacing w:line="360" w:lineRule="auto"/>
        <w:ind w:right="44"/>
        <w:rPr>
          <w:b w:val="0"/>
          <w:color w:val="auto"/>
          <w:sz w:val="24"/>
          <w:szCs w:val="24"/>
          <w:highlight w:val="none"/>
        </w:rPr>
      </w:pPr>
      <w:r>
        <w:rPr>
          <w:b w:val="0"/>
          <w:color w:val="auto"/>
          <w:highlight w:val="none"/>
        </w:rPr>
        <w:t>8.2对投标人的纪律要求</w:t>
      </w:r>
    </w:p>
    <w:p w14:paraId="42BF0B1F">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6AE767E">
      <w:pPr>
        <w:spacing w:line="360" w:lineRule="auto"/>
        <w:rPr>
          <w:rFonts w:ascii="宋体" w:hAnsi="宋体"/>
          <w:color w:val="auto"/>
          <w:sz w:val="24"/>
          <w:szCs w:val="24"/>
          <w:highlight w:val="none"/>
        </w:rPr>
      </w:pPr>
    </w:p>
    <w:p w14:paraId="6FE7E2B5">
      <w:pPr>
        <w:pStyle w:val="5"/>
        <w:spacing w:line="360" w:lineRule="auto"/>
        <w:ind w:right="44"/>
        <w:rPr>
          <w:b w:val="0"/>
          <w:color w:val="auto"/>
          <w:highlight w:val="none"/>
        </w:rPr>
      </w:pPr>
      <w:r>
        <w:rPr>
          <w:b w:val="0"/>
          <w:color w:val="auto"/>
          <w:highlight w:val="none"/>
        </w:rPr>
        <w:t>8.3对评标委员会成员的纪律要求</w:t>
      </w:r>
    </w:p>
    <w:p w14:paraId="67A00807">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F5AD436">
      <w:pPr>
        <w:spacing w:line="360" w:lineRule="auto"/>
        <w:rPr>
          <w:rFonts w:ascii="宋体" w:hAnsi="宋体"/>
          <w:color w:val="auto"/>
          <w:sz w:val="24"/>
          <w:szCs w:val="24"/>
          <w:highlight w:val="none"/>
        </w:rPr>
      </w:pPr>
    </w:p>
    <w:p w14:paraId="059B46EB">
      <w:pPr>
        <w:pStyle w:val="5"/>
        <w:spacing w:line="360" w:lineRule="auto"/>
        <w:ind w:right="44"/>
        <w:rPr>
          <w:b w:val="0"/>
          <w:color w:val="auto"/>
          <w:sz w:val="24"/>
          <w:szCs w:val="24"/>
          <w:highlight w:val="none"/>
        </w:rPr>
      </w:pPr>
      <w:r>
        <w:rPr>
          <w:b w:val="0"/>
          <w:color w:val="auto"/>
          <w:highlight w:val="none"/>
        </w:rPr>
        <w:t>8.4对与评标活动有关的工作人员的纪律要求</w:t>
      </w:r>
    </w:p>
    <w:p w14:paraId="5285B416">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609A20B">
      <w:pPr>
        <w:spacing w:line="360" w:lineRule="auto"/>
        <w:rPr>
          <w:rFonts w:ascii="宋体" w:hAnsi="宋体"/>
          <w:color w:val="auto"/>
          <w:sz w:val="24"/>
          <w:szCs w:val="24"/>
          <w:highlight w:val="none"/>
        </w:rPr>
      </w:pPr>
    </w:p>
    <w:p w14:paraId="19208CBA">
      <w:pPr>
        <w:pStyle w:val="5"/>
        <w:spacing w:line="360" w:lineRule="auto"/>
        <w:ind w:right="44"/>
        <w:rPr>
          <w:b w:val="0"/>
          <w:color w:val="auto"/>
          <w:highlight w:val="none"/>
        </w:rPr>
      </w:pPr>
      <w:r>
        <w:rPr>
          <w:b w:val="0"/>
          <w:color w:val="auto"/>
          <w:highlight w:val="none"/>
        </w:rPr>
        <w:t>8.5投诉</w:t>
      </w:r>
    </w:p>
    <w:p w14:paraId="1959821A">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8.5.1投标人或者其他利害关系人认为招标投标活动不符合法律、行政法规规定的，可以自知道或者应当知道之日起10日内向有关行政监督部门投诉。投诉应当有明确的请求和必要的证明材料。</w:t>
      </w:r>
    </w:p>
    <w:p w14:paraId="0B1838EF">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8.5.2投标人或者其他利害关系人对招标文件、开标和评标结果提出投诉的，应当按照投标人须知第2.4款、第5.3款和第7.2款的规定先向招标人提出异议。异议答复期间不计算在第8.5.1项规定的期限内。</w:t>
      </w:r>
    </w:p>
    <w:p w14:paraId="63F0AC51">
      <w:pPr>
        <w:spacing w:line="360" w:lineRule="auto"/>
        <w:rPr>
          <w:rFonts w:ascii="宋体" w:hAnsi="宋体"/>
          <w:color w:val="auto"/>
          <w:sz w:val="24"/>
          <w:szCs w:val="24"/>
          <w:highlight w:val="none"/>
        </w:rPr>
      </w:pPr>
    </w:p>
    <w:p w14:paraId="3375939A">
      <w:pPr>
        <w:pStyle w:val="4"/>
        <w:spacing w:line="360" w:lineRule="auto"/>
        <w:ind w:right="44"/>
        <w:rPr>
          <w:rFonts w:ascii="宋体" w:hAnsi="宋体"/>
          <w:b w:val="0"/>
          <w:color w:val="auto"/>
          <w:sz w:val="24"/>
          <w:szCs w:val="24"/>
          <w:highlight w:val="none"/>
        </w:rPr>
      </w:pPr>
      <w:bookmarkStart w:id="13" w:name="_Toc9370"/>
      <w:r>
        <w:rPr>
          <w:rFonts w:ascii="宋体" w:hAnsi="宋体"/>
          <w:b w:val="0"/>
          <w:color w:val="auto"/>
          <w:highlight w:val="none"/>
        </w:rPr>
        <w:t>9. 是否采用电子招标投标</w:t>
      </w:r>
      <w:bookmarkEnd w:id="13"/>
    </w:p>
    <w:p w14:paraId="093E81D0">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本招标项目是否采用电子招标投标方式，见投标人须知前附表。</w:t>
      </w:r>
    </w:p>
    <w:p w14:paraId="52102A24">
      <w:pPr>
        <w:spacing w:line="360" w:lineRule="auto"/>
        <w:rPr>
          <w:rFonts w:ascii="宋体" w:hAnsi="宋体"/>
          <w:color w:val="auto"/>
          <w:sz w:val="24"/>
          <w:szCs w:val="24"/>
          <w:highlight w:val="none"/>
        </w:rPr>
      </w:pPr>
    </w:p>
    <w:p w14:paraId="3B640F0C">
      <w:pPr>
        <w:pStyle w:val="4"/>
        <w:spacing w:line="360" w:lineRule="auto"/>
        <w:ind w:right="44"/>
        <w:rPr>
          <w:rFonts w:ascii="宋体" w:hAnsi="宋体"/>
          <w:b w:val="0"/>
          <w:color w:val="auto"/>
          <w:sz w:val="24"/>
          <w:szCs w:val="24"/>
          <w:highlight w:val="none"/>
        </w:rPr>
      </w:pPr>
      <w:bookmarkStart w:id="14" w:name="_Toc2161"/>
      <w:r>
        <w:rPr>
          <w:rFonts w:ascii="宋体" w:hAnsi="宋体"/>
          <w:b w:val="0"/>
          <w:color w:val="auto"/>
          <w:highlight w:val="none"/>
        </w:rPr>
        <w:t>10. 需要补充的其他内容</w:t>
      </w:r>
      <w:bookmarkEnd w:id="14"/>
    </w:p>
    <w:p w14:paraId="673A797E">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需要补充的其他内容：见投标人须知前附表。</w:t>
      </w:r>
    </w:p>
    <w:p w14:paraId="3ED37CFE">
      <w:pPr>
        <w:pStyle w:val="9"/>
        <w:spacing w:line="360" w:lineRule="auto"/>
        <w:ind w:left="0" w:firstLine="480" w:firstLineChars="200"/>
        <w:rPr>
          <w:color w:val="auto"/>
          <w:sz w:val="24"/>
          <w:szCs w:val="24"/>
          <w:highlight w:val="none"/>
          <w:lang w:eastAsia="zh-CN"/>
        </w:rPr>
        <w:sectPr>
          <w:footerReference r:id="rId6" w:type="default"/>
          <w:pgSz w:w="12240" w:h="15840"/>
          <w:pgMar w:top="1400" w:right="1467" w:bottom="1276" w:left="1700" w:header="0" w:footer="921" w:gutter="0"/>
          <w:pgBorders>
            <w:top w:val="none" w:sz="0" w:space="0"/>
            <w:left w:val="none" w:sz="0" w:space="0"/>
            <w:bottom w:val="none" w:sz="0" w:space="0"/>
            <w:right w:val="none" w:sz="0" w:space="0"/>
          </w:pgBorders>
          <w:cols w:space="720" w:num="1"/>
        </w:sectPr>
      </w:pPr>
    </w:p>
    <w:p w14:paraId="4E827446">
      <w:pPr>
        <w:pStyle w:val="5"/>
        <w:spacing w:line="363" w:lineRule="exact"/>
        <w:ind w:left="357"/>
        <w:rPr>
          <w:b w:val="0"/>
          <w:color w:val="auto"/>
          <w:highlight w:val="none"/>
        </w:rPr>
      </w:pPr>
      <w:r>
        <w:rPr>
          <w:b w:val="0"/>
          <w:color w:val="auto"/>
          <w:highlight w:val="none"/>
        </w:rPr>
        <w:t>附件一：开标记录表</w:t>
      </w:r>
    </w:p>
    <w:p w14:paraId="144BA61B">
      <w:pPr>
        <w:rPr>
          <w:rFonts w:ascii="宋体" w:hAnsi="宋体" w:cs="宋体"/>
          <w:color w:val="auto"/>
          <w:sz w:val="20"/>
          <w:szCs w:val="20"/>
          <w:highlight w:val="none"/>
        </w:rPr>
      </w:pPr>
    </w:p>
    <w:p w14:paraId="771AC9CD">
      <w:pPr>
        <w:spacing w:before="9"/>
        <w:rPr>
          <w:rFonts w:ascii="宋体" w:hAnsi="宋体" w:cs="宋体"/>
          <w:color w:val="auto"/>
          <w:sz w:val="23"/>
          <w:szCs w:val="23"/>
          <w:highlight w:val="none"/>
        </w:rPr>
      </w:pPr>
    </w:p>
    <w:p w14:paraId="701526D3">
      <w:pPr>
        <w:spacing w:before="14"/>
        <w:ind w:left="3238" w:right="3137"/>
        <w:jc w:val="center"/>
        <w:rPr>
          <w:rFonts w:ascii="宋体" w:hAnsi="宋体" w:cs="宋体"/>
          <w:bCs/>
          <w:color w:val="auto"/>
          <w:sz w:val="28"/>
          <w:szCs w:val="28"/>
          <w:highlight w:val="none"/>
        </w:rPr>
      </w:pPr>
      <w:r>
        <w:rPr>
          <w:rFonts w:ascii="宋体" w:hAnsi="宋体" w:cs="宋体"/>
          <w:bCs/>
          <w:color w:val="auto"/>
          <w:sz w:val="28"/>
          <w:szCs w:val="28"/>
          <w:highlight w:val="none"/>
        </w:rPr>
        <w:t>开标记录表</w:t>
      </w:r>
    </w:p>
    <w:p w14:paraId="02858C47">
      <w:pPr>
        <w:spacing w:before="2"/>
        <w:rPr>
          <w:rFonts w:ascii="宋体" w:hAnsi="宋体" w:cs="宋体"/>
          <w:color w:val="auto"/>
          <w:sz w:val="13"/>
          <w:szCs w:val="13"/>
          <w:highlight w:val="none"/>
        </w:rPr>
      </w:pPr>
    </w:p>
    <w:tbl>
      <w:tblPr>
        <w:tblStyle w:val="23"/>
        <w:tblW w:w="8993" w:type="dxa"/>
        <w:tblInd w:w="-10" w:type="dxa"/>
        <w:tblLayout w:type="fixed"/>
        <w:tblCellMar>
          <w:top w:w="0" w:type="dxa"/>
          <w:left w:w="0" w:type="dxa"/>
          <w:bottom w:w="0" w:type="dxa"/>
          <w:right w:w="0" w:type="dxa"/>
        </w:tblCellMar>
      </w:tblPr>
      <w:tblGrid>
        <w:gridCol w:w="533"/>
        <w:gridCol w:w="840"/>
        <w:gridCol w:w="1013"/>
        <w:gridCol w:w="1083"/>
        <w:gridCol w:w="1083"/>
        <w:gridCol w:w="866"/>
        <w:gridCol w:w="1083"/>
        <w:gridCol w:w="1083"/>
        <w:gridCol w:w="1409"/>
      </w:tblGrid>
      <w:tr w14:paraId="3C5532C7">
        <w:tblPrEx>
          <w:tblCellMar>
            <w:top w:w="0" w:type="dxa"/>
            <w:left w:w="0" w:type="dxa"/>
            <w:bottom w:w="0" w:type="dxa"/>
            <w:right w:w="0" w:type="dxa"/>
          </w:tblCellMar>
        </w:tblPrEx>
        <w:trPr>
          <w:trHeight w:val="1004" w:hRule="exact"/>
        </w:trPr>
        <w:tc>
          <w:tcPr>
            <w:tcW w:w="533" w:type="dxa"/>
            <w:tcBorders>
              <w:top w:val="single" w:color="000000" w:sz="4" w:space="0"/>
              <w:left w:val="single" w:color="000000" w:sz="4" w:space="0"/>
              <w:bottom w:val="single" w:color="000000" w:sz="4" w:space="0"/>
              <w:right w:val="single" w:color="000000" w:sz="4" w:space="0"/>
            </w:tcBorders>
            <w:vAlign w:val="center"/>
          </w:tcPr>
          <w:p w14:paraId="57F78BCC">
            <w:pPr>
              <w:pStyle w:val="34"/>
              <w:jc w:val="center"/>
              <w:rPr>
                <w:rFonts w:ascii="宋体" w:hAnsi="宋体" w:eastAsia="宋体" w:cs="宋体"/>
                <w:color w:val="auto"/>
                <w:sz w:val="18"/>
                <w:szCs w:val="18"/>
                <w:highlight w:val="none"/>
              </w:rPr>
            </w:pPr>
            <w:r>
              <w:rPr>
                <w:rFonts w:ascii="宋体" w:hAnsi="宋体" w:eastAsia="宋体" w:cs="宋体"/>
                <w:color w:val="auto"/>
                <w:sz w:val="18"/>
                <w:szCs w:val="18"/>
                <w:highlight w:val="none"/>
              </w:rPr>
              <w:t>序号</w:t>
            </w:r>
          </w:p>
        </w:tc>
        <w:tc>
          <w:tcPr>
            <w:tcW w:w="840" w:type="dxa"/>
            <w:tcBorders>
              <w:top w:val="single" w:color="000000" w:sz="4" w:space="0"/>
              <w:left w:val="single" w:color="000000" w:sz="4" w:space="0"/>
              <w:bottom w:val="single" w:color="000000" w:sz="4" w:space="0"/>
              <w:right w:val="single" w:color="000000" w:sz="4" w:space="0"/>
            </w:tcBorders>
            <w:vAlign w:val="center"/>
          </w:tcPr>
          <w:p w14:paraId="48272ADF">
            <w:pPr>
              <w:pStyle w:val="34"/>
              <w:jc w:val="center"/>
              <w:rPr>
                <w:rFonts w:ascii="宋体" w:hAnsi="宋体" w:eastAsia="宋体" w:cs="宋体"/>
                <w:color w:val="auto"/>
                <w:sz w:val="18"/>
                <w:szCs w:val="18"/>
                <w:highlight w:val="none"/>
              </w:rPr>
            </w:pPr>
            <w:r>
              <w:rPr>
                <w:rFonts w:ascii="宋体" w:hAnsi="宋体" w:eastAsia="宋体" w:cs="宋体"/>
                <w:color w:val="auto"/>
                <w:sz w:val="18"/>
                <w:szCs w:val="18"/>
                <w:highlight w:val="none"/>
              </w:rPr>
              <w:t>投标人</w:t>
            </w:r>
          </w:p>
        </w:tc>
        <w:tc>
          <w:tcPr>
            <w:tcW w:w="1013" w:type="dxa"/>
            <w:tcBorders>
              <w:top w:val="single" w:color="000000" w:sz="4" w:space="0"/>
              <w:left w:val="single" w:color="000000" w:sz="4" w:space="0"/>
              <w:bottom w:val="single" w:color="000000" w:sz="4" w:space="0"/>
              <w:right w:val="single" w:color="000000" w:sz="4" w:space="0"/>
            </w:tcBorders>
            <w:vAlign w:val="center"/>
          </w:tcPr>
          <w:p w14:paraId="3DB37064">
            <w:pPr>
              <w:pStyle w:val="34"/>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投标文件递交</w:t>
            </w:r>
            <w:r>
              <w:rPr>
                <w:rFonts w:ascii="宋体" w:hAnsi="宋体" w:eastAsia="宋体" w:cs="宋体"/>
                <w:color w:val="auto"/>
                <w:sz w:val="18"/>
                <w:szCs w:val="18"/>
                <w:highlight w:val="none"/>
              </w:rPr>
              <w:t>情况</w:t>
            </w:r>
          </w:p>
        </w:tc>
        <w:tc>
          <w:tcPr>
            <w:tcW w:w="1083" w:type="dxa"/>
            <w:tcBorders>
              <w:top w:val="single" w:color="000000" w:sz="4" w:space="0"/>
              <w:left w:val="single" w:color="000000" w:sz="4" w:space="0"/>
              <w:bottom w:val="single" w:color="000000" w:sz="4" w:space="0"/>
              <w:right w:val="single" w:color="000000" w:sz="4" w:space="0"/>
            </w:tcBorders>
            <w:vAlign w:val="center"/>
          </w:tcPr>
          <w:p w14:paraId="340EDA24">
            <w:pPr>
              <w:pStyle w:val="34"/>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CN"/>
              </w:rPr>
              <w:t>投标文件解密情况</w:t>
            </w:r>
          </w:p>
        </w:tc>
        <w:tc>
          <w:tcPr>
            <w:tcW w:w="1083" w:type="dxa"/>
            <w:tcBorders>
              <w:top w:val="single" w:color="000000" w:sz="4" w:space="0"/>
              <w:left w:val="single" w:color="000000" w:sz="4" w:space="0"/>
              <w:bottom w:val="single" w:color="000000" w:sz="4" w:space="0"/>
              <w:right w:val="single" w:color="000000" w:sz="4" w:space="0"/>
            </w:tcBorders>
            <w:vAlign w:val="center"/>
          </w:tcPr>
          <w:p w14:paraId="05E60955">
            <w:pPr>
              <w:pStyle w:val="34"/>
              <w:jc w:val="center"/>
              <w:rPr>
                <w:rFonts w:ascii="宋体" w:hAnsi="宋体" w:eastAsia="宋体" w:cs="宋体"/>
                <w:color w:val="auto"/>
                <w:sz w:val="18"/>
                <w:szCs w:val="18"/>
                <w:highlight w:val="none"/>
              </w:rPr>
            </w:pPr>
            <w:r>
              <w:rPr>
                <w:rFonts w:ascii="宋体" w:hAnsi="宋体" w:eastAsia="宋体" w:cs="宋体"/>
                <w:color w:val="auto"/>
                <w:sz w:val="18"/>
                <w:szCs w:val="18"/>
                <w:highlight w:val="none"/>
              </w:rPr>
              <w:t>投标</w:t>
            </w:r>
            <w:r>
              <w:rPr>
                <w:rFonts w:hint="eastAsia" w:ascii="宋体" w:hAnsi="宋体" w:eastAsia="宋体" w:cs="宋体"/>
                <w:color w:val="auto"/>
                <w:sz w:val="18"/>
                <w:szCs w:val="18"/>
                <w:highlight w:val="none"/>
                <w:lang w:eastAsia="zh-CN"/>
              </w:rPr>
              <w:t>总</w:t>
            </w:r>
            <w:r>
              <w:rPr>
                <w:rFonts w:ascii="宋体" w:hAnsi="宋体" w:eastAsia="宋体" w:cs="宋体"/>
                <w:color w:val="auto"/>
                <w:sz w:val="18"/>
                <w:szCs w:val="18"/>
                <w:highlight w:val="none"/>
              </w:rPr>
              <w:t>报价</w:t>
            </w:r>
          </w:p>
        </w:tc>
        <w:tc>
          <w:tcPr>
            <w:tcW w:w="866" w:type="dxa"/>
            <w:tcBorders>
              <w:top w:val="single" w:color="000000" w:sz="4" w:space="0"/>
              <w:left w:val="single" w:color="000000" w:sz="4" w:space="0"/>
              <w:bottom w:val="single" w:color="000000" w:sz="4" w:space="0"/>
              <w:right w:val="single" w:color="000000" w:sz="4" w:space="0"/>
            </w:tcBorders>
            <w:vAlign w:val="center"/>
          </w:tcPr>
          <w:p w14:paraId="22B96B41">
            <w:pPr>
              <w:pStyle w:val="34"/>
              <w:jc w:val="center"/>
              <w:rPr>
                <w:rFonts w:ascii="宋体" w:hAnsi="宋体" w:eastAsia="宋体" w:cs="宋体"/>
                <w:color w:val="auto"/>
                <w:sz w:val="18"/>
                <w:szCs w:val="18"/>
                <w:highlight w:val="none"/>
              </w:rPr>
            </w:pPr>
            <w:r>
              <w:rPr>
                <w:rFonts w:ascii="宋体" w:hAnsi="宋体" w:eastAsia="宋体" w:cs="宋体"/>
                <w:color w:val="auto"/>
                <w:sz w:val="18"/>
                <w:szCs w:val="18"/>
                <w:highlight w:val="none"/>
              </w:rPr>
              <w:t>项目负责人</w:t>
            </w:r>
          </w:p>
        </w:tc>
        <w:tc>
          <w:tcPr>
            <w:tcW w:w="1083" w:type="dxa"/>
            <w:tcBorders>
              <w:top w:val="single" w:color="000000" w:sz="4" w:space="0"/>
              <w:left w:val="single" w:color="000000" w:sz="4" w:space="0"/>
              <w:bottom w:val="single" w:color="000000" w:sz="4" w:space="0"/>
              <w:right w:val="single" w:color="000000" w:sz="4" w:space="0"/>
            </w:tcBorders>
            <w:vAlign w:val="center"/>
          </w:tcPr>
          <w:p w14:paraId="4EF9453A">
            <w:pPr>
              <w:pStyle w:val="34"/>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设计服务期限</w:t>
            </w:r>
          </w:p>
        </w:tc>
        <w:tc>
          <w:tcPr>
            <w:tcW w:w="1083" w:type="dxa"/>
            <w:tcBorders>
              <w:top w:val="single" w:color="000000" w:sz="4" w:space="0"/>
              <w:left w:val="single" w:color="000000" w:sz="4" w:space="0"/>
              <w:bottom w:val="single" w:color="000000" w:sz="4" w:space="0"/>
              <w:right w:val="single" w:color="000000" w:sz="4" w:space="0"/>
            </w:tcBorders>
            <w:vAlign w:val="center"/>
          </w:tcPr>
          <w:p w14:paraId="26D5C271">
            <w:pPr>
              <w:pStyle w:val="34"/>
              <w:jc w:val="center"/>
              <w:rPr>
                <w:rFonts w:ascii="宋体" w:hAnsi="宋体" w:eastAsia="宋体" w:cs="宋体"/>
                <w:color w:val="auto"/>
                <w:sz w:val="18"/>
                <w:szCs w:val="18"/>
                <w:highlight w:val="none"/>
              </w:rPr>
            </w:pPr>
            <w:r>
              <w:rPr>
                <w:rFonts w:ascii="宋体" w:hAnsi="宋体" w:eastAsia="宋体" w:cs="宋体"/>
                <w:color w:val="auto"/>
                <w:sz w:val="18"/>
                <w:szCs w:val="18"/>
                <w:highlight w:val="none"/>
              </w:rPr>
              <w:t>备注</w:t>
            </w:r>
          </w:p>
        </w:tc>
        <w:tc>
          <w:tcPr>
            <w:tcW w:w="1409" w:type="dxa"/>
            <w:tcBorders>
              <w:top w:val="single" w:color="000000" w:sz="4" w:space="0"/>
              <w:left w:val="single" w:color="000000" w:sz="4" w:space="0"/>
              <w:bottom w:val="single" w:color="000000" w:sz="4" w:space="0"/>
              <w:right w:val="single" w:color="000000" w:sz="4" w:space="0"/>
            </w:tcBorders>
            <w:vAlign w:val="center"/>
          </w:tcPr>
          <w:p w14:paraId="4DCF887C">
            <w:pPr>
              <w:pStyle w:val="34"/>
              <w:jc w:val="center"/>
              <w:rPr>
                <w:rFonts w:ascii="宋体" w:hAnsi="宋体" w:eastAsia="宋体" w:cs="宋体"/>
                <w:color w:val="auto"/>
                <w:sz w:val="18"/>
                <w:szCs w:val="18"/>
                <w:highlight w:val="none"/>
              </w:rPr>
            </w:pPr>
            <w:r>
              <w:rPr>
                <w:rFonts w:ascii="宋体" w:hAnsi="宋体" w:eastAsia="宋体" w:cs="宋体"/>
                <w:color w:val="auto"/>
                <w:sz w:val="18"/>
                <w:szCs w:val="18"/>
                <w:highlight w:val="none"/>
              </w:rPr>
              <w:t>投标人代表签名</w:t>
            </w:r>
          </w:p>
        </w:tc>
      </w:tr>
      <w:tr w14:paraId="49E2D2C6">
        <w:tblPrEx>
          <w:tblCellMar>
            <w:top w:w="0" w:type="dxa"/>
            <w:left w:w="0" w:type="dxa"/>
            <w:bottom w:w="0" w:type="dxa"/>
            <w:right w:w="0" w:type="dxa"/>
          </w:tblCellMar>
        </w:tblPrEx>
        <w:trPr>
          <w:trHeight w:val="506" w:hRule="exact"/>
        </w:trPr>
        <w:tc>
          <w:tcPr>
            <w:tcW w:w="533" w:type="dxa"/>
            <w:tcBorders>
              <w:top w:val="single" w:color="000000" w:sz="4" w:space="0"/>
              <w:left w:val="single" w:color="000000" w:sz="4" w:space="0"/>
              <w:bottom w:val="single" w:color="000000" w:sz="4" w:space="0"/>
              <w:right w:val="single" w:color="000000" w:sz="4" w:space="0"/>
            </w:tcBorders>
            <w:vAlign w:val="center"/>
          </w:tcPr>
          <w:p w14:paraId="1C9388B9">
            <w:pPr>
              <w:jc w:val="center"/>
              <w:rPr>
                <w:rFonts w:ascii="宋体" w:hAnsi="宋体"/>
                <w:color w:val="auto"/>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7A13CFE">
            <w:pPr>
              <w:jc w:val="center"/>
              <w:rPr>
                <w:rFonts w:ascii="宋体" w:hAnsi="宋体"/>
                <w:color w:val="auto"/>
                <w:highlight w:val="none"/>
              </w:rPr>
            </w:pPr>
          </w:p>
        </w:tc>
        <w:tc>
          <w:tcPr>
            <w:tcW w:w="1013" w:type="dxa"/>
            <w:tcBorders>
              <w:top w:val="single" w:color="000000" w:sz="4" w:space="0"/>
              <w:left w:val="single" w:color="000000" w:sz="4" w:space="0"/>
              <w:bottom w:val="single" w:color="000000" w:sz="4" w:space="0"/>
              <w:right w:val="single" w:color="000000" w:sz="4" w:space="0"/>
            </w:tcBorders>
            <w:vAlign w:val="center"/>
          </w:tcPr>
          <w:p w14:paraId="7BCD2A2F">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5497F965">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7C8B15C7">
            <w:pPr>
              <w:jc w:val="center"/>
              <w:rPr>
                <w:rFonts w:ascii="宋体" w:hAnsi="宋体"/>
                <w:color w:val="auto"/>
                <w:highlight w:val="none"/>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01FD671A">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731406D0">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3A0EF495">
            <w:pPr>
              <w:jc w:val="center"/>
              <w:rPr>
                <w:rFonts w:ascii="宋体" w:hAnsi="宋体"/>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vAlign w:val="center"/>
          </w:tcPr>
          <w:p w14:paraId="4EC61F22">
            <w:pPr>
              <w:jc w:val="center"/>
              <w:rPr>
                <w:rFonts w:ascii="宋体" w:hAnsi="宋体"/>
                <w:color w:val="auto"/>
                <w:highlight w:val="none"/>
              </w:rPr>
            </w:pPr>
          </w:p>
        </w:tc>
      </w:tr>
      <w:tr w14:paraId="09F1E0C2">
        <w:tblPrEx>
          <w:tblCellMar>
            <w:top w:w="0" w:type="dxa"/>
            <w:left w:w="0" w:type="dxa"/>
            <w:bottom w:w="0" w:type="dxa"/>
            <w:right w:w="0" w:type="dxa"/>
          </w:tblCellMar>
        </w:tblPrEx>
        <w:trPr>
          <w:trHeight w:val="508" w:hRule="exact"/>
        </w:trPr>
        <w:tc>
          <w:tcPr>
            <w:tcW w:w="533" w:type="dxa"/>
            <w:tcBorders>
              <w:top w:val="single" w:color="000000" w:sz="4" w:space="0"/>
              <w:left w:val="single" w:color="000000" w:sz="4" w:space="0"/>
              <w:bottom w:val="single" w:color="000000" w:sz="4" w:space="0"/>
              <w:right w:val="single" w:color="000000" w:sz="4" w:space="0"/>
            </w:tcBorders>
            <w:vAlign w:val="center"/>
          </w:tcPr>
          <w:p w14:paraId="71CA30CC">
            <w:pPr>
              <w:jc w:val="center"/>
              <w:rPr>
                <w:rFonts w:ascii="宋体" w:hAnsi="宋体"/>
                <w:color w:val="auto"/>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2889A36E">
            <w:pPr>
              <w:jc w:val="center"/>
              <w:rPr>
                <w:rFonts w:ascii="宋体" w:hAnsi="宋体"/>
                <w:color w:val="auto"/>
                <w:highlight w:val="none"/>
              </w:rPr>
            </w:pPr>
          </w:p>
        </w:tc>
        <w:tc>
          <w:tcPr>
            <w:tcW w:w="1013" w:type="dxa"/>
            <w:tcBorders>
              <w:top w:val="single" w:color="000000" w:sz="4" w:space="0"/>
              <w:left w:val="single" w:color="000000" w:sz="4" w:space="0"/>
              <w:bottom w:val="single" w:color="000000" w:sz="4" w:space="0"/>
              <w:right w:val="single" w:color="000000" w:sz="4" w:space="0"/>
            </w:tcBorders>
            <w:vAlign w:val="center"/>
          </w:tcPr>
          <w:p w14:paraId="39B6DD6D">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0E2D39EC">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3BFE449B">
            <w:pPr>
              <w:jc w:val="center"/>
              <w:rPr>
                <w:rFonts w:ascii="宋体" w:hAnsi="宋体"/>
                <w:color w:val="auto"/>
                <w:highlight w:val="none"/>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067B99D7">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36DA5077">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73CCF244">
            <w:pPr>
              <w:jc w:val="center"/>
              <w:rPr>
                <w:rFonts w:ascii="宋体" w:hAnsi="宋体"/>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vAlign w:val="center"/>
          </w:tcPr>
          <w:p w14:paraId="0C675E5D">
            <w:pPr>
              <w:jc w:val="center"/>
              <w:rPr>
                <w:rFonts w:ascii="宋体" w:hAnsi="宋体"/>
                <w:color w:val="auto"/>
                <w:highlight w:val="none"/>
              </w:rPr>
            </w:pPr>
          </w:p>
        </w:tc>
      </w:tr>
      <w:tr w14:paraId="45C6B7BE">
        <w:tblPrEx>
          <w:tblCellMar>
            <w:top w:w="0" w:type="dxa"/>
            <w:left w:w="0" w:type="dxa"/>
            <w:bottom w:w="0" w:type="dxa"/>
            <w:right w:w="0" w:type="dxa"/>
          </w:tblCellMar>
        </w:tblPrEx>
        <w:trPr>
          <w:trHeight w:val="506" w:hRule="exact"/>
        </w:trPr>
        <w:tc>
          <w:tcPr>
            <w:tcW w:w="533" w:type="dxa"/>
            <w:tcBorders>
              <w:top w:val="single" w:color="000000" w:sz="4" w:space="0"/>
              <w:left w:val="single" w:color="000000" w:sz="4" w:space="0"/>
              <w:bottom w:val="single" w:color="000000" w:sz="4" w:space="0"/>
              <w:right w:val="single" w:color="000000" w:sz="4" w:space="0"/>
            </w:tcBorders>
            <w:vAlign w:val="center"/>
          </w:tcPr>
          <w:p w14:paraId="5B48222D">
            <w:pPr>
              <w:jc w:val="center"/>
              <w:rPr>
                <w:rFonts w:ascii="宋体" w:hAnsi="宋体"/>
                <w:color w:val="auto"/>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D56D00A">
            <w:pPr>
              <w:jc w:val="center"/>
              <w:rPr>
                <w:rFonts w:ascii="宋体" w:hAnsi="宋体"/>
                <w:color w:val="auto"/>
                <w:highlight w:val="none"/>
              </w:rPr>
            </w:pPr>
          </w:p>
        </w:tc>
        <w:tc>
          <w:tcPr>
            <w:tcW w:w="1013" w:type="dxa"/>
            <w:tcBorders>
              <w:top w:val="single" w:color="000000" w:sz="4" w:space="0"/>
              <w:left w:val="single" w:color="000000" w:sz="4" w:space="0"/>
              <w:bottom w:val="single" w:color="000000" w:sz="4" w:space="0"/>
              <w:right w:val="single" w:color="000000" w:sz="4" w:space="0"/>
            </w:tcBorders>
            <w:vAlign w:val="center"/>
          </w:tcPr>
          <w:p w14:paraId="05C4F3A9">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50CC7AA8">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1AA16716">
            <w:pPr>
              <w:jc w:val="center"/>
              <w:rPr>
                <w:rFonts w:ascii="宋体" w:hAnsi="宋体"/>
                <w:color w:val="auto"/>
                <w:highlight w:val="none"/>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194012CE">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1FF07AAA">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2E0D0433">
            <w:pPr>
              <w:jc w:val="center"/>
              <w:rPr>
                <w:rFonts w:ascii="宋体" w:hAnsi="宋体"/>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vAlign w:val="center"/>
          </w:tcPr>
          <w:p w14:paraId="2695B6C7">
            <w:pPr>
              <w:jc w:val="center"/>
              <w:rPr>
                <w:rFonts w:ascii="宋体" w:hAnsi="宋体"/>
                <w:color w:val="auto"/>
                <w:highlight w:val="none"/>
              </w:rPr>
            </w:pPr>
          </w:p>
        </w:tc>
      </w:tr>
      <w:tr w14:paraId="742E08DC">
        <w:tblPrEx>
          <w:tblCellMar>
            <w:top w:w="0" w:type="dxa"/>
            <w:left w:w="0" w:type="dxa"/>
            <w:bottom w:w="0" w:type="dxa"/>
            <w:right w:w="0" w:type="dxa"/>
          </w:tblCellMar>
        </w:tblPrEx>
        <w:trPr>
          <w:trHeight w:val="508" w:hRule="exact"/>
        </w:trPr>
        <w:tc>
          <w:tcPr>
            <w:tcW w:w="533" w:type="dxa"/>
            <w:tcBorders>
              <w:top w:val="single" w:color="000000" w:sz="4" w:space="0"/>
              <w:left w:val="single" w:color="000000" w:sz="4" w:space="0"/>
              <w:bottom w:val="single" w:color="000000" w:sz="4" w:space="0"/>
              <w:right w:val="single" w:color="000000" w:sz="4" w:space="0"/>
            </w:tcBorders>
            <w:vAlign w:val="center"/>
          </w:tcPr>
          <w:p w14:paraId="48DF4532">
            <w:pPr>
              <w:jc w:val="center"/>
              <w:rPr>
                <w:rFonts w:ascii="宋体" w:hAnsi="宋体"/>
                <w:color w:val="auto"/>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F25FA1A">
            <w:pPr>
              <w:jc w:val="center"/>
              <w:rPr>
                <w:rFonts w:ascii="宋体" w:hAnsi="宋体"/>
                <w:color w:val="auto"/>
                <w:highlight w:val="none"/>
              </w:rPr>
            </w:pPr>
          </w:p>
        </w:tc>
        <w:tc>
          <w:tcPr>
            <w:tcW w:w="1013" w:type="dxa"/>
            <w:tcBorders>
              <w:top w:val="single" w:color="000000" w:sz="4" w:space="0"/>
              <w:left w:val="single" w:color="000000" w:sz="4" w:space="0"/>
              <w:bottom w:val="single" w:color="000000" w:sz="4" w:space="0"/>
              <w:right w:val="single" w:color="000000" w:sz="4" w:space="0"/>
            </w:tcBorders>
            <w:vAlign w:val="center"/>
          </w:tcPr>
          <w:p w14:paraId="51FA916B">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40A33E5B">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3F1ADEE2">
            <w:pPr>
              <w:jc w:val="center"/>
              <w:rPr>
                <w:rFonts w:ascii="宋体" w:hAnsi="宋体"/>
                <w:color w:val="auto"/>
                <w:highlight w:val="none"/>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02F0E474">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02DE2C40">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2A07909D">
            <w:pPr>
              <w:jc w:val="center"/>
              <w:rPr>
                <w:rFonts w:ascii="宋体" w:hAnsi="宋体"/>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vAlign w:val="center"/>
          </w:tcPr>
          <w:p w14:paraId="6BB303CD">
            <w:pPr>
              <w:jc w:val="center"/>
              <w:rPr>
                <w:rFonts w:ascii="宋体" w:hAnsi="宋体"/>
                <w:color w:val="auto"/>
                <w:highlight w:val="none"/>
              </w:rPr>
            </w:pPr>
          </w:p>
        </w:tc>
      </w:tr>
      <w:tr w14:paraId="35DAAAE2">
        <w:tblPrEx>
          <w:tblCellMar>
            <w:top w:w="0" w:type="dxa"/>
            <w:left w:w="0" w:type="dxa"/>
            <w:bottom w:w="0" w:type="dxa"/>
            <w:right w:w="0" w:type="dxa"/>
          </w:tblCellMar>
        </w:tblPrEx>
        <w:trPr>
          <w:trHeight w:val="506" w:hRule="exact"/>
        </w:trPr>
        <w:tc>
          <w:tcPr>
            <w:tcW w:w="533" w:type="dxa"/>
            <w:tcBorders>
              <w:top w:val="single" w:color="000000" w:sz="4" w:space="0"/>
              <w:left w:val="single" w:color="000000" w:sz="4" w:space="0"/>
              <w:bottom w:val="single" w:color="000000" w:sz="4" w:space="0"/>
              <w:right w:val="single" w:color="000000" w:sz="4" w:space="0"/>
            </w:tcBorders>
            <w:vAlign w:val="center"/>
          </w:tcPr>
          <w:p w14:paraId="702FF09A">
            <w:pPr>
              <w:jc w:val="center"/>
              <w:rPr>
                <w:rFonts w:ascii="宋体" w:hAnsi="宋体"/>
                <w:color w:val="auto"/>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29FC0A7">
            <w:pPr>
              <w:jc w:val="center"/>
              <w:rPr>
                <w:rFonts w:ascii="宋体" w:hAnsi="宋体"/>
                <w:color w:val="auto"/>
                <w:highlight w:val="none"/>
              </w:rPr>
            </w:pPr>
          </w:p>
        </w:tc>
        <w:tc>
          <w:tcPr>
            <w:tcW w:w="1013" w:type="dxa"/>
            <w:tcBorders>
              <w:top w:val="single" w:color="000000" w:sz="4" w:space="0"/>
              <w:left w:val="single" w:color="000000" w:sz="4" w:space="0"/>
              <w:bottom w:val="single" w:color="000000" w:sz="4" w:space="0"/>
              <w:right w:val="single" w:color="000000" w:sz="4" w:space="0"/>
            </w:tcBorders>
            <w:vAlign w:val="center"/>
          </w:tcPr>
          <w:p w14:paraId="146E82E3">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5C567391">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77893634">
            <w:pPr>
              <w:jc w:val="center"/>
              <w:rPr>
                <w:rFonts w:ascii="宋体" w:hAnsi="宋体"/>
                <w:color w:val="auto"/>
                <w:highlight w:val="none"/>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1FED73A9">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7B4EE38A">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6BDA2FC8">
            <w:pPr>
              <w:jc w:val="center"/>
              <w:rPr>
                <w:rFonts w:ascii="宋体" w:hAnsi="宋体"/>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vAlign w:val="center"/>
          </w:tcPr>
          <w:p w14:paraId="2B2535E4">
            <w:pPr>
              <w:jc w:val="center"/>
              <w:rPr>
                <w:rFonts w:ascii="宋体" w:hAnsi="宋体"/>
                <w:color w:val="auto"/>
                <w:highlight w:val="none"/>
              </w:rPr>
            </w:pPr>
          </w:p>
        </w:tc>
      </w:tr>
      <w:tr w14:paraId="0C21CFCB">
        <w:tblPrEx>
          <w:tblCellMar>
            <w:top w:w="0" w:type="dxa"/>
            <w:left w:w="0" w:type="dxa"/>
            <w:bottom w:w="0" w:type="dxa"/>
            <w:right w:w="0" w:type="dxa"/>
          </w:tblCellMar>
        </w:tblPrEx>
        <w:trPr>
          <w:trHeight w:val="508" w:hRule="exact"/>
        </w:trPr>
        <w:tc>
          <w:tcPr>
            <w:tcW w:w="533" w:type="dxa"/>
            <w:tcBorders>
              <w:top w:val="single" w:color="000000" w:sz="4" w:space="0"/>
              <w:left w:val="single" w:color="000000" w:sz="4" w:space="0"/>
              <w:bottom w:val="single" w:color="000000" w:sz="4" w:space="0"/>
              <w:right w:val="single" w:color="000000" w:sz="4" w:space="0"/>
            </w:tcBorders>
            <w:vAlign w:val="center"/>
          </w:tcPr>
          <w:p w14:paraId="32CAB7F8">
            <w:pPr>
              <w:jc w:val="center"/>
              <w:rPr>
                <w:rFonts w:ascii="宋体" w:hAnsi="宋体"/>
                <w:color w:val="auto"/>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D117EB6">
            <w:pPr>
              <w:jc w:val="center"/>
              <w:rPr>
                <w:rFonts w:ascii="宋体" w:hAnsi="宋体"/>
                <w:color w:val="auto"/>
                <w:highlight w:val="none"/>
              </w:rPr>
            </w:pPr>
          </w:p>
        </w:tc>
        <w:tc>
          <w:tcPr>
            <w:tcW w:w="1013" w:type="dxa"/>
            <w:tcBorders>
              <w:top w:val="single" w:color="000000" w:sz="4" w:space="0"/>
              <w:left w:val="single" w:color="000000" w:sz="4" w:space="0"/>
              <w:bottom w:val="single" w:color="000000" w:sz="4" w:space="0"/>
              <w:right w:val="single" w:color="000000" w:sz="4" w:space="0"/>
            </w:tcBorders>
            <w:vAlign w:val="center"/>
          </w:tcPr>
          <w:p w14:paraId="3729A2EE">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6A3B4C5D">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319EC8C3">
            <w:pPr>
              <w:jc w:val="center"/>
              <w:rPr>
                <w:rFonts w:ascii="宋体" w:hAnsi="宋体"/>
                <w:color w:val="auto"/>
                <w:highlight w:val="none"/>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12CB7C00">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50791EDA">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2B8819E1">
            <w:pPr>
              <w:jc w:val="center"/>
              <w:rPr>
                <w:rFonts w:ascii="宋体" w:hAnsi="宋体"/>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vAlign w:val="center"/>
          </w:tcPr>
          <w:p w14:paraId="000024B1">
            <w:pPr>
              <w:jc w:val="center"/>
              <w:rPr>
                <w:rFonts w:ascii="宋体" w:hAnsi="宋体"/>
                <w:color w:val="auto"/>
                <w:highlight w:val="none"/>
              </w:rPr>
            </w:pPr>
          </w:p>
        </w:tc>
      </w:tr>
      <w:tr w14:paraId="29116D5E">
        <w:tblPrEx>
          <w:tblCellMar>
            <w:top w:w="0" w:type="dxa"/>
            <w:left w:w="0" w:type="dxa"/>
            <w:bottom w:w="0" w:type="dxa"/>
            <w:right w:w="0" w:type="dxa"/>
          </w:tblCellMar>
        </w:tblPrEx>
        <w:trPr>
          <w:trHeight w:val="506" w:hRule="exact"/>
        </w:trPr>
        <w:tc>
          <w:tcPr>
            <w:tcW w:w="533" w:type="dxa"/>
            <w:tcBorders>
              <w:top w:val="single" w:color="000000" w:sz="4" w:space="0"/>
              <w:left w:val="single" w:color="000000" w:sz="4" w:space="0"/>
              <w:bottom w:val="single" w:color="000000" w:sz="4" w:space="0"/>
              <w:right w:val="single" w:color="000000" w:sz="4" w:space="0"/>
            </w:tcBorders>
            <w:vAlign w:val="center"/>
          </w:tcPr>
          <w:p w14:paraId="17528CDF">
            <w:pPr>
              <w:jc w:val="center"/>
              <w:rPr>
                <w:rFonts w:ascii="宋体" w:hAnsi="宋体"/>
                <w:color w:val="auto"/>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008CC0D7">
            <w:pPr>
              <w:jc w:val="center"/>
              <w:rPr>
                <w:rFonts w:ascii="宋体" w:hAnsi="宋体"/>
                <w:color w:val="auto"/>
                <w:highlight w:val="none"/>
              </w:rPr>
            </w:pPr>
          </w:p>
        </w:tc>
        <w:tc>
          <w:tcPr>
            <w:tcW w:w="1013" w:type="dxa"/>
            <w:tcBorders>
              <w:top w:val="single" w:color="000000" w:sz="4" w:space="0"/>
              <w:left w:val="single" w:color="000000" w:sz="4" w:space="0"/>
              <w:bottom w:val="single" w:color="000000" w:sz="4" w:space="0"/>
              <w:right w:val="single" w:color="000000" w:sz="4" w:space="0"/>
            </w:tcBorders>
            <w:vAlign w:val="center"/>
          </w:tcPr>
          <w:p w14:paraId="7C146651">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4AC5C255">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4347A1E1">
            <w:pPr>
              <w:jc w:val="center"/>
              <w:rPr>
                <w:rFonts w:ascii="宋体" w:hAnsi="宋体"/>
                <w:color w:val="auto"/>
                <w:highlight w:val="none"/>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79DB3111">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166B8DE7">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6E0149AD">
            <w:pPr>
              <w:jc w:val="center"/>
              <w:rPr>
                <w:rFonts w:ascii="宋体" w:hAnsi="宋体"/>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vAlign w:val="center"/>
          </w:tcPr>
          <w:p w14:paraId="290FD09E">
            <w:pPr>
              <w:jc w:val="center"/>
              <w:rPr>
                <w:rFonts w:ascii="宋体" w:hAnsi="宋体"/>
                <w:color w:val="auto"/>
                <w:highlight w:val="none"/>
              </w:rPr>
            </w:pPr>
          </w:p>
        </w:tc>
      </w:tr>
      <w:tr w14:paraId="43418BF7">
        <w:tblPrEx>
          <w:tblCellMar>
            <w:top w:w="0" w:type="dxa"/>
            <w:left w:w="0" w:type="dxa"/>
            <w:bottom w:w="0" w:type="dxa"/>
            <w:right w:w="0" w:type="dxa"/>
          </w:tblCellMar>
        </w:tblPrEx>
        <w:trPr>
          <w:trHeight w:val="508" w:hRule="exact"/>
        </w:trPr>
        <w:tc>
          <w:tcPr>
            <w:tcW w:w="533" w:type="dxa"/>
            <w:tcBorders>
              <w:top w:val="single" w:color="000000" w:sz="4" w:space="0"/>
              <w:left w:val="single" w:color="000000" w:sz="4" w:space="0"/>
              <w:bottom w:val="single" w:color="000000" w:sz="4" w:space="0"/>
              <w:right w:val="single" w:color="000000" w:sz="4" w:space="0"/>
            </w:tcBorders>
            <w:vAlign w:val="center"/>
          </w:tcPr>
          <w:p w14:paraId="1715A054">
            <w:pPr>
              <w:jc w:val="center"/>
              <w:rPr>
                <w:rFonts w:ascii="宋体" w:hAnsi="宋体"/>
                <w:color w:val="auto"/>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2D1791E6">
            <w:pPr>
              <w:jc w:val="center"/>
              <w:rPr>
                <w:rFonts w:ascii="宋体" w:hAnsi="宋体"/>
                <w:color w:val="auto"/>
                <w:highlight w:val="none"/>
              </w:rPr>
            </w:pPr>
          </w:p>
        </w:tc>
        <w:tc>
          <w:tcPr>
            <w:tcW w:w="1013" w:type="dxa"/>
            <w:tcBorders>
              <w:top w:val="single" w:color="000000" w:sz="4" w:space="0"/>
              <w:left w:val="single" w:color="000000" w:sz="4" w:space="0"/>
              <w:bottom w:val="single" w:color="000000" w:sz="4" w:space="0"/>
              <w:right w:val="single" w:color="000000" w:sz="4" w:space="0"/>
            </w:tcBorders>
            <w:vAlign w:val="center"/>
          </w:tcPr>
          <w:p w14:paraId="51CFF650">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7A0F5480">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72281B64">
            <w:pPr>
              <w:jc w:val="center"/>
              <w:rPr>
                <w:rFonts w:ascii="宋体" w:hAnsi="宋体"/>
                <w:color w:val="auto"/>
                <w:highlight w:val="none"/>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49D3AAE2">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3EDC5DBA">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4635F9CE">
            <w:pPr>
              <w:jc w:val="center"/>
              <w:rPr>
                <w:rFonts w:ascii="宋体" w:hAnsi="宋体"/>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vAlign w:val="center"/>
          </w:tcPr>
          <w:p w14:paraId="24050F51">
            <w:pPr>
              <w:jc w:val="center"/>
              <w:rPr>
                <w:rFonts w:ascii="宋体" w:hAnsi="宋体"/>
                <w:color w:val="auto"/>
                <w:highlight w:val="none"/>
              </w:rPr>
            </w:pPr>
          </w:p>
        </w:tc>
      </w:tr>
      <w:tr w14:paraId="735CE159">
        <w:tblPrEx>
          <w:tblCellMar>
            <w:top w:w="0" w:type="dxa"/>
            <w:left w:w="0" w:type="dxa"/>
            <w:bottom w:w="0" w:type="dxa"/>
            <w:right w:w="0" w:type="dxa"/>
          </w:tblCellMar>
        </w:tblPrEx>
        <w:trPr>
          <w:trHeight w:val="508" w:hRule="exact"/>
        </w:trPr>
        <w:tc>
          <w:tcPr>
            <w:tcW w:w="533" w:type="dxa"/>
            <w:tcBorders>
              <w:top w:val="single" w:color="000000" w:sz="4" w:space="0"/>
              <w:left w:val="single" w:color="000000" w:sz="4" w:space="0"/>
              <w:bottom w:val="single" w:color="000000" w:sz="4" w:space="0"/>
              <w:right w:val="single" w:color="000000" w:sz="4" w:space="0"/>
            </w:tcBorders>
            <w:vAlign w:val="center"/>
          </w:tcPr>
          <w:p w14:paraId="6B36DC68">
            <w:pPr>
              <w:jc w:val="center"/>
              <w:rPr>
                <w:rFonts w:ascii="宋体" w:hAnsi="宋体"/>
                <w:color w:val="auto"/>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56D4C0C">
            <w:pPr>
              <w:jc w:val="center"/>
              <w:rPr>
                <w:rFonts w:ascii="宋体" w:hAnsi="宋体"/>
                <w:color w:val="auto"/>
                <w:highlight w:val="none"/>
              </w:rPr>
            </w:pPr>
          </w:p>
        </w:tc>
        <w:tc>
          <w:tcPr>
            <w:tcW w:w="1013" w:type="dxa"/>
            <w:tcBorders>
              <w:top w:val="single" w:color="000000" w:sz="4" w:space="0"/>
              <w:left w:val="single" w:color="000000" w:sz="4" w:space="0"/>
              <w:bottom w:val="single" w:color="000000" w:sz="4" w:space="0"/>
              <w:right w:val="single" w:color="000000" w:sz="4" w:space="0"/>
            </w:tcBorders>
            <w:vAlign w:val="center"/>
          </w:tcPr>
          <w:p w14:paraId="48EBD919">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3AE340FB">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29F52A55">
            <w:pPr>
              <w:jc w:val="center"/>
              <w:rPr>
                <w:rFonts w:ascii="宋体" w:hAnsi="宋体"/>
                <w:color w:val="auto"/>
                <w:highlight w:val="none"/>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3FB18A20">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6453196A">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77F65473">
            <w:pPr>
              <w:jc w:val="center"/>
              <w:rPr>
                <w:rFonts w:ascii="宋体" w:hAnsi="宋体"/>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vAlign w:val="center"/>
          </w:tcPr>
          <w:p w14:paraId="42930C80">
            <w:pPr>
              <w:jc w:val="center"/>
              <w:rPr>
                <w:rFonts w:ascii="宋体" w:hAnsi="宋体"/>
                <w:color w:val="auto"/>
                <w:highlight w:val="none"/>
              </w:rPr>
            </w:pPr>
          </w:p>
        </w:tc>
      </w:tr>
      <w:tr w14:paraId="2AE55FFD">
        <w:tblPrEx>
          <w:tblCellMar>
            <w:top w:w="0" w:type="dxa"/>
            <w:left w:w="0" w:type="dxa"/>
            <w:bottom w:w="0" w:type="dxa"/>
            <w:right w:w="0" w:type="dxa"/>
          </w:tblCellMar>
        </w:tblPrEx>
        <w:trPr>
          <w:trHeight w:val="508" w:hRule="exact"/>
        </w:trPr>
        <w:tc>
          <w:tcPr>
            <w:tcW w:w="533" w:type="dxa"/>
            <w:tcBorders>
              <w:top w:val="single" w:color="000000" w:sz="4" w:space="0"/>
              <w:left w:val="single" w:color="000000" w:sz="4" w:space="0"/>
              <w:bottom w:val="single" w:color="000000" w:sz="4" w:space="0"/>
              <w:right w:val="single" w:color="000000" w:sz="4" w:space="0"/>
            </w:tcBorders>
            <w:vAlign w:val="center"/>
          </w:tcPr>
          <w:p w14:paraId="585A95D7">
            <w:pPr>
              <w:jc w:val="center"/>
              <w:rPr>
                <w:rFonts w:ascii="宋体" w:hAnsi="宋体"/>
                <w:color w:val="auto"/>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F98482B">
            <w:pPr>
              <w:jc w:val="center"/>
              <w:rPr>
                <w:rFonts w:ascii="宋体" w:hAnsi="宋体"/>
                <w:color w:val="auto"/>
                <w:highlight w:val="none"/>
              </w:rPr>
            </w:pPr>
          </w:p>
        </w:tc>
        <w:tc>
          <w:tcPr>
            <w:tcW w:w="1013" w:type="dxa"/>
            <w:tcBorders>
              <w:top w:val="single" w:color="000000" w:sz="4" w:space="0"/>
              <w:left w:val="single" w:color="000000" w:sz="4" w:space="0"/>
              <w:bottom w:val="single" w:color="000000" w:sz="4" w:space="0"/>
              <w:right w:val="single" w:color="000000" w:sz="4" w:space="0"/>
            </w:tcBorders>
            <w:vAlign w:val="center"/>
          </w:tcPr>
          <w:p w14:paraId="72258C8E">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05B4F1A0">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42E43331">
            <w:pPr>
              <w:jc w:val="center"/>
              <w:rPr>
                <w:rFonts w:ascii="宋体" w:hAnsi="宋体"/>
                <w:color w:val="auto"/>
                <w:highlight w:val="none"/>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3AEE593D">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7C710536">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4411D41A">
            <w:pPr>
              <w:jc w:val="center"/>
              <w:rPr>
                <w:rFonts w:ascii="宋体" w:hAnsi="宋体"/>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vAlign w:val="center"/>
          </w:tcPr>
          <w:p w14:paraId="44131E40">
            <w:pPr>
              <w:jc w:val="center"/>
              <w:rPr>
                <w:rFonts w:ascii="宋体" w:hAnsi="宋体"/>
                <w:color w:val="auto"/>
                <w:highlight w:val="none"/>
              </w:rPr>
            </w:pPr>
          </w:p>
        </w:tc>
      </w:tr>
      <w:tr w14:paraId="3122EFF2">
        <w:tblPrEx>
          <w:tblCellMar>
            <w:top w:w="0" w:type="dxa"/>
            <w:left w:w="0" w:type="dxa"/>
            <w:bottom w:w="0" w:type="dxa"/>
            <w:right w:w="0" w:type="dxa"/>
          </w:tblCellMar>
        </w:tblPrEx>
        <w:trPr>
          <w:trHeight w:val="506" w:hRule="exact"/>
        </w:trPr>
        <w:tc>
          <w:tcPr>
            <w:tcW w:w="533" w:type="dxa"/>
            <w:tcBorders>
              <w:top w:val="single" w:color="000000" w:sz="4" w:space="0"/>
              <w:left w:val="single" w:color="000000" w:sz="4" w:space="0"/>
              <w:bottom w:val="single" w:color="000000" w:sz="4" w:space="0"/>
              <w:right w:val="single" w:color="000000" w:sz="4" w:space="0"/>
            </w:tcBorders>
            <w:vAlign w:val="center"/>
          </w:tcPr>
          <w:p w14:paraId="0C3863C6">
            <w:pPr>
              <w:jc w:val="center"/>
              <w:rPr>
                <w:rFonts w:ascii="宋体" w:hAnsi="宋体"/>
                <w:color w:val="auto"/>
                <w:highlight w:val="no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0C9F5AED">
            <w:pPr>
              <w:jc w:val="center"/>
              <w:rPr>
                <w:rFonts w:ascii="宋体" w:hAnsi="宋体"/>
                <w:color w:val="auto"/>
                <w:highlight w:val="none"/>
              </w:rPr>
            </w:pPr>
          </w:p>
        </w:tc>
        <w:tc>
          <w:tcPr>
            <w:tcW w:w="1013" w:type="dxa"/>
            <w:tcBorders>
              <w:top w:val="single" w:color="000000" w:sz="4" w:space="0"/>
              <w:left w:val="single" w:color="000000" w:sz="4" w:space="0"/>
              <w:bottom w:val="single" w:color="000000" w:sz="4" w:space="0"/>
              <w:right w:val="single" w:color="000000" w:sz="4" w:space="0"/>
            </w:tcBorders>
            <w:vAlign w:val="center"/>
          </w:tcPr>
          <w:p w14:paraId="43530023">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40E5CB18">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6A69DF9D">
            <w:pPr>
              <w:jc w:val="center"/>
              <w:rPr>
                <w:rFonts w:ascii="宋体" w:hAnsi="宋体"/>
                <w:color w:val="auto"/>
                <w:highlight w:val="none"/>
              </w:rPr>
            </w:pPr>
          </w:p>
        </w:tc>
        <w:tc>
          <w:tcPr>
            <w:tcW w:w="866" w:type="dxa"/>
            <w:tcBorders>
              <w:top w:val="single" w:color="000000" w:sz="4" w:space="0"/>
              <w:left w:val="single" w:color="000000" w:sz="4" w:space="0"/>
              <w:bottom w:val="single" w:color="000000" w:sz="4" w:space="0"/>
              <w:right w:val="single" w:color="000000" w:sz="4" w:space="0"/>
            </w:tcBorders>
            <w:vAlign w:val="center"/>
          </w:tcPr>
          <w:p w14:paraId="30515D84">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3F05D70B">
            <w:pPr>
              <w:jc w:val="center"/>
              <w:rPr>
                <w:rFonts w:ascii="宋体" w:hAnsi="宋体"/>
                <w:color w:val="auto"/>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17618C3C">
            <w:pPr>
              <w:jc w:val="center"/>
              <w:rPr>
                <w:rFonts w:ascii="宋体" w:hAnsi="宋体"/>
                <w:color w:val="auto"/>
                <w:highlight w:val="none"/>
              </w:rPr>
            </w:pPr>
          </w:p>
        </w:tc>
        <w:tc>
          <w:tcPr>
            <w:tcW w:w="1409" w:type="dxa"/>
            <w:tcBorders>
              <w:top w:val="single" w:color="000000" w:sz="4" w:space="0"/>
              <w:left w:val="single" w:color="000000" w:sz="4" w:space="0"/>
              <w:bottom w:val="single" w:color="000000" w:sz="4" w:space="0"/>
              <w:right w:val="single" w:color="000000" w:sz="4" w:space="0"/>
            </w:tcBorders>
            <w:vAlign w:val="center"/>
          </w:tcPr>
          <w:p w14:paraId="2AF55FA3">
            <w:pPr>
              <w:jc w:val="center"/>
              <w:rPr>
                <w:rFonts w:ascii="宋体" w:hAnsi="宋体"/>
                <w:color w:val="auto"/>
                <w:highlight w:val="none"/>
              </w:rPr>
            </w:pPr>
          </w:p>
        </w:tc>
      </w:tr>
      <w:tr w14:paraId="2FCAB676">
        <w:tblPrEx>
          <w:tblCellMar>
            <w:top w:w="0" w:type="dxa"/>
            <w:left w:w="0" w:type="dxa"/>
            <w:bottom w:w="0" w:type="dxa"/>
            <w:right w:w="0" w:type="dxa"/>
          </w:tblCellMar>
        </w:tblPrEx>
        <w:trPr>
          <w:trHeight w:val="528" w:hRule="exact"/>
        </w:trPr>
        <w:tc>
          <w:tcPr>
            <w:tcW w:w="2386" w:type="dxa"/>
            <w:gridSpan w:val="3"/>
            <w:tcBorders>
              <w:top w:val="single" w:color="000000" w:sz="4" w:space="0"/>
              <w:left w:val="single" w:color="000000" w:sz="4" w:space="0"/>
              <w:bottom w:val="single" w:color="000000" w:sz="4" w:space="0"/>
              <w:right w:val="single" w:color="000000" w:sz="4" w:space="0"/>
            </w:tcBorders>
            <w:vAlign w:val="center"/>
          </w:tcPr>
          <w:p w14:paraId="07E9EF64">
            <w:pPr>
              <w:pStyle w:val="34"/>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最高投标限价：</w:t>
            </w:r>
          </w:p>
        </w:tc>
        <w:tc>
          <w:tcPr>
            <w:tcW w:w="1083" w:type="dxa"/>
            <w:tcBorders>
              <w:top w:val="single" w:color="auto" w:sz="4" w:space="0"/>
              <w:bottom w:val="single" w:color="auto" w:sz="4" w:space="0"/>
              <w:right w:val="single" w:color="auto" w:sz="4" w:space="0"/>
            </w:tcBorders>
          </w:tcPr>
          <w:p w14:paraId="78B26B42">
            <w:pPr>
              <w:pStyle w:val="34"/>
              <w:jc w:val="center"/>
              <w:rPr>
                <w:rFonts w:ascii="宋体" w:hAnsi="宋体" w:eastAsia="宋体" w:cs="宋体"/>
                <w:color w:val="auto"/>
                <w:sz w:val="21"/>
                <w:szCs w:val="21"/>
                <w:highlight w:val="none"/>
              </w:rPr>
            </w:pPr>
          </w:p>
        </w:tc>
        <w:tc>
          <w:tcPr>
            <w:tcW w:w="1083" w:type="dxa"/>
            <w:tcBorders>
              <w:top w:val="single" w:color="auto" w:sz="4" w:space="0"/>
              <w:bottom w:val="single" w:color="auto" w:sz="4" w:space="0"/>
              <w:right w:val="single" w:color="auto" w:sz="4" w:space="0"/>
            </w:tcBorders>
          </w:tcPr>
          <w:p w14:paraId="56CA39AD">
            <w:pPr>
              <w:widowControl/>
              <w:rPr>
                <w:rFonts w:ascii="宋体" w:hAnsi="宋体"/>
                <w:color w:val="auto"/>
                <w:highlight w:val="none"/>
              </w:rPr>
            </w:pPr>
          </w:p>
        </w:tc>
        <w:tc>
          <w:tcPr>
            <w:tcW w:w="4441" w:type="dxa"/>
            <w:gridSpan w:val="4"/>
            <w:tcBorders>
              <w:top w:val="single" w:color="auto" w:sz="4" w:space="0"/>
              <w:bottom w:val="single" w:color="auto" w:sz="4" w:space="0"/>
              <w:right w:val="single" w:color="auto" w:sz="4" w:space="0"/>
            </w:tcBorders>
          </w:tcPr>
          <w:p w14:paraId="12D7B394">
            <w:pPr>
              <w:widowControl/>
              <w:rPr>
                <w:rFonts w:ascii="宋体" w:hAnsi="宋体"/>
                <w:color w:val="auto"/>
                <w:highlight w:val="none"/>
              </w:rPr>
            </w:pPr>
          </w:p>
        </w:tc>
      </w:tr>
    </w:tbl>
    <w:p w14:paraId="4E3197F7">
      <w:pPr>
        <w:pStyle w:val="9"/>
        <w:tabs>
          <w:tab w:val="left" w:pos="736"/>
          <w:tab w:val="left" w:pos="1682"/>
          <w:tab w:val="left" w:pos="2626"/>
        </w:tabs>
        <w:kinsoku w:val="0"/>
        <w:overflowPunct w:val="0"/>
        <w:spacing w:before="36"/>
        <w:ind w:left="0"/>
        <w:rPr>
          <w:bCs/>
          <w:color w:val="auto"/>
          <w:highlight w:val="none"/>
          <w:lang w:eastAsia="zh-CN"/>
        </w:rPr>
      </w:pPr>
      <w:r>
        <w:rPr>
          <w:rFonts w:hint="eastAsia" w:cs="宋体"/>
          <w:bCs/>
          <w:color w:val="auto"/>
          <w:highlight w:val="none"/>
          <w:lang w:eastAsia="zh-CN"/>
        </w:rPr>
        <w:t>注：</w:t>
      </w:r>
      <w:r>
        <w:rPr>
          <w:rFonts w:hint="eastAsia"/>
          <w:bCs/>
          <w:color w:val="auto"/>
          <w:highlight w:val="none"/>
          <w:lang w:eastAsia="zh-CN"/>
        </w:rPr>
        <w:t>本表仅供参考，具体以开标时的开标记录表为准。</w:t>
      </w:r>
    </w:p>
    <w:p w14:paraId="0C437E0D">
      <w:pPr>
        <w:rPr>
          <w:rFonts w:ascii="宋体" w:hAnsi="宋体" w:cs="宋体"/>
          <w:color w:val="auto"/>
          <w:sz w:val="20"/>
          <w:szCs w:val="20"/>
          <w:highlight w:val="none"/>
        </w:rPr>
      </w:pPr>
    </w:p>
    <w:p w14:paraId="4FFA2AE1">
      <w:pPr>
        <w:pStyle w:val="9"/>
        <w:tabs>
          <w:tab w:val="left" w:pos="2264"/>
          <w:tab w:val="left" w:pos="3057"/>
          <w:tab w:val="left" w:pos="4679"/>
          <w:tab w:val="left" w:pos="5366"/>
          <w:tab w:val="left" w:pos="6989"/>
        </w:tabs>
        <w:spacing w:before="168"/>
        <w:ind w:left="220"/>
        <w:rPr>
          <w:color w:val="auto"/>
          <w:highlight w:val="none"/>
          <w:lang w:eastAsia="zh-CN"/>
        </w:rPr>
      </w:pPr>
      <w:r>
        <w:rPr>
          <w:color w:val="auto"/>
          <w:spacing w:val="-2"/>
          <w:highlight w:val="none"/>
          <w:lang w:eastAsia="zh-CN"/>
        </w:rPr>
        <w:t>招标人代表：</w:t>
      </w:r>
      <w:r>
        <w:rPr>
          <w:color w:val="auto"/>
          <w:spacing w:val="-2"/>
          <w:highlight w:val="none"/>
          <w:u w:val="single" w:color="000000"/>
          <w:lang w:eastAsia="zh-CN"/>
        </w:rPr>
        <w:tab/>
      </w:r>
      <w:r>
        <w:rPr>
          <w:color w:val="auto"/>
          <w:spacing w:val="-2"/>
          <w:highlight w:val="none"/>
          <w:lang w:eastAsia="zh-CN"/>
        </w:rPr>
        <w:tab/>
      </w:r>
      <w:r>
        <w:rPr>
          <w:color w:val="auto"/>
          <w:spacing w:val="-2"/>
          <w:highlight w:val="none"/>
          <w:lang w:eastAsia="zh-CN"/>
        </w:rPr>
        <w:t>记录人：</w:t>
      </w:r>
      <w:r>
        <w:rPr>
          <w:color w:val="auto"/>
          <w:spacing w:val="-2"/>
          <w:highlight w:val="none"/>
          <w:u w:val="single" w:color="000000"/>
          <w:lang w:eastAsia="zh-CN"/>
        </w:rPr>
        <w:tab/>
      </w:r>
      <w:r>
        <w:rPr>
          <w:color w:val="auto"/>
          <w:spacing w:val="-2"/>
          <w:highlight w:val="none"/>
          <w:lang w:eastAsia="zh-CN"/>
        </w:rPr>
        <w:tab/>
      </w:r>
      <w:r>
        <w:rPr>
          <w:color w:val="auto"/>
          <w:spacing w:val="-2"/>
          <w:highlight w:val="none"/>
          <w:lang w:eastAsia="zh-CN"/>
        </w:rPr>
        <w:t>监标人：</w:t>
      </w:r>
      <w:r>
        <w:rPr>
          <w:color w:val="auto"/>
          <w:highlight w:val="none"/>
          <w:u w:val="single" w:color="000000"/>
          <w:lang w:eastAsia="zh-CN"/>
        </w:rPr>
        <w:tab/>
      </w:r>
    </w:p>
    <w:p w14:paraId="6C336190">
      <w:pPr>
        <w:rPr>
          <w:rFonts w:ascii="宋体" w:hAnsi="宋体"/>
          <w:color w:val="auto"/>
          <w:sz w:val="27"/>
          <w:szCs w:val="27"/>
          <w:highlight w:val="none"/>
        </w:rPr>
      </w:pPr>
    </w:p>
    <w:p w14:paraId="77AFD125">
      <w:pPr>
        <w:pStyle w:val="9"/>
        <w:tabs>
          <w:tab w:val="left" w:pos="736"/>
          <w:tab w:val="left" w:pos="1682"/>
          <w:tab w:val="left" w:pos="2626"/>
        </w:tabs>
        <w:spacing w:before="36"/>
        <w:ind w:left="0" w:right="113"/>
        <w:jc w:val="right"/>
        <w:rPr>
          <w:color w:val="auto"/>
          <w:highlight w:val="none"/>
          <w:lang w:eastAsia="zh-CN"/>
        </w:rPr>
      </w:pPr>
      <w:r>
        <w:rPr>
          <w:color w:val="auto"/>
          <w:highlight w:val="none"/>
          <w:u w:val="single" w:color="000000"/>
          <w:lang w:eastAsia="zh-CN"/>
        </w:rPr>
        <w:tab/>
      </w:r>
      <w:r>
        <w:rPr>
          <w:color w:val="auto"/>
          <w:highlight w:val="none"/>
          <w:lang w:eastAsia="zh-CN"/>
        </w:rPr>
        <w:t>年</w:t>
      </w:r>
      <w:r>
        <w:rPr>
          <w:color w:val="auto"/>
          <w:highlight w:val="none"/>
          <w:u w:val="single" w:color="000000"/>
          <w:lang w:eastAsia="zh-CN"/>
        </w:rPr>
        <w:tab/>
      </w:r>
      <w:r>
        <w:rPr>
          <w:color w:val="auto"/>
          <w:spacing w:val="-3"/>
          <w:highlight w:val="none"/>
          <w:lang w:eastAsia="zh-CN"/>
        </w:rPr>
        <w:t>月</w:t>
      </w:r>
      <w:r>
        <w:rPr>
          <w:color w:val="auto"/>
          <w:spacing w:val="-3"/>
          <w:highlight w:val="none"/>
          <w:u w:val="single" w:color="000000"/>
          <w:lang w:eastAsia="zh-CN"/>
        </w:rPr>
        <w:tab/>
      </w:r>
      <w:r>
        <w:rPr>
          <w:color w:val="auto"/>
          <w:highlight w:val="none"/>
          <w:lang w:eastAsia="zh-CN"/>
        </w:rPr>
        <w:t>日</w:t>
      </w:r>
    </w:p>
    <w:p w14:paraId="313F64CF">
      <w:pPr>
        <w:pStyle w:val="9"/>
        <w:tabs>
          <w:tab w:val="left" w:pos="736"/>
          <w:tab w:val="left" w:pos="1682"/>
          <w:tab w:val="left" w:pos="2626"/>
        </w:tabs>
        <w:spacing w:before="36"/>
        <w:ind w:left="0" w:right="113"/>
        <w:jc w:val="right"/>
        <w:rPr>
          <w:color w:val="auto"/>
          <w:highlight w:val="none"/>
          <w:lang w:eastAsia="zh-CN"/>
        </w:rPr>
      </w:pPr>
    </w:p>
    <w:p w14:paraId="1C46DBFE">
      <w:pPr>
        <w:pStyle w:val="9"/>
        <w:tabs>
          <w:tab w:val="left" w:pos="736"/>
          <w:tab w:val="left" w:pos="1682"/>
          <w:tab w:val="left" w:pos="2626"/>
        </w:tabs>
        <w:spacing w:before="36"/>
        <w:ind w:left="0" w:right="113"/>
        <w:rPr>
          <w:color w:val="auto"/>
          <w:highlight w:val="none"/>
          <w:lang w:eastAsia="zh-CN"/>
        </w:rPr>
      </w:pPr>
    </w:p>
    <w:p w14:paraId="50FDFDC8">
      <w:pPr>
        <w:jc w:val="right"/>
        <w:rPr>
          <w:rFonts w:ascii="宋体" w:hAnsi="宋体"/>
          <w:color w:val="auto"/>
          <w:highlight w:val="none"/>
        </w:rPr>
        <w:sectPr>
          <w:pgSz w:w="12240" w:h="15840"/>
          <w:pgMar w:top="1400" w:right="1680" w:bottom="1120" w:left="1580" w:header="0" w:footer="921" w:gutter="0"/>
          <w:pgBorders>
            <w:top w:val="none" w:sz="0" w:space="0"/>
            <w:left w:val="none" w:sz="0" w:space="0"/>
            <w:bottom w:val="none" w:sz="0" w:space="0"/>
            <w:right w:val="none" w:sz="0" w:space="0"/>
          </w:pgBorders>
          <w:cols w:space="720" w:num="1"/>
        </w:sectPr>
      </w:pPr>
    </w:p>
    <w:p w14:paraId="0177B2FF">
      <w:pPr>
        <w:pStyle w:val="5"/>
        <w:spacing w:line="363" w:lineRule="exact"/>
        <w:ind w:right="44"/>
        <w:rPr>
          <w:b w:val="0"/>
          <w:color w:val="auto"/>
          <w:highlight w:val="none"/>
        </w:rPr>
      </w:pPr>
      <w:r>
        <w:rPr>
          <w:b w:val="0"/>
          <w:color w:val="auto"/>
          <w:highlight w:val="none"/>
        </w:rPr>
        <w:t>附件二：问题澄清通知</w:t>
      </w:r>
    </w:p>
    <w:p w14:paraId="4B10D2B3">
      <w:pPr>
        <w:rPr>
          <w:rFonts w:ascii="宋体" w:hAnsi="宋体" w:cs="宋体"/>
          <w:color w:val="auto"/>
          <w:sz w:val="20"/>
          <w:szCs w:val="20"/>
          <w:highlight w:val="none"/>
        </w:rPr>
      </w:pPr>
    </w:p>
    <w:p w14:paraId="08610EC3">
      <w:pPr>
        <w:kinsoku w:val="0"/>
        <w:overflowPunct w:val="0"/>
        <w:spacing w:line="200" w:lineRule="exact"/>
        <w:rPr>
          <w:rFonts w:ascii="宋体" w:hAnsi="宋体"/>
          <w:color w:val="auto"/>
          <w:sz w:val="20"/>
          <w:szCs w:val="20"/>
          <w:highlight w:val="none"/>
        </w:rPr>
      </w:pPr>
    </w:p>
    <w:p w14:paraId="70FE00D4">
      <w:pPr>
        <w:kinsoku w:val="0"/>
        <w:overflowPunct w:val="0"/>
        <w:spacing w:line="200" w:lineRule="exact"/>
        <w:rPr>
          <w:rFonts w:ascii="宋体" w:hAnsi="宋体"/>
          <w:color w:val="auto"/>
          <w:sz w:val="20"/>
          <w:szCs w:val="20"/>
          <w:highlight w:val="none"/>
        </w:rPr>
      </w:pPr>
    </w:p>
    <w:p w14:paraId="7D2946D2">
      <w:pPr>
        <w:kinsoku w:val="0"/>
        <w:overflowPunct w:val="0"/>
        <w:spacing w:line="413" w:lineRule="exact"/>
        <w:ind w:left="220" w:right="236"/>
        <w:jc w:val="center"/>
        <w:rPr>
          <w:rFonts w:ascii="宋体" w:hAnsi="宋体"/>
          <w:color w:val="auto"/>
          <w:sz w:val="28"/>
          <w:szCs w:val="28"/>
          <w:highlight w:val="none"/>
        </w:rPr>
      </w:pPr>
      <w:r>
        <w:rPr>
          <w:rFonts w:hint="eastAsia" w:ascii="宋体" w:hAnsi="宋体" w:cs="Microsoft JhengHei"/>
          <w:color w:val="auto"/>
          <w:sz w:val="28"/>
          <w:szCs w:val="28"/>
          <w:highlight w:val="none"/>
        </w:rPr>
        <w:t>问题澄</w:t>
      </w:r>
      <w:r>
        <w:rPr>
          <w:rFonts w:hint="eastAsia" w:ascii="宋体" w:hAnsi="宋体" w:cs="Microsoft JhengHei"/>
          <w:color w:val="auto"/>
          <w:spacing w:val="-3"/>
          <w:sz w:val="28"/>
          <w:szCs w:val="28"/>
          <w:highlight w:val="none"/>
        </w:rPr>
        <w:t>清</w:t>
      </w:r>
      <w:r>
        <w:rPr>
          <w:rFonts w:hint="eastAsia" w:ascii="宋体" w:hAnsi="宋体" w:cs="Microsoft JhengHei"/>
          <w:color w:val="auto"/>
          <w:sz w:val="28"/>
          <w:szCs w:val="28"/>
          <w:highlight w:val="none"/>
        </w:rPr>
        <w:t>通知</w:t>
      </w:r>
    </w:p>
    <w:p w14:paraId="4AD648E2">
      <w:pPr>
        <w:pStyle w:val="9"/>
        <w:tabs>
          <w:tab w:val="left" w:pos="2937"/>
        </w:tabs>
        <w:kinsoku w:val="0"/>
        <w:overflowPunct w:val="0"/>
        <w:spacing w:before="62"/>
        <w:ind w:right="22"/>
        <w:jc w:val="center"/>
        <w:rPr>
          <w:color w:val="auto"/>
          <w:highlight w:val="none"/>
          <w:lang w:eastAsia="zh-CN"/>
        </w:rPr>
      </w:pPr>
      <w:r>
        <w:rPr>
          <w:rFonts w:hint="eastAsia"/>
          <w:color w:val="auto"/>
          <w:highlight w:val="none"/>
          <w:lang w:eastAsia="zh-CN"/>
        </w:rPr>
        <w:t>（编</w:t>
      </w:r>
      <w:r>
        <w:rPr>
          <w:rFonts w:hint="eastAsia"/>
          <w:color w:val="auto"/>
          <w:spacing w:val="-3"/>
          <w:highlight w:val="none"/>
          <w:lang w:eastAsia="zh-CN"/>
        </w:rPr>
        <w:t>号</w:t>
      </w:r>
      <w:r>
        <w:rPr>
          <w:rFonts w:hint="eastAsia"/>
          <w:color w:val="auto"/>
          <w:spacing w:val="-1"/>
          <w:highlight w:val="none"/>
          <w:lang w:eastAsia="zh-CN"/>
        </w:rPr>
        <w:t>：</w:t>
      </w:r>
      <w:r>
        <w:rPr>
          <w:color w:val="auto"/>
          <w:spacing w:val="-1"/>
          <w:highlight w:val="none"/>
          <w:u w:val="single"/>
          <w:lang w:eastAsia="zh-CN"/>
        </w:rPr>
        <w:tab/>
      </w:r>
      <w:r>
        <w:rPr>
          <w:rFonts w:hint="eastAsia"/>
          <w:color w:val="auto"/>
          <w:highlight w:val="none"/>
          <w:lang w:eastAsia="zh-CN"/>
        </w:rPr>
        <w:t>）</w:t>
      </w:r>
    </w:p>
    <w:p w14:paraId="7E807337">
      <w:pPr>
        <w:kinsoku w:val="0"/>
        <w:overflowPunct w:val="0"/>
        <w:spacing w:before="3" w:line="140" w:lineRule="exact"/>
        <w:rPr>
          <w:rFonts w:ascii="宋体" w:hAnsi="宋体"/>
          <w:color w:val="auto"/>
          <w:sz w:val="14"/>
          <w:szCs w:val="14"/>
          <w:highlight w:val="none"/>
        </w:rPr>
      </w:pPr>
    </w:p>
    <w:p w14:paraId="3FE58864">
      <w:pPr>
        <w:kinsoku w:val="0"/>
        <w:overflowPunct w:val="0"/>
        <w:spacing w:line="200" w:lineRule="exact"/>
        <w:rPr>
          <w:rFonts w:ascii="宋体" w:hAnsi="宋体"/>
          <w:color w:val="auto"/>
          <w:sz w:val="20"/>
          <w:szCs w:val="20"/>
          <w:highlight w:val="none"/>
        </w:rPr>
      </w:pPr>
    </w:p>
    <w:p w14:paraId="6D088B86">
      <w:pPr>
        <w:kinsoku w:val="0"/>
        <w:overflowPunct w:val="0"/>
        <w:spacing w:line="200" w:lineRule="exact"/>
        <w:rPr>
          <w:rFonts w:ascii="宋体" w:hAnsi="宋体"/>
          <w:color w:val="auto"/>
          <w:sz w:val="20"/>
          <w:szCs w:val="20"/>
          <w:highlight w:val="none"/>
        </w:rPr>
      </w:pPr>
    </w:p>
    <w:p w14:paraId="6C00515F">
      <w:pPr>
        <w:pStyle w:val="9"/>
        <w:tabs>
          <w:tab w:val="left" w:pos="2306"/>
        </w:tabs>
        <w:kinsoku w:val="0"/>
        <w:overflowPunct w:val="0"/>
        <w:spacing w:line="335" w:lineRule="exact"/>
        <w:rPr>
          <w:color w:val="auto"/>
          <w:highlight w:val="none"/>
          <w:lang w:eastAsia="zh-CN"/>
        </w:rPr>
      </w:pPr>
      <w:r>
        <w:rPr>
          <w:color w:val="auto"/>
          <w:w w:val="201"/>
          <w:highlight w:val="none"/>
          <w:u w:val="single"/>
          <w:lang w:eastAsia="zh-CN"/>
        </w:rPr>
        <w:t xml:space="preserve"> </w:t>
      </w:r>
      <w:r>
        <w:rPr>
          <w:color w:val="auto"/>
          <w:highlight w:val="none"/>
          <w:u w:val="single"/>
          <w:lang w:eastAsia="zh-CN"/>
        </w:rPr>
        <w:tab/>
      </w:r>
      <w:r>
        <w:rPr>
          <w:rFonts w:hint="eastAsia"/>
          <w:color w:val="auto"/>
          <w:spacing w:val="-3"/>
          <w:highlight w:val="none"/>
          <w:lang w:eastAsia="zh-CN"/>
        </w:rPr>
        <w:t>（</w:t>
      </w:r>
      <w:r>
        <w:rPr>
          <w:rFonts w:hint="eastAsia"/>
          <w:color w:val="auto"/>
          <w:highlight w:val="none"/>
          <w:lang w:eastAsia="zh-CN"/>
        </w:rPr>
        <w:t>投标</w:t>
      </w:r>
      <w:r>
        <w:rPr>
          <w:rFonts w:hint="eastAsia"/>
          <w:color w:val="auto"/>
          <w:spacing w:val="-3"/>
          <w:highlight w:val="none"/>
          <w:lang w:eastAsia="zh-CN"/>
        </w:rPr>
        <w:t>人</w:t>
      </w:r>
      <w:r>
        <w:rPr>
          <w:rFonts w:hint="eastAsia"/>
          <w:color w:val="auto"/>
          <w:highlight w:val="none"/>
          <w:lang w:eastAsia="zh-CN"/>
        </w:rPr>
        <w:t>名</w:t>
      </w:r>
      <w:r>
        <w:rPr>
          <w:rFonts w:hint="eastAsia"/>
          <w:color w:val="auto"/>
          <w:spacing w:val="-3"/>
          <w:highlight w:val="none"/>
          <w:lang w:eastAsia="zh-CN"/>
        </w:rPr>
        <w:t>称</w:t>
      </w:r>
      <w:r>
        <w:rPr>
          <w:rFonts w:hint="eastAsia"/>
          <w:color w:val="auto"/>
          <w:spacing w:val="-106"/>
          <w:highlight w:val="none"/>
          <w:lang w:eastAsia="zh-CN"/>
        </w:rPr>
        <w:t>）</w:t>
      </w:r>
      <w:r>
        <w:rPr>
          <w:rFonts w:hint="eastAsia"/>
          <w:color w:val="auto"/>
          <w:highlight w:val="none"/>
          <w:lang w:eastAsia="zh-CN"/>
        </w:rPr>
        <w:t>：</w:t>
      </w:r>
    </w:p>
    <w:p w14:paraId="3A80A002">
      <w:pPr>
        <w:kinsoku w:val="0"/>
        <w:overflowPunct w:val="0"/>
        <w:spacing w:before="6" w:line="140" w:lineRule="exact"/>
        <w:rPr>
          <w:rFonts w:ascii="宋体" w:hAnsi="宋体"/>
          <w:color w:val="auto"/>
          <w:sz w:val="14"/>
          <w:szCs w:val="14"/>
          <w:highlight w:val="none"/>
        </w:rPr>
      </w:pPr>
    </w:p>
    <w:p w14:paraId="029D4E98">
      <w:pPr>
        <w:kinsoku w:val="0"/>
        <w:overflowPunct w:val="0"/>
        <w:spacing w:line="200" w:lineRule="exact"/>
        <w:rPr>
          <w:rFonts w:ascii="宋体" w:hAnsi="宋体"/>
          <w:color w:val="auto"/>
          <w:sz w:val="20"/>
          <w:szCs w:val="20"/>
          <w:highlight w:val="none"/>
        </w:rPr>
      </w:pPr>
    </w:p>
    <w:p w14:paraId="40694CB8">
      <w:pPr>
        <w:kinsoku w:val="0"/>
        <w:overflowPunct w:val="0"/>
        <w:spacing w:line="200" w:lineRule="exact"/>
        <w:rPr>
          <w:rFonts w:ascii="宋体" w:hAnsi="宋体"/>
          <w:color w:val="auto"/>
          <w:sz w:val="20"/>
          <w:szCs w:val="20"/>
          <w:highlight w:val="none"/>
        </w:rPr>
      </w:pPr>
    </w:p>
    <w:p w14:paraId="4C0E90C2">
      <w:pPr>
        <w:pStyle w:val="9"/>
        <w:kinsoku w:val="0"/>
        <w:overflowPunct w:val="0"/>
        <w:spacing w:line="335" w:lineRule="exact"/>
        <w:ind w:left="522"/>
        <w:rPr>
          <w:color w:val="auto"/>
          <w:highlight w:val="none"/>
          <w:lang w:eastAsia="zh-CN"/>
        </w:rPr>
      </w:pPr>
      <w:r>
        <w:rPr>
          <w:rFonts w:hint="eastAsia"/>
          <w:color w:val="auto"/>
          <w:highlight w:val="none"/>
          <w:lang w:eastAsia="zh-CN"/>
        </w:rPr>
        <w:t>评标委员会</w:t>
      </w:r>
      <w:r>
        <w:rPr>
          <w:rFonts w:hint="eastAsia"/>
          <w:color w:val="auto"/>
          <w:spacing w:val="-3"/>
          <w:highlight w:val="none"/>
          <w:lang w:eastAsia="zh-CN"/>
        </w:rPr>
        <w:t>对</w:t>
      </w:r>
      <w:r>
        <w:rPr>
          <w:rFonts w:hint="eastAsia"/>
          <w:color w:val="auto"/>
          <w:highlight w:val="none"/>
          <w:lang w:eastAsia="zh-CN"/>
        </w:rPr>
        <w:t>你方</w:t>
      </w:r>
      <w:r>
        <w:rPr>
          <w:rFonts w:hint="eastAsia"/>
          <w:color w:val="auto"/>
          <w:spacing w:val="-3"/>
          <w:highlight w:val="none"/>
          <w:lang w:eastAsia="zh-CN"/>
        </w:rPr>
        <w:t>的</w:t>
      </w:r>
      <w:r>
        <w:rPr>
          <w:rFonts w:hint="eastAsia"/>
          <w:color w:val="auto"/>
          <w:highlight w:val="none"/>
          <w:lang w:eastAsia="zh-CN"/>
        </w:rPr>
        <w:t>投标文件进行了</w:t>
      </w:r>
      <w:r>
        <w:rPr>
          <w:rFonts w:hint="eastAsia"/>
          <w:color w:val="auto"/>
          <w:spacing w:val="-3"/>
          <w:highlight w:val="none"/>
          <w:lang w:eastAsia="zh-CN"/>
        </w:rPr>
        <w:t>仔</w:t>
      </w:r>
      <w:r>
        <w:rPr>
          <w:rFonts w:hint="eastAsia"/>
          <w:color w:val="auto"/>
          <w:highlight w:val="none"/>
          <w:lang w:eastAsia="zh-CN"/>
        </w:rPr>
        <w:t>细的</w:t>
      </w:r>
      <w:r>
        <w:rPr>
          <w:rFonts w:hint="eastAsia"/>
          <w:color w:val="auto"/>
          <w:spacing w:val="-3"/>
          <w:highlight w:val="none"/>
          <w:lang w:eastAsia="zh-CN"/>
        </w:rPr>
        <w:t>审</w:t>
      </w:r>
      <w:r>
        <w:rPr>
          <w:rFonts w:hint="eastAsia"/>
          <w:color w:val="auto"/>
          <w:highlight w:val="none"/>
          <w:lang w:eastAsia="zh-CN"/>
        </w:rPr>
        <w:t>查，现需你方对</w:t>
      </w:r>
      <w:r>
        <w:rPr>
          <w:rFonts w:hint="eastAsia"/>
          <w:color w:val="auto"/>
          <w:spacing w:val="-3"/>
          <w:highlight w:val="none"/>
          <w:lang w:eastAsia="zh-CN"/>
        </w:rPr>
        <w:t>下</w:t>
      </w:r>
      <w:r>
        <w:rPr>
          <w:rFonts w:hint="eastAsia"/>
          <w:color w:val="auto"/>
          <w:highlight w:val="none"/>
          <w:lang w:eastAsia="zh-CN"/>
        </w:rPr>
        <w:t>列问</w:t>
      </w:r>
      <w:r>
        <w:rPr>
          <w:rFonts w:hint="eastAsia"/>
          <w:color w:val="auto"/>
          <w:spacing w:val="-3"/>
          <w:highlight w:val="none"/>
          <w:lang w:eastAsia="zh-CN"/>
        </w:rPr>
        <w:t>题</w:t>
      </w:r>
      <w:r>
        <w:rPr>
          <w:rFonts w:hint="eastAsia"/>
          <w:color w:val="auto"/>
          <w:highlight w:val="none"/>
          <w:lang w:eastAsia="zh-CN"/>
        </w:rPr>
        <w:t>以书面形式予</w:t>
      </w:r>
      <w:r>
        <w:rPr>
          <w:rFonts w:hint="eastAsia"/>
          <w:color w:val="auto"/>
          <w:spacing w:val="-3"/>
          <w:highlight w:val="none"/>
          <w:lang w:eastAsia="zh-CN"/>
        </w:rPr>
        <w:t>以</w:t>
      </w:r>
      <w:r>
        <w:rPr>
          <w:rFonts w:hint="eastAsia"/>
          <w:color w:val="auto"/>
          <w:highlight w:val="none"/>
          <w:lang w:eastAsia="zh-CN"/>
        </w:rPr>
        <w:t>澄</w:t>
      </w:r>
    </w:p>
    <w:p w14:paraId="580889A8">
      <w:pPr>
        <w:pStyle w:val="9"/>
        <w:kinsoku w:val="0"/>
        <w:overflowPunct w:val="0"/>
        <w:spacing w:before="78"/>
        <w:rPr>
          <w:color w:val="auto"/>
          <w:highlight w:val="none"/>
          <w:lang w:eastAsia="zh-CN"/>
        </w:rPr>
      </w:pPr>
      <w:r>
        <w:rPr>
          <w:rFonts w:hint="eastAsia"/>
          <w:color w:val="auto"/>
          <w:highlight w:val="none"/>
          <w:lang w:eastAsia="zh-CN"/>
        </w:rPr>
        <w:t>清、</w:t>
      </w:r>
      <w:r>
        <w:rPr>
          <w:rFonts w:hint="eastAsia"/>
          <w:color w:val="auto"/>
          <w:spacing w:val="-3"/>
          <w:highlight w:val="none"/>
          <w:lang w:eastAsia="zh-CN"/>
        </w:rPr>
        <w:t>说</w:t>
      </w:r>
      <w:r>
        <w:rPr>
          <w:rFonts w:hint="eastAsia"/>
          <w:color w:val="auto"/>
          <w:highlight w:val="none"/>
          <w:lang w:eastAsia="zh-CN"/>
        </w:rPr>
        <w:t>明</w:t>
      </w:r>
      <w:r>
        <w:rPr>
          <w:rFonts w:hint="eastAsia"/>
          <w:color w:val="auto"/>
          <w:spacing w:val="-3"/>
          <w:highlight w:val="none"/>
          <w:lang w:eastAsia="zh-CN"/>
        </w:rPr>
        <w:t>或</w:t>
      </w:r>
      <w:r>
        <w:rPr>
          <w:rFonts w:hint="eastAsia"/>
          <w:color w:val="auto"/>
          <w:highlight w:val="none"/>
          <w:lang w:eastAsia="zh-CN"/>
        </w:rPr>
        <w:t>补</w:t>
      </w:r>
      <w:r>
        <w:rPr>
          <w:rFonts w:hint="eastAsia"/>
          <w:color w:val="auto"/>
          <w:spacing w:val="-3"/>
          <w:highlight w:val="none"/>
          <w:lang w:eastAsia="zh-CN"/>
        </w:rPr>
        <w:t>正</w:t>
      </w:r>
      <w:r>
        <w:rPr>
          <w:rFonts w:hint="eastAsia"/>
          <w:color w:val="auto"/>
          <w:highlight w:val="none"/>
          <w:lang w:eastAsia="zh-CN"/>
        </w:rPr>
        <w:t>：</w:t>
      </w:r>
    </w:p>
    <w:p w14:paraId="2B198CC7">
      <w:pPr>
        <w:kinsoku w:val="0"/>
        <w:overflowPunct w:val="0"/>
        <w:spacing w:line="200" w:lineRule="exact"/>
        <w:rPr>
          <w:rFonts w:ascii="宋体" w:hAnsi="宋体"/>
          <w:color w:val="auto"/>
          <w:sz w:val="20"/>
          <w:szCs w:val="20"/>
          <w:highlight w:val="none"/>
        </w:rPr>
      </w:pPr>
    </w:p>
    <w:p w14:paraId="1D3F5E63">
      <w:pPr>
        <w:kinsoku w:val="0"/>
        <w:overflowPunct w:val="0"/>
        <w:spacing w:line="200" w:lineRule="exact"/>
        <w:rPr>
          <w:rFonts w:ascii="宋体" w:hAnsi="宋体"/>
          <w:color w:val="auto"/>
          <w:sz w:val="20"/>
          <w:szCs w:val="20"/>
          <w:highlight w:val="none"/>
        </w:rPr>
      </w:pPr>
    </w:p>
    <w:p w14:paraId="4A2EECEE">
      <w:pPr>
        <w:kinsoku w:val="0"/>
        <w:overflowPunct w:val="0"/>
        <w:spacing w:before="11" w:line="220" w:lineRule="exact"/>
        <w:rPr>
          <w:rFonts w:ascii="宋体" w:hAnsi="宋体"/>
          <w:color w:val="auto"/>
          <w:highlight w:val="none"/>
        </w:rPr>
      </w:pPr>
    </w:p>
    <w:p w14:paraId="53DDA9EA">
      <w:pPr>
        <w:pStyle w:val="9"/>
        <w:kinsoku w:val="0"/>
        <w:overflowPunct w:val="0"/>
        <w:ind w:left="522"/>
        <w:rPr>
          <w:color w:val="auto"/>
          <w:highlight w:val="none"/>
          <w:lang w:eastAsia="zh-CN"/>
        </w:rPr>
      </w:pPr>
      <w:r>
        <w:rPr>
          <w:color w:val="auto"/>
          <w:highlight w:val="none"/>
          <w:lang w:eastAsia="zh-CN"/>
        </w:rPr>
        <w:t>1.</w:t>
      </w:r>
    </w:p>
    <w:p w14:paraId="7996B8C7">
      <w:pPr>
        <w:kinsoku w:val="0"/>
        <w:overflowPunct w:val="0"/>
        <w:spacing w:before="8" w:line="190" w:lineRule="exact"/>
        <w:rPr>
          <w:rFonts w:ascii="宋体" w:hAnsi="宋体"/>
          <w:color w:val="auto"/>
          <w:sz w:val="19"/>
          <w:szCs w:val="19"/>
          <w:highlight w:val="none"/>
        </w:rPr>
      </w:pPr>
    </w:p>
    <w:p w14:paraId="685B0BE9">
      <w:pPr>
        <w:pStyle w:val="9"/>
        <w:kinsoku w:val="0"/>
        <w:overflowPunct w:val="0"/>
        <w:ind w:left="522"/>
        <w:rPr>
          <w:color w:val="auto"/>
          <w:highlight w:val="none"/>
          <w:lang w:eastAsia="zh-CN"/>
        </w:rPr>
      </w:pPr>
      <w:r>
        <w:rPr>
          <w:color w:val="auto"/>
          <w:highlight w:val="none"/>
          <w:lang w:eastAsia="zh-CN"/>
        </w:rPr>
        <w:t>2.</w:t>
      </w:r>
    </w:p>
    <w:p w14:paraId="0CD75304">
      <w:pPr>
        <w:kinsoku w:val="0"/>
        <w:overflowPunct w:val="0"/>
        <w:spacing w:before="1" w:line="200" w:lineRule="exact"/>
        <w:rPr>
          <w:rFonts w:ascii="宋体" w:hAnsi="宋体"/>
          <w:color w:val="auto"/>
          <w:sz w:val="20"/>
          <w:szCs w:val="20"/>
          <w:highlight w:val="none"/>
        </w:rPr>
      </w:pPr>
    </w:p>
    <w:p w14:paraId="159E0E00">
      <w:pPr>
        <w:pStyle w:val="9"/>
        <w:kinsoku w:val="0"/>
        <w:overflowPunct w:val="0"/>
        <w:ind w:left="628"/>
        <w:rPr>
          <w:color w:val="auto"/>
          <w:highlight w:val="none"/>
          <w:lang w:eastAsia="zh-CN"/>
        </w:rPr>
      </w:pPr>
      <w:r>
        <w:rPr>
          <w:color w:val="auto"/>
          <w:highlight w:val="none"/>
          <w:lang w:eastAsia="zh-CN"/>
        </w:rPr>
        <w:t>.</w:t>
      </w:r>
      <w:r>
        <w:rPr>
          <w:color w:val="auto"/>
          <w:spacing w:val="-3"/>
          <w:highlight w:val="none"/>
          <w:lang w:eastAsia="zh-CN"/>
        </w:rPr>
        <w:t>.</w:t>
      </w:r>
      <w:r>
        <w:rPr>
          <w:color w:val="auto"/>
          <w:highlight w:val="none"/>
          <w:lang w:eastAsia="zh-CN"/>
        </w:rPr>
        <w:t>....</w:t>
      </w:r>
    </w:p>
    <w:p w14:paraId="74BB874C">
      <w:pPr>
        <w:kinsoku w:val="0"/>
        <w:overflowPunct w:val="0"/>
        <w:spacing w:before="5" w:line="120" w:lineRule="exact"/>
        <w:rPr>
          <w:rFonts w:ascii="宋体" w:hAnsi="宋体"/>
          <w:color w:val="auto"/>
          <w:sz w:val="12"/>
          <w:szCs w:val="12"/>
          <w:highlight w:val="none"/>
        </w:rPr>
      </w:pPr>
    </w:p>
    <w:p w14:paraId="4DA2F09F">
      <w:pPr>
        <w:kinsoku w:val="0"/>
        <w:overflowPunct w:val="0"/>
        <w:spacing w:line="200" w:lineRule="exact"/>
        <w:rPr>
          <w:rFonts w:ascii="宋体" w:hAnsi="宋体"/>
          <w:color w:val="auto"/>
          <w:sz w:val="20"/>
          <w:szCs w:val="20"/>
          <w:highlight w:val="none"/>
        </w:rPr>
      </w:pPr>
    </w:p>
    <w:p w14:paraId="3ACA40EE">
      <w:pPr>
        <w:kinsoku w:val="0"/>
        <w:overflowPunct w:val="0"/>
        <w:spacing w:line="200" w:lineRule="exact"/>
        <w:rPr>
          <w:rFonts w:ascii="宋体" w:hAnsi="宋体"/>
          <w:color w:val="auto"/>
          <w:sz w:val="20"/>
          <w:szCs w:val="20"/>
          <w:highlight w:val="none"/>
        </w:rPr>
      </w:pPr>
    </w:p>
    <w:p w14:paraId="7750E48E">
      <w:pPr>
        <w:pStyle w:val="9"/>
        <w:tabs>
          <w:tab w:val="left" w:pos="4603"/>
          <w:tab w:val="left" w:pos="5549"/>
          <w:tab w:val="left" w:pos="6494"/>
          <w:tab w:val="left" w:pos="7438"/>
        </w:tabs>
        <w:kinsoku w:val="0"/>
        <w:overflowPunct w:val="0"/>
        <w:ind w:left="506"/>
        <w:rPr>
          <w:color w:val="auto"/>
          <w:highlight w:val="none"/>
          <w:lang w:eastAsia="zh-CN"/>
        </w:rPr>
      </w:pPr>
      <w:r>
        <w:rPr>
          <w:rFonts w:hint="eastAsia"/>
          <w:color w:val="auto"/>
          <w:highlight w:val="none"/>
          <w:lang w:eastAsia="zh-CN"/>
        </w:rPr>
        <w:t>请将</w:t>
      </w:r>
      <w:r>
        <w:rPr>
          <w:rFonts w:hint="eastAsia"/>
          <w:color w:val="auto"/>
          <w:spacing w:val="-3"/>
          <w:highlight w:val="none"/>
          <w:lang w:eastAsia="zh-CN"/>
        </w:rPr>
        <w:t>上</w:t>
      </w:r>
      <w:r>
        <w:rPr>
          <w:rFonts w:hint="eastAsia"/>
          <w:color w:val="auto"/>
          <w:highlight w:val="none"/>
          <w:lang w:eastAsia="zh-CN"/>
        </w:rPr>
        <w:t>述</w:t>
      </w:r>
      <w:r>
        <w:rPr>
          <w:rFonts w:hint="eastAsia"/>
          <w:color w:val="auto"/>
          <w:spacing w:val="-3"/>
          <w:highlight w:val="none"/>
          <w:lang w:eastAsia="zh-CN"/>
        </w:rPr>
        <w:t>问</w:t>
      </w:r>
      <w:r>
        <w:rPr>
          <w:rFonts w:hint="eastAsia"/>
          <w:color w:val="auto"/>
          <w:highlight w:val="none"/>
          <w:lang w:eastAsia="zh-CN"/>
        </w:rPr>
        <w:t>题</w:t>
      </w:r>
      <w:r>
        <w:rPr>
          <w:rFonts w:hint="eastAsia"/>
          <w:color w:val="auto"/>
          <w:spacing w:val="-3"/>
          <w:highlight w:val="none"/>
          <w:lang w:eastAsia="zh-CN"/>
        </w:rPr>
        <w:t>的</w:t>
      </w:r>
      <w:r>
        <w:rPr>
          <w:rFonts w:hint="eastAsia"/>
          <w:color w:val="auto"/>
          <w:highlight w:val="none"/>
          <w:lang w:eastAsia="zh-CN"/>
        </w:rPr>
        <w:t>澄</w:t>
      </w:r>
      <w:r>
        <w:rPr>
          <w:rFonts w:hint="eastAsia"/>
          <w:color w:val="auto"/>
          <w:spacing w:val="-3"/>
          <w:highlight w:val="none"/>
          <w:lang w:eastAsia="zh-CN"/>
        </w:rPr>
        <w:t>清</w:t>
      </w:r>
      <w:r>
        <w:rPr>
          <w:rFonts w:hint="eastAsia"/>
          <w:color w:val="auto"/>
          <w:highlight w:val="none"/>
          <w:lang w:eastAsia="zh-CN"/>
        </w:rPr>
        <w:t>、</w:t>
      </w:r>
      <w:r>
        <w:rPr>
          <w:rFonts w:hint="eastAsia"/>
          <w:color w:val="auto"/>
          <w:spacing w:val="-3"/>
          <w:highlight w:val="none"/>
          <w:lang w:eastAsia="zh-CN"/>
        </w:rPr>
        <w:t>说</w:t>
      </w:r>
      <w:r>
        <w:rPr>
          <w:rFonts w:hint="eastAsia"/>
          <w:color w:val="auto"/>
          <w:highlight w:val="none"/>
          <w:lang w:eastAsia="zh-CN"/>
        </w:rPr>
        <w:t>明或</w:t>
      </w:r>
      <w:r>
        <w:rPr>
          <w:rFonts w:hint="eastAsia"/>
          <w:color w:val="auto"/>
          <w:spacing w:val="-3"/>
          <w:highlight w:val="none"/>
          <w:lang w:eastAsia="zh-CN"/>
        </w:rPr>
        <w:t>补</w:t>
      </w:r>
      <w:r>
        <w:rPr>
          <w:rFonts w:hint="eastAsia"/>
          <w:color w:val="auto"/>
          <w:highlight w:val="none"/>
          <w:lang w:eastAsia="zh-CN"/>
        </w:rPr>
        <w:t>正</w:t>
      </w:r>
      <w:r>
        <w:rPr>
          <w:rFonts w:hint="eastAsia"/>
          <w:color w:val="auto"/>
          <w:spacing w:val="-3"/>
          <w:highlight w:val="none"/>
          <w:lang w:eastAsia="zh-CN"/>
        </w:rPr>
        <w:t>于</w:t>
      </w:r>
      <w:r>
        <w:rPr>
          <w:color w:val="auto"/>
          <w:spacing w:val="-3"/>
          <w:highlight w:val="none"/>
          <w:u w:val="single"/>
          <w:lang w:eastAsia="zh-CN"/>
        </w:rPr>
        <w:tab/>
      </w:r>
      <w:r>
        <w:rPr>
          <w:rFonts w:hint="eastAsia"/>
          <w:color w:val="auto"/>
          <w:highlight w:val="none"/>
          <w:lang w:eastAsia="zh-CN"/>
        </w:rPr>
        <w:t>年</w:t>
      </w:r>
      <w:r>
        <w:rPr>
          <w:color w:val="auto"/>
          <w:highlight w:val="none"/>
          <w:u w:val="single"/>
          <w:lang w:eastAsia="zh-CN"/>
        </w:rPr>
        <w:tab/>
      </w:r>
      <w:r>
        <w:rPr>
          <w:rFonts w:hint="eastAsia"/>
          <w:color w:val="auto"/>
          <w:highlight w:val="none"/>
          <w:lang w:eastAsia="zh-CN"/>
        </w:rPr>
        <w:t>月</w:t>
      </w:r>
      <w:r>
        <w:rPr>
          <w:color w:val="auto"/>
          <w:highlight w:val="none"/>
          <w:u w:val="single"/>
          <w:lang w:eastAsia="zh-CN"/>
        </w:rPr>
        <w:tab/>
      </w:r>
      <w:r>
        <w:rPr>
          <w:rFonts w:hint="eastAsia"/>
          <w:color w:val="auto"/>
          <w:spacing w:val="-3"/>
          <w:highlight w:val="none"/>
          <w:lang w:eastAsia="zh-CN"/>
        </w:rPr>
        <w:t>日</w:t>
      </w:r>
      <w:r>
        <w:rPr>
          <w:color w:val="auto"/>
          <w:spacing w:val="-3"/>
          <w:highlight w:val="none"/>
          <w:u w:val="single"/>
          <w:lang w:eastAsia="zh-CN"/>
        </w:rPr>
        <w:tab/>
      </w:r>
      <w:r>
        <w:rPr>
          <w:rFonts w:hint="eastAsia"/>
          <w:color w:val="auto"/>
          <w:spacing w:val="-3"/>
          <w:highlight w:val="none"/>
          <w:lang w:eastAsia="zh-CN"/>
        </w:rPr>
        <w:t>时</w:t>
      </w:r>
      <w:r>
        <w:rPr>
          <w:rFonts w:hint="eastAsia"/>
          <w:color w:val="auto"/>
          <w:highlight w:val="none"/>
          <w:lang w:eastAsia="zh-CN"/>
        </w:rPr>
        <w:t>前递</w:t>
      </w:r>
      <w:r>
        <w:rPr>
          <w:rFonts w:hint="eastAsia"/>
          <w:color w:val="auto"/>
          <w:spacing w:val="-3"/>
          <w:highlight w:val="none"/>
          <w:lang w:eastAsia="zh-CN"/>
        </w:rPr>
        <w:t>交</w:t>
      </w:r>
      <w:r>
        <w:rPr>
          <w:rFonts w:hint="eastAsia"/>
          <w:color w:val="auto"/>
          <w:highlight w:val="none"/>
          <w:lang w:eastAsia="zh-CN"/>
        </w:rPr>
        <w:t>至</w:t>
      </w:r>
    </w:p>
    <w:p w14:paraId="31F6B978">
      <w:pPr>
        <w:kinsoku w:val="0"/>
        <w:overflowPunct w:val="0"/>
        <w:spacing w:before="7" w:line="100" w:lineRule="exact"/>
        <w:rPr>
          <w:rFonts w:ascii="宋体" w:hAnsi="宋体"/>
          <w:color w:val="auto"/>
          <w:sz w:val="10"/>
          <w:szCs w:val="10"/>
          <w:highlight w:val="none"/>
        </w:rPr>
      </w:pPr>
    </w:p>
    <w:p w14:paraId="581902A7">
      <w:pPr>
        <w:pStyle w:val="9"/>
        <w:tabs>
          <w:tab w:val="left" w:pos="3040"/>
          <w:tab w:val="left" w:pos="7320"/>
        </w:tabs>
        <w:kinsoku w:val="0"/>
        <w:overflowPunct w:val="0"/>
        <w:spacing w:line="335" w:lineRule="exact"/>
        <w:rPr>
          <w:color w:val="auto"/>
          <w:highlight w:val="none"/>
          <w:lang w:eastAsia="zh-CN"/>
        </w:rPr>
      </w:pPr>
      <w:r>
        <w:rPr>
          <w:color w:val="auto"/>
          <w:w w:val="201"/>
          <w:highlight w:val="none"/>
          <w:u w:val="single"/>
          <w:lang w:eastAsia="zh-CN"/>
        </w:rPr>
        <w:t xml:space="preserve"> </w:t>
      </w:r>
      <w:r>
        <w:rPr>
          <w:color w:val="auto"/>
          <w:highlight w:val="none"/>
          <w:u w:val="single"/>
          <w:lang w:eastAsia="zh-CN"/>
        </w:rPr>
        <w:tab/>
      </w:r>
      <w:r>
        <w:rPr>
          <w:rFonts w:hint="eastAsia"/>
          <w:color w:val="auto"/>
          <w:highlight w:val="none"/>
          <w:lang w:eastAsia="zh-CN"/>
        </w:rPr>
        <w:t>（</w:t>
      </w:r>
      <w:r>
        <w:rPr>
          <w:rFonts w:hint="eastAsia"/>
          <w:color w:val="auto"/>
          <w:spacing w:val="-3"/>
          <w:highlight w:val="none"/>
          <w:lang w:eastAsia="zh-CN"/>
        </w:rPr>
        <w:t>详</w:t>
      </w:r>
      <w:r>
        <w:rPr>
          <w:rFonts w:hint="eastAsia"/>
          <w:color w:val="auto"/>
          <w:highlight w:val="none"/>
          <w:lang w:eastAsia="zh-CN"/>
        </w:rPr>
        <w:t>细</w:t>
      </w:r>
      <w:r>
        <w:rPr>
          <w:rFonts w:hint="eastAsia"/>
          <w:color w:val="auto"/>
          <w:spacing w:val="-3"/>
          <w:highlight w:val="none"/>
          <w:lang w:eastAsia="zh-CN"/>
        </w:rPr>
        <w:t>地址</w:t>
      </w:r>
      <w:r>
        <w:rPr>
          <w:rFonts w:hint="eastAsia"/>
          <w:color w:val="auto"/>
          <w:spacing w:val="-25"/>
          <w:highlight w:val="none"/>
          <w:lang w:eastAsia="zh-CN"/>
        </w:rPr>
        <w:t>）</w:t>
      </w:r>
      <w:r>
        <w:rPr>
          <w:rFonts w:hint="eastAsia"/>
          <w:color w:val="auto"/>
          <w:spacing w:val="-3"/>
          <w:highlight w:val="none"/>
          <w:lang w:eastAsia="zh-CN"/>
        </w:rPr>
        <w:t>或</w:t>
      </w:r>
      <w:r>
        <w:rPr>
          <w:rFonts w:hint="eastAsia"/>
          <w:color w:val="auto"/>
          <w:highlight w:val="none"/>
          <w:lang w:eastAsia="zh-CN"/>
        </w:rPr>
        <w:t>传</w:t>
      </w:r>
      <w:r>
        <w:rPr>
          <w:rFonts w:hint="eastAsia"/>
          <w:color w:val="auto"/>
          <w:spacing w:val="-3"/>
          <w:highlight w:val="none"/>
          <w:lang w:eastAsia="zh-CN"/>
        </w:rPr>
        <w:t>真</w:t>
      </w:r>
      <w:r>
        <w:rPr>
          <w:rFonts w:hint="eastAsia"/>
          <w:color w:val="auto"/>
          <w:spacing w:val="-1"/>
          <w:highlight w:val="none"/>
          <w:lang w:eastAsia="zh-CN"/>
        </w:rPr>
        <w:t>至</w:t>
      </w:r>
      <w:r>
        <w:rPr>
          <w:color w:val="auto"/>
          <w:spacing w:val="-1"/>
          <w:highlight w:val="none"/>
          <w:u w:val="single"/>
          <w:lang w:eastAsia="zh-CN"/>
        </w:rPr>
        <w:tab/>
      </w:r>
      <w:r>
        <w:rPr>
          <w:rFonts w:hint="eastAsia"/>
          <w:color w:val="auto"/>
          <w:highlight w:val="none"/>
          <w:lang w:eastAsia="zh-CN"/>
        </w:rPr>
        <w:t>（</w:t>
      </w:r>
      <w:r>
        <w:rPr>
          <w:rFonts w:hint="eastAsia"/>
          <w:color w:val="auto"/>
          <w:spacing w:val="-3"/>
          <w:highlight w:val="none"/>
          <w:lang w:eastAsia="zh-CN"/>
        </w:rPr>
        <w:t>传</w:t>
      </w:r>
      <w:r>
        <w:rPr>
          <w:rFonts w:hint="eastAsia"/>
          <w:color w:val="auto"/>
          <w:highlight w:val="none"/>
          <w:lang w:eastAsia="zh-CN"/>
        </w:rPr>
        <w:t>真</w:t>
      </w:r>
      <w:r>
        <w:rPr>
          <w:rFonts w:hint="eastAsia"/>
          <w:color w:val="auto"/>
          <w:spacing w:val="-3"/>
          <w:highlight w:val="none"/>
          <w:lang w:eastAsia="zh-CN"/>
        </w:rPr>
        <w:t>号码</w:t>
      </w:r>
      <w:r>
        <w:rPr>
          <w:rFonts w:hint="eastAsia"/>
          <w:color w:val="auto"/>
          <w:spacing w:val="-25"/>
          <w:highlight w:val="none"/>
          <w:lang w:eastAsia="zh-CN"/>
        </w:rPr>
        <w:t>）</w:t>
      </w:r>
      <w:r>
        <w:rPr>
          <w:rFonts w:hint="eastAsia"/>
          <w:color w:val="auto"/>
          <w:highlight w:val="none"/>
          <w:lang w:eastAsia="zh-CN"/>
        </w:rPr>
        <w:t>或</w:t>
      </w:r>
    </w:p>
    <w:p w14:paraId="61EDA26E">
      <w:pPr>
        <w:kinsoku w:val="0"/>
        <w:overflowPunct w:val="0"/>
        <w:spacing w:before="4" w:line="100" w:lineRule="exact"/>
        <w:rPr>
          <w:rFonts w:ascii="宋体" w:hAnsi="宋体"/>
          <w:color w:val="auto"/>
          <w:sz w:val="10"/>
          <w:szCs w:val="10"/>
          <w:highlight w:val="none"/>
        </w:rPr>
      </w:pPr>
    </w:p>
    <w:p w14:paraId="7D75EB8B">
      <w:pPr>
        <w:pStyle w:val="9"/>
        <w:tabs>
          <w:tab w:val="left" w:pos="7138"/>
          <w:tab w:val="left" w:pos="8084"/>
        </w:tabs>
        <w:kinsoku w:val="0"/>
        <w:overflowPunct w:val="0"/>
        <w:spacing w:line="335" w:lineRule="exact"/>
        <w:rPr>
          <w:color w:val="auto"/>
          <w:highlight w:val="none"/>
          <w:lang w:eastAsia="zh-CN"/>
        </w:rPr>
      </w:pPr>
      <w:r>
        <w:rPr>
          <w:rFonts w:hint="eastAsia"/>
          <w:color w:val="auto"/>
          <w:highlight w:val="none"/>
          <w:lang w:eastAsia="zh-CN"/>
        </w:rPr>
        <w:t>通过</w:t>
      </w:r>
      <w:r>
        <w:rPr>
          <w:rFonts w:hint="eastAsia"/>
          <w:color w:val="auto"/>
          <w:spacing w:val="-3"/>
          <w:highlight w:val="none"/>
          <w:lang w:eastAsia="zh-CN"/>
        </w:rPr>
        <w:t>下</w:t>
      </w:r>
      <w:r>
        <w:rPr>
          <w:rFonts w:hint="eastAsia"/>
          <w:color w:val="auto"/>
          <w:highlight w:val="none"/>
          <w:lang w:eastAsia="zh-CN"/>
        </w:rPr>
        <w:t>载</w:t>
      </w:r>
      <w:r>
        <w:rPr>
          <w:rFonts w:hint="eastAsia"/>
          <w:color w:val="auto"/>
          <w:spacing w:val="-3"/>
          <w:highlight w:val="none"/>
          <w:lang w:eastAsia="zh-CN"/>
        </w:rPr>
        <w:t>招</w:t>
      </w:r>
      <w:r>
        <w:rPr>
          <w:rFonts w:hint="eastAsia"/>
          <w:color w:val="auto"/>
          <w:highlight w:val="none"/>
          <w:lang w:eastAsia="zh-CN"/>
        </w:rPr>
        <w:t>标</w:t>
      </w:r>
      <w:r>
        <w:rPr>
          <w:rFonts w:hint="eastAsia"/>
          <w:color w:val="auto"/>
          <w:spacing w:val="-3"/>
          <w:highlight w:val="none"/>
          <w:lang w:eastAsia="zh-CN"/>
        </w:rPr>
        <w:t>文</w:t>
      </w:r>
      <w:r>
        <w:rPr>
          <w:rFonts w:hint="eastAsia"/>
          <w:color w:val="auto"/>
          <w:highlight w:val="none"/>
          <w:lang w:eastAsia="zh-CN"/>
        </w:rPr>
        <w:t>件</w:t>
      </w:r>
      <w:r>
        <w:rPr>
          <w:rFonts w:hint="eastAsia"/>
          <w:color w:val="auto"/>
          <w:spacing w:val="-3"/>
          <w:highlight w:val="none"/>
          <w:lang w:eastAsia="zh-CN"/>
        </w:rPr>
        <w:t>的</w:t>
      </w:r>
      <w:r>
        <w:rPr>
          <w:rFonts w:hint="eastAsia"/>
          <w:color w:val="auto"/>
          <w:highlight w:val="none"/>
          <w:lang w:eastAsia="zh-CN"/>
        </w:rPr>
        <w:t>电</w:t>
      </w:r>
      <w:r>
        <w:rPr>
          <w:rFonts w:hint="eastAsia"/>
          <w:color w:val="auto"/>
          <w:spacing w:val="-3"/>
          <w:highlight w:val="none"/>
          <w:lang w:eastAsia="zh-CN"/>
        </w:rPr>
        <w:t>子</w:t>
      </w:r>
      <w:r>
        <w:rPr>
          <w:rFonts w:hint="eastAsia"/>
          <w:color w:val="auto"/>
          <w:highlight w:val="none"/>
          <w:lang w:eastAsia="zh-CN"/>
        </w:rPr>
        <w:t>招标</w:t>
      </w:r>
      <w:r>
        <w:rPr>
          <w:rFonts w:hint="eastAsia"/>
          <w:color w:val="auto"/>
          <w:spacing w:val="-3"/>
          <w:highlight w:val="none"/>
          <w:lang w:eastAsia="zh-CN"/>
        </w:rPr>
        <w:t>交</w:t>
      </w:r>
      <w:r>
        <w:rPr>
          <w:rFonts w:hint="eastAsia"/>
          <w:color w:val="auto"/>
          <w:highlight w:val="none"/>
          <w:lang w:eastAsia="zh-CN"/>
        </w:rPr>
        <w:t>易</w:t>
      </w:r>
      <w:r>
        <w:rPr>
          <w:rFonts w:hint="eastAsia"/>
          <w:color w:val="auto"/>
          <w:spacing w:val="-3"/>
          <w:highlight w:val="none"/>
          <w:lang w:eastAsia="zh-CN"/>
        </w:rPr>
        <w:t>平</w:t>
      </w:r>
      <w:r>
        <w:rPr>
          <w:rFonts w:hint="eastAsia"/>
          <w:color w:val="auto"/>
          <w:highlight w:val="none"/>
          <w:lang w:eastAsia="zh-CN"/>
        </w:rPr>
        <w:t>台</w:t>
      </w:r>
      <w:r>
        <w:rPr>
          <w:rFonts w:hint="eastAsia"/>
          <w:color w:val="auto"/>
          <w:spacing w:val="-3"/>
          <w:highlight w:val="none"/>
          <w:lang w:eastAsia="zh-CN"/>
        </w:rPr>
        <w:t>上</w:t>
      </w:r>
      <w:r>
        <w:rPr>
          <w:rFonts w:hint="eastAsia"/>
          <w:color w:val="auto"/>
          <w:highlight w:val="none"/>
          <w:lang w:eastAsia="zh-CN"/>
        </w:rPr>
        <w:t>传</w:t>
      </w:r>
      <w:r>
        <w:rPr>
          <w:rFonts w:hint="eastAsia"/>
          <w:color w:val="auto"/>
          <w:spacing w:val="-3"/>
          <w:highlight w:val="none"/>
          <w:lang w:eastAsia="zh-CN"/>
        </w:rPr>
        <w:t>。</w:t>
      </w:r>
      <w:r>
        <w:rPr>
          <w:rFonts w:hint="eastAsia"/>
          <w:color w:val="auto"/>
          <w:highlight w:val="none"/>
          <w:lang w:eastAsia="zh-CN"/>
        </w:rPr>
        <w:t>采</w:t>
      </w:r>
      <w:r>
        <w:rPr>
          <w:rFonts w:hint="eastAsia"/>
          <w:color w:val="auto"/>
          <w:spacing w:val="-3"/>
          <w:highlight w:val="none"/>
          <w:lang w:eastAsia="zh-CN"/>
        </w:rPr>
        <w:t>用</w:t>
      </w:r>
      <w:r>
        <w:rPr>
          <w:rFonts w:hint="eastAsia"/>
          <w:color w:val="auto"/>
          <w:highlight w:val="none"/>
          <w:lang w:eastAsia="zh-CN"/>
        </w:rPr>
        <w:t>传真</w:t>
      </w:r>
      <w:r>
        <w:rPr>
          <w:rFonts w:hint="eastAsia"/>
          <w:color w:val="auto"/>
          <w:spacing w:val="-3"/>
          <w:highlight w:val="none"/>
          <w:lang w:eastAsia="zh-CN"/>
        </w:rPr>
        <w:t>方</w:t>
      </w:r>
      <w:r>
        <w:rPr>
          <w:rFonts w:hint="eastAsia"/>
          <w:color w:val="auto"/>
          <w:highlight w:val="none"/>
          <w:lang w:eastAsia="zh-CN"/>
        </w:rPr>
        <w:t>式</w:t>
      </w:r>
      <w:r>
        <w:rPr>
          <w:rFonts w:hint="eastAsia"/>
          <w:color w:val="auto"/>
          <w:spacing w:val="-3"/>
          <w:highlight w:val="none"/>
          <w:lang w:eastAsia="zh-CN"/>
        </w:rPr>
        <w:t>的</w:t>
      </w:r>
      <w:r>
        <w:rPr>
          <w:rFonts w:hint="eastAsia"/>
          <w:color w:val="auto"/>
          <w:highlight w:val="none"/>
          <w:lang w:eastAsia="zh-CN"/>
        </w:rPr>
        <w:t>，</w:t>
      </w:r>
      <w:r>
        <w:rPr>
          <w:rFonts w:hint="eastAsia"/>
          <w:color w:val="auto"/>
          <w:spacing w:val="-3"/>
          <w:highlight w:val="none"/>
          <w:lang w:eastAsia="zh-CN"/>
        </w:rPr>
        <w:t>应</w:t>
      </w:r>
      <w:r>
        <w:rPr>
          <w:rFonts w:hint="eastAsia"/>
          <w:color w:val="auto"/>
          <w:spacing w:val="-1"/>
          <w:highlight w:val="none"/>
          <w:lang w:eastAsia="zh-CN"/>
        </w:rPr>
        <w:t>在</w:t>
      </w:r>
      <w:r>
        <w:rPr>
          <w:color w:val="auto"/>
          <w:spacing w:val="-1"/>
          <w:highlight w:val="none"/>
          <w:u w:val="single"/>
          <w:lang w:eastAsia="zh-CN"/>
        </w:rPr>
        <w:tab/>
      </w:r>
      <w:r>
        <w:rPr>
          <w:rFonts w:hint="eastAsia"/>
          <w:color w:val="auto"/>
          <w:highlight w:val="none"/>
          <w:lang w:eastAsia="zh-CN"/>
        </w:rPr>
        <w:t>年</w:t>
      </w:r>
      <w:r>
        <w:rPr>
          <w:color w:val="auto"/>
          <w:highlight w:val="none"/>
          <w:u w:val="single"/>
          <w:lang w:eastAsia="zh-CN"/>
        </w:rPr>
        <w:tab/>
      </w:r>
      <w:r>
        <w:rPr>
          <w:rFonts w:hint="eastAsia"/>
          <w:color w:val="auto"/>
          <w:highlight w:val="none"/>
          <w:lang w:eastAsia="zh-CN"/>
        </w:rPr>
        <w:t>月</w:t>
      </w:r>
    </w:p>
    <w:p w14:paraId="6412C587">
      <w:pPr>
        <w:kinsoku w:val="0"/>
        <w:overflowPunct w:val="0"/>
        <w:spacing w:before="4" w:line="100" w:lineRule="exact"/>
        <w:rPr>
          <w:rFonts w:ascii="宋体" w:hAnsi="宋体"/>
          <w:color w:val="auto"/>
          <w:sz w:val="10"/>
          <w:szCs w:val="10"/>
          <w:highlight w:val="none"/>
        </w:rPr>
      </w:pPr>
    </w:p>
    <w:p w14:paraId="2D6DA466">
      <w:pPr>
        <w:pStyle w:val="9"/>
        <w:tabs>
          <w:tab w:val="left" w:pos="837"/>
          <w:tab w:val="left" w:pos="1782"/>
          <w:tab w:val="left" w:pos="5669"/>
        </w:tabs>
        <w:kinsoku w:val="0"/>
        <w:overflowPunct w:val="0"/>
        <w:spacing w:line="335" w:lineRule="exact"/>
        <w:rPr>
          <w:color w:val="auto"/>
          <w:highlight w:val="none"/>
          <w:lang w:eastAsia="zh-CN"/>
        </w:rPr>
      </w:pPr>
      <w:r>
        <w:rPr>
          <w:color w:val="auto"/>
          <w:w w:val="201"/>
          <w:highlight w:val="none"/>
          <w:u w:val="single"/>
          <w:lang w:eastAsia="zh-CN"/>
        </w:rPr>
        <w:t xml:space="preserve"> </w:t>
      </w:r>
      <w:r>
        <w:rPr>
          <w:color w:val="auto"/>
          <w:highlight w:val="none"/>
          <w:u w:val="single"/>
          <w:lang w:eastAsia="zh-CN"/>
        </w:rPr>
        <w:tab/>
      </w:r>
      <w:r>
        <w:rPr>
          <w:rFonts w:hint="eastAsia"/>
          <w:color w:val="auto"/>
          <w:highlight w:val="none"/>
          <w:lang w:eastAsia="zh-CN"/>
        </w:rPr>
        <w:t>日</w:t>
      </w:r>
      <w:r>
        <w:rPr>
          <w:color w:val="auto"/>
          <w:highlight w:val="none"/>
          <w:u w:val="single"/>
          <w:lang w:eastAsia="zh-CN"/>
        </w:rPr>
        <w:tab/>
      </w:r>
      <w:r>
        <w:rPr>
          <w:rFonts w:hint="eastAsia"/>
          <w:color w:val="auto"/>
          <w:spacing w:val="-3"/>
          <w:highlight w:val="none"/>
          <w:lang w:eastAsia="zh-CN"/>
        </w:rPr>
        <w:t>时</w:t>
      </w:r>
      <w:r>
        <w:rPr>
          <w:rFonts w:hint="eastAsia"/>
          <w:color w:val="auto"/>
          <w:highlight w:val="none"/>
          <w:lang w:eastAsia="zh-CN"/>
        </w:rPr>
        <w:t>前</w:t>
      </w:r>
      <w:r>
        <w:rPr>
          <w:rFonts w:hint="eastAsia"/>
          <w:color w:val="auto"/>
          <w:spacing w:val="-3"/>
          <w:highlight w:val="none"/>
          <w:lang w:eastAsia="zh-CN"/>
        </w:rPr>
        <w:t>将</w:t>
      </w:r>
      <w:r>
        <w:rPr>
          <w:rFonts w:hint="eastAsia"/>
          <w:color w:val="auto"/>
          <w:highlight w:val="none"/>
          <w:lang w:eastAsia="zh-CN"/>
        </w:rPr>
        <w:t>原件</w:t>
      </w:r>
      <w:r>
        <w:rPr>
          <w:rFonts w:hint="eastAsia"/>
          <w:color w:val="auto"/>
          <w:spacing w:val="-3"/>
          <w:highlight w:val="none"/>
          <w:lang w:eastAsia="zh-CN"/>
        </w:rPr>
        <w:t>递</w:t>
      </w:r>
      <w:r>
        <w:rPr>
          <w:rFonts w:hint="eastAsia"/>
          <w:color w:val="auto"/>
          <w:highlight w:val="none"/>
          <w:lang w:eastAsia="zh-CN"/>
        </w:rPr>
        <w:t>交</w:t>
      </w:r>
      <w:r>
        <w:rPr>
          <w:rFonts w:hint="eastAsia"/>
          <w:color w:val="auto"/>
          <w:spacing w:val="-3"/>
          <w:highlight w:val="none"/>
          <w:lang w:eastAsia="zh-CN"/>
        </w:rPr>
        <w:t>至</w:t>
      </w:r>
      <w:r>
        <w:rPr>
          <w:color w:val="auto"/>
          <w:spacing w:val="-3"/>
          <w:highlight w:val="none"/>
          <w:u w:val="single"/>
          <w:lang w:eastAsia="zh-CN"/>
        </w:rPr>
        <w:tab/>
      </w:r>
      <w:r>
        <w:rPr>
          <w:rFonts w:hint="eastAsia"/>
          <w:color w:val="auto"/>
          <w:spacing w:val="-3"/>
          <w:highlight w:val="none"/>
          <w:lang w:eastAsia="zh-CN"/>
        </w:rPr>
        <w:t>（</w:t>
      </w:r>
      <w:r>
        <w:rPr>
          <w:rFonts w:hint="eastAsia"/>
          <w:color w:val="auto"/>
          <w:highlight w:val="none"/>
          <w:lang w:eastAsia="zh-CN"/>
        </w:rPr>
        <w:t>详</w:t>
      </w:r>
      <w:r>
        <w:rPr>
          <w:rFonts w:hint="eastAsia"/>
          <w:color w:val="auto"/>
          <w:spacing w:val="-3"/>
          <w:highlight w:val="none"/>
          <w:lang w:eastAsia="zh-CN"/>
        </w:rPr>
        <w:t>细</w:t>
      </w:r>
      <w:r>
        <w:rPr>
          <w:rFonts w:hint="eastAsia"/>
          <w:color w:val="auto"/>
          <w:highlight w:val="none"/>
          <w:lang w:eastAsia="zh-CN"/>
        </w:rPr>
        <w:t>地</w:t>
      </w:r>
      <w:r>
        <w:rPr>
          <w:rFonts w:hint="eastAsia"/>
          <w:color w:val="auto"/>
          <w:spacing w:val="-3"/>
          <w:highlight w:val="none"/>
          <w:lang w:eastAsia="zh-CN"/>
        </w:rPr>
        <w:t>址</w:t>
      </w:r>
      <w:r>
        <w:rPr>
          <w:rFonts w:hint="eastAsia"/>
          <w:color w:val="auto"/>
          <w:spacing w:val="-106"/>
          <w:highlight w:val="none"/>
          <w:lang w:eastAsia="zh-CN"/>
        </w:rPr>
        <w:t>）</w:t>
      </w:r>
      <w:r>
        <w:rPr>
          <w:rFonts w:hint="eastAsia"/>
          <w:color w:val="auto"/>
          <w:highlight w:val="none"/>
          <w:lang w:eastAsia="zh-CN"/>
        </w:rPr>
        <w:t>。</w:t>
      </w:r>
    </w:p>
    <w:p w14:paraId="49D96202">
      <w:pPr>
        <w:kinsoku w:val="0"/>
        <w:overflowPunct w:val="0"/>
        <w:spacing w:before="6" w:line="180" w:lineRule="exact"/>
        <w:rPr>
          <w:rFonts w:ascii="宋体" w:hAnsi="宋体"/>
          <w:color w:val="auto"/>
          <w:sz w:val="18"/>
          <w:szCs w:val="18"/>
          <w:highlight w:val="none"/>
        </w:rPr>
      </w:pPr>
    </w:p>
    <w:p w14:paraId="0C03D130">
      <w:pPr>
        <w:kinsoku w:val="0"/>
        <w:overflowPunct w:val="0"/>
        <w:spacing w:line="200" w:lineRule="exact"/>
        <w:rPr>
          <w:rFonts w:ascii="宋体" w:hAnsi="宋体"/>
          <w:color w:val="auto"/>
          <w:sz w:val="20"/>
          <w:szCs w:val="20"/>
          <w:highlight w:val="none"/>
        </w:rPr>
      </w:pPr>
    </w:p>
    <w:p w14:paraId="3D574E91">
      <w:pPr>
        <w:kinsoku w:val="0"/>
        <w:overflowPunct w:val="0"/>
        <w:spacing w:line="200" w:lineRule="exact"/>
        <w:rPr>
          <w:rFonts w:ascii="宋体" w:hAnsi="宋体"/>
          <w:color w:val="auto"/>
          <w:sz w:val="20"/>
          <w:szCs w:val="20"/>
          <w:highlight w:val="none"/>
        </w:rPr>
      </w:pPr>
    </w:p>
    <w:p w14:paraId="4ABD0F67">
      <w:pPr>
        <w:kinsoku w:val="0"/>
        <w:overflowPunct w:val="0"/>
        <w:spacing w:line="200" w:lineRule="exact"/>
        <w:rPr>
          <w:rFonts w:ascii="宋体" w:hAnsi="宋体"/>
          <w:color w:val="auto"/>
          <w:sz w:val="20"/>
          <w:szCs w:val="20"/>
          <w:highlight w:val="none"/>
        </w:rPr>
      </w:pPr>
    </w:p>
    <w:p w14:paraId="6C015658">
      <w:pPr>
        <w:kinsoku w:val="0"/>
        <w:overflowPunct w:val="0"/>
        <w:spacing w:line="200" w:lineRule="exact"/>
        <w:rPr>
          <w:rFonts w:ascii="宋体" w:hAnsi="宋体"/>
          <w:color w:val="auto"/>
          <w:sz w:val="20"/>
          <w:szCs w:val="20"/>
          <w:highlight w:val="none"/>
        </w:rPr>
      </w:pPr>
    </w:p>
    <w:p w14:paraId="68C05039">
      <w:pPr>
        <w:pStyle w:val="9"/>
        <w:tabs>
          <w:tab w:val="left" w:pos="7032"/>
        </w:tabs>
        <w:kinsoku w:val="0"/>
        <w:overflowPunct w:val="0"/>
        <w:spacing w:line="335" w:lineRule="exact"/>
        <w:ind w:left="2200"/>
        <w:rPr>
          <w:color w:val="auto"/>
          <w:highlight w:val="none"/>
          <w:lang w:eastAsia="zh-CN"/>
        </w:rPr>
      </w:pPr>
      <w:r>
        <w:rPr>
          <w:rFonts w:hint="eastAsia"/>
          <w:color w:val="auto"/>
          <w:highlight w:val="none"/>
          <w:lang w:eastAsia="zh-CN"/>
        </w:rPr>
        <w:t>评标</w:t>
      </w:r>
      <w:r>
        <w:rPr>
          <w:rFonts w:hint="eastAsia"/>
          <w:color w:val="auto"/>
          <w:spacing w:val="-3"/>
          <w:highlight w:val="none"/>
          <w:lang w:eastAsia="zh-CN"/>
        </w:rPr>
        <w:t>委</w:t>
      </w:r>
      <w:r>
        <w:rPr>
          <w:rFonts w:hint="eastAsia"/>
          <w:color w:val="auto"/>
          <w:highlight w:val="none"/>
          <w:lang w:eastAsia="zh-CN"/>
        </w:rPr>
        <w:t>员</w:t>
      </w:r>
      <w:r>
        <w:rPr>
          <w:rFonts w:hint="eastAsia"/>
          <w:color w:val="auto"/>
          <w:spacing w:val="-3"/>
          <w:highlight w:val="none"/>
          <w:lang w:eastAsia="zh-CN"/>
        </w:rPr>
        <w:t>会</w:t>
      </w:r>
      <w:r>
        <w:rPr>
          <w:rFonts w:hint="eastAsia"/>
          <w:color w:val="auto"/>
          <w:highlight w:val="none"/>
          <w:lang w:eastAsia="zh-CN"/>
        </w:rPr>
        <w:t>授</w:t>
      </w:r>
      <w:r>
        <w:rPr>
          <w:rFonts w:hint="eastAsia"/>
          <w:color w:val="auto"/>
          <w:spacing w:val="-3"/>
          <w:highlight w:val="none"/>
          <w:lang w:eastAsia="zh-CN"/>
        </w:rPr>
        <w:t>权</w:t>
      </w:r>
      <w:r>
        <w:rPr>
          <w:rFonts w:hint="eastAsia"/>
          <w:color w:val="auto"/>
          <w:highlight w:val="none"/>
          <w:lang w:eastAsia="zh-CN"/>
        </w:rPr>
        <w:t>的</w:t>
      </w:r>
      <w:r>
        <w:rPr>
          <w:rFonts w:hint="eastAsia"/>
          <w:color w:val="auto"/>
          <w:spacing w:val="-3"/>
          <w:highlight w:val="none"/>
          <w:lang w:eastAsia="zh-CN"/>
        </w:rPr>
        <w:t>招</w:t>
      </w:r>
      <w:r>
        <w:rPr>
          <w:rFonts w:hint="eastAsia"/>
          <w:color w:val="auto"/>
          <w:highlight w:val="none"/>
          <w:lang w:eastAsia="zh-CN"/>
        </w:rPr>
        <w:t>标</w:t>
      </w:r>
      <w:r>
        <w:rPr>
          <w:rFonts w:hint="eastAsia"/>
          <w:color w:val="auto"/>
          <w:spacing w:val="-3"/>
          <w:highlight w:val="none"/>
          <w:lang w:eastAsia="zh-CN"/>
        </w:rPr>
        <w:t>人</w:t>
      </w:r>
      <w:r>
        <w:rPr>
          <w:rFonts w:hint="eastAsia"/>
          <w:color w:val="auto"/>
          <w:highlight w:val="none"/>
          <w:lang w:eastAsia="zh-CN"/>
        </w:rPr>
        <w:t>或招</w:t>
      </w:r>
      <w:r>
        <w:rPr>
          <w:rFonts w:hint="eastAsia"/>
          <w:color w:val="auto"/>
          <w:spacing w:val="-3"/>
          <w:highlight w:val="none"/>
          <w:lang w:eastAsia="zh-CN"/>
        </w:rPr>
        <w:t>标</w:t>
      </w:r>
      <w:r>
        <w:rPr>
          <w:rFonts w:hint="eastAsia"/>
          <w:color w:val="auto"/>
          <w:highlight w:val="none"/>
          <w:lang w:eastAsia="zh-CN"/>
        </w:rPr>
        <w:t>代</w:t>
      </w:r>
      <w:r>
        <w:rPr>
          <w:rFonts w:hint="eastAsia"/>
          <w:color w:val="auto"/>
          <w:spacing w:val="-3"/>
          <w:highlight w:val="none"/>
          <w:lang w:eastAsia="zh-CN"/>
        </w:rPr>
        <w:t>理</w:t>
      </w:r>
      <w:r>
        <w:rPr>
          <w:rFonts w:hint="eastAsia"/>
          <w:color w:val="auto"/>
          <w:highlight w:val="none"/>
          <w:lang w:eastAsia="zh-CN"/>
        </w:rPr>
        <w:t>机</w:t>
      </w:r>
      <w:r>
        <w:rPr>
          <w:rFonts w:hint="eastAsia"/>
          <w:color w:val="auto"/>
          <w:spacing w:val="-3"/>
          <w:highlight w:val="none"/>
          <w:lang w:eastAsia="zh-CN"/>
        </w:rPr>
        <w:t>构</w:t>
      </w:r>
      <w:r>
        <w:rPr>
          <w:rFonts w:hint="eastAsia"/>
          <w:color w:val="auto"/>
          <w:highlight w:val="none"/>
          <w:lang w:eastAsia="zh-CN"/>
        </w:rPr>
        <w:t>：</w:t>
      </w:r>
      <w:r>
        <w:rPr>
          <w:color w:val="auto"/>
          <w:highlight w:val="none"/>
          <w:u w:val="single"/>
          <w:lang w:eastAsia="zh-CN"/>
        </w:rPr>
        <w:tab/>
      </w:r>
      <w:r>
        <w:rPr>
          <w:rFonts w:hint="eastAsia"/>
          <w:color w:val="auto"/>
          <w:highlight w:val="none"/>
          <w:lang w:eastAsia="zh-CN"/>
        </w:rPr>
        <w:t>（签</w:t>
      </w:r>
      <w:r>
        <w:rPr>
          <w:rFonts w:hint="eastAsia"/>
          <w:color w:val="auto"/>
          <w:spacing w:val="-3"/>
          <w:highlight w:val="none"/>
          <w:lang w:eastAsia="zh-CN"/>
        </w:rPr>
        <w:t>字</w:t>
      </w:r>
      <w:r>
        <w:rPr>
          <w:rFonts w:hint="eastAsia"/>
          <w:color w:val="auto"/>
          <w:highlight w:val="none"/>
          <w:lang w:eastAsia="zh-CN"/>
        </w:rPr>
        <w:t>或</w:t>
      </w:r>
      <w:r>
        <w:rPr>
          <w:rFonts w:hint="eastAsia"/>
          <w:color w:val="auto"/>
          <w:spacing w:val="-3"/>
          <w:highlight w:val="none"/>
          <w:lang w:eastAsia="zh-CN"/>
        </w:rPr>
        <w:t>盖</w:t>
      </w:r>
      <w:r>
        <w:rPr>
          <w:rFonts w:hint="eastAsia"/>
          <w:color w:val="auto"/>
          <w:highlight w:val="none"/>
          <w:lang w:eastAsia="zh-CN"/>
        </w:rPr>
        <w:t>章）</w:t>
      </w:r>
    </w:p>
    <w:p w14:paraId="3BDD7B9D">
      <w:pPr>
        <w:kinsoku w:val="0"/>
        <w:overflowPunct w:val="0"/>
        <w:spacing w:before="6" w:line="140" w:lineRule="exact"/>
        <w:rPr>
          <w:rFonts w:ascii="宋体" w:hAnsi="宋体"/>
          <w:color w:val="auto"/>
          <w:sz w:val="14"/>
          <w:szCs w:val="14"/>
          <w:highlight w:val="none"/>
        </w:rPr>
      </w:pPr>
    </w:p>
    <w:p w14:paraId="544FB52C">
      <w:pPr>
        <w:kinsoku w:val="0"/>
        <w:overflowPunct w:val="0"/>
        <w:spacing w:line="200" w:lineRule="exact"/>
        <w:rPr>
          <w:rFonts w:ascii="宋体" w:hAnsi="宋体"/>
          <w:color w:val="auto"/>
          <w:sz w:val="20"/>
          <w:szCs w:val="20"/>
          <w:highlight w:val="none"/>
        </w:rPr>
      </w:pPr>
    </w:p>
    <w:p w14:paraId="22AB4BAD">
      <w:pPr>
        <w:pStyle w:val="6"/>
        <w:ind w:firstLine="440"/>
        <w:rPr>
          <w:rFonts w:ascii="宋体" w:hAnsi="宋体" w:eastAsia="宋体"/>
          <w:color w:val="auto"/>
          <w:highlight w:val="none"/>
          <w:lang w:eastAsia="zh-CN"/>
        </w:rPr>
      </w:pPr>
    </w:p>
    <w:p w14:paraId="5D07532C">
      <w:pPr>
        <w:jc w:val="right"/>
        <w:rPr>
          <w:rFonts w:ascii="宋体" w:hAnsi="宋体"/>
          <w:color w:val="auto"/>
          <w:highlight w:val="none"/>
        </w:rPr>
      </w:pPr>
      <w:r>
        <w:rPr>
          <w:rFonts w:ascii="宋体" w:hAnsi="宋体"/>
          <w:color w:val="auto"/>
          <w:w w:val="201"/>
          <w:highlight w:val="none"/>
          <w:u w:val="single"/>
        </w:rPr>
        <w:t xml:space="preserve"> </w:t>
      </w:r>
      <w:r>
        <w:rPr>
          <w:rFonts w:ascii="宋体" w:hAnsi="宋体"/>
          <w:color w:val="auto"/>
          <w:highlight w:val="none"/>
          <w:u w:val="single"/>
        </w:rPr>
        <w:tab/>
      </w:r>
      <w:r>
        <w:rPr>
          <w:rFonts w:hint="eastAsia" w:ascii="宋体" w:hAnsi="宋体"/>
          <w:color w:val="auto"/>
          <w:spacing w:val="-3"/>
          <w:highlight w:val="none"/>
        </w:rPr>
        <w:t>年</w:t>
      </w:r>
      <w:r>
        <w:rPr>
          <w:rFonts w:ascii="宋体" w:hAnsi="宋体"/>
          <w:color w:val="auto"/>
          <w:spacing w:val="-3"/>
          <w:highlight w:val="none"/>
          <w:u w:val="single"/>
        </w:rPr>
        <w:tab/>
      </w:r>
      <w:r>
        <w:rPr>
          <w:rFonts w:hint="eastAsia" w:ascii="宋体" w:hAnsi="宋体"/>
          <w:color w:val="auto"/>
          <w:highlight w:val="none"/>
        </w:rPr>
        <w:t>月</w:t>
      </w:r>
      <w:r>
        <w:rPr>
          <w:rFonts w:ascii="宋体" w:hAnsi="宋体"/>
          <w:color w:val="auto"/>
          <w:highlight w:val="none"/>
          <w:u w:val="single"/>
        </w:rPr>
        <w:tab/>
      </w:r>
      <w:r>
        <w:rPr>
          <w:rFonts w:hint="eastAsia" w:ascii="宋体" w:hAnsi="宋体"/>
          <w:color w:val="auto"/>
          <w:highlight w:val="none"/>
        </w:rPr>
        <w:t>日</w:t>
      </w:r>
    </w:p>
    <w:p w14:paraId="23261162">
      <w:pPr>
        <w:rPr>
          <w:rFonts w:ascii="宋体" w:hAnsi="宋体"/>
          <w:color w:val="auto"/>
          <w:highlight w:val="none"/>
        </w:rPr>
      </w:pPr>
    </w:p>
    <w:p w14:paraId="728CF4BD">
      <w:pPr>
        <w:rPr>
          <w:rFonts w:ascii="宋体" w:hAnsi="宋体"/>
          <w:color w:val="auto"/>
          <w:highlight w:val="none"/>
        </w:rPr>
      </w:pPr>
    </w:p>
    <w:p w14:paraId="7610D724">
      <w:pPr>
        <w:pStyle w:val="6"/>
        <w:ind w:firstLine="440"/>
        <w:rPr>
          <w:rFonts w:ascii="宋体" w:hAnsi="宋体" w:eastAsia="宋体"/>
          <w:color w:val="auto"/>
          <w:highlight w:val="none"/>
          <w:lang w:eastAsia="zh-CN"/>
        </w:rPr>
      </w:pPr>
    </w:p>
    <w:p w14:paraId="7E63ED20">
      <w:pPr>
        <w:pStyle w:val="6"/>
        <w:ind w:firstLine="440"/>
        <w:rPr>
          <w:rFonts w:ascii="宋体" w:hAnsi="宋体" w:eastAsia="宋体"/>
          <w:color w:val="auto"/>
          <w:highlight w:val="none"/>
          <w:lang w:eastAsia="zh-CN"/>
        </w:rPr>
        <w:sectPr>
          <w:pgSz w:w="12240" w:h="15840"/>
          <w:pgMar w:top="1400" w:right="1680" w:bottom="1120" w:left="1700" w:header="0" w:footer="921" w:gutter="0"/>
          <w:pgBorders>
            <w:top w:val="none" w:sz="0" w:space="0"/>
            <w:left w:val="none" w:sz="0" w:space="0"/>
            <w:bottom w:val="none" w:sz="0" w:space="0"/>
            <w:right w:val="none" w:sz="0" w:space="0"/>
          </w:pgBorders>
          <w:cols w:space="720" w:num="1"/>
        </w:sectPr>
      </w:pPr>
    </w:p>
    <w:p w14:paraId="6D244168">
      <w:pPr>
        <w:pStyle w:val="5"/>
        <w:spacing w:line="363" w:lineRule="exact"/>
        <w:ind w:right="44"/>
        <w:rPr>
          <w:b w:val="0"/>
          <w:color w:val="auto"/>
          <w:highlight w:val="none"/>
        </w:rPr>
      </w:pPr>
      <w:r>
        <w:rPr>
          <w:b w:val="0"/>
          <w:color w:val="auto"/>
          <w:highlight w:val="none"/>
        </w:rPr>
        <w:t>附件三：问题的澄清</w:t>
      </w:r>
    </w:p>
    <w:p w14:paraId="7EEE5060">
      <w:pPr>
        <w:rPr>
          <w:rFonts w:ascii="宋体" w:hAnsi="宋体" w:cs="宋体"/>
          <w:color w:val="auto"/>
          <w:sz w:val="20"/>
          <w:szCs w:val="20"/>
          <w:highlight w:val="none"/>
        </w:rPr>
      </w:pPr>
    </w:p>
    <w:p w14:paraId="07F59A77">
      <w:pPr>
        <w:rPr>
          <w:rFonts w:ascii="宋体" w:hAnsi="宋体" w:cs="宋体"/>
          <w:color w:val="auto"/>
          <w:sz w:val="20"/>
          <w:szCs w:val="20"/>
          <w:highlight w:val="none"/>
        </w:rPr>
      </w:pPr>
    </w:p>
    <w:p w14:paraId="44AB4AB2">
      <w:pPr>
        <w:kinsoku w:val="0"/>
        <w:overflowPunct w:val="0"/>
        <w:spacing w:line="413" w:lineRule="exact"/>
        <w:ind w:left="220" w:right="238"/>
        <w:jc w:val="center"/>
        <w:rPr>
          <w:rFonts w:ascii="宋体" w:hAnsi="宋体"/>
          <w:color w:val="auto"/>
          <w:sz w:val="28"/>
          <w:szCs w:val="28"/>
          <w:highlight w:val="none"/>
        </w:rPr>
      </w:pPr>
      <w:r>
        <w:rPr>
          <w:rFonts w:hint="eastAsia" w:ascii="宋体" w:hAnsi="宋体" w:cs="Microsoft JhengHei"/>
          <w:color w:val="auto"/>
          <w:sz w:val="28"/>
          <w:szCs w:val="28"/>
          <w:highlight w:val="none"/>
        </w:rPr>
        <w:t>问题的</w:t>
      </w:r>
      <w:r>
        <w:rPr>
          <w:rFonts w:hint="eastAsia" w:ascii="宋体" w:hAnsi="宋体" w:cs="Microsoft JhengHei"/>
          <w:color w:val="auto"/>
          <w:spacing w:val="-3"/>
          <w:sz w:val="28"/>
          <w:szCs w:val="28"/>
          <w:highlight w:val="none"/>
        </w:rPr>
        <w:t>澄</w:t>
      </w:r>
      <w:r>
        <w:rPr>
          <w:rFonts w:hint="eastAsia" w:ascii="宋体" w:hAnsi="宋体" w:cs="Microsoft JhengHei"/>
          <w:color w:val="auto"/>
          <w:sz w:val="28"/>
          <w:szCs w:val="28"/>
          <w:highlight w:val="none"/>
        </w:rPr>
        <w:t>清</w:t>
      </w:r>
    </w:p>
    <w:p w14:paraId="715CBEE2">
      <w:pPr>
        <w:pStyle w:val="9"/>
        <w:tabs>
          <w:tab w:val="left" w:pos="5947"/>
        </w:tabs>
        <w:kinsoku w:val="0"/>
        <w:overflowPunct w:val="0"/>
        <w:spacing w:before="19"/>
        <w:ind w:left="0" w:firstLine="2730" w:firstLineChars="1300"/>
        <w:jc w:val="both"/>
        <w:rPr>
          <w:color w:val="auto"/>
          <w:highlight w:val="none"/>
          <w:lang w:eastAsia="zh-CN"/>
        </w:rPr>
      </w:pPr>
      <w:r>
        <w:rPr>
          <w:rFonts w:hint="eastAsia"/>
          <w:color w:val="auto"/>
          <w:highlight w:val="none"/>
          <w:lang w:eastAsia="zh-CN"/>
        </w:rPr>
        <w:t>（编</w:t>
      </w:r>
      <w:r>
        <w:rPr>
          <w:rFonts w:hint="eastAsia"/>
          <w:color w:val="auto"/>
          <w:spacing w:val="-3"/>
          <w:highlight w:val="none"/>
          <w:lang w:eastAsia="zh-CN"/>
        </w:rPr>
        <w:t>号</w:t>
      </w:r>
      <w:r>
        <w:rPr>
          <w:rFonts w:hint="eastAsia"/>
          <w:color w:val="auto"/>
          <w:spacing w:val="-1"/>
          <w:highlight w:val="none"/>
          <w:lang w:eastAsia="zh-CN"/>
        </w:rPr>
        <w:t>：</w:t>
      </w:r>
      <w:r>
        <w:rPr>
          <w:color w:val="auto"/>
          <w:spacing w:val="-1"/>
          <w:highlight w:val="none"/>
          <w:u w:val="single"/>
          <w:lang w:eastAsia="zh-CN"/>
        </w:rPr>
        <w:tab/>
      </w:r>
      <w:r>
        <w:rPr>
          <w:rFonts w:hint="eastAsia"/>
          <w:color w:val="auto"/>
          <w:highlight w:val="none"/>
          <w:lang w:eastAsia="zh-CN"/>
        </w:rPr>
        <w:t>）</w:t>
      </w:r>
    </w:p>
    <w:p w14:paraId="751D7D86">
      <w:pPr>
        <w:kinsoku w:val="0"/>
        <w:overflowPunct w:val="0"/>
        <w:spacing w:line="100" w:lineRule="exact"/>
        <w:rPr>
          <w:rFonts w:ascii="宋体" w:hAnsi="宋体"/>
          <w:color w:val="auto"/>
          <w:sz w:val="10"/>
          <w:szCs w:val="10"/>
          <w:highlight w:val="none"/>
        </w:rPr>
      </w:pPr>
    </w:p>
    <w:p w14:paraId="069AA8BD">
      <w:pPr>
        <w:kinsoku w:val="0"/>
        <w:overflowPunct w:val="0"/>
        <w:spacing w:line="200" w:lineRule="exact"/>
        <w:rPr>
          <w:rFonts w:ascii="宋体" w:hAnsi="宋体"/>
          <w:color w:val="auto"/>
          <w:sz w:val="20"/>
          <w:szCs w:val="20"/>
          <w:highlight w:val="none"/>
        </w:rPr>
      </w:pPr>
    </w:p>
    <w:p w14:paraId="5083BF37">
      <w:pPr>
        <w:kinsoku w:val="0"/>
        <w:overflowPunct w:val="0"/>
        <w:spacing w:line="200" w:lineRule="exact"/>
        <w:rPr>
          <w:rFonts w:ascii="宋体" w:hAnsi="宋体"/>
          <w:color w:val="auto"/>
          <w:sz w:val="20"/>
          <w:szCs w:val="20"/>
          <w:highlight w:val="none"/>
        </w:rPr>
      </w:pPr>
    </w:p>
    <w:p w14:paraId="486AB7E2">
      <w:pPr>
        <w:pStyle w:val="9"/>
        <w:kinsoku w:val="0"/>
        <w:overflowPunct w:val="0"/>
        <w:spacing w:line="335" w:lineRule="exact"/>
        <w:rPr>
          <w:color w:val="auto"/>
          <w:highlight w:val="none"/>
          <w:lang w:eastAsia="zh-CN"/>
        </w:rPr>
      </w:pPr>
      <w:r>
        <w:rPr>
          <w:rFonts w:hint="eastAsia"/>
          <w:color w:val="auto"/>
          <w:highlight w:val="none"/>
          <w:lang w:eastAsia="zh-CN"/>
        </w:rPr>
        <w:t>评标</w:t>
      </w:r>
      <w:r>
        <w:rPr>
          <w:rFonts w:hint="eastAsia"/>
          <w:color w:val="auto"/>
          <w:spacing w:val="-3"/>
          <w:highlight w:val="none"/>
          <w:lang w:eastAsia="zh-CN"/>
        </w:rPr>
        <w:t>委</w:t>
      </w:r>
      <w:r>
        <w:rPr>
          <w:rFonts w:hint="eastAsia"/>
          <w:color w:val="auto"/>
          <w:highlight w:val="none"/>
          <w:lang w:eastAsia="zh-CN"/>
        </w:rPr>
        <w:t>员</w:t>
      </w:r>
      <w:r>
        <w:rPr>
          <w:rFonts w:hint="eastAsia"/>
          <w:color w:val="auto"/>
          <w:spacing w:val="-3"/>
          <w:highlight w:val="none"/>
          <w:lang w:eastAsia="zh-CN"/>
        </w:rPr>
        <w:t>会</w:t>
      </w:r>
      <w:r>
        <w:rPr>
          <w:rFonts w:hint="eastAsia"/>
          <w:color w:val="auto"/>
          <w:highlight w:val="none"/>
          <w:lang w:eastAsia="zh-CN"/>
        </w:rPr>
        <w:t>：</w:t>
      </w:r>
    </w:p>
    <w:p w14:paraId="49A775C9">
      <w:pPr>
        <w:kinsoku w:val="0"/>
        <w:overflowPunct w:val="0"/>
        <w:spacing w:before="8" w:line="110" w:lineRule="exact"/>
        <w:rPr>
          <w:rFonts w:ascii="宋体" w:hAnsi="宋体"/>
          <w:color w:val="auto"/>
          <w:sz w:val="11"/>
          <w:szCs w:val="11"/>
          <w:highlight w:val="none"/>
        </w:rPr>
      </w:pPr>
    </w:p>
    <w:p w14:paraId="47C9386D">
      <w:pPr>
        <w:kinsoku w:val="0"/>
        <w:overflowPunct w:val="0"/>
        <w:spacing w:line="200" w:lineRule="exact"/>
        <w:rPr>
          <w:rFonts w:ascii="宋体" w:hAnsi="宋体"/>
          <w:color w:val="auto"/>
          <w:sz w:val="20"/>
          <w:szCs w:val="20"/>
          <w:highlight w:val="none"/>
        </w:rPr>
      </w:pPr>
    </w:p>
    <w:p w14:paraId="0B7A3AB6">
      <w:pPr>
        <w:kinsoku w:val="0"/>
        <w:overflowPunct w:val="0"/>
        <w:spacing w:line="200" w:lineRule="exact"/>
        <w:rPr>
          <w:rFonts w:ascii="宋体" w:hAnsi="宋体"/>
          <w:color w:val="auto"/>
          <w:sz w:val="20"/>
          <w:szCs w:val="20"/>
          <w:highlight w:val="none"/>
        </w:rPr>
      </w:pPr>
    </w:p>
    <w:p w14:paraId="54AF333D">
      <w:pPr>
        <w:pStyle w:val="9"/>
        <w:tabs>
          <w:tab w:val="left" w:pos="3460"/>
        </w:tabs>
        <w:kinsoku w:val="0"/>
        <w:overflowPunct w:val="0"/>
        <w:ind w:left="522"/>
        <w:rPr>
          <w:color w:val="auto"/>
          <w:highlight w:val="none"/>
          <w:lang w:eastAsia="zh-CN"/>
        </w:rPr>
      </w:pPr>
      <w:r>
        <w:rPr>
          <w:rFonts w:hint="eastAsia"/>
          <w:color w:val="auto"/>
          <w:spacing w:val="-3"/>
          <w:highlight w:val="none"/>
          <w:lang w:eastAsia="zh-CN"/>
        </w:rPr>
        <w:t>问</w:t>
      </w:r>
      <w:r>
        <w:rPr>
          <w:rFonts w:hint="eastAsia"/>
          <w:color w:val="auto"/>
          <w:highlight w:val="none"/>
          <w:lang w:eastAsia="zh-CN"/>
        </w:rPr>
        <w:t>题</w:t>
      </w:r>
      <w:r>
        <w:rPr>
          <w:rFonts w:hint="eastAsia"/>
          <w:color w:val="auto"/>
          <w:spacing w:val="-3"/>
          <w:highlight w:val="none"/>
          <w:lang w:eastAsia="zh-CN"/>
        </w:rPr>
        <w:t>澄</w:t>
      </w:r>
      <w:r>
        <w:rPr>
          <w:rFonts w:hint="eastAsia"/>
          <w:color w:val="auto"/>
          <w:highlight w:val="none"/>
          <w:lang w:eastAsia="zh-CN"/>
        </w:rPr>
        <w:t>清</w:t>
      </w:r>
      <w:r>
        <w:rPr>
          <w:rFonts w:hint="eastAsia"/>
          <w:color w:val="auto"/>
          <w:spacing w:val="-3"/>
          <w:highlight w:val="none"/>
          <w:lang w:eastAsia="zh-CN"/>
        </w:rPr>
        <w:t>通</w:t>
      </w:r>
      <w:r>
        <w:rPr>
          <w:rFonts w:hint="eastAsia"/>
          <w:color w:val="auto"/>
          <w:highlight w:val="none"/>
          <w:lang w:eastAsia="zh-CN"/>
        </w:rPr>
        <w:t>知</w:t>
      </w:r>
      <w:r>
        <w:rPr>
          <w:rFonts w:hint="eastAsia"/>
          <w:color w:val="auto"/>
          <w:spacing w:val="-3"/>
          <w:highlight w:val="none"/>
          <w:lang w:eastAsia="zh-CN"/>
        </w:rPr>
        <w:t>（</w:t>
      </w:r>
      <w:r>
        <w:rPr>
          <w:rFonts w:hint="eastAsia"/>
          <w:color w:val="auto"/>
          <w:highlight w:val="none"/>
          <w:lang w:eastAsia="zh-CN"/>
        </w:rPr>
        <w:t>编</w:t>
      </w:r>
      <w:r>
        <w:rPr>
          <w:rFonts w:hint="eastAsia"/>
          <w:color w:val="auto"/>
          <w:spacing w:val="-3"/>
          <w:highlight w:val="none"/>
          <w:lang w:eastAsia="zh-CN"/>
        </w:rPr>
        <w:t>号</w:t>
      </w:r>
      <w:r>
        <w:rPr>
          <w:rFonts w:hint="eastAsia"/>
          <w:color w:val="auto"/>
          <w:highlight w:val="none"/>
          <w:lang w:eastAsia="zh-CN"/>
        </w:rPr>
        <w:t>：</w:t>
      </w:r>
      <w:r>
        <w:rPr>
          <w:color w:val="auto"/>
          <w:highlight w:val="none"/>
          <w:u w:val="single"/>
          <w:lang w:eastAsia="zh-CN"/>
        </w:rPr>
        <w:tab/>
      </w:r>
      <w:r>
        <w:rPr>
          <w:rFonts w:hint="eastAsia"/>
          <w:color w:val="auto"/>
          <w:highlight w:val="none"/>
          <w:lang w:eastAsia="zh-CN"/>
        </w:rPr>
        <w:t>）已收</w:t>
      </w:r>
      <w:r>
        <w:rPr>
          <w:rFonts w:hint="eastAsia"/>
          <w:color w:val="auto"/>
          <w:spacing w:val="-3"/>
          <w:highlight w:val="none"/>
          <w:lang w:eastAsia="zh-CN"/>
        </w:rPr>
        <w:t>悉</w:t>
      </w:r>
      <w:r>
        <w:rPr>
          <w:rFonts w:hint="eastAsia"/>
          <w:color w:val="auto"/>
          <w:highlight w:val="none"/>
          <w:lang w:eastAsia="zh-CN"/>
        </w:rPr>
        <w:t>，</w:t>
      </w:r>
      <w:r>
        <w:rPr>
          <w:rFonts w:hint="eastAsia"/>
          <w:color w:val="auto"/>
          <w:spacing w:val="-3"/>
          <w:highlight w:val="none"/>
          <w:lang w:eastAsia="zh-CN"/>
        </w:rPr>
        <w:t>现</w:t>
      </w:r>
      <w:r>
        <w:rPr>
          <w:rFonts w:hint="eastAsia"/>
          <w:color w:val="auto"/>
          <w:highlight w:val="none"/>
          <w:lang w:eastAsia="zh-CN"/>
        </w:rPr>
        <w:t>澄清</w:t>
      </w:r>
      <w:r>
        <w:rPr>
          <w:rFonts w:hint="eastAsia"/>
          <w:color w:val="auto"/>
          <w:spacing w:val="-3"/>
          <w:highlight w:val="none"/>
          <w:lang w:eastAsia="zh-CN"/>
        </w:rPr>
        <w:t>、</w:t>
      </w:r>
      <w:r>
        <w:rPr>
          <w:rFonts w:hint="eastAsia"/>
          <w:color w:val="auto"/>
          <w:highlight w:val="none"/>
          <w:lang w:eastAsia="zh-CN"/>
        </w:rPr>
        <w:t>说</w:t>
      </w:r>
      <w:r>
        <w:rPr>
          <w:rFonts w:hint="eastAsia"/>
          <w:color w:val="auto"/>
          <w:spacing w:val="-3"/>
          <w:highlight w:val="none"/>
          <w:lang w:eastAsia="zh-CN"/>
        </w:rPr>
        <w:t>明</w:t>
      </w:r>
      <w:r>
        <w:rPr>
          <w:rFonts w:hint="eastAsia"/>
          <w:color w:val="auto"/>
          <w:highlight w:val="none"/>
          <w:lang w:eastAsia="zh-CN"/>
        </w:rPr>
        <w:t>或</w:t>
      </w:r>
      <w:r>
        <w:rPr>
          <w:rFonts w:hint="eastAsia"/>
          <w:color w:val="auto"/>
          <w:spacing w:val="-3"/>
          <w:highlight w:val="none"/>
          <w:lang w:eastAsia="zh-CN"/>
        </w:rPr>
        <w:t>补</w:t>
      </w:r>
      <w:r>
        <w:rPr>
          <w:rFonts w:hint="eastAsia"/>
          <w:color w:val="auto"/>
          <w:highlight w:val="none"/>
          <w:lang w:eastAsia="zh-CN"/>
        </w:rPr>
        <w:t>正</w:t>
      </w:r>
      <w:r>
        <w:rPr>
          <w:rFonts w:hint="eastAsia"/>
          <w:color w:val="auto"/>
          <w:spacing w:val="-3"/>
          <w:highlight w:val="none"/>
          <w:lang w:eastAsia="zh-CN"/>
        </w:rPr>
        <w:t>如</w:t>
      </w:r>
      <w:r>
        <w:rPr>
          <w:rFonts w:hint="eastAsia"/>
          <w:color w:val="auto"/>
          <w:highlight w:val="none"/>
          <w:lang w:eastAsia="zh-CN"/>
        </w:rPr>
        <w:t>下：</w:t>
      </w:r>
    </w:p>
    <w:p w14:paraId="1F9A88EF">
      <w:pPr>
        <w:kinsoku w:val="0"/>
        <w:overflowPunct w:val="0"/>
        <w:spacing w:before="8" w:line="110" w:lineRule="exact"/>
        <w:rPr>
          <w:rFonts w:ascii="宋体" w:hAnsi="宋体"/>
          <w:color w:val="auto"/>
          <w:sz w:val="11"/>
          <w:szCs w:val="11"/>
          <w:highlight w:val="none"/>
        </w:rPr>
      </w:pPr>
    </w:p>
    <w:p w14:paraId="235CD79F">
      <w:pPr>
        <w:pStyle w:val="9"/>
        <w:kinsoku w:val="0"/>
        <w:overflowPunct w:val="0"/>
        <w:spacing w:before="74"/>
        <w:ind w:left="817" w:right="7844"/>
        <w:jc w:val="center"/>
        <w:rPr>
          <w:color w:val="auto"/>
          <w:highlight w:val="none"/>
          <w:lang w:eastAsia="zh-CN"/>
        </w:rPr>
      </w:pPr>
      <w:r>
        <w:rPr>
          <w:color w:val="auto"/>
          <w:highlight w:val="none"/>
          <w:lang w:eastAsia="zh-CN"/>
        </w:rPr>
        <w:t>1.</w:t>
      </w:r>
    </w:p>
    <w:p w14:paraId="7B3C315D">
      <w:pPr>
        <w:kinsoku w:val="0"/>
        <w:overflowPunct w:val="0"/>
        <w:spacing w:before="8" w:line="190" w:lineRule="exact"/>
        <w:rPr>
          <w:rFonts w:ascii="宋体" w:hAnsi="宋体"/>
          <w:color w:val="auto"/>
          <w:sz w:val="19"/>
          <w:szCs w:val="19"/>
          <w:highlight w:val="none"/>
        </w:rPr>
      </w:pPr>
    </w:p>
    <w:p w14:paraId="18CFBB96">
      <w:pPr>
        <w:pStyle w:val="9"/>
        <w:kinsoku w:val="0"/>
        <w:overflowPunct w:val="0"/>
        <w:ind w:left="817" w:right="7844"/>
        <w:jc w:val="center"/>
        <w:rPr>
          <w:color w:val="auto"/>
          <w:highlight w:val="none"/>
          <w:lang w:eastAsia="zh-CN"/>
        </w:rPr>
      </w:pPr>
      <w:r>
        <w:rPr>
          <w:color w:val="auto"/>
          <w:highlight w:val="none"/>
          <w:lang w:eastAsia="zh-CN"/>
        </w:rPr>
        <w:t>2.</w:t>
      </w:r>
    </w:p>
    <w:p w14:paraId="03D9D635">
      <w:pPr>
        <w:kinsoku w:val="0"/>
        <w:overflowPunct w:val="0"/>
        <w:spacing w:before="8" w:line="190" w:lineRule="exact"/>
        <w:rPr>
          <w:rFonts w:ascii="宋体" w:hAnsi="宋体"/>
          <w:color w:val="auto"/>
          <w:sz w:val="19"/>
          <w:szCs w:val="19"/>
          <w:highlight w:val="none"/>
        </w:rPr>
      </w:pPr>
    </w:p>
    <w:p w14:paraId="32335891">
      <w:pPr>
        <w:pStyle w:val="9"/>
        <w:kinsoku w:val="0"/>
        <w:overflowPunct w:val="0"/>
        <w:ind w:right="7132"/>
        <w:jc w:val="center"/>
        <w:rPr>
          <w:color w:val="auto"/>
          <w:highlight w:val="none"/>
          <w:lang w:eastAsia="zh-CN"/>
        </w:rPr>
      </w:pPr>
      <w:r>
        <w:rPr>
          <w:color w:val="auto"/>
          <w:highlight w:val="none"/>
          <w:lang w:eastAsia="zh-CN"/>
        </w:rPr>
        <w:t>.....</w:t>
      </w:r>
    </w:p>
    <w:p w14:paraId="556F611B">
      <w:pPr>
        <w:kinsoku w:val="0"/>
        <w:overflowPunct w:val="0"/>
        <w:spacing w:line="200" w:lineRule="exact"/>
        <w:rPr>
          <w:rFonts w:ascii="宋体" w:hAnsi="宋体"/>
          <w:color w:val="auto"/>
          <w:sz w:val="20"/>
          <w:szCs w:val="20"/>
          <w:highlight w:val="none"/>
        </w:rPr>
      </w:pPr>
    </w:p>
    <w:p w14:paraId="64EF49B7">
      <w:pPr>
        <w:kinsoku w:val="0"/>
        <w:overflowPunct w:val="0"/>
        <w:spacing w:line="200" w:lineRule="exact"/>
        <w:rPr>
          <w:rFonts w:ascii="宋体" w:hAnsi="宋体"/>
          <w:color w:val="auto"/>
          <w:sz w:val="20"/>
          <w:szCs w:val="20"/>
          <w:highlight w:val="none"/>
        </w:rPr>
      </w:pPr>
    </w:p>
    <w:p w14:paraId="5620FA0D">
      <w:pPr>
        <w:kinsoku w:val="0"/>
        <w:overflowPunct w:val="0"/>
        <w:spacing w:line="200" w:lineRule="exact"/>
        <w:rPr>
          <w:rFonts w:ascii="宋体" w:hAnsi="宋体"/>
          <w:color w:val="auto"/>
          <w:sz w:val="20"/>
          <w:szCs w:val="20"/>
          <w:highlight w:val="none"/>
        </w:rPr>
      </w:pPr>
    </w:p>
    <w:p w14:paraId="793B14DD">
      <w:pPr>
        <w:kinsoku w:val="0"/>
        <w:overflowPunct w:val="0"/>
        <w:spacing w:line="200" w:lineRule="exact"/>
        <w:rPr>
          <w:rFonts w:ascii="宋体" w:hAnsi="宋体"/>
          <w:color w:val="auto"/>
          <w:sz w:val="20"/>
          <w:szCs w:val="20"/>
          <w:highlight w:val="none"/>
        </w:rPr>
      </w:pPr>
    </w:p>
    <w:p w14:paraId="3643086A">
      <w:pPr>
        <w:kinsoku w:val="0"/>
        <w:overflowPunct w:val="0"/>
        <w:spacing w:line="200" w:lineRule="exact"/>
        <w:rPr>
          <w:rFonts w:ascii="宋体" w:hAnsi="宋体"/>
          <w:color w:val="auto"/>
          <w:sz w:val="20"/>
          <w:szCs w:val="20"/>
          <w:highlight w:val="none"/>
        </w:rPr>
      </w:pPr>
    </w:p>
    <w:p w14:paraId="72B38A64">
      <w:pPr>
        <w:kinsoku w:val="0"/>
        <w:overflowPunct w:val="0"/>
        <w:spacing w:line="200" w:lineRule="exact"/>
        <w:rPr>
          <w:rFonts w:ascii="宋体" w:hAnsi="宋体"/>
          <w:color w:val="auto"/>
          <w:sz w:val="20"/>
          <w:szCs w:val="20"/>
          <w:highlight w:val="none"/>
        </w:rPr>
      </w:pPr>
    </w:p>
    <w:p w14:paraId="35B7CDFF">
      <w:pPr>
        <w:kinsoku w:val="0"/>
        <w:overflowPunct w:val="0"/>
        <w:spacing w:before="9" w:line="200" w:lineRule="exact"/>
        <w:rPr>
          <w:rFonts w:ascii="宋体" w:hAnsi="宋体"/>
          <w:color w:val="auto"/>
          <w:sz w:val="20"/>
          <w:szCs w:val="20"/>
          <w:highlight w:val="none"/>
        </w:rPr>
      </w:pPr>
    </w:p>
    <w:p w14:paraId="70934C80">
      <w:pPr>
        <w:pStyle w:val="9"/>
        <w:kinsoku w:val="0"/>
        <w:overflowPunct w:val="0"/>
        <w:spacing w:line="291" w:lineRule="auto"/>
        <w:ind w:firstLine="419"/>
        <w:rPr>
          <w:color w:val="auto"/>
          <w:highlight w:val="none"/>
          <w:lang w:eastAsia="zh-CN"/>
        </w:rPr>
      </w:pPr>
      <w:r>
        <w:rPr>
          <w:rFonts w:hint="eastAsia"/>
          <w:color w:val="auto"/>
          <w:highlight w:val="none"/>
          <w:lang w:eastAsia="zh-CN"/>
        </w:rPr>
        <w:t>上述问题澄清、说</w:t>
      </w:r>
      <w:r>
        <w:rPr>
          <w:rFonts w:hint="eastAsia"/>
          <w:color w:val="auto"/>
          <w:spacing w:val="-3"/>
          <w:highlight w:val="none"/>
          <w:lang w:eastAsia="zh-CN"/>
        </w:rPr>
        <w:t>明</w:t>
      </w:r>
      <w:r>
        <w:rPr>
          <w:rFonts w:hint="eastAsia"/>
          <w:color w:val="auto"/>
          <w:highlight w:val="none"/>
          <w:lang w:eastAsia="zh-CN"/>
        </w:rPr>
        <w:t>或</w:t>
      </w:r>
      <w:r>
        <w:rPr>
          <w:rFonts w:hint="eastAsia"/>
          <w:color w:val="auto"/>
          <w:spacing w:val="-3"/>
          <w:highlight w:val="none"/>
          <w:lang w:eastAsia="zh-CN"/>
        </w:rPr>
        <w:t>补</w:t>
      </w:r>
      <w:r>
        <w:rPr>
          <w:rFonts w:hint="eastAsia"/>
          <w:color w:val="auto"/>
          <w:highlight w:val="none"/>
          <w:lang w:eastAsia="zh-CN"/>
        </w:rPr>
        <w:t>正，不改变我方投</w:t>
      </w:r>
      <w:r>
        <w:rPr>
          <w:rFonts w:hint="eastAsia"/>
          <w:color w:val="auto"/>
          <w:spacing w:val="-3"/>
          <w:highlight w:val="none"/>
          <w:lang w:eastAsia="zh-CN"/>
        </w:rPr>
        <w:t>标</w:t>
      </w:r>
      <w:r>
        <w:rPr>
          <w:rFonts w:hint="eastAsia"/>
          <w:color w:val="auto"/>
          <w:highlight w:val="none"/>
          <w:lang w:eastAsia="zh-CN"/>
        </w:rPr>
        <w:t>文</w:t>
      </w:r>
      <w:r>
        <w:rPr>
          <w:rFonts w:hint="eastAsia"/>
          <w:color w:val="auto"/>
          <w:spacing w:val="-3"/>
          <w:highlight w:val="none"/>
          <w:lang w:eastAsia="zh-CN"/>
        </w:rPr>
        <w:t>件</w:t>
      </w:r>
      <w:r>
        <w:rPr>
          <w:rFonts w:hint="eastAsia"/>
          <w:color w:val="auto"/>
          <w:highlight w:val="none"/>
          <w:lang w:eastAsia="zh-CN"/>
        </w:rPr>
        <w:t>的实质性内容，构</w:t>
      </w:r>
      <w:r>
        <w:rPr>
          <w:rFonts w:hint="eastAsia"/>
          <w:color w:val="auto"/>
          <w:spacing w:val="-3"/>
          <w:highlight w:val="none"/>
          <w:lang w:eastAsia="zh-CN"/>
        </w:rPr>
        <w:t>成</w:t>
      </w:r>
      <w:r>
        <w:rPr>
          <w:rFonts w:hint="eastAsia"/>
          <w:color w:val="auto"/>
          <w:highlight w:val="none"/>
          <w:lang w:eastAsia="zh-CN"/>
        </w:rPr>
        <w:t>我</w:t>
      </w:r>
      <w:r>
        <w:rPr>
          <w:rFonts w:hint="eastAsia"/>
          <w:color w:val="auto"/>
          <w:spacing w:val="-3"/>
          <w:highlight w:val="none"/>
          <w:lang w:eastAsia="zh-CN"/>
        </w:rPr>
        <w:t>方</w:t>
      </w:r>
      <w:r>
        <w:rPr>
          <w:rFonts w:hint="eastAsia"/>
          <w:color w:val="auto"/>
          <w:highlight w:val="none"/>
          <w:lang w:eastAsia="zh-CN"/>
        </w:rPr>
        <w:t>投标文件的组成部</w:t>
      </w:r>
      <w:r>
        <w:rPr>
          <w:rFonts w:hint="eastAsia"/>
          <w:color w:val="auto"/>
          <w:spacing w:val="-3"/>
          <w:highlight w:val="none"/>
          <w:lang w:eastAsia="zh-CN"/>
        </w:rPr>
        <w:t>分</w:t>
      </w:r>
      <w:r>
        <w:rPr>
          <w:rFonts w:hint="eastAsia"/>
          <w:color w:val="auto"/>
          <w:highlight w:val="none"/>
          <w:lang w:eastAsia="zh-CN"/>
        </w:rPr>
        <w:t>。</w:t>
      </w:r>
    </w:p>
    <w:p w14:paraId="12C2F2EF">
      <w:pPr>
        <w:kinsoku w:val="0"/>
        <w:overflowPunct w:val="0"/>
        <w:spacing w:before="7" w:line="150" w:lineRule="exact"/>
        <w:rPr>
          <w:rFonts w:ascii="宋体" w:hAnsi="宋体"/>
          <w:color w:val="auto"/>
          <w:sz w:val="15"/>
          <w:szCs w:val="15"/>
          <w:highlight w:val="none"/>
        </w:rPr>
      </w:pPr>
    </w:p>
    <w:p w14:paraId="3FEC4CC3">
      <w:pPr>
        <w:kinsoku w:val="0"/>
        <w:overflowPunct w:val="0"/>
        <w:spacing w:line="200" w:lineRule="exact"/>
        <w:rPr>
          <w:rFonts w:ascii="宋体" w:hAnsi="宋体"/>
          <w:color w:val="auto"/>
          <w:sz w:val="20"/>
          <w:szCs w:val="20"/>
          <w:highlight w:val="none"/>
        </w:rPr>
      </w:pPr>
    </w:p>
    <w:p w14:paraId="753A1D79">
      <w:pPr>
        <w:kinsoku w:val="0"/>
        <w:overflowPunct w:val="0"/>
        <w:spacing w:line="200" w:lineRule="exact"/>
        <w:rPr>
          <w:rFonts w:ascii="宋体" w:hAnsi="宋体"/>
          <w:color w:val="auto"/>
          <w:sz w:val="20"/>
          <w:szCs w:val="20"/>
          <w:highlight w:val="none"/>
        </w:rPr>
      </w:pPr>
    </w:p>
    <w:p w14:paraId="0D8A3B7C">
      <w:pPr>
        <w:kinsoku w:val="0"/>
        <w:overflowPunct w:val="0"/>
        <w:spacing w:line="200" w:lineRule="exact"/>
        <w:rPr>
          <w:rFonts w:ascii="宋体" w:hAnsi="宋体"/>
          <w:color w:val="auto"/>
          <w:sz w:val="20"/>
          <w:szCs w:val="20"/>
          <w:highlight w:val="none"/>
        </w:rPr>
      </w:pPr>
    </w:p>
    <w:p w14:paraId="43E34F97">
      <w:pPr>
        <w:pStyle w:val="9"/>
        <w:tabs>
          <w:tab w:val="left" w:pos="7382"/>
        </w:tabs>
        <w:kinsoku w:val="0"/>
        <w:overflowPunct w:val="0"/>
        <w:ind w:left="3043"/>
        <w:rPr>
          <w:color w:val="auto"/>
          <w:highlight w:val="none"/>
          <w:lang w:eastAsia="zh-CN"/>
        </w:rPr>
      </w:pPr>
      <w:r>
        <w:rPr>
          <w:rFonts w:hint="eastAsia"/>
          <w:color w:val="auto"/>
          <w:highlight w:val="none"/>
          <w:lang w:eastAsia="zh-CN"/>
        </w:rPr>
        <w:t>投</w:t>
      </w:r>
      <w:r>
        <w:rPr>
          <w:rFonts w:hint="eastAsia"/>
          <w:color w:val="auto"/>
          <w:spacing w:val="-3"/>
          <w:highlight w:val="none"/>
          <w:lang w:eastAsia="zh-CN"/>
        </w:rPr>
        <w:t>标</w:t>
      </w:r>
      <w:r>
        <w:rPr>
          <w:rFonts w:hint="eastAsia"/>
          <w:color w:val="auto"/>
          <w:highlight w:val="none"/>
          <w:lang w:eastAsia="zh-CN"/>
        </w:rPr>
        <w:t>人</w:t>
      </w:r>
      <w:r>
        <w:rPr>
          <w:rFonts w:hint="eastAsia"/>
          <w:color w:val="auto"/>
          <w:spacing w:val="-1"/>
          <w:highlight w:val="none"/>
          <w:lang w:eastAsia="zh-CN"/>
        </w:rPr>
        <w:t>：</w:t>
      </w:r>
      <w:r>
        <w:rPr>
          <w:color w:val="auto"/>
          <w:spacing w:val="-1"/>
          <w:highlight w:val="none"/>
          <w:u w:val="single"/>
          <w:lang w:eastAsia="zh-CN"/>
        </w:rPr>
        <w:tab/>
      </w:r>
      <w:r>
        <w:rPr>
          <w:rFonts w:hint="eastAsia"/>
          <w:color w:val="auto"/>
          <w:highlight w:val="none"/>
          <w:lang w:eastAsia="zh-CN"/>
        </w:rPr>
        <w:t>（盖</w:t>
      </w:r>
      <w:r>
        <w:rPr>
          <w:rFonts w:hint="eastAsia"/>
          <w:color w:val="auto"/>
          <w:spacing w:val="-3"/>
          <w:highlight w:val="none"/>
          <w:lang w:eastAsia="zh-CN"/>
        </w:rPr>
        <w:t>单</w:t>
      </w:r>
      <w:r>
        <w:rPr>
          <w:rFonts w:hint="eastAsia"/>
          <w:color w:val="auto"/>
          <w:highlight w:val="none"/>
          <w:lang w:eastAsia="zh-CN"/>
        </w:rPr>
        <w:t>位</w:t>
      </w:r>
      <w:r>
        <w:rPr>
          <w:rFonts w:hint="eastAsia"/>
          <w:color w:val="auto"/>
          <w:spacing w:val="-3"/>
          <w:highlight w:val="none"/>
          <w:lang w:eastAsia="zh-CN"/>
        </w:rPr>
        <w:t>章</w:t>
      </w:r>
      <w:r>
        <w:rPr>
          <w:rFonts w:hint="eastAsia"/>
          <w:color w:val="auto"/>
          <w:highlight w:val="none"/>
          <w:lang w:eastAsia="zh-CN"/>
        </w:rPr>
        <w:t>）</w:t>
      </w:r>
    </w:p>
    <w:p w14:paraId="62B28585">
      <w:pPr>
        <w:kinsoku w:val="0"/>
        <w:overflowPunct w:val="0"/>
        <w:spacing w:before="10" w:line="200" w:lineRule="exact"/>
        <w:rPr>
          <w:rFonts w:ascii="宋体" w:hAnsi="宋体"/>
          <w:color w:val="auto"/>
          <w:sz w:val="20"/>
          <w:szCs w:val="20"/>
          <w:highlight w:val="none"/>
        </w:rPr>
      </w:pPr>
    </w:p>
    <w:p w14:paraId="67416CAC">
      <w:pPr>
        <w:kinsoku w:val="0"/>
        <w:overflowPunct w:val="0"/>
        <w:spacing w:before="1" w:line="190" w:lineRule="exact"/>
        <w:rPr>
          <w:rFonts w:ascii="宋体" w:hAnsi="宋体"/>
          <w:color w:val="auto"/>
          <w:sz w:val="19"/>
          <w:szCs w:val="19"/>
          <w:highlight w:val="none"/>
        </w:rPr>
      </w:pPr>
    </w:p>
    <w:p w14:paraId="7E39D8CB">
      <w:pPr>
        <w:kinsoku w:val="0"/>
        <w:overflowPunct w:val="0"/>
        <w:spacing w:line="200" w:lineRule="exact"/>
        <w:rPr>
          <w:rFonts w:ascii="宋体" w:hAnsi="宋体"/>
          <w:color w:val="auto"/>
          <w:sz w:val="20"/>
          <w:szCs w:val="20"/>
          <w:highlight w:val="none"/>
        </w:rPr>
      </w:pPr>
    </w:p>
    <w:p w14:paraId="08CBE114">
      <w:pPr>
        <w:kinsoku w:val="0"/>
        <w:overflowPunct w:val="0"/>
        <w:spacing w:line="200" w:lineRule="exact"/>
        <w:rPr>
          <w:rFonts w:ascii="宋体" w:hAnsi="宋体"/>
          <w:color w:val="auto"/>
          <w:sz w:val="20"/>
          <w:szCs w:val="20"/>
          <w:highlight w:val="none"/>
        </w:rPr>
      </w:pPr>
    </w:p>
    <w:p w14:paraId="2A11D348">
      <w:pPr>
        <w:kinsoku w:val="0"/>
        <w:overflowPunct w:val="0"/>
        <w:spacing w:line="200" w:lineRule="exact"/>
        <w:rPr>
          <w:rFonts w:ascii="宋体" w:hAnsi="宋体"/>
          <w:color w:val="auto"/>
          <w:sz w:val="20"/>
          <w:szCs w:val="20"/>
          <w:highlight w:val="none"/>
        </w:rPr>
      </w:pPr>
    </w:p>
    <w:p w14:paraId="1F965D86">
      <w:pPr>
        <w:pStyle w:val="9"/>
        <w:tabs>
          <w:tab w:val="left" w:pos="6434"/>
          <w:tab w:val="left" w:pos="7483"/>
          <w:tab w:val="left" w:pos="8533"/>
        </w:tabs>
        <w:kinsoku w:val="0"/>
        <w:overflowPunct w:val="0"/>
        <w:spacing w:line="335" w:lineRule="exact"/>
        <w:ind w:left="5595"/>
        <w:rPr>
          <w:color w:val="auto"/>
          <w:highlight w:val="none"/>
          <w:lang w:eastAsia="zh-CN"/>
        </w:rPr>
      </w:pPr>
      <w:r>
        <w:rPr>
          <w:color w:val="auto"/>
          <w:w w:val="201"/>
          <w:highlight w:val="none"/>
          <w:u w:val="single"/>
          <w:lang w:eastAsia="zh-CN"/>
        </w:rPr>
        <w:t xml:space="preserve"> </w:t>
      </w:r>
      <w:r>
        <w:rPr>
          <w:color w:val="auto"/>
          <w:highlight w:val="none"/>
          <w:u w:val="single"/>
          <w:lang w:eastAsia="zh-CN"/>
        </w:rPr>
        <w:tab/>
      </w:r>
      <w:r>
        <w:rPr>
          <w:rFonts w:hint="eastAsia"/>
          <w:color w:val="auto"/>
          <w:spacing w:val="-3"/>
          <w:highlight w:val="none"/>
          <w:lang w:eastAsia="zh-CN"/>
        </w:rPr>
        <w:t>年</w:t>
      </w:r>
      <w:r>
        <w:rPr>
          <w:color w:val="auto"/>
          <w:spacing w:val="-3"/>
          <w:highlight w:val="none"/>
          <w:u w:val="single"/>
          <w:lang w:eastAsia="zh-CN"/>
        </w:rPr>
        <w:tab/>
      </w:r>
      <w:r>
        <w:rPr>
          <w:rFonts w:hint="eastAsia"/>
          <w:color w:val="auto"/>
          <w:highlight w:val="none"/>
          <w:lang w:eastAsia="zh-CN"/>
        </w:rPr>
        <w:t>月</w:t>
      </w:r>
      <w:r>
        <w:rPr>
          <w:color w:val="auto"/>
          <w:highlight w:val="none"/>
          <w:u w:val="single"/>
          <w:lang w:eastAsia="zh-CN"/>
        </w:rPr>
        <w:tab/>
      </w:r>
      <w:r>
        <w:rPr>
          <w:rFonts w:hint="eastAsia"/>
          <w:color w:val="auto"/>
          <w:highlight w:val="none"/>
          <w:lang w:eastAsia="zh-CN"/>
        </w:rPr>
        <w:t>日</w:t>
      </w:r>
    </w:p>
    <w:p w14:paraId="1BF0F4C9">
      <w:pPr>
        <w:pStyle w:val="6"/>
        <w:ind w:firstLine="440" w:firstLineChars="0"/>
        <w:rPr>
          <w:rFonts w:ascii="宋体" w:hAnsi="宋体" w:eastAsia="宋体"/>
          <w:color w:val="auto"/>
          <w:highlight w:val="none"/>
          <w:lang w:eastAsia="zh-CN"/>
        </w:rPr>
      </w:pPr>
    </w:p>
    <w:p w14:paraId="1624C72F">
      <w:pPr>
        <w:pStyle w:val="6"/>
        <w:ind w:firstLine="440"/>
        <w:rPr>
          <w:rFonts w:ascii="宋体" w:hAnsi="宋体" w:eastAsia="宋体"/>
          <w:color w:val="auto"/>
          <w:highlight w:val="none"/>
          <w:lang w:eastAsia="zh-CN"/>
        </w:rPr>
      </w:pPr>
    </w:p>
    <w:p w14:paraId="693AC0FF">
      <w:pPr>
        <w:pStyle w:val="6"/>
        <w:ind w:firstLine="440"/>
        <w:rPr>
          <w:rFonts w:ascii="宋体" w:hAnsi="宋体" w:eastAsia="宋体"/>
          <w:color w:val="auto"/>
          <w:highlight w:val="none"/>
          <w:lang w:eastAsia="zh-CN"/>
        </w:rPr>
        <w:sectPr>
          <w:footerReference r:id="rId7" w:type="default"/>
          <w:pgSz w:w="12240" w:h="15840"/>
          <w:pgMar w:top="1400" w:right="1680" w:bottom="1120" w:left="1700" w:header="0" w:footer="921" w:gutter="0"/>
          <w:pgBorders>
            <w:top w:val="none" w:sz="0" w:space="0"/>
            <w:left w:val="none" w:sz="0" w:space="0"/>
            <w:bottom w:val="none" w:sz="0" w:space="0"/>
            <w:right w:val="none" w:sz="0" w:space="0"/>
          </w:pgBorders>
          <w:cols w:space="720" w:num="1"/>
        </w:sectPr>
      </w:pPr>
    </w:p>
    <w:p w14:paraId="4C4A40D1">
      <w:pPr>
        <w:pStyle w:val="5"/>
        <w:spacing w:line="363" w:lineRule="exact"/>
        <w:ind w:right="44"/>
        <w:rPr>
          <w:rFonts w:hint="default" w:eastAsia="宋体"/>
          <w:b w:val="0"/>
          <w:color w:val="auto"/>
          <w:highlight w:val="none"/>
          <w:lang w:val="en-US" w:eastAsia="zh-CN"/>
        </w:rPr>
      </w:pPr>
      <w:r>
        <w:rPr>
          <w:b w:val="0"/>
          <w:color w:val="auto"/>
          <w:highlight w:val="none"/>
        </w:rPr>
        <w:t>附件四：</w:t>
      </w:r>
      <w:r>
        <w:rPr>
          <w:rFonts w:hint="eastAsia"/>
          <w:b w:val="0"/>
          <w:color w:val="auto"/>
          <w:highlight w:val="none"/>
          <w:lang w:val="en-US" w:eastAsia="zh-CN"/>
        </w:rPr>
        <w:t>评标委员会成员声明</w:t>
      </w:r>
    </w:p>
    <w:p w14:paraId="3E39B4DC">
      <w:pPr>
        <w:jc w:val="center"/>
        <w:rPr>
          <w:rFonts w:hint="eastAsia" w:ascii="宋体" w:hAnsi="宋体" w:eastAsia="宋体" w:cs="宋体"/>
          <w:color w:val="auto"/>
          <w:highlight w:val="none"/>
        </w:rPr>
      </w:pPr>
      <w:r>
        <w:rPr>
          <w:rFonts w:hint="eastAsia" w:ascii="宋体" w:hAnsi="宋体" w:eastAsia="宋体" w:cs="宋体"/>
          <w:color w:val="auto"/>
          <w:sz w:val="32"/>
          <w:szCs w:val="32"/>
          <w:highlight w:val="none"/>
        </w:rPr>
        <w:t>评标委员会成员声明</w:t>
      </w:r>
    </w:p>
    <w:p w14:paraId="74445E5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本项目招标人  </w:t>
      </w:r>
      <w:r>
        <w:rPr>
          <w:rFonts w:hint="eastAsia" w:ascii="宋体" w:hAnsi="宋体" w:eastAsia="宋体" w:cs="宋体"/>
          <w:color w:val="auto"/>
          <w:sz w:val="21"/>
          <w:szCs w:val="21"/>
          <w:highlight w:val="none"/>
        </w:rPr>
        <w:t>：</w:t>
      </w:r>
    </w:p>
    <w:p w14:paraId="6514DC3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本人就参与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项目的评标工作，作出郑重声明：</w:t>
      </w:r>
    </w:p>
    <w:p w14:paraId="05A80B0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FFBFD9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4EEF4F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A76516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53F7D1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95291B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如果本人违反上述声明内容，造成的后果由本人自行承担。</w:t>
      </w:r>
    </w:p>
    <w:p w14:paraId="5002994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sz w:val="21"/>
          <w:szCs w:val="21"/>
          <w:highlight w:val="none"/>
        </w:rPr>
      </w:pPr>
    </w:p>
    <w:p w14:paraId="1C22A516">
      <w:pPr>
        <w:pStyle w:val="2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jc w:val="righ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声明人：</w:t>
      </w:r>
      <w:r>
        <w:rPr>
          <w:rFonts w:hint="eastAsia" w:ascii="宋体" w:hAnsi="宋体" w:eastAsia="宋体" w:cs="宋体"/>
          <w:color w:val="auto"/>
          <w:sz w:val="21"/>
          <w:szCs w:val="21"/>
          <w:highlight w:val="none"/>
          <w:u w:val="single"/>
        </w:rPr>
        <w:t xml:space="preserve">（签名）  </w:t>
      </w:r>
    </w:p>
    <w:p w14:paraId="5C0265A6">
      <w:pPr>
        <w:pStyle w:val="22"/>
        <w:rPr>
          <w:rFonts w:ascii="宋体"/>
          <w:color w:val="auto"/>
          <w:highlight w:val="none"/>
          <w:lang w:eastAsia="zh-CN"/>
        </w:rPr>
      </w:pPr>
    </w:p>
    <w:p w14:paraId="248CD787">
      <w:pPr>
        <w:pStyle w:val="22"/>
        <w:rPr>
          <w:rFonts w:ascii="宋体"/>
          <w:color w:val="auto"/>
          <w:highlight w:val="none"/>
          <w:lang w:eastAsia="zh-CN"/>
        </w:rPr>
      </w:pPr>
    </w:p>
    <w:p w14:paraId="699FB751">
      <w:pPr>
        <w:pStyle w:val="22"/>
        <w:rPr>
          <w:rFonts w:ascii="宋体"/>
          <w:color w:val="auto"/>
          <w:highlight w:val="none"/>
          <w:lang w:eastAsia="zh-CN"/>
        </w:rPr>
        <w:sectPr>
          <w:pgSz w:w="12240" w:h="15840"/>
          <w:pgMar w:top="1400" w:right="1680" w:bottom="1100" w:left="1700" w:header="0" w:footer="901" w:gutter="0"/>
          <w:pgBorders>
            <w:top w:val="none" w:sz="0" w:space="0"/>
            <w:left w:val="none" w:sz="0" w:space="0"/>
            <w:bottom w:val="none" w:sz="0" w:space="0"/>
            <w:right w:val="none" w:sz="0" w:space="0"/>
          </w:pgBorders>
          <w:cols w:space="720" w:num="1"/>
        </w:sectPr>
      </w:pPr>
    </w:p>
    <w:p w14:paraId="6B9A9606">
      <w:pPr>
        <w:pStyle w:val="2"/>
        <w:spacing w:line="589" w:lineRule="exact"/>
        <w:ind w:left="1349"/>
        <w:rPr>
          <w:rFonts w:ascii="宋体" w:hAnsi="宋体"/>
          <w:b w:val="0"/>
          <w:color w:val="auto"/>
          <w:highlight w:val="none"/>
        </w:rPr>
      </w:pPr>
      <w:bookmarkStart w:id="15" w:name="_Toc10838"/>
      <w:r>
        <w:rPr>
          <w:rFonts w:ascii="宋体" w:hAnsi="宋体"/>
          <w:b w:val="0"/>
          <w:color w:val="auto"/>
          <w:spacing w:val="2"/>
          <w:highlight w:val="none"/>
        </w:rPr>
        <w:t>第三章评标办法（综合评</w:t>
      </w:r>
      <w:r>
        <w:rPr>
          <w:rFonts w:hint="eastAsia" w:ascii="宋体" w:hAnsi="宋体"/>
          <w:b w:val="0"/>
          <w:color w:val="auto"/>
          <w:spacing w:val="2"/>
          <w:highlight w:val="none"/>
          <w:lang w:val="en-US" w:eastAsia="zh-CN"/>
        </w:rPr>
        <w:t>标</w:t>
      </w:r>
      <w:r>
        <w:rPr>
          <w:rFonts w:ascii="宋体" w:hAnsi="宋体"/>
          <w:b w:val="0"/>
          <w:color w:val="auto"/>
          <w:spacing w:val="2"/>
          <w:highlight w:val="none"/>
        </w:rPr>
        <w:t>法）</w:t>
      </w:r>
      <w:bookmarkEnd w:id="15"/>
    </w:p>
    <w:p w14:paraId="5CE4B55B">
      <w:pPr>
        <w:pStyle w:val="4"/>
        <w:ind w:left="120"/>
        <w:jc w:val="center"/>
        <w:rPr>
          <w:rFonts w:ascii="宋体" w:hAnsi="宋体"/>
          <w:b w:val="0"/>
          <w:color w:val="auto"/>
          <w:highlight w:val="none"/>
        </w:rPr>
      </w:pPr>
      <w:bookmarkStart w:id="16" w:name="_Toc10518"/>
      <w:r>
        <w:rPr>
          <w:rFonts w:ascii="宋体" w:hAnsi="宋体"/>
          <w:b w:val="0"/>
          <w:color w:val="auto"/>
          <w:highlight w:val="none"/>
        </w:rPr>
        <w:t>评标办法前附表</w:t>
      </w:r>
      <w:bookmarkEnd w:id="16"/>
    </w:p>
    <w:tbl>
      <w:tblPr>
        <w:tblStyle w:val="23"/>
        <w:tblW w:w="8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8"/>
        <w:gridCol w:w="920"/>
        <w:gridCol w:w="2913"/>
        <w:gridCol w:w="4345"/>
      </w:tblGrid>
      <w:tr w14:paraId="65CF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1548" w:type="dxa"/>
            <w:gridSpan w:val="2"/>
            <w:vAlign w:val="center"/>
          </w:tcPr>
          <w:p w14:paraId="35E33924">
            <w:pPr>
              <w:pStyle w:val="34"/>
              <w:jc w:val="center"/>
              <w:rPr>
                <w:rFonts w:ascii="宋体" w:hAnsi="宋体" w:eastAsia="宋体" w:cs="Microsoft JhengHei"/>
                <w:color w:val="auto"/>
                <w:sz w:val="21"/>
                <w:szCs w:val="21"/>
                <w:highlight w:val="none"/>
              </w:rPr>
            </w:pPr>
            <w:r>
              <w:rPr>
                <w:rFonts w:ascii="宋体" w:hAnsi="宋体" w:eastAsia="宋体" w:cs="Microsoft JhengHei"/>
                <w:bCs/>
                <w:color w:val="auto"/>
                <w:sz w:val="21"/>
                <w:szCs w:val="21"/>
                <w:highlight w:val="none"/>
              </w:rPr>
              <w:t>条款号</w:t>
            </w:r>
          </w:p>
        </w:tc>
        <w:tc>
          <w:tcPr>
            <w:tcW w:w="2913" w:type="dxa"/>
            <w:vAlign w:val="center"/>
          </w:tcPr>
          <w:p w14:paraId="1F11713D">
            <w:pPr>
              <w:pStyle w:val="34"/>
              <w:jc w:val="center"/>
              <w:rPr>
                <w:rFonts w:ascii="宋体" w:hAnsi="宋体" w:eastAsia="宋体" w:cs="Microsoft JhengHei"/>
                <w:color w:val="auto"/>
                <w:sz w:val="21"/>
                <w:szCs w:val="21"/>
                <w:highlight w:val="none"/>
              </w:rPr>
            </w:pPr>
            <w:r>
              <w:rPr>
                <w:rFonts w:ascii="宋体" w:hAnsi="宋体" w:eastAsia="宋体" w:cs="Microsoft JhengHei"/>
                <w:bCs/>
                <w:color w:val="auto"/>
                <w:sz w:val="21"/>
                <w:szCs w:val="21"/>
                <w:highlight w:val="none"/>
              </w:rPr>
              <w:t>评审因素</w:t>
            </w:r>
          </w:p>
        </w:tc>
        <w:tc>
          <w:tcPr>
            <w:tcW w:w="4345" w:type="dxa"/>
            <w:vAlign w:val="center"/>
          </w:tcPr>
          <w:p w14:paraId="0B912821">
            <w:pPr>
              <w:pStyle w:val="34"/>
              <w:jc w:val="center"/>
              <w:rPr>
                <w:rFonts w:ascii="宋体" w:hAnsi="宋体" w:eastAsia="宋体" w:cs="Microsoft JhengHei"/>
                <w:color w:val="auto"/>
                <w:sz w:val="21"/>
                <w:szCs w:val="21"/>
                <w:highlight w:val="none"/>
              </w:rPr>
            </w:pPr>
            <w:r>
              <w:rPr>
                <w:rFonts w:ascii="宋体" w:hAnsi="宋体" w:eastAsia="宋体" w:cs="Microsoft JhengHei"/>
                <w:bCs/>
                <w:color w:val="auto"/>
                <w:sz w:val="21"/>
                <w:szCs w:val="21"/>
                <w:highlight w:val="none"/>
              </w:rPr>
              <w:t>评审标准</w:t>
            </w:r>
          </w:p>
        </w:tc>
      </w:tr>
      <w:tr w14:paraId="0C01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3" w:hRule="exact"/>
        </w:trPr>
        <w:tc>
          <w:tcPr>
            <w:tcW w:w="628" w:type="dxa"/>
            <w:vAlign w:val="center"/>
          </w:tcPr>
          <w:p w14:paraId="5581E02A">
            <w:pPr>
              <w:pStyle w:val="34"/>
              <w:jc w:val="center"/>
              <w:rPr>
                <w:rFonts w:ascii="宋体" w:hAnsi="宋体" w:eastAsia="宋体"/>
                <w:color w:val="auto"/>
                <w:sz w:val="21"/>
                <w:szCs w:val="21"/>
                <w:highlight w:val="none"/>
              </w:rPr>
            </w:pPr>
            <w:r>
              <w:rPr>
                <w:rFonts w:ascii="宋体" w:hAnsi="宋体" w:eastAsia="宋体"/>
                <w:color w:val="auto"/>
                <w:sz w:val="21"/>
                <w:szCs w:val="21"/>
                <w:highlight w:val="none"/>
              </w:rPr>
              <w:t>1</w:t>
            </w:r>
          </w:p>
        </w:tc>
        <w:tc>
          <w:tcPr>
            <w:tcW w:w="920" w:type="dxa"/>
            <w:vAlign w:val="center"/>
          </w:tcPr>
          <w:p w14:paraId="59010490">
            <w:pPr>
              <w:pStyle w:val="34"/>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评标方法</w:t>
            </w:r>
          </w:p>
        </w:tc>
        <w:tc>
          <w:tcPr>
            <w:tcW w:w="2913" w:type="dxa"/>
            <w:vAlign w:val="center"/>
          </w:tcPr>
          <w:p w14:paraId="3B00B578">
            <w:pPr>
              <w:pStyle w:val="34"/>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中标候选人排序方法</w:t>
            </w:r>
          </w:p>
        </w:tc>
        <w:tc>
          <w:tcPr>
            <w:tcW w:w="4345" w:type="dxa"/>
            <w:vAlign w:val="center"/>
          </w:tcPr>
          <w:p w14:paraId="0AD363BB">
            <w:pPr>
              <w:keepNext w:val="0"/>
              <w:keepLines w:val="0"/>
              <w:pageBreakBefore w:val="0"/>
              <w:widowControl w:val="0"/>
              <w:kinsoku/>
              <w:wordWrap/>
              <w:overflowPunct/>
              <w:topLinePunct w:val="0"/>
              <w:autoSpaceDE/>
              <w:autoSpaceDN/>
              <w:bidi w:val="0"/>
              <w:adjustRightInd/>
              <w:snapToGrid/>
              <w:spacing w:line="276" w:lineRule="auto"/>
              <w:ind w:left="21" w:leftChars="10" w:right="21" w:rightChars="10"/>
              <w:jc w:val="left"/>
              <w:textAlignment w:val="auto"/>
              <w:rPr>
                <w:rFonts w:ascii="宋体" w:hAnsi="宋体"/>
                <w:color w:val="auto"/>
                <w:szCs w:val="21"/>
                <w:highlight w:val="none"/>
              </w:rPr>
            </w:pPr>
            <w:r>
              <w:rPr>
                <w:rFonts w:hint="eastAsia"/>
                <w:color w:val="auto"/>
                <w:highlight w:val="none"/>
              </w:rPr>
              <w:t>本次评标采用综合评标法。评标委员会对满足招标文件实质性要求的投标文件，按照本章规定的评分标准进行打分，并按得分由高到低顺序推荐前三名作为中标候选人，综合评分相等的，</w:t>
            </w:r>
            <w:r>
              <w:rPr>
                <w:color w:val="auto"/>
                <w:highlight w:val="none"/>
                <w:lang w:eastAsia="zh-CN"/>
              </w:rPr>
              <w:t>以投标报价低的优先</w:t>
            </w:r>
            <w:r>
              <w:rPr>
                <w:rFonts w:hint="eastAsia"/>
                <w:color w:val="auto"/>
                <w:highlight w:val="none"/>
                <w:lang w:eastAsia="zh-CN"/>
              </w:rPr>
              <w:t>；</w:t>
            </w:r>
            <w:r>
              <w:rPr>
                <w:rFonts w:hint="eastAsia"/>
                <w:color w:val="auto"/>
                <w:highlight w:val="none"/>
                <w:lang w:val="en-US" w:eastAsia="zh-CN"/>
              </w:rPr>
              <w:t>投标报价相同，</w:t>
            </w:r>
            <w:r>
              <w:rPr>
                <w:rFonts w:hint="eastAsia"/>
                <w:color w:val="auto"/>
                <w:highlight w:val="none"/>
              </w:rPr>
              <w:t>以设计方案得分高的优先；设计方案得分也相等的，以资信业绩得分高的优先；如果资信业绩得分也相等</w:t>
            </w:r>
            <w:r>
              <w:rPr>
                <w:rFonts w:hint="eastAsia" w:ascii="宋体" w:hAnsi="宋体" w:cs="宋体"/>
                <w:color w:val="auto"/>
                <w:szCs w:val="21"/>
                <w:highlight w:val="none"/>
                <w:lang w:bidi="ar"/>
              </w:rPr>
              <w:t>，</w:t>
            </w:r>
            <w:r>
              <w:rPr>
                <w:rFonts w:hint="eastAsia"/>
                <w:color w:val="auto"/>
                <w:highlight w:val="none"/>
              </w:rPr>
              <w:t>则由评委以投票方式进行表决，确定相等得分的中标候选人的排序（记名投票方式确定排序的具体操作步骤为：由评标委员会对出现该情况的投标人进行编号，然后通过记名投票方式依次确定投标人的排序。评标委员会各成员一人一票，得票最多且过半数的投标人优先）。</w:t>
            </w:r>
          </w:p>
        </w:tc>
      </w:tr>
      <w:tr w14:paraId="5E7A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exact"/>
        </w:trPr>
        <w:tc>
          <w:tcPr>
            <w:tcW w:w="628" w:type="dxa"/>
            <w:vMerge w:val="restart"/>
            <w:vAlign w:val="center"/>
          </w:tcPr>
          <w:p w14:paraId="12100D8A">
            <w:pPr>
              <w:pStyle w:val="34"/>
              <w:jc w:val="center"/>
              <w:rPr>
                <w:rFonts w:ascii="宋体" w:hAnsi="宋体" w:eastAsia="宋体"/>
                <w:color w:val="auto"/>
                <w:sz w:val="21"/>
                <w:szCs w:val="21"/>
                <w:highlight w:val="none"/>
                <w:lang w:eastAsia="zh-CN"/>
              </w:rPr>
            </w:pPr>
            <w:r>
              <w:rPr>
                <w:rFonts w:ascii="宋体" w:hAnsi="宋体" w:eastAsia="宋体"/>
                <w:color w:val="auto"/>
                <w:highlight w:val="none"/>
              </w:rPr>
              <w:t>2.1.</w:t>
            </w:r>
            <w:r>
              <w:rPr>
                <w:rFonts w:ascii="宋体" w:hAnsi="宋体" w:eastAsia="宋体"/>
                <w:color w:val="auto"/>
                <w:highlight w:val="none"/>
                <w:lang w:eastAsia="zh-CN"/>
              </w:rPr>
              <w:t>1</w:t>
            </w:r>
          </w:p>
        </w:tc>
        <w:tc>
          <w:tcPr>
            <w:tcW w:w="920" w:type="dxa"/>
            <w:vMerge w:val="restart"/>
            <w:vAlign w:val="center"/>
          </w:tcPr>
          <w:p w14:paraId="6ED2456E">
            <w:pPr>
              <w:pStyle w:val="34"/>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形式评审标准</w:t>
            </w:r>
          </w:p>
        </w:tc>
        <w:tc>
          <w:tcPr>
            <w:tcW w:w="2913" w:type="dxa"/>
            <w:vAlign w:val="center"/>
          </w:tcPr>
          <w:p w14:paraId="43DE5E43">
            <w:pPr>
              <w:pStyle w:val="34"/>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rPr>
              <w:t>投标人名称</w:t>
            </w:r>
          </w:p>
        </w:tc>
        <w:tc>
          <w:tcPr>
            <w:tcW w:w="4345" w:type="dxa"/>
            <w:vAlign w:val="center"/>
          </w:tcPr>
          <w:p w14:paraId="654AC20F">
            <w:pPr>
              <w:pStyle w:val="34"/>
              <w:keepNext w:val="0"/>
              <w:keepLines w:val="0"/>
              <w:pageBreakBefore w:val="0"/>
              <w:widowControl w:val="0"/>
              <w:kinsoku/>
              <w:wordWrap/>
              <w:overflowPunct/>
              <w:topLinePunct w:val="0"/>
              <w:autoSpaceDE/>
              <w:autoSpaceDN/>
              <w:bidi w:val="0"/>
              <w:adjustRightInd/>
              <w:snapToGrid/>
              <w:ind w:left="21" w:leftChars="10" w:right="21" w:rightChars="10"/>
              <w:jc w:val="left"/>
              <w:textAlignment w:val="auto"/>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与营业执照、资质证书一致</w:t>
            </w:r>
          </w:p>
        </w:tc>
      </w:tr>
      <w:tr w14:paraId="286E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628" w:type="dxa"/>
            <w:vMerge w:val="continue"/>
            <w:vAlign w:val="center"/>
          </w:tcPr>
          <w:p w14:paraId="147E0647">
            <w:pPr>
              <w:pStyle w:val="34"/>
              <w:jc w:val="center"/>
              <w:rPr>
                <w:rFonts w:ascii="宋体" w:hAnsi="宋体" w:eastAsia="宋体"/>
                <w:color w:val="auto"/>
                <w:sz w:val="21"/>
                <w:szCs w:val="21"/>
                <w:highlight w:val="none"/>
                <w:lang w:eastAsia="zh-CN"/>
              </w:rPr>
            </w:pPr>
          </w:p>
        </w:tc>
        <w:tc>
          <w:tcPr>
            <w:tcW w:w="920" w:type="dxa"/>
            <w:vMerge w:val="continue"/>
            <w:vAlign w:val="center"/>
          </w:tcPr>
          <w:p w14:paraId="58F86B8D">
            <w:pPr>
              <w:pStyle w:val="34"/>
              <w:jc w:val="center"/>
              <w:rPr>
                <w:rFonts w:ascii="宋体" w:hAnsi="宋体" w:eastAsia="宋体" w:cs="宋体"/>
                <w:color w:val="auto"/>
                <w:sz w:val="21"/>
                <w:szCs w:val="21"/>
                <w:highlight w:val="none"/>
                <w:lang w:eastAsia="zh-CN"/>
              </w:rPr>
            </w:pPr>
          </w:p>
        </w:tc>
        <w:tc>
          <w:tcPr>
            <w:tcW w:w="2913" w:type="dxa"/>
            <w:vAlign w:val="center"/>
          </w:tcPr>
          <w:p w14:paraId="57B04FB6">
            <w:pPr>
              <w:pStyle w:val="34"/>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投标书及投标书附录签字盖章</w:t>
            </w:r>
          </w:p>
        </w:tc>
        <w:tc>
          <w:tcPr>
            <w:tcW w:w="4345" w:type="dxa"/>
            <w:vAlign w:val="center"/>
          </w:tcPr>
          <w:p w14:paraId="13289060">
            <w:pPr>
              <w:pStyle w:val="34"/>
              <w:keepNext w:val="0"/>
              <w:keepLines w:val="0"/>
              <w:pageBreakBefore w:val="0"/>
              <w:widowControl w:val="0"/>
              <w:kinsoku/>
              <w:wordWrap/>
              <w:overflowPunct/>
              <w:topLinePunct w:val="0"/>
              <w:autoSpaceDE/>
              <w:autoSpaceDN/>
              <w:bidi w:val="0"/>
              <w:adjustRightInd/>
              <w:snapToGrid/>
              <w:ind w:left="21" w:leftChars="10" w:right="21" w:rightChars="10"/>
              <w:jc w:val="left"/>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有法定代表人或被授权人签字或盖章，及加盖单位</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lang w:eastAsia="zh-CN"/>
              </w:rPr>
              <w:t>章</w:t>
            </w:r>
          </w:p>
        </w:tc>
      </w:tr>
      <w:tr w14:paraId="46EB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trPr>
        <w:tc>
          <w:tcPr>
            <w:tcW w:w="628" w:type="dxa"/>
            <w:vMerge w:val="continue"/>
            <w:vAlign w:val="center"/>
          </w:tcPr>
          <w:p w14:paraId="3DB9AB38">
            <w:pPr>
              <w:pStyle w:val="34"/>
              <w:jc w:val="center"/>
              <w:rPr>
                <w:rFonts w:ascii="宋体" w:hAnsi="宋体" w:eastAsia="宋体"/>
                <w:color w:val="auto"/>
                <w:sz w:val="21"/>
                <w:szCs w:val="21"/>
                <w:highlight w:val="none"/>
                <w:lang w:eastAsia="zh-CN"/>
              </w:rPr>
            </w:pPr>
          </w:p>
        </w:tc>
        <w:tc>
          <w:tcPr>
            <w:tcW w:w="920" w:type="dxa"/>
            <w:vMerge w:val="continue"/>
            <w:vAlign w:val="center"/>
          </w:tcPr>
          <w:p w14:paraId="162286D5">
            <w:pPr>
              <w:pStyle w:val="34"/>
              <w:jc w:val="center"/>
              <w:rPr>
                <w:rFonts w:ascii="宋体" w:hAnsi="宋体" w:eastAsia="宋体" w:cs="宋体"/>
                <w:color w:val="auto"/>
                <w:sz w:val="21"/>
                <w:szCs w:val="21"/>
                <w:highlight w:val="none"/>
                <w:lang w:eastAsia="zh-CN"/>
              </w:rPr>
            </w:pPr>
          </w:p>
        </w:tc>
        <w:tc>
          <w:tcPr>
            <w:tcW w:w="2913" w:type="dxa"/>
            <w:vAlign w:val="center"/>
          </w:tcPr>
          <w:p w14:paraId="03E191D1">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4345" w:type="dxa"/>
            <w:vAlign w:val="center"/>
          </w:tcPr>
          <w:p w14:paraId="386FECE0">
            <w:pPr>
              <w:pStyle w:val="34"/>
              <w:keepNext w:val="0"/>
              <w:keepLines w:val="0"/>
              <w:pageBreakBefore w:val="0"/>
              <w:widowControl w:val="0"/>
              <w:kinsoku/>
              <w:wordWrap/>
              <w:overflowPunct/>
              <w:topLinePunct w:val="0"/>
              <w:autoSpaceDE/>
              <w:autoSpaceDN/>
              <w:bidi w:val="0"/>
              <w:adjustRightInd/>
              <w:snapToGrid/>
              <w:ind w:left="21" w:leftChars="10" w:right="21" w:rightChars="10"/>
              <w:jc w:val="left"/>
              <w:textAlignment w:val="auto"/>
              <w:rPr>
                <w:rFonts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eastAsia="zh-CN"/>
              </w:rPr>
              <w:t>按招标文件第六章编制投标文件（指格式一、格式四、格式五）</w:t>
            </w:r>
          </w:p>
        </w:tc>
      </w:tr>
      <w:tr w14:paraId="1CF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exact"/>
        </w:trPr>
        <w:tc>
          <w:tcPr>
            <w:tcW w:w="628" w:type="dxa"/>
            <w:vMerge w:val="continue"/>
            <w:vAlign w:val="center"/>
          </w:tcPr>
          <w:p w14:paraId="074F3C79">
            <w:pPr>
              <w:pStyle w:val="34"/>
              <w:jc w:val="center"/>
              <w:rPr>
                <w:rFonts w:ascii="宋体" w:hAnsi="宋体" w:eastAsia="宋体"/>
                <w:color w:val="auto"/>
                <w:sz w:val="21"/>
                <w:szCs w:val="21"/>
                <w:highlight w:val="none"/>
                <w:lang w:eastAsia="zh-CN"/>
              </w:rPr>
            </w:pPr>
          </w:p>
        </w:tc>
        <w:tc>
          <w:tcPr>
            <w:tcW w:w="920" w:type="dxa"/>
            <w:vMerge w:val="continue"/>
            <w:vAlign w:val="center"/>
          </w:tcPr>
          <w:p w14:paraId="65C16216">
            <w:pPr>
              <w:pStyle w:val="34"/>
              <w:jc w:val="center"/>
              <w:rPr>
                <w:rFonts w:ascii="宋体" w:hAnsi="宋体" w:eastAsia="宋体" w:cs="宋体"/>
                <w:color w:val="auto"/>
                <w:sz w:val="21"/>
                <w:szCs w:val="21"/>
                <w:highlight w:val="none"/>
                <w:lang w:eastAsia="zh-CN"/>
              </w:rPr>
            </w:pPr>
          </w:p>
        </w:tc>
        <w:tc>
          <w:tcPr>
            <w:tcW w:w="2913" w:type="dxa"/>
            <w:vAlign w:val="center"/>
          </w:tcPr>
          <w:p w14:paraId="6E25AF9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投标书</w:t>
            </w:r>
          </w:p>
        </w:tc>
        <w:tc>
          <w:tcPr>
            <w:tcW w:w="4345" w:type="dxa"/>
            <w:vAlign w:val="center"/>
          </w:tcPr>
          <w:p w14:paraId="2CE17C14">
            <w:pPr>
              <w:keepNext w:val="0"/>
              <w:keepLines w:val="0"/>
              <w:pageBreakBefore w:val="0"/>
              <w:widowControl w:val="0"/>
              <w:kinsoku/>
              <w:wordWrap/>
              <w:overflowPunct/>
              <w:topLinePunct w:val="0"/>
              <w:autoSpaceDE/>
              <w:autoSpaceDN/>
              <w:bidi w:val="0"/>
              <w:adjustRightInd/>
              <w:snapToGrid/>
              <w:spacing w:line="400" w:lineRule="exact"/>
              <w:ind w:left="21" w:leftChars="10" w:right="21" w:rightChars="10"/>
              <w:jc w:val="left"/>
              <w:textAlignment w:val="auto"/>
              <w:rPr>
                <w:rFonts w:ascii="宋体" w:hAnsi="宋体" w:cs="宋体"/>
                <w:color w:val="auto"/>
                <w:szCs w:val="21"/>
                <w:highlight w:val="none"/>
              </w:rPr>
            </w:pPr>
            <w:r>
              <w:rPr>
                <w:rFonts w:hint="eastAsia" w:ascii="宋体" w:hAnsi="宋体" w:cs="宋体"/>
                <w:color w:val="auto"/>
                <w:szCs w:val="21"/>
                <w:highlight w:val="none"/>
              </w:rPr>
              <w:t>《投标书》按招标文件规定的格式填写，没有出现内容不全或者关键字迹模糊无法辨认</w:t>
            </w:r>
          </w:p>
        </w:tc>
      </w:tr>
      <w:tr w14:paraId="56C6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exact"/>
        </w:trPr>
        <w:tc>
          <w:tcPr>
            <w:tcW w:w="628" w:type="dxa"/>
            <w:vMerge w:val="continue"/>
            <w:vAlign w:val="center"/>
          </w:tcPr>
          <w:p w14:paraId="4D416644">
            <w:pPr>
              <w:pStyle w:val="34"/>
              <w:jc w:val="center"/>
              <w:rPr>
                <w:rFonts w:ascii="宋体" w:hAnsi="宋体" w:eastAsia="宋体"/>
                <w:color w:val="auto"/>
                <w:sz w:val="21"/>
                <w:szCs w:val="21"/>
                <w:highlight w:val="none"/>
                <w:lang w:eastAsia="zh-CN"/>
              </w:rPr>
            </w:pPr>
          </w:p>
        </w:tc>
        <w:tc>
          <w:tcPr>
            <w:tcW w:w="920" w:type="dxa"/>
            <w:vMerge w:val="continue"/>
            <w:vAlign w:val="center"/>
          </w:tcPr>
          <w:p w14:paraId="40C5013A">
            <w:pPr>
              <w:pStyle w:val="34"/>
              <w:jc w:val="center"/>
              <w:rPr>
                <w:rFonts w:ascii="宋体" w:hAnsi="宋体" w:eastAsia="宋体" w:cs="宋体"/>
                <w:color w:val="auto"/>
                <w:sz w:val="21"/>
                <w:szCs w:val="21"/>
                <w:highlight w:val="none"/>
                <w:lang w:eastAsia="zh-CN"/>
              </w:rPr>
            </w:pPr>
          </w:p>
        </w:tc>
        <w:tc>
          <w:tcPr>
            <w:tcW w:w="2913" w:type="dxa"/>
            <w:vAlign w:val="center"/>
          </w:tcPr>
          <w:p w14:paraId="3AA2FB3F">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备选投标方案</w:t>
            </w:r>
          </w:p>
        </w:tc>
        <w:tc>
          <w:tcPr>
            <w:tcW w:w="4345" w:type="dxa"/>
            <w:vAlign w:val="center"/>
          </w:tcPr>
          <w:p w14:paraId="3914A93A">
            <w:pPr>
              <w:keepNext w:val="0"/>
              <w:keepLines w:val="0"/>
              <w:pageBreakBefore w:val="0"/>
              <w:widowControl w:val="0"/>
              <w:kinsoku/>
              <w:wordWrap/>
              <w:overflowPunct/>
              <w:topLinePunct w:val="0"/>
              <w:autoSpaceDE/>
              <w:autoSpaceDN/>
              <w:bidi w:val="0"/>
              <w:adjustRightInd/>
              <w:snapToGrid/>
              <w:spacing w:line="400" w:lineRule="exact"/>
              <w:ind w:left="21" w:leftChars="10" w:right="21" w:rightChars="10"/>
              <w:jc w:val="left"/>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Cs w:val="21"/>
                <w:highlight w:val="none"/>
                <w:lang w:eastAsia="zh-CN"/>
              </w:rPr>
              <w:t>不允许提交备选投标方案</w:t>
            </w:r>
          </w:p>
        </w:tc>
      </w:tr>
      <w:tr w14:paraId="2AA5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exact"/>
        </w:trPr>
        <w:tc>
          <w:tcPr>
            <w:tcW w:w="628" w:type="dxa"/>
            <w:vMerge w:val="continue"/>
            <w:vAlign w:val="center"/>
          </w:tcPr>
          <w:p w14:paraId="16DAC7E6">
            <w:pPr>
              <w:pStyle w:val="34"/>
              <w:jc w:val="center"/>
              <w:rPr>
                <w:rFonts w:ascii="宋体" w:hAnsi="宋体" w:eastAsia="宋体"/>
                <w:color w:val="auto"/>
                <w:sz w:val="21"/>
                <w:szCs w:val="21"/>
                <w:highlight w:val="none"/>
                <w:lang w:eastAsia="zh-CN"/>
              </w:rPr>
            </w:pPr>
          </w:p>
        </w:tc>
        <w:tc>
          <w:tcPr>
            <w:tcW w:w="920" w:type="dxa"/>
            <w:vMerge w:val="continue"/>
            <w:vAlign w:val="center"/>
          </w:tcPr>
          <w:p w14:paraId="4942858A">
            <w:pPr>
              <w:pStyle w:val="34"/>
              <w:jc w:val="center"/>
              <w:rPr>
                <w:rFonts w:ascii="宋体" w:hAnsi="宋体" w:eastAsia="宋体" w:cs="宋体"/>
                <w:color w:val="auto"/>
                <w:sz w:val="21"/>
                <w:szCs w:val="21"/>
                <w:highlight w:val="none"/>
                <w:lang w:eastAsia="zh-CN"/>
              </w:rPr>
            </w:pPr>
          </w:p>
        </w:tc>
        <w:tc>
          <w:tcPr>
            <w:tcW w:w="2913" w:type="dxa"/>
            <w:vAlign w:val="center"/>
          </w:tcPr>
          <w:p w14:paraId="3A9C01A8">
            <w:pPr>
              <w:pStyle w:val="34"/>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投标人机器码</w:t>
            </w:r>
          </w:p>
        </w:tc>
        <w:tc>
          <w:tcPr>
            <w:tcW w:w="4345" w:type="dxa"/>
            <w:vAlign w:val="center"/>
          </w:tcPr>
          <w:p w14:paraId="57B4A240">
            <w:pPr>
              <w:pStyle w:val="34"/>
              <w:keepNext w:val="0"/>
              <w:keepLines w:val="0"/>
              <w:pageBreakBefore w:val="0"/>
              <w:widowControl w:val="0"/>
              <w:kinsoku/>
              <w:wordWrap/>
              <w:overflowPunct/>
              <w:topLinePunct w:val="0"/>
              <w:autoSpaceDE/>
              <w:autoSpaceDN/>
              <w:bidi w:val="0"/>
              <w:adjustRightInd/>
              <w:snapToGrid/>
              <w:ind w:left="21" w:leftChars="10" w:right="21" w:rightChars="10"/>
              <w:jc w:val="left"/>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投标人与</w:t>
            </w:r>
            <w:r>
              <w:rPr>
                <w:rFonts w:hint="eastAsia" w:ascii="宋体" w:hAnsi="宋体" w:eastAsia="宋体" w:cs="宋体"/>
                <w:color w:val="auto"/>
                <w:sz w:val="21"/>
                <w:szCs w:val="21"/>
                <w:highlight w:val="none"/>
                <w:u w:val="single"/>
                <w:lang w:eastAsia="zh-CN"/>
              </w:rPr>
              <w:t>本项目</w:t>
            </w:r>
            <w:r>
              <w:rPr>
                <w:rFonts w:hint="eastAsia" w:ascii="宋体" w:hAnsi="宋体" w:eastAsia="宋体" w:cs="宋体"/>
                <w:color w:val="auto"/>
                <w:sz w:val="21"/>
                <w:szCs w:val="21"/>
                <w:highlight w:val="none"/>
                <w:lang w:eastAsia="zh-CN"/>
              </w:rPr>
              <w:t>其他投标人加密打包投标文件电脑机器特征码一致的（以广州公共资源交易中心评标系统的检索信息为准），其投标将被否决</w:t>
            </w:r>
          </w:p>
        </w:tc>
      </w:tr>
      <w:tr w14:paraId="3308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exact"/>
        </w:trPr>
        <w:tc>
          <w:tcPr>
            <w:tcW w:w="628" w:type="dxa"/>
            <w:vAlign w:val="center"/>
          </w:tcPr>
          <w:p w14:paraId="1540229E">
            <w:pPr>
              <w:pStyle w:val="34"/>
              <w:jc w:val="center"/>
              <w:rPr>
                <w:rFonts w:ascii="宋体" w:hAnsi="宋体" w:eastAsia="宋体"/>
                <w:color w:val="auto"/>
                <w:sz w:val="21"/>
                <w:szCs w:val="21"/>
                <w:highlight w:val="none"/>
                <w:lang w:eastAsia="zh-CN"/>
              </w:rPr>
            </w:pPr>
            <w:r>
              <w:rPr>
                <w:rFonts w:ascii="宋体" w:hAnsi="宋体" w:eastAsia="宋体"/>
                <w:color w:val="auto"/>
                <w:sz w:val="21"/>
                <w:szCs w:val="21"/>
                <w:highlight w:val="none"/>
              </w:rPr>
              <w:t>2.1.</w:t>
            </w:r>
            <w:r>
              <w:rPr>
                <w:rFonts w:ascii="宋体" w:hAnsi="宋体" w:eastAsia="宋体"/>
                <w:color w:val="auto"/>
                <w:sz w:val="21"/>
                <w:szCs w:val="21"/>
                <w:highlight w:val="none"/>
                <w:lang w:eastAsia="zh-CN"/>
              </w:rPr>
              <w:t>2</w:t>
            </w:r>
          </w:p>
        </w:tc>
        <w:tc>
          <w:tcPr>
            <w:tcW w:w="920" w:type="dxa"/>
            <w:vAlign w:val="center"/>
          </w:tcPr>
          <w:p w14:paraId="3C51FCCD">
            <w:pPr>
              <w:pStyle w:val="34"/>
              <w:jc w:val="center"/>
              <w:rPr>
                <w:rFonts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资格评审</w:t>
            </w:r>
            <w:r>
              <w:rPr>
                <w:rFonts w:hint="eastAsia" w:ascii="宋体" w:hAnsi="宋体" w:eastAsia="宋体" w:cs="宋体"/>
                <w:color w:val="auto"/>
                <w:sz w:val="21"/>
                <w:szCs w:val="21"/>
                <w:highlight w:val="none"/>
                <w:lang w:eastAsia="zh-CN"/>
              </w:rPr>
              <w:t>标准</w:t>
            </w:r>
          </w:p>
        </w:tc>
        <w:tc>
          <w:tcPr>
            <w:tcW w:w="2913" w:type="dxa"/>
            <w:vAlign w:val="center"/>
          </w:tcPr>
          <w:p w14:paraId="4197258D">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资格审查表</w:t>
            </w:r>
          </w:p>
        </w:tc>
        <w:tc>
          <w:tcPr>
            <w:tcW w:w="4345" w:type="dxa"/>
            <w:vAlign w:val="center"/>
          </w:tcPr>
          <w:p w14:paraId="37026CFE">
            <w:pPr>
              <w:pStyle w:val="34"/>
              <w:keepNext w:val="0"/>
              <w:keepLines w:val="0"/>
              <w:pageBreakBefore w:val="0"/>
              <w:widowControl w:val="0"/>
              <w:kinsoku/>
              <w:wordWrap/>
              <w:overflowPunct/>
              <w:topLinePunct w:val="0"/>
              <w:autoSpaceDE/>
              <w:autoSpaceDN/>
              <w:bidi w:val="0"/>
              <w:adjustRightInd/>
              <w:snapToGrid/>
              <w:ind w:left="21" w:leftChars="10" w:right="21" w:rightChars="10"/>
              <w:jc w:val="left"/>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详见</w:t>
            </w:r>
            <w:r>
              <w:rPr>
                <w:rFonts w:hint="eastAsia" w:ascii="宋体" w:hAnsi="宋体" w:eastAsia="宋体" w:cs="宋体"/>
                <w:color w:val="auto"/>
                <w:sz w:val="21"/>
                <w:szCs w:val="21"/>
                <w:highlight w:val="none"/>
              </w:rPr>
              <w:t>附件二</w:t>
            </w:r>
          </w:p>
        </w:tc>
      </w:tr>
      <w:tr w14:paraId="14C7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exact"/>
        </w:trPr>
        <w:tc>
          <w:tcPr>
            <w:tcW w:w="628" w:type="dxa"/>
            <w:vMerge w:val="restart"/>
            <w:vAlign w:val="center"/>
          </w:tcPr>
          <w:p w14:paraId="0E190284">
            <w:pPr>
              <w:pStyle w:val="34"/>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eastAsia="zh-CN"/>
              </w:rPr>
              <w:t>2.1.</w:t>
            </w:r>
            <w:r>
              <w:rPr>
                <w:rFonts w:ascii="宋体" w:hAnsi="宋体" w:eastAsia="宋体"/>
                <w:color w:val="auto"/>
                <w:sz w:val="21"/>
                <w:szCs w:val="21"/>
                <w:highlight w:val="none"/>
                <w:lang w:eastAsia="zh-CN"/>
              </w:rPr>
              <w:t>3</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1）</w:t>
            </w:r>
          </w:p>
        </w:tc>
        <w:tc>
          <w:tcPr>
            <w:tcW w:w="920" w:type="dxa"/>
            <w:vMerge w:val="restart"/>
            <w:vAlign w:val="center"/>
          </w:tcPr>
          <w:p w14:paraId="3DD1ECAE">
            <w:pPr>
              <w:pStyle w:val="34"/>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商务文件</w:t>
            </w:r>
            <w:r>
              <w:rPr>
                <w:rFonts w:hint="eastAsia" w:ascii="宋体" w:hAnsi="宋体" w:eastAsia="宋体" w:cs="宋体"/>
                <w:color w:val="auto"/>
                <w:sz w:val="21"/>
                <w:szCs w:val="21"/>
                <w:highlight w:val="none"/>
                <w:lang w:eastAsia="zh-CN"/>
              </w:rPr>
              <w:t>响应性评审标准</w:t>
            </w:r>
          </w:p>
        </w:tc>
        <w:tc>
          <w:tcPr>
            <w:tcW w:w="2913" w:type="dxa"/>
            <w:vAlign w:val="center"/>
          </w:tcPr>
          <w:p w14:paraId="617F3218">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4345" w:type="dxa"/>
            <w:vAlign w:val="center"/>
          </w:tcPr>
          <w:p w14:paraId="642A91C6">
            <w:pPr>
              <w:pStyle w:val="34"/>
              <w:keepNext w:val="0"/>
              <w:keepLines w:val="0"/>
              <w:pageBreakBefore w:val="0"/>
              <w:widowControl w:val="0"/>
              <w:kinsoku/>
              <w:wordWrap/>
              <w:overflowPunct/>
              <w:topLinePunct w:val="0"/>
              <w:autoSpaceDE/>
              <w:autoSpaceDN/>
              <w:bidi w:val="0"/>
              <w:adjustRightInd/>
              <w:snapToGrid/>
              <w:ind w:left="21" w:leftChars="10" w:right="21" w:rightChars="10"/>
              <w:jc w:val="left"/>
              <w:textAlignment w:val="auto"/>
              <w:rPr>
                <w:rFonts w:ascii="宋体" w:hAnsi="宋体" w:eastAsia="宋体" w:cs="宋体"/>
                <w:color w:val="auto"/>
                <w:sz w:val="21"/>
                <w:szCs w:val="21"/>
                <w:highlight w:val="none"/>
                <w:lang w:eastAsia="zh-CN"/>
              </w:rPr>
            </w:pPr>
            <w:r>
              <w:rPr>
                <w:rFonts w:ascii="Calibri" w:hAnsi="Calibri" w:eastAsia="宋体"/>
                <w:color w:val="auto"/>
                <w:kern w:val="2"/>
                <w:sz w:val="21"/>
                <w:highlight w:val="none"/>
                <w:lang w:eastAsia="zh-CN"/>
              </w:rPr>
              <w:t>符合第二章</w:t>
            </w:r>
            <w:r>
              <w:rPr>
                <w:rFonts w:hint="eastAsia" w:ascii="Calibri" w:hAnsi="Calibri" w:eastAsia="宋体"/>
                <w:color w:val="auto"/>
                <w:kern w:val="2"/>
                <w:sz w:val="21"/>
                <w:highlight w:val="none"/>
                <w:lang w:eastAsia="zh-CN"/>
              </w:rPr>
              <w:t>“</w:t>
            </w:r>
            <w:r>
              <w:rPr>
                <w:rFonts w:ascii="Calibri" w:hAnsi="Calibri" w:eastAsia="宋体"/>
                <w:color w:val="auto"/>
                <w:kern w:val="2"/>
                <w:sz w:val="21"/>
                <w:highlight w:val="none"/>
                <w:lang w:eastAsia="zh-CN"/>
              </w:rPr>
              <w:t>投标人须</w:t>
            </w:r>
            <w:r>
              <w:rPr>
                <w:rFonts w:hint="eastAsia" w:ascii="宋体" w:hAnsi="宋体" w:eastAsia="宋体" w:cs="宋体"/>
                <w:color w:val="auto"/>
                <w:kern w:val="2"/>
                <w:sz w:val="21"/>
                <w:highlight w:val="none"/>
                <w:lang w:eastAsia="zh-CN"/>
              </w:rPr>
              <w:t>知”第3.2款规</w:t>
            </w:r>
            <w:r>
              <w:rPr>
                <w:rFonts w:ascii="Calibri" w:hAnsi="Calibri" w:eastAsia="宋体"/>
                <w:color w:val="auto"/>
                <w:kern w:val="2"/>
                <w:sz w:val="21"/>
                <w:highlight w:val="none"/>
                <w:lang w:eastAsia="zh-CN"/>
              </w:rPr>
              <w:t>定</w:t>
            </w:r>
          </w:p>
        </w:tc>
      </w:tr>
      <w:tr w14:paraId="261B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exact"/>
        </w:trPr>
        <w:tc>
          <w:tcPr>
            <w:tcW w:w="628" w:type="dxa"/>
            <w:vMerge w:val="continue"/>
            <w:vAlign w:val="center"/>
          </w:tcPr>
          <w:p w14:paraId="0928ADAD">
            <w:pPr>
              <w:pStyle w:val="34"/>
              <w:jc w:val="center"/>
              <w:rPr>
                <w:rFonts w:ascii="宋体" w:hAnsi="宋体" w:eastAsia="宋体"/>
                <w:color w:val="auto"/>
                <w:sz w:val="21"/>
                <w:szCs w:val="21"/>
                <w:highlight w:val="none"/>
                <w:lang w:eastAsia="zh-CN"/>
              </w:rPr>
            </w:pPr>
          </w:p>
        </w:tc>
        <w:tc>
          <w:tcPr>
            <w:tcW w:w="920" w:type="dxa"/>
            <w:vMerge w:val="continue"/>
            <w:vAlign w:val="center"/>
          </w:tcPr>
          <w:p w14:paraId="63509833">
            <w:pPr>
              <w:pStyle w:val="34"/>
              <w:jc w:val="center"/>
              <w:rPr>
                <w:rFonts w:ascii="宋体" w:hAnsi="宋体" w:eastAsia="宋体" w:cs="宋体"/>
                <w:color w:val="auto"/>
                <w:sz w:val="21"/>
                <w:szCs w:val="21"/>
                <w:highlight w:val="none"/>
                <w:lang w:eastAsia="zh-CN"/>
              </w:rPr>
            </w:pPr>
          </w:p>
        </w:tc>
        <w:tc>
          <w:tcPr>
            <w:tcW w:w="2913" w:type="dxa"/>
            <w:vAlign w:val="center"/>
          </w:tcPr>
          <w:p w14:paraId="1B9B2A81">
            <w:pPr>
              <w:pStyle w:val="34"/>
              <w:jc w:val="center"/>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设计</w:t>
            </w:r>
            <w:r>
              <w:rPr>
                <w:rFonts w:hint="eastAsia" w:ascii="宋体" w:hAnsi="宋体" w:eastAsia="宋体" w:cs="宋体"/>
                <w:color w:val="auto"/>
                <w:spacing w:val="-1"/>
                <w:sz w:val="21"/>
                <w:szCs w:val="21"/>
                <w:highlight w:val="none"/>
              </w:rPr>
              <w:t>服务期限</w:t>
            </w:r>
          </w:p>
        </w:tc>
        <w:tc>
          <w:tcPr>
            <w:tcW w:w="4345" w:type="dxa"/>
            <w:vAlign w:val="center"/>
          </w:tcPr>
          <w:p w14:paraId="1E469116">
            <w:pPr>
              <w:pStyle w:val="34"/>
              <w:keepNext w:val="0"/>
              <w:keepLines w:val="0"/>
              <w:pageBreakBefore w:val="0"/>
              <w:widowControl w:val="0"/>
              <w:kinsoku/>
              <w:wordWrap/>
              <w:overflowPunct/>
              <w:topLinePunct w:val="0"/>
              <w:autoSpaceDE/>
              <w:autoSpaceDN/>
              <w:bidi w:val="0"/>
              <w:adjustRightInd/>
              <w:snapToGrid/>
              <w:ind w:left="21" w:leftChars="10" w:right="21" w:rightChars="10"/>
              <w:jc w:val="left"/>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符合第二章“投标人须知”第 1.3.2 项规定</w:t>
            </w:r>
          </w:p>
        </w:tc>
      </w:tr>
      <w:tr w14:paraId="39F0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exact"/>
        </w:trPr>
        <w:tc>
          <w:tcPr>
            <w:tcW w:w="628" w:type="dxa"/>
            <w:vMerge w:val="continue"/>
            <w:vAlign w:val="center"/>
          </w:tcPr>
          <w:p w14:paraId="32237FC6">
            <w:pPr>
              <w:pStyle w:val="34"/>
              <w:jc w:val="center"/>
              <w:rPr>
                <w:rFonts w:ascii="宋体" w:hAnsi="宋体" w:eastAsia="宋体"/>
                <w:color w:val="auto"/>
                <w:sz w:val="21"/>
                <w:szCs w:val="21"/>
                <w:highlight w:val="none"/>
                <w:lang w:eastAsia="zh-CN"/>
              </w:rPr>
            </w:pPr>
          </w:p>
        </w:tc>
        <w:tc>
          <w:tcPr>
            <w:tcW w:w="920" w:type="dxa"/>
            <w:vMerge w:val="continue"/>
            <w:vAlign w:val="center"/>
          </w:tcPr>
          <w:p w14:paraId="75D94B34">
            <w:pPr>
              <w:pStyle w:val="34"/>
              <w:jc w:val="center"/>
              <w:rPr>
                <w:rFonts w:ascii="宋体" w:hAnsi="宋体" w:eastAsia="宋体" w:cs="宋体"/>
                <w:color w:val="auto"/>
                <w:sz w:val="21"/>
                <w:szCs w:val="21"/>
                <w:highlight w:val="none"/>
                <w:lang w:eastAsia="zh-CN"/>
              </w:rPr>
            </w:pPr>
          </w:p>
        </w:tc>
        <w:tc>
          <w:tcPr>
            <w:tcW w:w="2913" w:type="dxa"/>
            <w:vAlign w:val="center"/>
          </w:tcPr>
          <w:p w14:paraId="231E5D58">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4345" w:type="dxa"/>
            <w:vAlign w:val="center"/>
          </w:tcPr>
          <w:p w14:paraId="4B5D9093">
            <w:pPr>
              <w:pStyle w:val="34"/>
              <w:keepNext w:val="0"/>
              <w:keepLines w:val="0"/>
              <w:pageBreakBefore w:val="0"/>
              <w:widowControl w:val="0"/>
              <w:kinsoku/>
              <w:wordWrap/>
              <w:overflowPunct/>
              <w:topLinePunct w:val="0"/>
              <w:autoSpaceDE/>
              <w:autoSpaceDN/>
              <w:bidi w:val="0"/>
              <w:adjustRightInd/>
              <w:snapToGrid/>
              <w:ind w:left="21" w:leftChars="10" w:right="21" w:rightChars="10"/>
              <w:jc w:val="left"/>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符合第二章“投标人须知”第1.3.3项规定</w:t>
            </w:r>
          </w:p>
        </w:tc>
      </w:tr>
      <w:tr w14:paraId="2DEE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exact"/>
        </w:trPr>
        <w:tc>
          <w:tcPr>
            <w:tcW w:w="628" w:type="dxa"/>
            <w:vMerge w:val="continue"/>
            <w:vAlign w:val="center"/>
          </w:tcPr>
          <w:p w14:paraId="280D86A0">
            <w:pPr>
              <w:pStyle w:val="34"/>
              <w:jc w:val="center"/>
              <w:rPr>
                <w:rFonts w:ascii="宋体" w:hAnsi="宋体" w:eastAsia="宋体"/>
                <w:color w:val="auto"/>
                <w:sz w:val="21"/>
                <w:szCs w:val="21"/>
                <w:highlight w:val="none"/>
                <w:lang w:eastAsia="zh-CN"/>
              </w:rPr>
            </w:pPr>
          </w:p>
        </w:tc>
        <w:tc>
          <w:tcPr>
            <w:tcW w:w="920" w:type="dxa"/>
            <w:vMerge w:val="continue"/>
            <w:vAlign w:val="center"/>
          </w:tcPr>
          <w:p w14:paraId="4A51050F">
            <w:pPr>
              <w:pStyle w:val="34"/>
              <w:jc w:val="center"/>
              <w:rPr>
                <w:rFonts w:ascii="宋体" w:hAnsi="宋体" w:eastAsia="宋体" w:cs="宋体"/>
                <w:color w:val="auto"/>
                <w:sz w:val="21"/>
                <w:szCs w:val="21"/>
                <w:highlight w:val="none"/>
                <w:lang w:eastAsia="zh-CN"/>
              </w:rPr>
            </w:pPr>
          </w:p>
        </w:tc>
        <w:tc>
          <w:tcPr>
            <w:tcW w:w="2913" w:type="dxa"/>
            <w:vAlign w:val="center"/>
          </w:tcPr>
          <w:p w14:paraId="36BA385E">
            <w:pPr>
              <w:pStyle w:val="3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4345" w:type="dxa"/>
            <w:vAlign w:val="center"/>
          </w:tcPr>
          <w:p w14:paraId="1DFB0E76">
            <w:pPr>
              <w:pStyle w:val="34"/>
              <w:keepNext w:val="0"/>
              <w:keepLines w:val="0"/>
              <w:pageBreakBefore w:val="0"/>
              <w:widowControl w:val="0"/>
              <w:kinsoku/>
              <w:wordWrap/>
              <w:overflowPunct/>
              <w:topLinePunct w:val="0"/>
              <w:autoSpaceDE/>
              <w:autoSpaceDN/>
              <w:bidi w:val="0"/>
              <w:adjustRightInd/>
              <w:snapToGrid/>
              <w:ind w:left="21" w:leftChars="10" w:right="21" w:rightChars="10"/>
              <w:jc w:val="left"/>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符合第二章“投标人须知”第3.3.1项规定</w:t>
            </w:r>
          </w:p>
        </w:tc>
      </w:tr>
      <w:tr w14:paraId="572C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trPr>
        <w:tc>
          <w:tcPr>
            <w:tcW w:w="628" w:type="dxa"/>
            <w:vMerge w:val="continue"/>
            <w:vAlign w:val="center"/>
          </w:tcPr>
          <w:p w14:paraId="79C887C2">
            <w:pPr>
              <w:pStyle w:val="34"/>
              <w:jc w:val="center"/>
              <w:rPr>
                <w:rFonts w:ascii="宋体" w:hAnsi="宋体" w:eastAsia="宋体"/>
                <w:color w:val="auto"/>
                <w:sz w:val="21"/>
                <w:szCs w:val="21"/>
                <w:highlight w:val="none"/>
                <w:lang w:eastAsia="zh-CN"/>
              </w:rPr>
            </w:pPr>
          </w:p>
        </w:tc>
        <w:tc>
          <w:tcPr>
            <w:tcW w:w="920" w:type="dxa"/>
            <w:vMerge w:val="continue"/>
            <w:vAlign w:val="center"/>
          </w:tcPr>
          <w:p w14:paraId="47C4413B">
            <w:pPr>
              <w:pStyle w:val="34"/>
              <w:jc w:val="center"/>
              <w:rPr>
                <w:rFonts w:ascii="宋体" w:hAnsi="宋体" w:eastAsia="宋体" w:cs="宋体"/>
                <w:color w:val="auto"/>
                <w:sz w:val="21"/>
                <w:szCs w:val="21"/>
                <w:highlight w:val="none"/>
                <w:lang w:eastAsia="zh-CN"/>
              </w:rPr>
            </w:pPr>
          </w:p>
        </w:tc>
        <w:tc>
          <w:tcPr>
            <w:tcW w:w="2913" w:type="dxa"/>
            <w:vAlign w:val="center"/>
          </w:tcPr>
          <w:p w14:paraId="62045517">
            <w:pPr>
              <w:jc w:val="center"/>
              <w:rPr>
                <w:rFonts w:ascii="宋体" w:hAnsi="宋体" w:eastAsia="宋体" w:cs="宋体"/>
                <w:color w:val="auto"/>
                <w:sz w:val="21"/>
                <w:szCs w:val="21"/>
                <w:highlight w:val="none"/>
              </w:rPr>
            </w:pPr>
            <w:r>
              <w:rPr>
                <w:rFonts w:hint="eastAsia"/>
                <w:color w:val="auto"/>
                <w:sz w:val="21"/>
                <w:highlight w:val="none"/>
                <w:lang w:eastAsia="zh-CN"/>
              </w:rPr>
              <w:t>串</w:t>
            </w:r>
            <w:r>
              <w:rPr>
                <w:rFonts w:hint="eastAsia" w:ascii="Calibri" w:hAnsi="Calibri" w:eastAsia="宋体"/>
                <w:color w:val="auto"/>
                <w:sz w:val="21"/>
                <w:highlight w:val="none"/>
              </w:rPr>
              <w:t>通投标情形</w:t>
            </w:r>
          </w:p>
        </w:tc>
        <w:tc>
          <w:tcPr>
            <w:tcW w:w="4345" w:type="dxa"/>
            <w:vAlign w:val="center"/>
          </w:tcPr>
          <w:p w14:paraId="081CB163">
            <w:pPr>
              <w:pStyle w:val="34"/>
              <w:keepNext w:val="0"/>
              <w:keepLines w:val="0"/>
              <w:pageBreakBefore w:val="0"/>
              <w:widowControl w:val="0"/>
              <w:kinsoku/>
              <w:wordWrap/>
              <w:overflowPunct/>
              <w:topLinePunct w:val="0"/>
              <w:autoSpaceDE/>
              <w:autoSpaceDN/>
              <w:bidi w:val="0"/>
              <w:adjustRightInd/>
              <w:snapToGrid/>
              <w:ind w:left="21" w:leftChars="10" w:right="21" w:rightChars="10"/>
              <w:jc w:val="left"/>
              <w:textAlignment w:val="auto"/>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不存在串通投标情形（串通投标情形以《广东省实施&lt;中华人民共和国招标投标法&gt;办法》第十六条的规定为准）</w:t>
            </w:r>
          </w:p>
        </w:tc>
      </w:tr>
      <w:tr w14:paraId="05F5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trPr>
        <w:tc>
          <w:tcPr>
            <w:tcW w:w="628" w:type="dxa"/>
            <w:vMerge w:val="continue"/>
            <w:vAlign w:val="center"/>
          </w:tcPr>
          <w:p w14:paraId="0A923D4F">
            <w:pPr>
              <w:pStyle w:val="34"/>
              <w:jc w:val="center"/>
              <w:rPr>
                <w:rFonts w:ascii="宋体" w:hAnsi="宋体" w:eastAsia="宋体"/>
                <w:color w:val="auto"/>
                <w:sz w:val="21"/>
                <w:szCs w:val="21"/>
                <w:highlight w:val="none"/>
                <w:lang w:eastAsia="zh-CN"/>
              </w:rPr>
            </w:pPr>
          </w:p>
        </w:tc>
        <w:tc>
          <w:tcPr>
            <w:tcW w:w="920" w:type="dxa"/>
            <w:vMerge w:val="continue"/>
            <w:vAlign w:val="center"/>
          </w:tcPr>
          <w:p w14:paraId="11E4D51E">
            <w:pPr>
              <w:pStyle w:val="34"/>
              <w:jc w:val="center"/>
              <w:rPr>
                <w:rFonts w:ascii="宋体" w:hAnsi="宋体" w:eastAsia="宋体" w:cs="宋体"/>
                <w:color w:val="auto"/>
                <w:sz w:val="21"/>
                <w:szCs w:val="21"/>
                <w:highlight w:val="none"/>
                <w:lang w:eastAsia="zh-CN"/>
              </w:rPr>
            </w:pPr>
          </w:p>
        </w:tc>
        <w:tc>
          <w:tcPr>
            <w:tcW w:w="7258" w:type="dxa"/>
            <w:gridSpan w:val="2"/>
            <w:vAlign w:val="center"/>
          </w:tcPr>
          <w:p w14:paraId="1699DA1B">
            <w:pPr>
              <w:pStyle w:val="34"/>
              <w:jc w:val="both"/>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注：响应性评审标准中“设计服务期限”、“质量标准”、“投标有效期”，以投标人在投标书附录中的承诺为准。</w:t>
            </w:r>
          </w:p>
        </w:tc>
      </w:tr>
      <w:tr w14:paraId="3F81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trPr>
        <w:tc>
          <w:tcPr>
            <w:tcW w:w="628" w:type="dxa"/>
            <w:vMerge w:val="restart"/>
            <w:vAlign w:val="center"/>
          </w:tcPr>
          <w:p w14:paraId="43697C39">
            <w:pPr>
              <w:pStyle w:val="34"/>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2.1.3（2）</w:t>
            </w:r>
          </w:p>
        </w:tc>
        <w:tc>
          <w:tcPr>
            <w:tcW w:w="920" w:type="dxa"/>
            <w:vMerge w:val="restart"/>
            <w:vAlign w:val="center"/>
          </w:tcPr>
          <w:p w14:paraId="323FE49B">
            <w:pPr>
              <w:pStyle w:val="34"/>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技术文件</w:t>
            </w:r>
            <w:r>
              <w:rPr>
                <w:rFonts w:hint="eastAsia" w:ascii="宋体" w:hAnsi="宋体" w:eastAsia="宋体" w:cs="宋体"/>
                <w:color w:val="auto"/>
                <w:sz w:val="21"/>
                <w:szCs w:val="21"/>
                <w:highlight w:val="none"/>
                <w:lang w:eastAsia="zh-CN"/>
              </w:rPr>
              <w:t>响应性评审标准</w:t>
            </w:r>
          </w:p>
        </w:tc>
        <w:tc>
          <w:tcPr>
            <w:tcW w:w="2913" w:type="dxa"/>
            <w:shd w:val="clear" w:color="auto" w:fill="auto"/>
            <w:vAlign w:val="center"/>
          </w:tcPr>
          <w:p w14:paraId="6370CF06">
            <w:pPr>
              <w:jc w:val="center"/>
              <w:rPr>
                <w:rFonts w:hint="eastAsia" w:ascii="Calibri" w:hAnsi="Calibri" w:eastAsia="宋体" w:cs="Times New Roman"/>
                <w:color w:val="auto"/>
                <w:kern w:val="2"/>
                <w:sz w:val="21"/>
                <w:szCs w:val="22"/>
                <w:highlight w:val="none"/>
                <w:lang w:val="en-US" w:eastAsia="zh-CN" w:bidi="ar-SA"/>
              </w:rPr>
            </w:pPr>
            <w:r>
              <w:rPr>
                <w:rFonts w:ascii="Calibri" w:hAnsi="Calibri" w:eastAsia="宋体"/>
                <w:color w:val="auto"/>
                <w:sz w:val="21"/>
                <w:highlight w:val="none"/>
              </w:rPr>
              <w:t>串通投标情形</w:t>
            </w:r>
          </w:p>
        </w:tc>
        <w:tc>
          <w:tcPr>
            <w:tcW w:w="4345" w:type="dxa"/>
            <w:shd w:val="clear" w:color="auto" w:fill="auto"/>
            <w:vAlign w:val="center"/>
          </w:tcPr>
          <w:p w14:paraId="3EED6986">
            <w:pPr>
              <w:pStyle w:val="34"/>
              <w:rPr>
                <w:rFonts w:hint="eastAsia" w:ascii="Calibri" w:hAnsi="Calibri" w:eastAsia="宋体" w:cs="Times New Roman"/>
                <w:color w:val="auto"/>
                <w:kern w:val="2"/>
                <w:sz w:val="21"/>
                <w:szCs w:val="22"/>
                <w:highlight w:val="none"/>
                <w:lang w:val="en-US" w:eastAsia="zh-CN" w:bidi="ar-SA"/>
              </w:rPr>
            </w:pPr>
            <w:r>
              <w:rPr>
                <w:rFonts w:hint="eastAsia" w:ascii="宋体" w:hAnsi="宋体" w:eastAsia="宋体" w:cs="宋体"/>
                <w:color w:val="auto"/>
                <w:sz w:val="21"/>
                <w:szCs w:val="21"/>
                <w:highlight w:val="none"/>
                <w:lang w:eastAsia="zh-CN"/>
              </w:rPr>
              <w:t>不存在串通投标情形（串通投标情形以《广东省实施&lt;中华人民共和国招标投标法&gt;办法》第十六条的规定为准）</w:t>
            </w:r>
          </w:p>
        </w:tc>
      </w:tr>
      <w:tr w14:paraId="5A38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exact"/>
        </w:trPr>
        <w:tc>
          <w:tcPr>
            <w:tcW w:w="628" w:type="dxa"/>
            <w:vMerge w:val="continue"/>
            <w:vAlign w:val="center"/>
          </w:tcPr>
          <w:p w14:paraId="7E5327E5">
            <w:pPr>
              <w:pStyle w:val="34"/>
              <w:jc w:val="center"/>
              <w:rPr>
                <w:rFonts w:ascii="宋体" w:hAnsi="宋体" w:eastAsia="宋体"/>
                <w:color w:val="auto"/>
                <w:sz w:val="21"/>
                <w:szCs w:val="21"/>
                <w:highlight w:val="none"/>
                <w:lang w:eastAsia="zh-CN"/>
              </w:rPr>
            </w:pPr>
          </w:p>
        </w:tc>
        <w:tc>
          <w:tcPr>
            <w:tcW w:w="920" w:type="dxa"/>
            <w:vMerge w:val="continue"/>
            <w:vAlign w:val="center"/>
          </w:tcPr>
          <w:p w14:paraId="1DCBCC23">
            <w:pPr>
              <w:pStyle w:val="34"/>
              <w:jc w:val="center"/>
              <w:rPr>
                <w:rFonts w:ascii="宋体" w:hAnsi="宋体" w:eastAsia="宋体" w:cs="宋体"/>
                <w:color w:val="auto"/>
                <w:sz w:val="21"/>
                <w:szCs w:val="21"/>
                <w:highlight w:val="none"/>
                <w:lang w:eastAsia="zh-CN"/>
              </w:rPr>
            </w:pPr>
          </w:p>
        </w:tc>
        <w:tc>
          <w:tcPr>
            <w:tcW w:w="2913" w:type="dxa"/>
            <w:shd w:val="clear" w:color="auto" w:fill="auto"/>
            <w:vAlign w:val="center"/>
          </w:tcPr>
          <w:p w14:paraId="231F3611">
            <w:pPr>
              <w:jc w:val="center"/>
              <w:rPr>
                <w:rFonts w:hint="eastAsia" w:ascii="Calibri" w:hAnsi="Calibri" w:eastAsia="宋体" w:cs="Times New Roman"/>
                <w:color w:val="auto"/>
                <w:kern w:val="2"/>
                <w:sz w:val="21"/>
                <w:szCs w:val="22"/>
                <w:highlight w:val="none"/>
                <w:lang w:val="en-US" w:eastAsia="zh-CN" w:bidi="ar-SA"/>
              </w:rPr>
            </w:pPr>
            <w:r>
              <w:rPr>
                <w:rFonts w:ascii="Calibri" w:hAnsi="Calibri" w:eastAsia="宋体"/>
                <w:color w:val="auto"/>
                <w:sz w:val="21"/>
                <w:highlight w:val="none"/>
              </w:rPr>
              <w:t>技术文件暗标要求</w:t>
            </w:r>
          </w:p>
        </w:tc>
        <w:tc>
          <w:tcPr>
            <w:tcW w:w="4345" w:type="dxa"/>
            <w:shd w:val="clear" w:color="auto" w:fill="auto"/>
            <w:vAlign w:val="center"/>
          </w:tcPr>
          <w:p w14:paraId="31608678">
            <w:pPr>
              <w:pStyle w:val="34"/>
              <w:keepNext w:val="0"/>
              <w:keepLines w:val="0"/>
              <w:pageBreakBefore w:val="0"/>
              <w:widowControl w:val="0"/>
              <w:kinsoku/>
              <w:wordWrap/>
              <w:overflowPunct/>
              <w:topLinePunct w:val="0"/>
              <w:autoSpaceDE/>
              <w:autoSpaceDN/>
              <w:bidi w:val="0"/>
              <w:adjustRightInd/>
              <w:snapToGrid/>
              <w:ind w:left="21" w:leftChars="10" w:right="21" w:rightChars="10"/>
              <w:jc w:val="left"/>
              <w:textAlignment w:val="auto"/>
              <w:rPr>
                <w:rFonts w:hint="eastAsia" w:ascii="Calibri" w:hAnsi="Calibri" w:eastAsia="宋体" w:cs="Times New Roman"/>
                <w:color w:val="auto"/>
                <w:kern w:val="2"/>
                <w:sz w:val="21"/>
                <w:szCs w:val="22"/>
                <w:highlight w:val="none"/>
                <w:lang w:val="en-US" w:eastAsia="zh-CN" w:bidi="ar-SA"/>
              </w:rPr>
            </w:pPr>
            <w:r>
              <w:rPr>
                <w:rFonts w:hint="eastAsia" w:ascii="宋体" w:hAnsi="宋体" w:eastAsia="宋体" w:cs="宋体"/>
                <w:color w:val="auto"/>
                <w:sz w:val="21"/>
                <w:szCs w:val="21"/>
                <w:highlight w:val="none"/>
                <w:lang w:val="en-US" w:eastAsia="zh-CN"/>
              </w:rPr>
              <w:t>技术文件</w:t>
            </w:r>
            <w:r>
              <w:rPr>
                <w:rFonts w:hint="eastAsia" w:ascii="宋体" w:hAnsi="宋体" w:eastAsia="宋体" w:cs="宋体"/>
                <w:color w:val="auto"/>
                <w:sz w:val="21"/>
                <w:szCs w:val="21"/>
                <w:highlight w:val="none"/>
                <w:lang w:eastAsia="zh-CN"/>
              </w:rPr>
              <w:t>中未能辨认出投标人或其专业技术人员的身份。未在设计方案上标注或做任何可以辨认投标人及专业技术人员身份的名称、印章、商标、图形等记认符号</w:t>
            </w:r>
          </w:p>
        </w:tc>
      </w:tr>
      <w:tr w14:paraId="7773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rPr>
        <w:tc>
          <w:tcPr>
            <w:tcW w:w="1548" w:type="dxa"/>
            <w:gridSpan w:val="2"/>
            <w:vAlign w:val="center"/>
          </w:tcPr>
          <w:p w14:paraId="64B9431E">
            <w:pPr>
              <w:pStyle w:val="34"/>
              <w:jc w:val="center"/>
              <w:rPr>
                <w:rFonts w:ascii="宋体" w:hAnsi="宋体" w:eastAsia="宋体" w:cs="Microsoft JhengHei"/>
                <w:color w:val="auto"/>
                <w:sz w:val="21"/>
                <w:szCs w:val="21"/>
                <w:highlight w:val="none"/>
              </w:rPr>
            </w:pPr>
            <w:r>
              <w:rPr>
                <w:rFonts w:ascii="宋体" w:hAnsi="宋体" w:eastAsia="宋体" w:cs="Microsoft JhengHei"/>
                <w:bCs/>
                <w:color w:val="auto"/>
                <w:sz w:val="21"/>
                <w:szCs w:val="21"/>
                <w:highlight w:val="none"/>
              </w:rPr>
              <w:t>条款号</w:t>
            </w:r>
          </w:p>
        </w:tc>
        <w:tc>
          <w:tcPr>
            <w:tcW w:w="2913" w:type="dxa"/>
            <w:vAlign w:val="center"/>
          </w:tcPr>
          <w:p w14:paraId="01CCBA65">
            <w:pPr>
              <w:pStyle w:val="34"/>
              <w:jc w:val="center"/>
              <w:rPr>
                <w:rFonts w:ascii="宋体" w:hAnsi="宋体" w:eastAsia="宋体" w:cs="Microsoft JhengHei"/>
                <w:color w:val="auto"/>
                <w:sz w:val="21"/>
                <w:szCs w:val="21"/>
                <w:highlight w:val="none"/>
              </w:rPr>
            </w:pPr>
            <w:r>
              <w:rPr>
                <w:rFonts w:ascii="宋体" w:hAnsi="宋体" w:eastAsia="宋体" w:cs="Microsoft JhengHei"/>
                <w:bCs/>
                <w:color w:val="auto"/>
                <w:sz w:val="21"/>
                <w:szCs w:val="21"/>
                <w:highlight w:val="none"/>
              </w:rPr>
              <w:t>条款内容</w:t>
            </w:r>
          </w:p>
        </w:tc>
        <w:tc>
          <w:tcPr>
            <w:tcW w:w="4345" w:type="dxa"/>
            <w:vAlign w:val="center"/>
          </w:tcPr>
          <w:p w14:paraId="3D26C45C">
            <w:pPr>
              <w:pStyle w:val="34"/>
              <w:jc w:val="center"/>
              <w:rPr>
                <w:rFonts w:ascii="宋体" w:hAnsi="宋体" w:eastAsia="宋体" w:cs="Microsoft JhengHei"/>
                <w:color w:val="auto"/>
                <w:sz w:val="21"/>
                <w:szCs w:val="21"/>
                <w:highlight w:val="none"/>
              </w:rPr>
            </w:pPr>
            <w:r>
              <w:rPr>
                <w:rFonts w:ascii="宋体" w:hAnsi="宋体" w:eastAsia="宋体" w:cs="Microsoft JhengHei"/>
                <w:bCs/>
                <w:color w:val="auto"/>
                <w:sz w:val="21"/>
                <w:szCs w:val="21"/>
                <w:highlight w:val="none"/>
              </w:rPr>
              <w:t>编列内容</w:t>
            </w:r>
          </w:p>
        </w:tc>
      </w:tr>
      <w:tr w14:paraId="50E3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3" w:hRule="exact"/>
        </w:trPr>
        <w:tc>
          <w:tcPr>
            <w:tcW w:w="1548" w:type="dxa"/>
            <w:gridSpan w:val="2"/>
            <w:vAlign w:val="center"/>
          </w:tcPr>
          <w:p w14:paraId="3ED5D508">
            <w:pPr>
              <w:pStyle w:val="34"/>
              <w:jc w:val="center"/>
              <w:rPr>
                <w:rFonts w:ascii="宋体" w:hAnsi="宋体" w:eastAsia="宋体"/>
                <w:color w:val="auto"/>
                <w:sz w:val="21"/>
                <w:szCs w:val="21"/>
                <w:highlight w:val="none"/>
              </w:rPr>
            </w:pPr>
            <w:r>
              <w:rPr>
                <w:rFonts w:ascii="宋体" w:hAnsi="宋体" w:eastAsia="宋体"/>
                <w:color w:val="auto"/>
                <w:sz w:val="21"/>
                <w:szCs w:val="21"/>
                <w:highlight w:val="none"/>
              </w:rPr>
              <w:t>2.2.1</w:t>
            </w:r>
          </w:p>
        </w:tc>
        <w:tc>
          <w:tcPr>
            <w:tcW w:w="2913" w:type="dxa"/>
            <w:vAlign w:val="center"/>
          </w:tcPr>
          <w:p w14:paraId="7FFEACD4">
            <w:pPr>
              <w:pStyle w:val="34"/>
              <w:spacing w:line="276"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分值构成</w:t>
            </w:r>
          </w:p>
          <w:p w14:paraId="1B0D1538">
            <w:pPr>
              <w:pStyle w:val="34"/>
              <w:spacing w:line="276" w:lineRule="auto"/>
              <w:jc w:val="center"/>
              <w:rPr>
                <w:rFonts w:ascii="宋体" w:hAnsi="宋体" w:eastAsia="宋体"/>
                <w:color w:val="auto"/>
                <w:sz w:val="21"/>
                <w:szCs w:val="21"/>
                <w:highlight w:val="none"/>
              </w:rPr>
            </w:pPr>
            <w:r>
              <w:rPr>
                <w:rFonts w:ascii="宋体" w:hAnsi="宋体" w:eastAsia="宋体"/>
                <w:color w:val="auto"/>
                <w:sz w:val="21"/>
                <w:szCs w:val="21"/>
                <w:highlight w:val="none"/>
              </w:rPr>
              <w:t>(</w:t>
            </w:r>
            <w:r>
              <w:rPr>
                <w:rFonts w:ascii="宋体" w:hAnsi="宋体" w:eastAsia="宋体" w:cs="宋体"/>
                <w:color w:val="auto"/>
                <w:sz w:val="21"/>
                <w:szCs w:val="21"/>
                <w:highlight w:val="none"/>
              </w:rPr>
              <w:t>总分</w:t>
            </w:r>
            <w:r>
              <w:rPr>
                <w:rFonts w:ascii="宋体" w:hAnsi="宋体" w:eastAsia="宋体"/>
                <w:color w:val="auto"/>
                <w:sz w:val="21"/>
                <w:szCs w:val="21"/>
                <w:highlight w:val="none"/>
              </w:rPr>
              <w:t>100</w:t>
            </w:r>
            <w:r>
              <w:rPr>
                <w:rFonts w:ascii="宋体" w:hAnsi="宋体" w:eastAsia="宋体" w:cs="宋体"/>
                <w:color w:val="auto"/>
                <w:sz w:val="21"/>
                <w:szCs w:val="21"/>
                <w:highlight w:val="none"/>
              </w:rPr>
              <w:t>分</w:t>
            </w:r>
            <w:r>
              <w:rPr>
                <w:rFonts w:ascii="宋体" w:hAnsi="宋体" w:eastAsia="宋体"/>
                <w:color w:val="auto"/>
                <w:sz w:val="21"/>
                <w:szCs w:val="21"/>
                <w:highlight w:val="none"/>
              </w:rPr>
              <w:t>)</w:t>
            </w:r>
          </w:p>
        </w:tc>
        <w:tc>
          <w:tcPr>
            <w:tcW w:w="4345" w:type="dxa"/>
            <w:vAlign w:val="center"/>
          </w:tcPr>
          <w:p w14:paraId="56183E3E">
            <w:pPr>
              <w:pStyle w:val="34"/>
              <w:keepNext w:val="0"/>
              <w:keepLines w:val="0"/>
              <w:pageBreakBefore w:val="0"/>
              <w:widowControl w:val="0"/>
              <w:kinsoku/>
              <w:wordWrap/>
              <w:overflowPunct/>
              <w:topLinePunct w:val="0"/>
              <w:autoSpaceDE/>
              <w:autoSpaceDN/>
              <w:bidi w:val="0"/>
              <w:adjustRightInd/>
              <w:snapToGrid/>
              <w:ind w:left="21" w:leftChars="10" w:right="21" w:rightChars="1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商务文件（</w:t>
            </w:r>
            <w:r>
              <w:rPr>
                <w:rFonts w:hint="eastAsia" w:ascii="宋体" w:hAnsi="宋体" w:eastAsia="宋体" w:cs="宋体"/>
                <w:color w:val="auto"/>
                <w:sz w:val="21"/>
                <w:szCs w:val="21"/>
                <w:highlight w:val="none"/>
                <w:lang w:eastAsia="zh-CN"/>
              </w:rPr>
              <w:t>资信业绩部分）：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eastAsia="zh-CN"/>
              </w:rPr>
              <w:t>分</w:t>
            </w:r>
          </w:p>
          <w:p w14:paraId="6CE2A8E5">
            <w:pPr>
              <w:pStyle w:val="34"/>
              <w:keepNext w:val="0"/>
              <w:keepLines w:val="0"/>
              <w:pageBreakBefore w:val="0"/>
              <w:widowControl w:val="0"/>
              <w:kinsoku/>
              <w:wordWrap/>
              <w:overflowPunct/>
              <w:topLinePunct w:val="0"/>
              <w:autoSpaceDE/>
              <w:autoSpaceDN/>
              <w:bidi w:val="0"/>
              <w:adjustRightInd/>
              <w:snapToGrid/>
              <w:ind w:left="21" w:leftChars="10" w:right="21" w:rightChars="1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技术文件（</w:t>
            </w:r>
            <w:r>
              <w:rPr>
                <w:rFonts w:hint="eastAsia" w:ascii="宋体" w:hAnsi="宋体" w:eastAsia="宋体" w:cs="宋体"/>
                <w:color w:val="auto"/>
                <w:sz w:val="21"/>
                <w:szCs w:val="21"/>
                <w:highlight w:val="none"/>
                <w:lang w:eastAsia="zh-CN"/>
              </w:rPr>
              <w:t>设计方案部分）：</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lang w:eastAsia="zh-CN"/>
              </w:rPr>
              <w:t>分</w:t>
            </w:r>
          </w:p>
          <w:p w14:paraId="3DF2819A">
            <w:pPr>
              <w:pStyle w:val="34"/>
              <w:keepNext w:val="0"/>
              <w:keepLines w:val="0"/>
              <w:pageBreakBefore w:val="0"/>
              <w:widowControl w:val="0"/>
              <w:kinsoku/>
              <w:wordWrap/>
              <w:overflowPunct/>
              <w:topLinePunct w:val="0"/>
              <w:autoSpaceDE/>
              <w:autoSpaceDN/>
              <w:bidi w:val="0"/>
              <w:adjustRightInd/>
              <w:snapToGrid/>
              <w:ind w:left="21" w:leftChars="10" w:right="21" w:rightChars="10"/>
              <w:jc w:val="left"/>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eastAsia="zh-CN"/>
              </w:rPr>
              <w:t>投标报价部分：</w:t>
            </w:r>
            <w:r>
              <w:rPr>
                <w:rFonts w:hint="eastAsia" w:ascii="宋体" w:hAnsi="宋体"/>
                <w:color w:val="auto"/>
                <w:sz w:val="21"/>
                <w:szCs w:val="21"/>
                <w:highlight w:val="none"/>
                <w:lang w:val="en-US" w:eastAsia="zh-CN"/>
              </w:rPr>
              <w:t>100分×</w:t>
            </w:r>
            <w:r>
              <w:rPr>
                <w:rFonts w:hint="eastAsia" w:ascii="宋体" w:hAnsi="宋体" w:eastAsia="宋体" w:cs="宋体"/>
                <w:b w:val="0"/>
                <w:color w:val="auto"/>
                <w:sz w:val="21"/>
                <w:szCs w:val="21"/>
                <w:highlight w:val="none"/>
                <w:lang w:eastAsia="zh-CN"/>
              </w:rPr>
              <w:t>报价</w:t>
            </w:r>
            <w:r>
              <w:rPr>
                <w:rFonts w:hint="eastAsia" w:ascii="宋体" w:hAnsi="宋体"/>
                <w:color w:val="auto"/>
                <w:sz w:val="21"/>
                <w:szCs w:val="21"/>
                <w:highlight w:val="none"/>
                <w:lang w:val="en-US" w:eastAsia="zh-CN"/>
              </w:rPr>
              <w:t>权重10%</w:t>
            </w:r>
          </w:p>
          <w:p w14:paraId="79530457">
            <w:pPr>
              <w:pStyle w:val="34"/>
              <w:keepNext w:val="0"/>
              <w:keepLines w:val="0"/>
              <w:pageBreakBefore w:val="0"/>
              <w:widowControl w:val="0"/>
              <w:kinsoku/>
              <w:wordWrap/>
              <w:overflowPunct/>
              <w:topLinePunct w:val="0"/>
              <w:autoSpaceDE/>
              <w:autoSpaceDN/>
              <w:bidi w:val="0"/>
              <w:adjustRightInd/>
              <w:snapToGrid/>
              <w:ind w:left="21" w:leftChars="10" w:right="21" w:rightChars="10"/>
              <w:jc w:val="left"/>
              <w:textAlignment w:val="auto"/>
              <w:rPr>
                <w:rFonts w:ascii="宋体" w:hAnsi="宋体" w:cs="宋体"/>
                <w:color w:val="auto"/>
                <w:szCs w:val="21"/>
                <w:highlight w:val="none"/>
                <w:u w:val="single"/>
              </w:rPr>
            </w:pPr>
            <w:r>
              <w:rPr>
                <w:rFonts w:hint="eastAsia" w:ascii="宋体" w:hAnsi="宋体"/>
                <w:b/>
                <w:bCs/>
                <w:color w:val="auto"/>
                <w:highlight w:val="none"/>
                <w:lang w:eastAsia="zh-CN"/>
              </w:rPr>
              <w:t>综合</w:t>
            </w:r>
            <w:r>
              <w:rPr>
                <w:rFonts w:hint="eastAsia" w:ascii="宋体" w:hAnsi="宋体" w:eastAsia="宋体" w:cs="宋体"/>
                <w:b/>
                <w:bCs/>
                <w:color w:val="auto"/>
                <w:sz w:val="21"/>
                <w:szCs w:val="21"/>
                <w:highlight w:val="none"/>
                <w:lang w:val="en-US" w:eastAsia="zh-CN"/>
              </w:rPr>
              <w:t>总得分=商务文件（</w:t>
            </w:r>
            <w:r>
              <w:rPr>
                <w:rFonts w:hint="eastAsia" w:ascii="宋体" w:hAnsi="宋体" w:eastAsia="宋体" w:cs="宋体"/>
                <w:b/>
                <w:bCs/>
                <w:color w:val="auto"/>
                <w:sz w:val="21"/>
                <w:szCs w:val="21"/>
                <w:highlight w:val="none"/>
                <w:lang w:eastAsia="zh-CN"/>
              </w:rPr>
              <w:t>资信业绩部分）</w:t>
            </w:r>
            <w:r>
              <w:rPr>
                <w:rFonts w:hint="eastAsia" w:ascii="宋体" w:hAnsi="宋体" w:eastAsia="宋体" w:cs="宋体"/>
                <w:b/>
                <w:bCs/>
                <w:color w:val="auto"/>
                <w:sz w:val="21"/>
                <w:szCs w:val="21"/>
                <w:highlight w:val="none"/>
                <w:lang w:val="en-US" w:eastAsia="zh-CN"/>
              </w:rPr>
              <w:t>30分+技术文件（</w:t>
            </w:r>
            <w:r>
              <w:rPr>
                <w:rFonts w:hint="eastAsia" w:ascii="宋体" w:hAnsi="宋体" w:eastAsia="宋体" w:cs="宋体"/>
                <w:b/>
                <w:bCs/>
                <w:color w:val="auto"/>
                <w:sz w:val="21"/>
                <w:szCs w:val="21"/>
                <w:highlight w:val="none"/>
                <w:lang w:eastAsia="zh-CN"/>
              </w:rPr>
              <w:t>设计方案部分）</w:t>
            </w:r>
            <w:r>
              <w:rPr>
                <w:rFonts w:hint="eastAsia" w:ascii="宋体" w:hAnsi="宋体" w:eastAsia="宋体" w:cs="宋体"/>
                <w:b/>
                <w:bCs/>
                <w:color w:val="auto"/>
                <w:sz w:val="21"/>
                <w:szCs w:val="21"/>
                <w:highlight w:val="none"/>
                <w:lang w:val="en-US" w:eastAsia="zh-CN"/>
              </w:rPr>
              <w:t>60分+</w:t>
            </w:r>
            <w:r>
              <w:rPr>
                <w:rFonts w:hint="eastAsia" w:ascii="宋体" w:hAnsi="宋体" w:eastAsia="宋体" w:cs="宋体"/>
                <w:b/>
                <w:bCs/>
                <w:color w:val="auto"/>
                <w:sz w:val="21"/>
                <w:szCs w:val="21"/>
                <w:highlight w:val="none"/>
                <w:lang w:eastAsia="zh-CN"/>
              </w:rPr>
              <w:t>投标报价部分</w:t>
            </w:r>
            <w:r>
              <w:rPr>
                <w:rFonts w:hint="eastAsia" w:ascii="宋体" w:hAnsi="宋体"/>
                <w:b/>
                <w:bCs/>
                <w:color w:val="auto"/>
                <w:sz w:val="21"/>
                <w:szCs w:val="21"/>
                <w:highlight w:val="none"/>
                <w:lang w:val="en-US" w:eastAsia="zh-CN"/>
              </w:rPr>
              <w:t>100分×</w:t>
            </w:r>
            <w:r>
              <w:rPr>
                <w:rFonts w:hint="eastAsia" w:ascii="宋体" w:hAnsi="宋体" w:eastAsia="宋体" w:cs="宋体"/>
                <w:b/>
                <w:bCs/>
                <w:color w:val="auto"/>
                <w:sz w:val="21"/>
                <w:szCs w:val="21"/>
                <w:highlight w:val="none"/>
                <w:lang w:eastAsia="zh-CN"/>
              </w:rPr>
              <w:t>报价</w:t>
            </w:r>
            <w:r>
              <w:rPr>
                <w:rFonts w:hint="eastAsia" w:ascii="宋体" w:hAnsi="宋体"/>
                <w:b/>
                <w:bCs/>
                <w:color w:val="auto"/>
                <w:sz w:val="21"/>
                <w:szCs w:val="21"/>
                <w:highlight w:val="none"/>
                <w:lang w:val="en-US" w:eastAsia="zh-CN"/>
              </w:rPr>
              <w:t>权重10%</w:t>
            </w:r>
          </w:p>
        </w:tc>
      </w:tr>
      <w:tr w14:paraId="7860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4" w:hRule="exact"/>
        </w:trPr>
        <w:tc>
          <w:tcPr>
            <w:tcW w:w="1548" w:type="dxa"/>
            <w:gridSpan w:val="2"/>
            <w:vAlign w:val="center"/>
          </w:tcPr>
          <w:p w14:paraId="16E635FB">
            <w:pPr>
              <w:pStyle w:val="34"/>
              <w:jc w:val="center"/>
              <w:rPr>
                <w:rFonts w:ascii="宋体" w:hAnsi="宋体" w:eastAsia="宋体"/>
                <w:color w:val="auto"/>
                <w:sz w:val="21"/>
                <w:szCs w:val="21"/>
                <w:highlight w:val="none"/>
              </w:rPr>
            </w:pPr>
            <w:r>
              <w:rPr>
                <w:rFonts w:ascii="宋体" w:hAnsi="宋体" w:eastAsia="宋体"/>
                <w:color w:val="auto"/>
                <w:sz w:val="21"/>
                <w:szCs w:val="21"/>
                <w:highlight w:val="none"/>
              </w:rPr>
              <w:t>2.2.2</w:t>
            </w:r>
          </w:p>
        </w:tc>
        <w:tc>
          <w:tcPr>
            <w:tcW w:w="2913" w:type="dxa"/>
            <w:vAlign w:val="center"/>
          </w:tcPr>
          <w:p w14:paraId="75209CB0">
            <w:pPr>
              <w:pStyle w:val="34"/>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评标基准价计算方法</w:t>
            </w:r>
          </w:p>
        </w:tc>
        <w:tc>
          <w:tcPr>
            <w:tcW w:w="4345" w:type="dxa"/>
            <w:vAlign w:val="center"/>
          </w:tcPr>
          <w:p w14:paraId="3C47A09A">
            <w:pPr>
              <w:widowControl/>
              <w:numPr>
                <w:ilvl w:val="0"/>
                <w:numId w:val="1"/>
              </w:numPr>
              <w:spacing w:before="100" w:beforeAutospacing="1" w:after="100" w:afterAutospacing="1" w:line="276" w:lineRule="auto"/>
              <w:jc w:val="left"/>
              <w:rPr>
                <w:color w:val="auto"/>
                <w:highlight w:val="none"/>
              </w:rPr>
            </w:pPr>
            <w:r>
              <w:rPr>
                <w:rFonts w:hint="eastAsia"/>
                <w:color w:val="auto"/>
                <w:highlight w:val="none"/>
              </w:rPr>
              <w:t>当通过形式评审、资格评审、响应性评审且投标总报价处于计算评标基准价的有效投标价范围内的有效投标人大于或等于5家时，去掉一个最高价和一个最低价，取余下有效报价的算术平均值作为报价基准价。（保留小数点后二位，第三位小数四舍五入）</w:t>
            </w:r>
          </w:p>
          <w:p w14:paraId="29633FD9">
            <w:pPr>
              <w:widowControl/>
              <w:numPr>
                <w:ilvl w:val="0"/>
                <w:numId w:val="1"/>
              </w:numPr>
              <w:spacing w:before="100" w:beforeAutospacing="1" w:line="276" w:lineRule="auto"/>
              <w:jc w:val="left"/>
              <w:rPr>
                <w:color w:val="auto"/>
                <w:highlight w:val="none"/>
              </w:rPr>
            </w:pPr>
            <w:r>
              <w:rPr>
                <w:rFonts w:hint="eastAsia"/>
                <w:color w:val="auto"/>
                <w:highlight w:val="none"/>
              </w:rPr>
              <w:t>当通过形式评审、资格评审、响应性评审且投标总报价处于计算评标基准价的有效投标价范围内的有效投标人小于5家时，取所有入围有效报价的算术平均值的作为报价基准价（保留小数点后二位，第三位小数四舍五入）</w:t>
            </w:r>
          </w:p>
          <w:p w14:paraId="289015C1">
            <w:pPr>
              <w:pStyle w:val="34"/>
              <w:keepNext w:val="0"/>
              <w:keepLines w:val="0"/>
              <w:pageBreakBefore w:val="0"/>
              <w:widowControl w:val="0"/>
              <w:kinsoku/>
              <w:wordWrap/>
              <w:overflowPunct/>
              <w:topLinePunct w:val="0"/>
              <w:autoSpaceDE/>
              <w:autoSpaceDN/>
              <w:bidi w:val="0"/>
              <w:adjustRightInd/>
              <w:snapToGrid/>
              <w:ind w:left="21" w:leftChars="10" w:right="21" w:rightChars="10"/>
              <w:jc w:val="left"/>
              <w:textAlignment w:val="auto"/>
              <w:rPr>
                <w:rFonts w:hint="eastAsia" w:ascii="宋体" w:hAnsi="宋体" w:eastAsia="宋体" w:cs="宋体"/>
                <w:color w:val="auto"/>
                <w:sz w:val="21"/>
                <w:szCs w:val="21"/>
                <w:highlight w:val="none"/>
                <w:lang w:val="en-US" w:eastAsia="zh-CN"/>
              </w:rPr>
            </w:pPr>
            <w:r>
              <w:rPr>
                <w:rFonts w:hint="eastAsia"/>
                <w:color w:val="auto"/>
                <w:highlight w:val="none"/>
              </w:rPr>
              <w:t>（3）计算评标基准价的有效投标价范围为[最高投标</w:t>
            </w:r>
            <w:r>
              <w:rPr>
                <w:rFonts w:hint="eastAsia" w:eastAsia="宋体"/>
                <w:color w:val="auto"/>
                <w:highlight w:val="none"/>
                <w:lang w:eastAsia="zh-CN"/>
              </w:rPr>
              <w:t>总</w:t>
            </w:r>
            <w:r>
              <w:rPr>
                <w:rFonts w:hint="eastAsia"/>
                <w:color w:val="auto"/>
                <w:highlight w:val="none"/>
              </w:rPr>
              <w:t>限价×90%，最高投标</w:t>
            </w:r>
            <w:r>
              <w:rPr>
                <w:rFonts w:hint="eastAsia" w:eastAsia="宋体"/>
                <w:color w:val="auto"/>
                <w:highlight w:val="none"/>
                <w:lang w:eastAsia="zh-CN"/>
              </w:rPr>
              <w:t>总</w:t>
            </w:r>
            <w:r>
              <w:rPr>
                <w:rFonts w:hint="eastAsia"/>
                <w:color w:val="auto"/>
                <w:highlight w:val="none"/>
              </w:rPr>
              <w:t>限价]，超过此范围的投标总报价不参与评标基准价的计算。用于计算评标基准价的投标总报价均为经算术复核后的投标总报价。</w:t>
            </w:r>
          </w:p>
        </w:tc>
      </w:tr>
      <w:tr w14:paraId="343C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8" w:hRule="exact"/>
        </w:trPr>
        <w:tc>
          <w:tcPr>
            <w:tcW w:w="1548" w:type="dxa"/>
            <w:gridSpan w:val="2"/>
            <w:vAlign w:val="center"/>
          </w:tcPr>
          <w:p w14:paraId="25F564B3">
            <w:pPr>
              <w:pStyle w:val="34"/>
              <w:jc w:val="center"/>
              <w:rPr>
                <w:rFonts w:ascii="宋体" w:hAnsi="宋体" w:eastAsia="宋体"/>
                <w:color w:val="auto"/>
                <w:sz w:val="21"/>
                <w:szCs w:val="21"/>
                <w:highlight w:val="none"/>
              </w:rPr>
            </w:pPr>
            <w:r>
              <w:rPr>
                <w:rFonts w:ascii="宋体" w:hAnsi="宋体" w:eastAsia="宋体"/>
                <w:color w:val="auto"/>
                <w:sz w:val="21"/>
                <w:szCs w:val="21"/>
                <w:highlight w:val="none"/>
              </w:rPr>
              <w:t>2.2.3</w:t>
            </w:r>
          </w:p>
        </w:tc>
        <w:tc>
          <w:tcPr>
            <w:tcW w:w="2913" w:type="dxa"/>
            <w:vAlign w:val="center"/>
          </w:tcPr>
          <w:p w14:paraId="363AAF95">
            <w:pPr>
              <w:pStyle w:val="34"/>
              <w:jc w:val="center"/>
              <w:rPr>
                <w:rFonts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投标报价的偏差率计算公式</w:t>
            </w:r>
          </w:p>
        </w:tc>
        <w:tc>
          <w:tcPr>
            <w:tcW w:w="4345" w:type="dxa"/>
            <w:vAlign w:val="center"/>
          </w:tcPr>
          <w:p w14:paraId="68CAD928">
            <w:pPr>
              <w:pStyle w:val="34"/>
              <w:keepNext w:val="0"/>
              <w:keepLines w:val="0"/>
              <w:pageBreakBefore w:val="0"/>
              <w:widowControl w:val="0"/>
              <w:kinsoku/>
              <w:wordWrap/>
              <w:overflowPunct/>
              <w:topLinePunct w:val="0"/>
              <w:autoSpaceDE/>
              <w:autoSpaceDN/>
              <w:bidi w:val="0"/>
              <w:adjustRightInd/>
              <w:snapToGrid/>
              <w:ind w:left="21" w:leftChars="10" w:right="21" w:rightChars="10"/>
              <w:jc w:val="left"/>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u w:val="none"/>
                <w:lang w:eastAsia="zh-CN"/>
              </w:rPr>
              <w:t>偏差率=100% ×|（投标人有效投标报价-评标基准价）|/评标基准价（偏差率以四舍五入保留1位小数点，报价偏差率不足1%的，按直线内插法计算投标报价得分）</w:t>
            </w:r>
          </w:p>
        </w:tc>
      </w:tr>
      <w:tr w14:paraId="7871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exact"/>
        </w:trPr>
        <w:tc>
          <w:tcPr>
            <w:tcW w:w="1548" w:type="dxa"/>
            <w:gridSpan w:val="2"/>
            <w:vAlign w:val="center"/>
          </w:tcPr>
          <w:p w14:paraId="1B87ABD6">
            <w:pPr>
              <w:pStyle w:val="3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2.2.4（1）</w:t>
            </w:r>
          </w:p>
        </w:tc>
        <w:tc>
          <w:tcPr>
            <w:tcW w:w="2913" w:type="dxa"/>
            <w:vAlign w:val="center"/>
          </w:tcPr>
          <w:p w14:paraId="6BBC754F">
            <w:pPr>
              <w:pStyle w:val="34"/>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商务文件（</w:t>
            </w:r>
            <w:r>
              <w:rPr>
                <w:rFonts w:hint="eastAsia" w:ascii="宋体" w:hAnsi="宋体" w:eastAsia="宋体" w:cs="宋体"/>
                <w:color w:val="auto"/>
                <w:sz w:val="21"/>
                <w:szCs w:val="21"/>
                <w:highlight w:val="none"/>
                <w:lang w:eastAsia="zh-CN"/>
              </w:rPr>
              <w:t>资信业绩评分）标准</w:t>
            </w:r>
          </w:p>
        </w:tc>
        <w:tc>
          <w:tcPr>
            <w:tcW w:w="4345" w:type="dxa"/>
            <w:vAlign w:val="center"/>
          </w:tcPr>
          <w:p w14:paraId="1342FF3E">
            <w:pPr>
              <w:pStyle w:val="34"/>
              <w:keepNext w:val="0"/>
              <w:keepLines w:val="0"/>
              <w:pageBreakBefore w:val="0"/>
              <w:widowControl w:val="0"/>
              <w:kinsoku/>
              <w:wordWrap/>
              <w:overflowPunct/>
              <w:topLinePunct w:val="0"/>
              <w:autoSpaceDE/>
              <w:autoSpaceDN/>
              <w:bidi w:val="0"/>
              <w:adjustRightInd/>
              <w:snapToGrid/>
              <w:ind w:left="21" w:leftChars="10" w:right="21" w:rightChars="1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见后附件</w:t>
            </w:r>
            <w:r>
              <w:rPr>
                <w:rFonts w:hint="eastAsia" w:ascii="宋体" w:hAnsi="宋体" w:eastAsia="宋体" w:cs="宋体"/>
                <w:color w:val="auto"/>
                <w:sz w:val="21"/>
                <w:szCs w:val="21"/>
                <w:highlight w:val="none"/>
                <w:lang w:val="en-US" w:eastAsia="zh-CN"/>
              </w:rPr>
              <w:t>一</w:t>
            </w:r>
          </w:p>
        </w:tc>
      </w:tr>
      <w:tr w14:paraId="1C8F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exact"/>
        </w:trPr>
        <w:tc>
          <w:tcPr>
            <w:tcW w:w="1548" w:type="dxa"/>
            <w:gridSpan w:val="2"/>
            <w:vAlign w:val="center"/>
          </w:tcPr>
          <w:p w14:paraId="44CBA684">
            <w:pPr>
              <w:pStyle w:val="3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2.2.4（2）</w:t>
            </w:r>
          </w:p>
        </w:tc>
        <w:tc>
          <w:tcPr>
            <w:tcW w:w="2913" w:type="dxa"/>
            <w:vAlign w:val="center"/>
          </w:tcPr>
          <w:p w14:paraId="71BFF1F3">
            <w:pPr>
              <w:pStyle w:val="34"/>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技术文件（</w:t>
            </w:r>
            <w:r>
              <w:rPr>
                <w:rFonts w:hint="eastAsia" w:ascii="宋体" w:hAnsi="宋体" w:eastAsia="宋体" w:cs="宋体"/>
                <w:color w:val="auto"/>
                <w:sz w:val="21"/>
                <w:szCs w:val="21"/>
                <w:highlight w:val="none"/>
                <w:lang w:eastAsia="zh-CN"/>
              </w:rPr>
              <w:t>设计方案评分）标准</w:t>
            </w:r>
          </w:p>
        </w:tc>
        <w:tc>
          <w:tcPr>
            <w:tcW w:w="4345" w:type="dxa"/>
            <w:vAlign w:val="center"/>
          </w:tcPr>
          <w:p w14:paraId="74E2384F">
            <w:pPr>
              <w:pStyle w:val="34"/>
              <w:keepNext w:val="0"/>
              <w:keepLines w:val="0"/>
              <w:pageBreakBefore w:val="0"/>
              <w:widowControl w:val="0"/>
              <w:kinsoku/>
              <w:wordWrap/>
              <w:overflowPunct/>
              <w:topLinePunct w:val="0"/>
              <w:autoSpaceDE/>
              <w:autoSpaceDN/>
              <w:bidi w:val="0"/>
              <w:adjustRightInd/>
              <w:snapToGrid/>
              <w:ind w:left="21" w:leftChars="10" w:right="21" w:rightChars="1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见后附件</w:t>
            </w:r>
            <w:r>
              <w:rPr>
                <w:rFonts w:hint="eastAsia" w:ascii="宋体" w:hAnsi="宋体" w:eastAsia="宋体" w:cs="宋体"/>
                <w:color w:val="auto"/>
                <w:sz w:val="21"/>
                <w:szCs w:val="21"/>
                <w:highlight w:val="none"/>
                <w:lang w:val="en-US" w:eastAsia="zh-CN"/>
              </w:rPr>
              <w:t>一</w:t>
            </w:r>
          </w:p>
        </w:tc>
      </w:tr>
      <w:tr w14:paraId="5E0D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exact"/>
        </w:trPr>
        <w:tc>
          <w:tcPr>
            <w:tcW w:w="1548" w:type="dxa"/>
            <w:gridSpan w:val="2"/>
            <w:vAlign w:val="center"/>
          </w:tcPr>
          <w:p w14:paraId="37CB2FA5">
            <w:pPr>
              <w:pStyle w:val="34"/>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2.2.4（</w:t>
            </w:r>
            <w:r>
              <w:rPr>
                <w:rFonts w:hint="eastAsia" w:ascii="宋体" w:hAnsi="宋体" w:eastAsia="宋体"/>
                <w:color w:val="auto"/>
                <w:sz w:val="21"/>
                <w:szCs w:val="21"/>
                <w:highlight w:val="none"/>
                <w:lang w:eastAsia="zh-CN"/>
              </w:rPr>
              <w:t>3</w:t>
            </w:r>
            <w:r>
              <w:rPr>
                <w:rFonts w:hint="eastAsia" w:ascii="宋体" w:hAnsi="宋体" w:eastAsia="宋体"/>
                <w:color w:val="auto"/>
                <w:sz w:val="21"/>
                <w:szCs w:val="21"/>
                <w:highlight w:val="none"/>
              </w:rPr>
              <w:t>）</w:t>
            </w:r>
          </w:p>
        </w:tc>
        <w:tc>
          <w:tcPr>
            <w:tcW w:w="2913" w:type="dxa"/>
            <w:vAlign w:val="center"/>
          </w:tcPr>
          <w:p w14:paraId="39F50D2C">
            <w:pPr>
              <w:pStyle w:val="34"/>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w:t>
            </w:r>
          </w:p>
        </w:tc>
        <w:tc>
          <w:tcPr>
            <w:tcW w:w="4345" w:type="dxa"/>
            <w:vAlign w:val="center"/>
          </w:tcPr>
          <w:p w14:paraId="51795BD8">
            <w:pPr>
              <w:pStyle w:val="34"/>
              <w:keepNext w:val="0"/>
              <w:keepLines w:val="0"/>
              <w:pageBreakBefore w:val="0"/>
              <w:widowControl w:val="0"/>
              <w:kinsoku/>
              <w:wordWrap/>
              <w:overflowPunct/>
              <w:topLinePunct w:val="0"/>
              <w:autoSpaceDE/>
              <w:autoSpaceDN/>
              <w:bidi w:val="0"/>
              <w:adjustRightInd/>
              <w:snapToGrid/>
              <w:ind w:left="21" w:leftChars="10" w:right="21" w:rightChars="1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见后附件</w:t>
            </w:r>
            <w:r>
              <w:rPr>
                <w:rFonts w:hint="eastAsia" w:ascii="宋体" w:hAnsi="宋体" w:eastAsia="宋体" w:cs="宋体"/>
                <w:color w:val="auto"/>
                <w:sz w:val="21"/>
                <w:szCs w:val="21"/>
                <w:highlight w:val="none"/>
                <w:lang w:val="en-US" w:eastAsia="zh-CN"/>
              </w:rPr>
              <w:t>一</w:t>
            </w:r>
          </w:p>
        </w:tc>
      </w:tr>
    </w:tbl>
    <w:p w14:paraId="272DDA76">
      <w:pPr>
        <w:pStyle w:val="19"/>
        <w:jc w:val="both"/>
        <w:rPr>
          <w:rFonts w:ascii="宋体" w:hAnsi="宋体"/>
          <w:b w:val="0"/>
          <w:color w:val="auto"/>
          <w:highlight w:val="none"/>
          <w:lang w:eastAsia="zh-CN"/>
        </w:rPr>
        <w:sectPr>
          <w:footerReference r:id="rId8" w:type="default"/>
          <w:pgSz w:w="12240" w:h="15840"/>
          <w:pgMar w:top="1500" w:right="1720" w:bottom="1120" w:left="1720" w:header="0" w:footer="921" w:gutter="0"/>
          <w:pgBorders>
            <w:top w:val="none" w:sz="0" w:space="0"/>
            <w:left w:val="none" w:sz="0" w:space="0"/>
            <w:bottom w:val="none" w:sz="0" w:space="0"/>
            <w:right w:val="none" w:sz="0" w:space="0"/>
          </w:pgBorders>
          <w:cols w:space="720" w:num="1"/>
        </w:sectPr>
      </w:pPr>
    </w:p>
    <w:p w14:paraId="2F116B19">
      <w:pPr>
        <w:pStyle w:val="19"/>
        <w:jc w:val="both"/>
        <w:rPr>
          <w:rFonts w:ascii="宋体" w:hAnsi="宋体"/>
          <w:b w:val="0"/>
          <w:color w:val="auto"/>
          <w:highlight w:val="none"/>
          <w:lang w:eastAsia="zh-CN"/>
        </w:rPr>
      </w:pPr>
      <w:bookmarkStart w:id="17" w:name="_Toc22908"/>
      <w:r>
        <w:rPr>
          <w:rFonts w:hint="eastAsia" w:ascii="宋体" w:hAnsi="宋体"/>
          <w:b w:val="0"/>
          <w:color w:val="auto"/>
          <w:highlight w:val="none"/>
          <w:lang w:eastAsia="zh-CN"/>
        </w:rPr>
        <w:t>附件一：</w:t>
      </w:r>
      <w:bookmarkEnd w:id="17"/>
      <w:r>
        <w:rPr>
          <w:rFonts w:hint="eastAsia" w:ascii="宋体" w:hAnsi="宋体"/>
          <w:b w:val="0"/>
          <w:color w:val="auto"/>
          <w:highlight w:val="none"/>
          <w:lang w:eastAsia="zh-CN"/>
        </w:rPr>
        <w:t>综合评分表</w:t>
      </w:r>
    </w:p>
    <w:p w14:paraId="2D7B99EA">
      <w:pPr>
        <w:pStyle w:val="19"/>
        <w:outlineLvl w:val="9"/>
        <w:rPr>
          <w:rFonts w:ascii="宋体" w:hAnsi="宋体"/>
          <w:b w:val="0"/>
          <w:color w:val="auto"/>
          <w:highlight w:val="none"/>
          <w:lang w:eastAsia="zh-CN"/>
        </w:rPr>
      </w:pPr>
      <w:r>
        <w:rPr>
          <w:rFonts w:hint="eastAsia" w:ascii="宋体" w:hAnsi="宋体"/>
          <w:b w:val="0"/>
          <w:strike w:val="0"/>
          <w:color w:val="auto"/>
          <w:highlight w:val="none"/>
          <w:lang w:eastAsia="zh-CN"/>
        </w:rPr>
        <w:t>综合评分表</w:t>
      </w:r>
    </w:p>
    <w:p w14:paraId="28B63240">
      <w:pPr>
        <w:spacing w:line="360" w:lineRule="auto"/>
        <w:rPr>
          <w:rFonts w:ascii="宋体" w:hAnsi="宋体" w:cs="宋体"/>
          <w:color w:val="auto"/>
          <w:szCs w:val="21"/>
          <w:highlight w:val="none"/>
          <w:lang w:val="zh-CN"/>
        </w:rPr>
      </w:pPr>
      <w:r>
        <w:rPr>
          <w:rFonts w:hint="eastAsia" w:ascii="宋体" w:hAnsi="宋体"/>
          <w:color w:val="auto"/>
          <w:highlight w:val="none"/>
        </w:rPr>
        <w:t>项目名称：</w:t>
      </w:r>
      <w:r>
        <w:rPr>
          <w:rFonts w:hint="eastAsia" w:ascii="宋体" w:hAnsi="宋体"/>
          <w:color w:val="auto"/>
          <w:highlight w:val="none"/>
          <w:lang w:val="en-US" w:eastAsia="zh-CN"/>
        </w:rPr>
        <w:t xml:space="preserve">广东省城市技师学院钟落潭校区建设项目   </w:t>
      </w:r>
      <w:r>
        <w:rPr>
          <w:rFonts w:hint="eastAsia" w:ascii="宋体" w:hAnsi="宋体"/>
          <w:color w:val="auto"/>
          <w:highlight w:val="none"/>
        </w:rPr>
        <w:t xml:space="preserve"> </w:t>
      </w:r>
    </w:p>
    <w:tbl>
      <w:tblPr>
        <w:tblStyle w:val="23"/>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058"/>
        <w:gridCol w:w="1469"/>
        <w:gridCol w:w="10016"/>
        <w:gridCol w:w="995"/>
      </w:tblGrid>
      <w:tr w14:paraId="6C12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8EBC">
            <w:pPr>
              <w:jc w:val="center"/>
              <w:rPr>
                <w:rFonts w:ascii="宋体" w:hAnsi="宋体" w:cs="宋体"/>
                <w:color w:val="auto"/>
                <w:szCs w:val="21"/>
                <w:highlight w:val="none"/>
              </w:rPr>
            </w:pPr>
            <w:r>
              <w:rPr>
                <w:rFonts w:hint="eastAsia" w:ascii="宋体" w:hAnsi="宋体" w:cs="宋体"/>
                <w:color w:val="auto"/>
                <w:szCs w:val="21"/>
                <w:highlight w:val="none"/>
                <w:lang w:bidi="ar"/>
              </w:rPr>
              <w:t>序号</w:t>
            </w:r>
          </w:p>
        </w:tc>
        <w:tc>
          <w:tcPr>
            <w:tcW w:w="2527" w:type="dxa"/>
            <w:gridSpan w:val="2"/>
            <w:tcBorders>
              <w:top w:val="single" w:color="000000" w:sz="4" w:space="0"/>
              <w:left w:val="nil"/>
              <w:bottom w:val="single" w:color="000000" w:sz="4" w:space="0"/>
              <w:right w:val="single" w:color="000000" w:sz="4" w:space="0"/>
            </w:tcBorders>
            <w:shd w:val="clear" w:color="auto" w:fill="auto"/>
            <w:vAlign w:val="center"/>
          </w:tcPr>
          <w:p w14:paraId="15922CBC">
            <w:pPr>
              <w:jc w:val="center"/>
              <w:rPr>
                <w:rFonts w:ascii="宋体" w:hAnsi="宋体" w:cs="宋体"/>
                <w:color w:val="auto"/>
                <w:szCs w:val="21"/>
                <w:highlight w:val="none"/>
              </w:rPr>
            </w:pPr>
            <w:r>
              <w:rPr>
                <w:rFonts w:hint="eastAsia" w:ascii="宋体" w:hAnsi="宋体" w:cs="宋体"/>
                <w:color w:val="auto"/>
                <w:szCs w:val="21"/>
                <w:highlight w:val="none"/>
                <w:lang w:bidi="ar"/>
              </w:rPr>
              <w:t>评审项目</w:t>
            </w:r>
          </w:p>
        </w:tc>
        <w:tc>
          <w:tcPr>
            <w:tcW w:w="10016" w:type="dxa"/>
            <w:tcBorders>
              <w:top w:val="single" w:color="000000" w:sz="4" w:space="0"/>
              <w:left w:val="nil"/>
              <w:bottom w:val="single" w:color="000000" w:sz="4" w:space="0"/>
              <w:right w:val="single" w:color="000000" w:sz="4" w:space="0"/>
            </w:tcBorders>
            <w:shd w:val="clear" w:color="auto" w:fill="auto"/>
            <w:vAlign w:val="center"/>
          </w:tcPr>
          <w:p w14:paraId="72B488D4">
            <w:pPr>
              <w:jc w:val="center"/>
              <w:rPr>
                <w:rFonts w:ascii="宋体" w:hAnsi="宋体" w:cs="宋体"/>
                <w:color w:val="auto"/>
                <w:szCs w:val="21"/>
                <w:highlight w:val="none"/>
              </w:rPr>
            </w:pPr>
            <w:r>
              <w:rPr>
                <w:rFonts w:hint="eastAsia" w:ascii="宋体" w:hAnsi="宋体" w:cs="宋体"/>
                <w:color w:val="auto"/>
                <w:szCs w:val="21"/>
                <w:highlight w:val="none"/>
                <w:lang w:bidi="ar"/>
              </w:rPr>
              <w:t>评分标准</w:t>
            </w:r>
          </w:p>
        </w:tc>
        <w:tc>
          <w:tcPr>
            <w:tcW w:w="995" w:type="dxa"/>
            <w:tcBorders>
              <w:top w:val="single" w:color="000000" w:sz="4" w:space="0"/>
              <w:left w:val="nil"/>
              <w:bottom w:val="single" w:color="000000" w:sz="4" w:space="0"/>
              <w:right w:val="single" w:color="000000" w:sz="4" w:space="0"/>
            </w:tcBorders>
            <w:shd w:val="clear" w:color="auto" w:fill="auto"/>
            <w:vAlign w:val="center"/>
          </w:tcPr>
          <w:p w14:paraId="1754CBB8">
            <w:pPr>
              <w:jc w:val="center"/>
              <w:rPr>
                <w:rFonts w:ascii="宋体" w:hAnsi="宋体" w:cs="宋体"/>
                <w:color w:val="auto"/>
                <w:szCs w:val="21"/>
                <w:highlight w:val="none"/>
              </w:rPr>
            </w:pPr>
            <w:r>
              <w:rPr>
                <w:rFonts w:hint="eastAsia" w:ascii="宋体" w:hAnsi="宋体" w:cs="宋体"/>
                <w:color w:val="auto"/>
                <w:szCs w:val="21"/>
                <w:highlight w:val="none"/>
                <w:lang w:bidi="ar"/>
              </w:rPr>
              <w:t>投标人</w:t>
            </w:r>
          </w:p>
        </w:tc>
      </w:tr>
      <w:tr w14:paraId="3A1E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1F570776">
            <w:pPr>
              <w:jc w:val="center"/>
              <w:rPr>
                <w:rFonts w:ascii="宋体" w:hAnsi="宋体" w:cs="宋体"/>
                <w:color w:val="auto"/>
                <w:szCs w:val="21"/>
                <w:highlight w:val="none"/>
              </w:rPr>
            </w:pPr>
            <w:r>
              <w:rPr>
                <w:rFonts w:hint="eastAsia" w:ascii="宋体" w:hAnsi="宋体" w:cs="宋体"/>
                <w:color w:val="auto"/>
                <w:szCs w:val="21"/>
                <w:highlight w:val="none"/>
                <w:lang w:bidi="ar"/>
              </w:rPr>
              <w:t>一</w:t>
            </w:r>
          </w:p>
        </w:tc>
        <w:tc>
          <w:tcPr>
            <w:tcW w:w="25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E03AC0">
            <w:pPr>
              <w:jc w:val="center"/>
              <w:rPr>
                <w:rFonts w:hint="eastAsia" w:ascii="宋体" w:hAnsi="宋体" w:cs="宋体"/>
                <w:b/>
                <w:bCs/>
                <w:color w:val="auto"/>
                <w:szCs w:val="21"/>
                <w:highlight w:val="none"/>
                <w:lang w:val="en-US" w:eastAsia="zh-CN" w:bidi="ar"/>
              </w:rPr>
            </w:pPr>
            <w:r>
              <w:rPr>
                <w:rFonts w:hint="eastAsia" w:ascii="宋体" w:hAnsi="宋体" w:cs="宋体"/>
                <w:b/>
                <w:bCs/>
                <w:color w:val="auto"/>
                <w:szCs w:val="21"/>
                <w:highlight w:val="none"/>
                <w:lang w:val="en-US" w:eastAsia="zh-CN" w:bidi="ar"/>
              </w:rPr>
              <w:t>商务文件</w:t>
            </w:r>
          </w:p>
          <w:p w14:paraId="453EA911">
            <w:pPr>
              <w:jc w:val="center"/>
              <w:rPr>
                <w:rFonts w:ascii="宋体" w:hAnsi="宋体" w:cs="宋体"/>
                <w:color w:val="auto"/>
                <w:szCs w:val="21"/>
                <w:highlight w:val="none"/>
              </w:rPr>
            </w:pPr>
            <w:r>
              <w:rPr>
                <w:rFonts w:hint="eastAsia" w:ascii="宋体" w:hAnsi="宋体" w:cs="宋体"/>
                <w:b/>
                <w:bCs/>
                <w:color w:val="auto"/>
                <w:szCs w:val="21"/>
                <w:highlight w:val="none"/>
                <w:lang w:bidi="ar"/>
              </w:rPr>
              <w:t>资信业绩部分（</w:t>
            </w:r>
            <w:r>
              <w:rPr>
                <w:rFonts w:hint="eastAsia" w:ascii="宋体" w:hAnsi="宋体" w:cs="宋体"/>
                <w:b/>
                <w:bCs/>
                <w:color w:val="auto"/>
                <w:szCs w:val="21"/>
                <w:highlight w:val="none"/>
                <w:lang w:val="en-US" w:eastAsia="zh-CN" w:bidi="ar"/>
              </w:rPr>
              <w:t>30</w:t>
            </w:r>
            <w:r>
              <w:rPr>
                <w:rFonts w:hint="eastAsia" w:ascii="宋体" w:hAnsi="宋体" w:cs="宋体"/>
                <w:b/>
                <w:bCs/>
                <w:color w:val="auto"/>
                <w:szCs w:val="21"/>
                <w:highlight w:val="none"/>
                <w:lang w:bidi="ar"/>
              </w:rPr>
              <w:t>分</w:t>
            </w:r>
            <w:r>
              <w:rPr>
                <w:rFonts w:hint="eastAsia" w:ascii="宋体" w:hAnsi="宋体" w:cs="宋体"/>
                <w:color w:val="auto"/>
                <w:szCs w:val="21"/>
                <w:highlight w:val="none"/>
                <w:lang w:bidi="ar"/>
              </w:rPr>
              <w:t>）</w:t>
            </w:r>
          </w:p>
        </w:tc>
        <w:tc>
          <w:tcPr>
            <w:tcW w:w="10016" w:type="dxa"/>
            <w:tcBorders>
              <w:top w:val="single" w:color="auto" w:sz="4" w:space="0"/>
              <w:left w:val="single" w:color="auto" w:sz="4" w:space="0"/>
              <w:bottom w:val="single" w:color="auto" w:sz="4" w:space="0"/>
              <w:right w:val="single" w:color="auto" w:sz="4" w:space="0"/>
            </w:tcBorders>
            <w:shd w:val="clear" w:color="auto" w:fill="auto"/>
            <w:vAlign w:val="center"/>
          </w:tcPr>
          <w:p w14:paraId="0CE7486B">
            <w:pPr>
              <w:pStyle w:val="9"/>
              <w:ind w:left="0"/>
              <w:rPr>
                <w:rFonts w:cs="宋体"/>
                <w:color w:val="auto"/>
                <w:highlight w:val="none"/>
              </w:rPr>
            </w:pPr>
          </w:p>
        </w:tc>
        <w:tc>
          <w:tcPr>
            <w:tcW w:w="995" w:type="dxa"/>
            <w:tcBorders>
              <w:top w:val="single" w:color="auto" w:sz="4" w:space="0"/>
              <w:left w:val="single" w:color="auto" w:sz="4" w:space="0"/>
              <w:bottom w:val="single" w:color="auto" w:sz="4" w:space="0"/>
              <w:right w:val="single" w:color="auto" w:sz="4" w:space="0"/>
            </w:tcBorders>
            <w:shd w:val="clear" w:color="auto" w:fill="auto"/>
          </w:tcPr>
          <w:p w14:paraId="033EC43B">
            <w:pPr>
              <w:rPr>
                <w:rFonts w:ascii="宋体" w:hAnsi="宋体" w:cs="宋体"/>
                <w:color w:val="auto"/>
                <w:szCs w:val="21"/>
                <w:highlight w:val="none"/>
              </w:rPr>
            </w:pPr>
          </w:p>
        </w:tc>
      </w:tr>
      <w:tr w14:paraId="135B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4949C528">
            <w:pPr>
              <w:jc w:val="center"/>
              <w:rPr>
                <w:rFonts w:ascii="宋体" w:hAnsi="宋体" w:cs="宋体"/>
                <w:color w:val="auto"/>
                <w:szCs w:val="21"/>
                <w:highlight w:val="none"/>
              </w:rPr>
            </w:pPr>
            <w:r>
              <w:rPr>
                <w:rFonts w:hint="eastAsia" w:ascii="宋体" w:hAnsi="宋体" w:cs="宋体"/>
                <w:color w:val="auto"/>
                <w:szCs w:val="21"/>
                <w:highlight w:val="none"/>
                <w:lang w:bidi="ar"/>
              </w:rPr>
              <w:t>1</w:t>
            </w:r>
          </w:p>
        </w:tc>
        <w:tc>
          <w:tcPr>
            <w:tcW w:w="25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D56BAB">
            <w:pPr>
              <w:pStyle w:val="34"/>
              <w:spacing w:line="360" w:lineRule="auto"/>
              <w:jc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bidi="ar"/>
              </w:rPr>
              <w:t>类似业绩</w:t>
            </w:r>
            <w:r>
              <w:rPr>
                <w:rFonts w:hint="eastAsia" w:ascii="宋体" w:hAnsi="宋体" w:eastAsia="宋体" w:cs="宋体"/>
                <w:bCs/>
                <w:color w:val="auto"/>
                <w:sz w:val="21"/>
                <w:szCs w:val="21"/>
                <w:highlight w:val="none"/>
                <w:lang w:eastAsia="zh-CN" w:bidi="ar"/>
              </w:rPr>
              <w:t>（</w:t>
            </w:r>
            <w:r>
              <w:rPr>
                <w:rFonts w:hint="eastAsia" w:ascii="宋体" w:hAnsi="宋体" w:eastAsia="宋体" w:cs="宋体"/>
                <w:bCs/>
                <w:color w:val="auto"/>
                <w:sz w:val="21"/>
                <w:szCs w:val="21"/>
                <w:highlight w:val="none"/>
                <w:lang w:val="en-US" w:eastAsia="zh-CN" w:bidi="ar"/>
              </w:rPr>
              <w:t>8</w:t>
            </w:r>
            <w:r>
              <w:rPr>
                <w:rFonts w:hint="eastAsia" w:ascii="宋体" w:hAnsi="宋体" w:eastAsia="宋体" w:cs="宋体"/>
                <w:bCs/>
                <w:color w:val="auto"/>
                <w:sz w:val="21"/>
                <w:szCs w:val="21"/>
                <w:highlight w:val="none"/>
                <w:lang w:eastAsia="zh-CN" w:bidi="ar"/>
              </w:rPr>
              <w:t>分）</w:t>
            </w:r>
          </w:p>
        </w:tc>
        <w:tc>
          <w:tcPr>
            <w:tcW w:w="10016" w:type="dxa"/>
            <w:tcBorders>
              <w:top w:val="single" w:color="auto" w:sz="4" w:space="0"/>
              <w:left w:val="single" w:color="auto" w:sz="4" w:space="0"/>
              <w:bottom w:val="single" w:color="auto" w:sz="4" w:space="0"/>
              <w:right w:val="single" w:color="auto" w:sz="4" w:space="0"/>
            </w:tcBorders>
            <w:shd w:val="clear" w:color="auto" w:fill="auto"/>
            <w:vAlign w:val="center"/>
          </w:tcPr>
          <w:p w14:paraId="2D6D0D14">
            <w:pPr>
              <w:ind w:firstLine="0" w:firstLineChars="0"/>
              <w:rPr>
                <w:rFonts w:ascii="宋体" w:hAnsi="宋体" w:cs="宋体"/>
                <w:color w:val="auto"/>
                <w:szCs w:val="21"/>
                <w:highlight w:val="none"/>
              </w:rPr>
            </w:pPr>
            <w:r>
              <w:rPr>
                <w:rFonts w:hint="eastAsia" w:ascii="宋体" w:hAnsi="宋体" w:cs="宋体"/>
                <w:color w:val="auto"/>
                <w:szCs w:val="21"/>
                <w:highlight w:val="none"/>
              </w:rPr>
              <w:t>投标人业绩情况：</w:t>
            </w:r>
          </w:p>
          <w:p w14:paraId="3E9A07DE">
            <w:pPr>
              <w:ind w:firstLine="0" w:firstLineChars="0"/>
              <w:rPr>
                <w:rFonts w:ascii="宋体" w:hAnsi="宋体" w:cs="宋体"/>
                <w:color w:val="auto"/>
                <w:kern w:val="0"/>
                <w:szCs w:val="21"/>
                <w:highlight w:val="none"/>
              </w:rPr>
            </w:pPr>
            <w:r>
              <w:rPr>
                <w:rFonts w:hint="eastAsia" w:ascii="宋体" w:hAnsi="宋体" w:cs="宋体"/>
                <w:color w:val="auto"/>
                <w:szCs w:val="21"/>
                <w:highlight w:val="none"/>
              </w:rPr>
              <w:t>近</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年（20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年1月1日</w:t>
            </w:r>
            <w:bookmarkStart w:id="18" w:name="OLE_LINK8"/>
            <w:r>
              <w:rPr>
                <w:rFonts w:hint="eastAsia" w:ascii="宋体" w:hAnsi="宋体" w:cs="宋体"/>
                <w:color w:val="auto"/>
                <w:szCs w:val="21"/>
                <w:highlight w:val="none"/>
              </w:rPr>
              <w:t>至投标截止时间</w:t>
            </w:r>
            <w:bookmarkEnd w:id="18"/>
            <w:r>
              <w:rPr>
                <w:rFonts w:hint="eastAsia" w:ascii="宋体" w:hAnsi="宋体" w:cs="宋体"/>
                <w:color w:val="auto"/>
                <w:szCs w:val="21"/>
                <w:highlight w:val="none"/>
              </w:rPr>
              <w:t>）完成过项目总投资</w:t>
            </w:r>
            <w:r>
              <w:rPr>
                <w:rFonts w:hint="eastAsia" w:ascii="宋体" w:hAnsi="宋体" w:cs="宋体"/>
                <w:color w:val="auto"/>
                <w:szCs w:val="21"/>
                <w:highlight w:val="none"/>
                <w:lang w:eastAsia="zh-CN"/>
              </w:rPr>
              <w:t>（或建安费）</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85000</w:t>
            </w:r>
            <w:r>
              <w:rPr>
                <w:rFonts w:hint="eastAsia" w:ascii="宋体" w:hAnsi="宋体" w:cs="宋体"/>
                <w:color w:val="auto"/>
                <w:szCs w:val="21"/>
                <w:highlight w:val="none"/>
              </w:rPr>
              <w:t>万元</w:t>
            </w:r>
            <w:r>
              <w:rPr>
                <w:rFonts w:hint="eastAsia" w:ascii="宋体" w:hAnsi="宋体" w:cs="宋体"/>
                <w:color w:val="auto"/>
                <w:szCs w:val="21"/>
                <w:highlight w:val="none"/>
                <w:lang w:val="en-US" w:eastAsia="zh-CN"/>
              </w:rPr>
              <w:t>或建筑面积</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150000平方米</w:t>
            </w:r>
            <w:r>
              <w:rPr>
                <w:rFonts w:hint="eastAsia" w:ascii="宋体" w:hAnsi="宋体" w:cs="宋体"/>
                <w:color w:val="auto"/>
                <w:szCs w:val="21"/>
                <w:highlight w:val="none"/>
              </w:rPr>
              <w:t>的</w:t>
            </w:r>
            <w:r>
              <w:rPr>
                <w:rFonts w:hint="eastAsia"/>
                <w:color w:val="auto"/>
                <w:highlight w:val="none"/>
              </w:rPr>
              <w:t>建筑工程</w:t>
            </w:r>
            <w:r>
              <w:rPr>
                <w:rFonts w:hint="eastAsia"/>
                <w:color w:val="auto"/>
                <w:highlight w:val="none"/>
                <w:lang w:val="en-US" w:eastAsia="zh-CN"/>
              </w:rPr>
              <w:t>类</w:t>
            </w:r>
            <w:r>
              <w:rPr>
                <w:rFonts w:hint="eastAsia" w:ascii="宋体" w:hAnsi="宋体" w:cs="宋体"/>
                <w:color w:val="auto"/>
                <w:szCs w:val="21"/>
                <w:highlight w:val="none"/>
              </w:rPr>
              <w:t>设计业绩的，每项得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995" w:type="dxa"/>
            <w:tcBorders>
              <w:top w:val="single" w:color="auto" w:sz="4" w:space="0"/>
              <w:left w:val="single" w:color="auto" w:sz="4" w:space="0"/>
              <w:bottom w:val="single" w:color="auto" w:sz="4" w:space="0"/>
              <w:right w:val="single" w:color="auto" w:sz="4" w:space="0"/>
            </w:tcBorders>
            <w:shd w:val="clear" w:color="auto" w:fill="auto"/>
          </w:tcPr>
          <w:p w14:paraId="796F6ABA">
            <w:pPr>
              <w:rPr>
                <w:rFonts w:ascii="宋体" w:hAnsi="宋体" w:cs="宋体"/>
                <w:color w:val="auto"/>
                <w:szCs w:val="21"/>
                <w:highlight w:val="none"/>
              </w:rPr>
            </w:pPr>
          </w:p>
        </w:tc>
      </w:tr>
      <w:tr w14:paraId="511D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0B0F8DA7">
            <w:pPr>
              <w:jc w:val="center"/>
              <w:rPr>
                <w:rFonts w:ascii="宋体" w:hAnsi="宋体" w:cs="宋体"/>
                <w:color w:val="auto"/>
                <w:szCs w:val="21"/>
                <w:highlight w:val="none"/>
              </w:rPr>
            </w:pPr>
            <w:r>
              <w:rPr>
                <w:rFonts w:hint="eastAsia" w:ascii="宋体" w:hAnsi="宋体" w:cs="宋体"/>
                <w:color w:val="auto"/>
                <w:szCs w:val="21"/>
                <w:highlight w:val="none"/>
                <w:lang w:bidi="ar"/>
              </w:rPr>
              <w:t>2</w:t>
            </w:r>
          </w:p>
        </w:tc>
        <w:tc>
          <w:tcPr>
            <w:tcW w:w="25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E0DA18">
            <w:pPr>
              <w:jc w:val="center"/>
              <w:rPr>
                <w:rFonts w:ascii="宋体" w:hAnsi="宋体" w:cs="宋体"/>
                <w:color w:val="auto"/>
                <w:szCs w:val="21"/>
                <w:highlight w:val="none"/>
              </w:rPr>
            </w:pPr>
            <w:r>
              <w:rPr>
                <w:rFonts w:hint="eastAsia" w:ascii="宋体" w:hAnsi="宋体" w:cs="宋体"/>
                <w:color w:val="auto"/>
                <w:szCs w:val="21"/>
                <w:highlight w:val="none"/>
                <w:lang w:bidi="ar"/>
              </w:rPr>
              <w:t>企业业绩获奖（</w:t>
            </w:r>
            <w:r>
              <w:rPr>
                <w:rFonts w:hint="eastAsia" w:ascii="宋体" w:hAnsi="宋体" w:cs="宋体"/>
                <w:color w:val="auto"/>
                <w:szCs w:val="21"/>
                <w:highlight w:val="none"/>
                <w:lang w:val="en-US" w:eastAsia="zh-CN" w:bidi="ar"/>
              </w:rPr>
              <w:t>8</w:t>
            </w:r>
            <w:r>
              <w:rPr>
                <w:rFonts w:hint="eastAsia" w:ascii="宋体" w:hAnsi="宋体" w:cs="宋体"/>
                <w:color w:val="auto"/>
                <w:szCs w:val="21"/>
                <w:highlight w:val="none"/>
                <w:lang w:bidi="ar"/>
              </w:rPr>
              <w:t>分）</w:t>
            </w:r>
          </w:p>
        </w:tc>
        <w:tc>
          <w:tcPr>
            <w:tcW w:w="10016" w:type="dxa"/>
            <w:tcBorders>
              <w:top w:val="single" w:color="auto" w:sz="4" w:space="0"/>
              <w:left w:val="single" w:color="auto" w:sz="4" w:space="0"/>
              <w:bottom w:val="single" w:color="auto" w:sz="4" w:space="0"/>
              <w:right w:val="single" w:color="auto" w:sz="4" w:space="0"/>
            </w:tcBorders>
            <w:shd w:val="clear" w:color="auto" w:fill="auto"/>
            <w:vAlign w:val="center"/>
          </w:tcPr>
          <w:p w14:paraId="46AFA0F9">
            <w:pPr>
              <w:pStyle w:val="9"/>
              <w:ind w:left="0"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投标人近</w:t>
            </w:r>
            <w:r>
              <w:rPr>
                <w:rFonts w:hint="eastAsia" w:cs="宋体"/>
                <w:color w:val="auto"/>
                <w:highlight w:val="none"/>
                <w:lang w:val="en-US" w:eastAsia="zh-CN"/>
              </w:rPr>
              <w:t>三</w:t>
            </w:r>
            <w:r>
              <w:rPr>
                <w:rFonts w:hint="eastAsia" w:ascii="宋体" w:hAnsi="宋体" w:eastAsia="宋体" w:cs="宋体"/>
                <w:color w:val="auto"/>
                <w:highlight w:val="none"/>
                <w:lang w:eastAsia="zh-CN"/>
              </w:rPr>
              <w:t>年（202</w:t>
            </w:r>
            <w:r>
              <w:rPr>
                <w:rFonts w:hint="eastAsia" w:cs="宋体"/>
                <w:color w:val="auto"/>
                <w:highlight w:val="none"/>
                <w:lang w:val="en-US" w:eastAsia="zh-CN"/>
              </w:rPr>
              <w:t>2</w:t>
            </w:r>
            <w:r>
              <w:rPr>
                <w:rFonts w:hint="eastAsia" w:ascii="宋体" w:hAnsi="宋体" w:eastAsia="宋体" w:cs="宋体"/>
                <w:color w:val="auto"/>
                <w:highlight w:val="none"/>
                <w:lang w:eastAsia="zh-CN"/>
              </w:rPr>
              <w:t>年1月1日至投标截止时间）</w:t>
            </w:r>
            <w:r>
              <w:rPr>
                <w:rFonts w:hint="eastAsia"/>
                <w:color w:val="auto"/>
                <w:highlight w:val="none"/>
              </w:rPr>
              <w:t>建筑工程</w:t>
            </w:r>
            <w:r>
              <w:rPr>
                <w:rFonts w:hint="eastAsia"/>
                <w:color w:val="auto"/>
                <w:highlight w:val="none"/>
                <w:lang w:val="en-US" w:eastAsia="zh-CN"/>
              </w:rPr>
              <w:t>类</w:t>
            </w:r>
            <w:r>
              <w:rPr>
                <w:rFonts w:hint="eastAsia" w:ascii="宋体" w:hAnsi="宋体" w:eastAsia="宋体" w:cs="宋体"/>
                <w:color w:val="auto"/>
                <w:highlight w:val="none"/>
                <w:lang w:eastAsia="zh-CN"/>
              </w:rPr>
              <w:t>设计业绩获奖情况：</w:t>
            </w:r>
            <w:r>
              <w:rPr>
                <w:rFonts w:hint="eastAsia" w:ascii="宋体" w:hAnsi="宋体" w:eastAsia="宋体" w:cs="宋体"/>
                <w:color w:val="auto"/>
                <w:highlight w:val="none"/>
                <w:lang w:eastAsia="zh-CN"/>
              </w:rPr>
              <w:tab/>
            </w:r>
          </w:p>
          <w:p w14:paraId="5C3A5C56">
            <w:pPr>
              <w:pStyle w:val="9"/>
              <w:ind w:left="0"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（1）获得国家级设计奖项，每项得</w:t>
            </w:r>
            <w:r>
              <w:rPr>
                <w:rFonts w:hint="eastAsia" w:cs="宋体"/>
                <w:color w:val="auto"/>
                <w:highlight w:val="none"/>
                <w:lang w:val="en-US" w:eastAsia="zh-CN"/>
              </w:rPr>
              <w:t>2</w:t>
            </w:r>
            <w:r>
              <w:rPr>
                <w:rFonts w:hint="eastAsia" w:ascii="宋体" w:hAnsi="宋体" w:eastAsia="宋体" w:cs="宋体"/>
                <w:color w:val="auto"/>
                <w:highlight w:val="none"/>
                <w:lang w:eastAsia="zh-CN"/>
              </w:rPr>
              <w:t>分，本小项最多得</w:t>
            </w:r>
            <w:r>
              <w:rPr>
                <w:rFonts w:hint="eastAsia" w:cs="宋体"/>
                <w:color w:val="auto"/>
                <w:highlight w:val="none"/>
                <w:lang w:val="en-US" w:eastAsia="zh-CN"/>
              </w:rPr>
              <w:t>8</w:t>
            </w:r>
            <w:r>
              <w:rPr>
                <w:rFonts w:hint="eastAsia" w:ascii="宋体" w:hAnsi="宋体" w:eastAsia="宋体" w:cs="宋体"/>
                <w:color w:val="auto"/>
                <w:highlight w:val="none"/>
                <w:lang w:eastAsia="zh-CN"/>
              </w:rPr>
              <w:t>分；</w:t>
            </w:r>
          </w:p>
          <w:p w14:paraId="66BF100F">
            <w:pPr>
              <w:pStyle w:val="9"/>
              <w:ind w:left="0"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（2）获得省级设计奖项，每项得</w:t>
            </w:r>
            <w:r>
              <w:rPr>
                <w:rFonts w:hint="eastAsia" w:cs="宋体"/>
                <w:color w:val="auto"/>
                <w:highlight w:val="none"/>
                <w:lang w:val="en-US" w:eastAsia="zh-CN"/>
              </w:rPr>
              <w:t>1</w:t>
            </w:r>
            <w:r>
              <w:rPr>
                <w:rFonts w:hint="eastAsia" w:ascii="宋体" w:hAnsi="宋体" w:eastAsia="宋体" w:cs="宋体"/>
                <w:color w:val="auto"/>
                <w:highlight w:val="none"/>
                <w:lang w:eastAsia="zh-CN"/>
              </w:rPr>
              <w:t>分，本小项最多得</w:t>
            </w:r>
            <w:r>
              <w:rPr>
                <w:rFonts w:hint="eastAsia" w:cs="宋体"/>
                <w:color w:val="auto"/>
                <w:highlight w:val="none"/>
                <w:lang w:val="en-US" w:eastAsia="zh-CN"/>
              </w:rPr>
              <w:t>2</w:t>
            </w:r>
            <w:r>
              <w:rPr>
                <w:rFonts w:hint="eastAsia" w:ascii="宋体" w:hAnsi="宋体" w:eastAsia="宋体" w:cs="宋体"/>
                <w:color w:val="auto"/>
                <w:highlight w:val="none"/>
                <w:lang w:eastAsia="zh-CN"/>
              </w:rPr>
              <w:t>分；</w:t>
            </w:r>
          </w:p>
          <w:p w14:paraId="401393A1">
            <w:pPr>
              <w:pStyle w:val="9"/>
              <w:ind w:left="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t>（3）获得市级（含副省级）设计奖项，每项得</w:t>
            </w:r>
            <w:r>
              <w:rPr>
                <w:rFonts w:hint="eastAsia" w:cs="宋体"/>
                <w:color w:val="auto"/>
                <w:highlight w:val="none"/>
                <w:lang w:val="en-US" w:eastAsia="zh-CN"/>
              </w:rPr>
              <w:t>0.5</w:t>
            </w:r>
            <w:r>
              <w:rPr>
                <w:rFonts w:hint="eastAsia" w:ascii="宋体" w:hAnsi="宋体" w:eastAsia="宋体" w:cs="宋体"/>
                <w:color w:val="auto"/>
                <w:highlight w:val="none"/>
                <w:lang w:eastAsia="zh-CN"/>
              </w:rPr>
              <w:t>分，本小项最多得</w:t>
            </w:r>
            <w:r>
              <w:rPr>
                <w:rFonts w:hint="eastAsia" w:cs="宋体"/>
                <w:color w:val="auto"/>
                <w:highlight w:val="none"/>
                <w:lang w:val="en-US" w:eastAsia="zh-CN"/>
              </w:rPr>
              <w:t>1</w:t>
            </w:r>
            <w:r>
              <w:rPr>
                <w:rFonts w:hint="eastAsia" w:ascii="宋体" w:hAnsi="宋体" w:eastAsia="宋体" w:cs="宋体"/>
                <w:color w:val="auto"/>
                <w:highlight w:val="none"/>
                <w:lang w:eastAsia="zh-CN"/>
              </w:rPr>
              <w:t>分。</w:t>
            </w:r>
          </w:p>
        </w:tc>
        <w:tc>
          <w:tcPr>
            <w:tcW w:w="995" w:type="dxa"/>
            <w:tcBorders>
              <w:top w:val="single" w:color="auto" w:sz="4" w:space="0"/>
              <w:left w:val="single" w:color="auto" w:sz="4" w:space="0"/>
              <w:bottom w:val="single" w:color="auto" w:sz="4" w:space="0"/>
              <w:right w:val="single" w:color="auto" w:sz="4" w:space="0"/>
            </w:tcBorders>
            <w:shd w:val="clear" w:color="auto" w:fill="auto"/>
          </w:tcPr>
          <w:p w14:paraId="67358276">
            <w:pPr>
              <w:rPr>
                <w:rFonts w:ascii="宋体" w:hAnsi="宋体" w:cs="宋体"/>
                <w:color w:val="auto"/>
                <w:szCs w:val="21"/>
                <w:highlight w:val="none"/>
              </w:rPr>
            </w:pPr>
          </w:p>
        </w:tc>
      </w:tr>
      <w:tr w14:paraId="5783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633" w:type="dxa"/>
            <w:vMerge w:val="restart"/>
            <w:tcBorders>
              <w:top w:val="nil"/>
              <w:left w:val="single" w:color="auto" w:sz="4" w:space="0"/>
              <w:bottom w:val="single" w:color="auto" w:sz="4" w:space="0"/>
              <w:right w:val="single" w:color="auto" w:sz="4" w:space="0"/>
            </w:tcBorders>
            <w:shd w:val="clear" w:color="auto" w:fill="auto"/>
            <w:vAlign w:val="center"/>
          </w:tcPr>
          <w:p w14:paraId="6C752A4D">
            <w:pPr>
              <w:jc w:val="center"/>
              <w:rPr>
                <w:rFonts w:ascii="宋体" w:hAnsi="宋体" w:cs="宋体"/>
                <w:color w:val="auto"/>
                <w:szCs w:val="21"/>
                <w:highlight w:val="none"/>
              </w:rPr>
            </w:pPr>
            <w:r>
              <w:rPr>
                <w:rFonts w:hint="eastAsia" w:ascii="宋体" w:hAnsi="宋体" w:cs="宋体"/>
                <w:color w:val="auto"/>
                <w:szCs w:val="21"/>
                <w:highlight w:val="none"/>
                <w:lang w:bidi="ar"/>
              </w:rPr>
              <w:t>3</w:t>
            </w:r>
          </w:p>
        </w:tc>
        <w:tc>
          <w:tcPr>
            <w:tcW w:w="1058" w:type="dxa"/>
            <w:vMerge w:val="restart"/>
            <w:tcBorders>
              <w:top w:val="nil"/>
              <w:left w:val="single" w:color="auto" w:sz="4" w:space="0"/>
              <w:bottom w:val="single" w:color="auto" w:sz="4" w:space="0"/>
              <w:right w:val="single" w:color="auto" w:sz="4" w:space="0"/>
            </w:tcBorders>
            <w:shd w:val="clear" w:color="auto" w:fill="auto"/>
            <w:vAlign w:val="center"/>
          </w:tcPr>
          <w:p w14:paraId="243719F8">
            <w:pPr>
              <w:jc w:val="center"/>
              <w:rPr>
                <w:rFonts w:ascii="宋体" w:hAnsi="宋体" w:cs="宋体"/>
                <w:color w:val="auto"/>
                <w:szCs w:val="21"/>
                <w:highlight w:val="none"/>
              </w:rPr>
            </w:pPr>
            <w:r>
              <w:rPr>
                <w:rFonts w:hint="eastAsia" w:ascii="宋体" w:hAnsi="宋体" w:cs="宋体"/>
                <w:color w:val="auto"/>
                <w:szCs w:val="21"/>
                <w:highlight w:val="none"/>
                <w:lang w:bidi="ar"/>
              </w:rPr>
              <w:t>人员实力</w:t>
            </w:r>
          </w:p>
          <w:p w14:paraId="43B911C9">
            <w:pPr>
              <w:jc w:val="center"/>
              <w:rPr>
                <w:rFonts w:ascii="宋体" w:hAnsi="宋体" w:cs="宋体"/>
                <w:color w:val="auto"/>
                <w:szCs w:val="21"/>
                <w:highlight w:val="none"/>
              </w:rPr>
            </w:pPr>
            <w:r>
              <w:rPr>
                <w:rFonts w:hint="eastAsia" w:ascii="宋体" w:hAnsi="宋体" w:cs="宋体"/>
                <w:color w:val="auto"/>
                <w:szCs w:val="21"/>
                <w:highlight w:val="none"/>
                <w:lang w:bidi="ar"/>
              </w:rPr>
              <w:t>（</w:t>
            </w:r>
            <w:r>
              <w:rPr>
                <w:rFonts w:hint="eastAsia" w:ascii="宋体" w:hAnsi="宋体" w:cs="宋体"/>
                <w:color w:val="auto"/>
                <w:szCs w:val="21"/>
                <w:highlight w:val="none"/>
                <w:lang w:val="en-US" w:eastAsia="zh-CN" w:bidi="ar"/>
              </w:rPr>
              <w:t>10</w:t>
            </w:r>
            <w:r>
              <w:rPr>
                <w:rFonts w:hint="eastAsia" w:ascii="宋体" w:hAnsi="宋体" w:cs="宋体"/>
                <w:color w:val="auto"/>
                <w:szCs w:val="21"/>
                <w:highlight w:val="none"/>
                <w:lang w:bidi="ar"/>
              </w:rPr>
              <w:t>分）</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14:paraId="10B4AB2F">
            <w:pPr>
              <w:jc w:val="center"/>
              <w:rPr>
                <w:rFonts w:ascii="宋体" w:hAnsi="宋体" w:cs="宋体"/>
                <w:color w:val="auto"/>
                <w:szCs w:val="21"/>
                <w:highlight w:val="none"/>
              </w:rPr>
            </w:pPr>
            <w:r>
              <w:rPr>
                <w:rFonts w:hint="eastAsia" w:ascii="宋体" w:hAnsi="宋体" w:cs="宋体"/>
                <w:color w:val="auto"/>
                <w:szCs w:val="21"/>
                <w:highlight w:val="none"/>
                <w:lang w:bidi="ar"/>
              </w:rPr>
              <w:t>项目负责人</w:t>
            </w:r>
          </w:p>
          <w:p w14:paraId="46214F76">
            <w:pPr>
              <w:jc w:val="center"/>
              <w:rPr>
                <w:rFonts w:ascii="宋体" w:hAnsi="宋体" w:cs="宋体"/>
                <w:color w:val="auto"/>
                <w:szCs w:val="21"/>
                <w:highlight w:val="none"/>
              </w:rPr>
            </w:pPr>
            <w:r>
              <w:rPr>
                <w:rFonts w:hint="eastAsia" w:ascii="宋体" w:hAnsi="宋体" w:cs="宋体"/>
                <w:bCs/>
                <w:color w:val="auto"/>
                <w:szCs w:val="21"/>
                <w:highlight w:val="none"/>
                <w:lang w:bidi="ar"/>
              </w:rPr>
              <w:t>（</w:t>
            </w:r>
            <w:r>
              <w:rPr>
                <w:rFonts w:hint="eastAsia" w:ascii="宋体" w:hAnsi="宋体" w:cs="宋体"/>
                <w:bCs/>
                <w:color w:val="auto"/>
                <w:szCs w:val="21"/>
                <w:highlight w:val="none"/>
                <w:lang w:val="en-US" w:eastAsia="zh-CN" w:bidi="ar"/>
              </w:rPr>
              <w:t>4</w:t>
            </w:r>
            <w:r>
              <w:rPr>
                <w:rFonts w:hint="eastAsia" w:ascii="宋体" w:hAnsi="宋体" w:cs="宋体"/>
                <w:bCs/>
                <w:color w:val="auto"/>
                <w:szCs w:val="21"/>
                <w:highlight w:val="none"/>
                <w:lang w:bidi="ar"/>
              </w:rPr>
              <w:t>分）</w:t>
            </w:r>
          </w:p>
        </w:tc>
        <w:tc>
          <w:tcPr>
            <w:tcW w:w="10016" w:type="dxa"/>
            <w:tcBorders>
              <w:top w:val="single" w:color="auto" w:sz="4" w:space="0"/>
              <w:left w:val="single" w:color="auto" w:sz="4" w:space="0"/>
              <w:bottom w:val="single" w:color="auto" w:sz="4" w:space="0"/>
              <w:right w:val="single" w:color="auto" w:sz="4" w:space="0"/>
            </w:tcBorders>
            <w:shd w:val="clear" w:color="auto" w:fill="auto"/>
            <w:vAlign w:val="center"/>
          </w:tcPr>
          <w:p w14:paraId="7F4A0881">
            <w:pPr>
              <w:ind w:firstLine="0" w:firstLineChars="0"/>
              <w:rPr>
                <w:rFonts w:hint="eastAsia"/>
                <w:b w:val="0"/>
                <w:bCs/>
                <w:color w:val="auto"/>
                <w:highlight w:val="none"/>
              </w:rPr>
            </w:pPr>
            <w:r>
              <w:rPr>
                <w:rFonts w:cs="宋体"/>
                <w:color w:val="auto"/>
                <w:szCs w:val="21"/>
                <w:highlight w:val="none"/>
              </w:rPr>
              <w:t>1.</w:t>
            </w:r>
            <w:r>
              <w:rPr>
                <w:rFonts w:hint="eastAsia" w:ascii="宋体" w:hAnsi="宋体" w:cs="宋体"/>
                <w:color w:val="auto"/>
                <w:szCs w:val="21"/>
                <w:highlight w:val="none"/>
                <w:lang w:bidi="ar"/>
              </w:rPr>
              <w:t>项目负责人</w:t>
            </w:r>
            <w:r>
              <w:rPr>
                <w:rFonts w:hint="eastAsia"/>
                <w:b w:val="0"/>
                <w:bCs/>
                <w:color w:val="auto"/>
                <w:highlight w:val="none"/>
              </w:rPr>
              <w:t>具有</w:t>
            </w:r>
            <w:r>
              <w:rPr>
                <w:rFonts w:hint="eastAsia"/>
                <w:color w:val="auto"/>
                <w:highlight w:val="none"/>
              </w:rPr>
              <w:t>建筑工程</w:t>
            </w:r>
            <w:r>
              <w:rPr>
                <w:rFonts w:hint="eastAsia"/>
                <w:color w:val="auto"/>
                <w:highlight w:val="none"/>
                <w:lang w:val="en-US" w:eastAsia="zh-CN"/>
              </w:rPr>
              <w:t>类</w:t>
            </w:r>
            <w:r>
              <w:rPr>
                <w:rFonts w:hint="eastAsia"/>
                <w:b w:val="0"/>
                <w:bCs/>
                <w:color w:val="auto"/>
                <w:highlight w:val="none"/>
              </w:rPr>
              <w:t>相关专业教授级(或正高级)职称的，得</w:t>
            </w:r>
            <w:r>
              <w:rPr>
                <w:rFonts w:hint="eastAsia"/>
                <w:b/>
                <w:bCs w:val="0"/>
                <w:color w:val="auto"/>
                <w:highlight w:val="none"/>
                <w:lang w:val="en-US" w:eastAsia="zh-CN"/>
              </w:rPr>
              <w:t>3</w:t>
            </w:r>
            <w:r>
              <w:rPr>
                <w:rFonts w:hint="eastAsia"/>
                <w:b w:val="0"/>
                <w:bCs/>
                <w:color w:val="auto"/>
                <w:highlight w:val="none"/>
              </w:rPr>
              <w:t>分，具有</w:t>
            </w:r>
            <w:r>
              <w:rPr>
                <w:rFonts w:hint="eastAsia"/>
                <w:color w:val="auto"/>
                <w:highlight w:val="none"/>
              </w:rPr>
              <w:t>建筑工程</w:t>
            </w:r>
            <w:r>
              <w:rPr>
                <w:rFonts w:hint="eastAsia"/>
                <w:color w:val="auto"/>
                <w:highlight w:val="none"/>
                <w:lang w:val="en-US" w:eastAsia="zh-CN"/>
              </w:rPr>
              <w:t>类</w:t>
            </w:r>
            <w:r>
              <w:rPr>
                <w:rFonts w:hint="eastAsia"/>
                <w:b w:val="0"/>
                <w:bCs/>
                <w:color w:val="auto"/>
                <w:highlight w:val="none"/>
              </w:rPr>
              <w:t>相关专业高级工程师（副高级）职称的，得</w:t>
            </w:r>
            <w:r>
              <w:rPr>
                <w:rFonts w:hint="eastAsia"/>
                <w:b w:val="0"/>
                <w:bCs/>
                <w:color w:val="auto"/>
                <w:highlight w:val="none"/>
                <w:lang w:val="en-US" w:eastAsia="zh-CN"/>
              </w:rPr>
              <w:t>2</w:t>
            </w:r>
            <w:r>
              <w:rPr>
                <w:rFonts w:hint="eastAsia"/>
                <w:b w:val="0"/>
                <w:bCs/>
                <w:color w:val="auto"/>
                <w:highlight w:val="none"/>
              </w:rPr>
              <w:t>分，无不得分。</w:t>
            </w:r>
          </w:p>
          <w:p w14:paraId="2096D327">
            <w:pPr>
              <w:adjustRightInd/>
              <w:snapToGrid/>
              <w:ind w:right="0" w:rightChars="0" w:firstLine="0" w:firstLineChars="0"/>
              <w:rPr>
                <w:rFonts w:cs="宋体"/>
                <w:color w:val="auto"/>
                <w:szCs w:val="21"/>
                <w:highlight w:val="none"/>
              </w:rPr>
            </w:pPr>
            <w:r>
              <w:rPr>
                <w:rFonts w:cs="宋体"/>
                <w:color w:val="auto"/>
                <w:szCs w:val="21"/>
                <w:highlight w:val="none"/>
              </w:rPr>
              <w:t>2.近</w:t>
            </w:r>
            <w:r>
              <w:rPr>
                <w:rFonts w:hint="eastAsia" w:cs="宋体"/>
                <w:color w:val="auto"/>
                <w:szCs w:val="21"/>
                <w:highlight w:val="none"/>
                <w:lang w:val="en-US" w:eastAsia="zh-CN"/>
              </w:rPr>
              <w:t>三</w:t>
            </w:r>
            <w:r>
              <w:rPr>
                <w:rFonts w:cs="宋体"/>
                <w:color w:val="auto"/>
                <w:szCs w:val="21"/>
                <w:highlight w:val="none"/>
              </w:rPr>
              <w:t>年（202</w:t>
            </w:r>
            <w:r>
              <w:rPr>
                <w:rFonts w:hint="eastAsia" w:cs="宋体"/>
                <w:color w:val="auto"/>
                <w:szCs w:val="21"/>
                <w:highlight w:val="none"/>
                <w:lang w:val="en-US" w:eastAsia="zh-CN"/>
              </w:rPr>
              <w:t>2</w:t>
            </w:r>
            <w:r>
              <w:rPr>
                <w:rFonts w:cs="宋体"/>
                <w:color w:val="auto"/>
                <w:szCs w:val="21"/>
                <w:highlight w:val="none"/>
              </w:rPr>
              <w:t>年1月1日</w:t>
            </w:r>
            <w:r>
              <w:rPr>
                <w:rFonts w:hint="eastAsia" w:ascii="宋体" w:hAnsi="宋体" w:cs="宋体"/>
                <w:color w:val="auto"/>
                <w:szCs w:val="21"/>
                <w:highlight w:val="none"/>
              </w:rPr>
              <w:t>至投标截止时间</w:t>
            </w:r>
            <w:r>
              <w:rPr>
                <w:rFonts w:cs="宋体"/>
                <w:color w:val="auto"/>
                <w:szCs w:val="21"/>
                <w:highlight w:val="none"/>
              </w:rPr>
              <w:t>）担任项目负责人或设计负责人并完成过项目总投资</w:t>
            </w:r>
            <w:r>
              <w:rPr>
                <w:rFonts w:hint="eastAsia" w:cs="宋体"/>
                <w:color w:val="auto"/>
                <w:szCs w:val="21"/>
                <w:highlight w:val="none"/>
                <w:lang w:eastAsia="zh-CN"/>
              </w:rPr>
              <w:t>（或建安费）</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85000</w:t>
            </w:r>
            <w:r>
              <w:rPr>
                <w:rFonts w:hint="eastAsia" w:ascii="宋体" w:hAnsi="宋体" w:eastAsia="宋体" w:cs="宋体"/>
                <w:color w:val="auto"/>
                <w:szCs w:val="21"/>
                <w:highlight w:val="none"/>
              </w:rPr>
              <w:t>万</w:t>
            </w:r>
            <w:r>
              <w:rPr>
                <w:rFonts w:cs="宋体"/>
                <w:color w:val="auto"/>
                <w:szCs w:val="21"/>
                <w:highlight w:val="none"/>
              </w:rPr>
              <w:t>元</w:t>
            </w:r>
            <w:r>
              <w:rPr>
                <w:rFonts w:hint="eastAsia" w:ascii="宋体" w:hAnsi="宋体" w:cs="宋体"/>
                <w:color w:val="auto"/>
                <w:szCs w:val="21"/>
                <w:highlight w:val="none"/>
                <w:lang w:val="en-US" w:eastAsia="zh-CN"/>
              </w:rPr>
              <w:t>或建筑面积</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150000平方米</w:t>
            </w:r>
            <w:r>
              <w:rPr>
                <w:rFonts w:hint="eastAsia"/>
                <w:color w:val="auto"/>
                <w:highlight w:val="none"/>
              </w:rPr>
              <w:t>建筑工程</w:t>
            </w:r>
            <w:r>
              <w:rPr>
                <w:rFonts w:hint="eastAsia"/>
                <w:color w:val="auto"/>
                <w:highlight w:val="none"/>
                <w:lang w:val="en-US" w:eastAsia="zh-CN"/>
              </w:rPr>
              <w:t>类</w:t>
            </w:r>
            <w:r>
              <w:rPr>
                <w:rFonts w:cs="宋体"/>
                <w:color w:val="auto"/>
                <w:szCs w:val="21"/>
                <w:highlight w:val="none"/>
              </w:rPr>
              <w:t>设计业绩的，得</w:t>
            </w:r>
            <w:r>
              <w:rPr>
                <w:rFonts w:hint="eastAsia" w:cs="宋体"/>
                <w:b/>
                <w:bCs/>
                <w:color w:val="auto"/>
                <w:szCs w:val="21"/>
                <w:highlight w:val="none"/>
                <w:lang w:val="en-US" w:eastAsia="zh-CN"/>
              </w:rPr>
              <w:t>1</w:t>
            </w:r>
            <w:r>
              <w:rPr>
                <w:rFonts w:cs="宋体"/>
                <w:color w:val="auto"/>
                <w:szCs w:val="21"/>
                <w:highlight w:val="none"/>
              </w:rPr>
              <w:t>分。</w:t>
            </w:r>
          </w:p>
        </w:tc>
        <w:tc>
          <w:tcPr>
            <w:tcW w:w="995" w:type="dxa"/>
            <w:tcBorders>
              <w:top w:val="single" w:color="auto" w:sz="4" w:space="0"/>
              <w:left w:val="single" w:color="auto" w:sz="4" w:space="0"/>
              <w:bottom w:val="single" w:color="auto" w:sz="4" w:space="0"/>
              <w:right w:val="single" w:color="auto" w:sz="4" w:space="0"/>
            </w:tcBorders>
            <w:shd w:val="clear" w:color="auto" w:fill="auto"/>
          </w:tcPr>
          <w:p w14:paraId="6D137C35">
            <w:pPr>
              <w:rPr>
                <w:rFonts w:ascii="宋体" w:hAnsi="宋体" w:cs="宋体"/>
                <w:color w:val="auto"/>
                <w:szCs w:val="21"/>
                <w:highlight w:val="none"/>
              </w:rPr>
            </w:pPr>
          </w:p>
        </w:tc>
      </w:tr>
      <w:tr w14:paraId="264B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633" w:type="dxa"/>
            <w:vMerge w:val="continue"/>
            <w:tcBorders>
              <w:top w:val="nil"/>
              <w:left w:val="single" w:color="auto" w:sz="4" w:space="0"/>
              <w:bottom w:val="single" w:color="auto" w:sz="4" w:space="0"/>
              <w:right w:val="single" w:color="auto" w:sz="4" w:space="0"/>
            </w:tcBorders>
            <w:shd w:val="clear" w:color="auto" w:fill="auto"/>
            <w:vAlign w:val="center"/>
          </w:tcPr>
          <w:p w14:paraId="7AA5486A">
            <w:pPr>
              <w:rPr>
                <w:rFonts w:ascii="Times New Roman" w:hAnsi="Times New Roman"/>
                <w:color w:val="auto"/>
                <w:sz w:val="20"/>
                <w:szCs w:val="20"/>
                <w:highlight w:val="none"/>
              </w:rPr>
            </w:pPr>
          </w:p>
        </w:tc>
        <w:tc>
          <w:tcPr>
            <w:tcW w:w="1058" w:type="dxa"/>
            <w:vMerge w:val="continue"/>
            <w:tcBorders>
              <w:top w:val="nil"/>
              <w:left w:val="single" w:color="auto" w:sz="4" w:space="0"/>
              <w:bottom w:val="single" w:color="auto" w:sz="4" w:space="0"/>
              <w:right w:val="single" w:color="auto" w:sz="4" w:space="0"/>
            </w:tcBorders>
            <w:shd w:val="clear" w:color="auto" w:fill="auto"/>
            <w:vAlign w:val="center"/>
          </w:tcPr>
          <w:p w14:paraId="70B6AE3D">
            <w:pPr>
              <w:rPr>
                <w:rFonts w:ascii="Times New Roman" w:hAnsi="Times New Roman"/>
                <w:color w:val="auto"/>
                <w:sz w:val="20"/>
                <w:szCs w:val="20"/>
                <w:highlight w:val="none"/>
              </w:rPr>
            </w:pP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14:paraId="37AC32B1">
            <w:pPr>
              <w:jc w:val="center"/>
              <w:rPr>
                <w:rFonts w:ascii="宋体" w:hAnsi="宋体" w:cs="宋体"/>
                <w:color w:val="auto"/>
                <w:szCs w:val="21"/>
                <w:highlight w:val="none"/>
              </w:rPr>
            </w:pPr>
            <w:r>
              <w:rPr>
                <w:rFonts w:hint="eastAsia" w:ascii="宋体" w:hAnsi="宋体" w:cs="宋体"/>
                <w:color w:val="auto"/>
                <w:szCs w:val="21"/>
                <w:highlight w:val="none"/>
                <w:lang w:bidi="ar"/>
              </w:rPr>
              <w:t>拟投入其他技术人员</w:t>
            </w:r>
          </w:p>
          <w:p w14:paraId="2068DE39">
            <w:pPr>
              <w:jc w:val="center"/>
              <w:rPr>
                <w:rFonts w:ascii="宋体" w:hAnsi="宋体" w:cs="宋体"/>
                <w:color w:val="auto"/>
                <w:szCs w:val="21"/>
                <w:highlight w:val="none"/>
              </w:rPr>
            </w:pPr>
            <w:r>
              <w:rPr>
                <w:rFonts w:hint="eastAsia" w:ascii="宋体" w:hAnsi="宋体" w:cs="宋体"/>
                <w:color w:val="auto"/>
                <w:szCs w:val="21"/>
                <w:highlight w:val="none"/>
                <w:lang w:bidi="ar"/>
              </w:rPr>
              <w:t>（</w:t>
            </w:r>
            <w:r>
              <w:rPr>
                <w:rFonts w:hint="eastAsia" w:ascii="宋体" w:hAnsi="宋体" w:cs="宋体"/>
                <w:color w:val="auto"/>
                <w:szCs w:val="21"/>
                <w:highlight w:val="none"/>
                <w:lang w:val="en-US" w:eastAsia="zh-CN" w:bidi="ar"/>
              </w:rPr>
              <w:t>6</w:t>
            </w:r>
            <w:r>
              <w:rPr>
                <w:rFonts w:hint="eastAsia" w:ascii="宋体" w:hAnsi="宋体" w:cs="宋体"/>
                <w:color w:val="auto"/>
                <w:szCs w:val="21"/>
                <w:highlight w:val="none"/>
                <w:lang w:bidi="ar"/>
              </w:rPr>
              <w:t xml:space="preserve">分） </w:t>
            </w:r>
          </w:p>
        </w:tc>
        <w:tc>
          <w:tcPr>
            <w:tcW w:w="10016" w:type="dxa"/>
            <w:tcBorders>
              <w:top w:val="single" w:color="auto" w:sz="4" w:space="0"/>
              <w:left w:val="single" w:color="auto" w:sz="4" w:space="0"/>
              <w:bottom w:val="single" w:color="auto" w:sz="4" w:space="0"/>
              <w:right w:val="single" w:color="auto" w:sz="4" w:space="0"/>
            </w:tcBorders>
            <w:shd w:val="clear" w:color="auto" w:fill="auto"/>
            <w:vAlign w:val="center"/>
          </w:tcPr>
          <w:p w14:paraId="1C6E69C6">
            <w:pPr>
              <w:ind w:firstLine="0" w:firstLineChars="0"/>
              <w:jc w:val="left"/>
              <w:rPr>
                <w:rFonts w:ascii="宋体" w:hAnsi="宋体" w:cs="宋体"/>
                <w:color w:val="auto"/>
                <w:szCs w:val="21"/>
                <w:highlight w:val="none"/>
                <w:lang w:bidi="ar"/>
              </w:rPr>
            </w:pPr>
            <w:r>
              <w:rPr>
                <w:rFonts w:hint="eastAsia" w:ascii="宋体" w:hAnsi="宋体" w:cs="宋体"/>
                <w:color w:val="auto"/>
                <w:szCs w:val="21"/>
                <w:highlight w:val="none"/>
                <w:lang w:bidi="ar"/>
              </w:rPr>
              <w:t>1.投标人项目管理机构配备健全，满足投标文件格式六《拟委任的主要人员汇总表》中基本要求的得</w:t>
            </w:r>
            <w:r>
              <w:rPr>
                <w:rFonts w:hint="eastAsia" w:ascii="宋体" w:hAnsi="宋体" w:cs="宋体"/>
                <w:b/>
                <w:bCs/>
                <w:color w:val="auto"/>
                <w:szCs w:val="21"/>
                <w:highlight w:val="none"/>
                <w:lang w:bidi="ar"/>
              </w:rPr>
              <w:t>1</w:t>
            </w:r>
            <w:r>
              <w:rPr>
                <w:rFonts w:hint="eastAsia" w:ascii="宋体" w:hAnsi="宋体" w:cs="宋体"/>
                <w:color w:val="auto"/>
                <w:szCs w:val="21"/>
                <w:highlight w:val="none"/>
                <w:lang w:bidi="ar"/>
              </w:rPr>
              <w:t>分。</w:t>
            </w:r>
          </w:p>
          <w:p w14:paraId="3A2CA338">
            <w:pPr>
              <w:ind w:firstLine="0" w:firstLineChars="0"/>
              <w:jc w:val="left"/>
              <w:rPr>
                <w:rFonts w:ascii="宋体" w:hAnsi="宋体" w:cs="宋体"/>
                <w:color w:val="auto"/>
                <w:szCs w:val="21"/>
                <w:highlight w:val="none"/>
                <w:lang w:bidi="ar"/>
              </w:rPr>
            </w:pPr>
            <w:r>
              <w:rPr>
                <w:rFonts w:hint="eastAsia" w:ascii="宋体" w:hAnsi="宋体" w:cs="宋体"/>
                <w:color w:val="auto"/>
                <w:szCs w:val="21"/>
                <w:highlight w:val="none"/>
                <w:lang w:bidi="ar"/>
              </w:rPr>
              <w:t>2.技术负责人</w:t>
            </w:r>
            <w:r>
              <w:rPr>
                <w:rFonts w:hint="eastAsia"/>
                <w:b w:val="0"/>
                <w:bCs/>
                <w:color w:val="auto"/>
                <w:highlight w:val="none"/>
              </w:rPr>
              <w:t>具有</w:t>
            </w:r>
            <w:r>
              <w:rPr>
                <w:rFonts w:hint="eastAsia"/>
                <w:color w:val="auto"/>
                <w:highlight w:val="none"/>
              </w:rPr>
              <w:t>建筑工程</w:t>
            </w:r>
            <w:r>
              <w:rPr>
                <w:rFonts w:hint="eastAsia"/>
                <w:color w:val="auto"/>
                <w:highlight w:val="none"/>
                <w:lang w:val="en-US" w:eastAsia="zh-CN"/>
              </w:rPr>
              <w:t>类</w:t>
            </w:r>
            <w:r>
              <w:rPr>
                <w:rFonts w:hint="eastAsia"/>
                <w:b w:val="0"/>
                <w:bCs/>
                <w:color w:val="auto"/>
                <w:highlight w:val="none"/>
              </w:rPr>
              <w:t>相关专业教授级(或正高级)职称的，得</w:t>
            </w:r>
            <w:r>
              <w:rPr>
                <w:rFonts w:hint="eastAsia"/>
                <w:b/>
                <w:bCs w:val="0"/>
                <w:color w:val="auto"/>
                <w:highlight w:val="none"/>
                <w:lang w:val="en-US" w:eastAsia="zh-CN"/>
              </w:rPr>
              <w:t>2</w:t>
            </w:r>
            <w:r>
              <w:rPr>
                <w:rFonts w:hint="eastAsia"/>
                <w:b w:val="0"/>
                <w:bCs/>
                <w:color w:val="auto"/>
                <w:highlight w:val="none"/>
              </w:rPr>
              <w:t>分，具有</w:t>
            </w:r>
            <w:r>
              <w:rPr>
                <w:rFonts w:hint="eastAsia"/>
                <w:color w:val="auto"/>
                <w:highlight w:val="none"/>
              </w:rPr>
              <w:t>建筑工程</w:t>
            </w:r>
            <w:r>
              <w:rPr>
                <w:rFonts w:hint="eastAsia"/>
                <w:color w:val="auto"/>
                <w:highlight w:val="none"/>
                <w:lang w:val="en-US" w:eastAsia="zh-CN"/>
              </w:rPr>
              <w:t>类</w:t>
            </w:r>
            <w:r>
              <w:rPr>
                <w:rFonts w:hint="eastAsia"/>
                <w:b w:val="0"/>
                <w:bCs/>
                <w:color w:val="auto"/>
                <w:highlight w:val="none"/>
              </w:rPr>
              <w:t>相关专业高级工程师（副高级）职称的，得</w:t>
            </w:r>
            <w:r>
              <w:rPr>
                <w:rFonts w:hint="eastAsia"/>
                <w:b w:val="0"/>
                <w:bCs/>
                <w:color w:val="auto"/>
                <w:highlight w:val="none"/>
                <w:lang w:val="en-US" w:eastAsia="zh-CN"/>
              </w:rPr>
              <w:t>1</w:t>
            </w:r>
            <w:bookmarkStart w:id="36" w:name="_GoBack"/>
            <w:bookmarkEnd w:id="36"/>
            <w:r>
              <w:rPr>
                <w:rFonts w:hint="eastAsia"/>
                <w:b w:val="0"/>
                <w:bCs/>
                <w:color w:val="auto"/>
                <w:highlight w:val="none"/>
              </w:rPr>
              <w:t>分，无不得分。</w:t>
            </w:r>
          </w:p>
          <w:p w14:paraId="75630552">
            <w:pPr>
              <w:ind w:firstLine="0" w:firstLineChars="0"/>
              <w:jc w:val="left"/>
              <w:rPr>
                <w:rFonts w:ascii="宋体" w:hAnsi="宋体" w:cs="宋体"/>
                <w:color w:val="auto"/>
                <w:szCs w:val="21"/>
                <w:highlight w:val="none"/>
                <w:lang w:bidi="ar"/>
              </w:rPr>
            </w:pPr>
            <w:r>
              <w:rPr>
                <w:rFonts w:hint="eastAsia" w:ascii="宋体" w:hAnsi="宋体" w:cs="宋体"/>
                <w:color w:val="auto"/>
                <w:szCs w:val="21"/>
                <w:highlight w:val="none"/>
                <w:lang w:val="en-US" w:eastAsia="zh-CN" w:bidi="ar"/>
              </w:rPr>
              <w:t>3</w:t>
            </w:r>
            <w:r>
              <w:rPr>
                <w:rFonts w:hint="eastAsia" w:ascii="宋体" w:hAnsi="宋体" w:cs="宋体"/>
                <w:color w:val="auto"/>
                <w:szCs w:val="21"/>
                <w:highlight w:val="none"/>
                <w:lang w:bidi="ar"/>
              </w:rPr>
              <w:t>.其他专业负责人</w:t>
            </w:r>
            <w:r>
              <w:rPr>
                <w:rFonts w:hint="eastAsia" w:ascii="宋体" w:hAnsi="宋体" w:cs="宋体"/>
                <w:color w:val="auto"/>
                <w:szCs w:val="21"/>
                <w:highlight w:val="none"/>
                <w:lang w:val="en-US" w:eastAsia="zh-CN" w:bidi="ar"/>
              </w:rPr>
              <w:t>[</w:t>
            </w:r>
            <w:r>
              <w:rPr>
                <w:rFonts w:hint="eastAsia" w:ascii="宋体" w:hAnsi="宋体" w:cs="宋体"/>
                <w:color w:val="auto"/>
                <w:szCs w:val="21"/>
                <w:highlight w:val="none"/>
                <w:lang w:bidi="ar"/>
              </w:rPr>
              <w:t>指建筑、结构、</w:t>
            </w:r>
            <w:r>
              <w:rPr>
                <w:rFonts w:hint="eastAsia" w:ascii="宋体" w:hAnsi="宋体" w:cs="宋体"/>
                <w:color w:val="auto"/>
                <w:szCs w:val="21"/>
                <w:highlight w:val="none"/>
                <w:lang w:eastAsia="zh-CN" w:bidi="ar"/>
              </w:rPr>
              <w:t>给排水</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CN" w:bidi="ar"/>
              </w:rPr>
              <w:t>电气、</w:t>
            </w:r>
            <w:r>
              <w:rPr>
                <w:rFonts w:hint="eastAsia"/>
                <w:color w:val="auto"/>
                <w:sz w:val="21"/>
                <w:szCs w:val="21"/>
                <w:highlight w:val="none"/>
              </w:rPr>
              <w:t>暖通</w:t>
            </w:r>
            <w:r>
              <w:rPr>
                <w:rFonts w:hint="eastAsia"/>
                <w:color w:val="auto"/>
                <w:sz w:val="21"/>
                <w:szCs w:val="21"/>
                <w:highlight w:val="none"/>
                <w:lang w:eastAsia="zh-CN"/>
              </w:rPr>
              <w:t>空调</w:t>
            </w:r>
            <w:r>
              <w:rPr>
                <w:rFonts w:hint="eastAsia" w:ascii="宋体" w:hAnsi="宋体" w:cs="宋体"/>
                <w:color w:val="auto"/>
                <w:szCs w:val="21"/>
                <w:highlight w:val="none"/>
                <w:lang w:val="en-US" w:eastAsia="zh-CN" w:bidi="ar"/>
              </w:rPr>
              <w:t>]</w:t>
            </w:r>
            <w:r>
              <w:rPr>
                <w:rFonts w:hint="eastAsia" w:ascii="宋体" w:hAnsi="宋体" w:cs="宋体"/>
                <w:color w:val="auto"/>
                <w:szCs w:val="21"/>
                <w:highlight w:val="none"/>
                <w:lang w:bidi="ar"/>
              </w:rPr>
              <w:t>每有一人具备</w:t>
            </w:r>
            <w:r>
              <w:rPr>
                <w:rFonts w:hint="eastAsia"/>
                <w:color w:val="auto"/>
                <w:highlight w:val="none"/>
              </w:rPr>
              <w:t>建筑工程</w:t>
            </w:r>
            <w:r>
              <w:rPr>
                <w:rFonts w:hint="eastAsia"/>
                <w:color w:val="auto"/>
                <w:highlight w:val="none"/>
                <w:lang w:val="en-US" w:eastAsia="zh-CN"/>
              </w:rPr>
              <w:t>类</w:t>
            </w:r>
            <w:r>
              <w:rPr>
                <w:rFonts w:hint="eastAsia" w:ascii="宋体" w:hAnsi="宋体" w:cs="宋体"/>
                <w:color w:val="auto"/>
                <w:szCs w:val="21"/>
                <w:highlight w:val="none"/>
                <w:lang w:bidi="ar"/>
              </w:rPr>
              <w:t>高级工程师</w:t>
            </w:r>
            <w:r>
              <w:rPr>
                <w:rFonts w:hint="eastAsia" w:ascii="宋体" w:hAnsi="宋体" w:cs="宋体"/>
                <w:color w:val="auto"/>
                <w:szCs w:val="21"/>
                <w:highlight w:val="none"/>
                <w:lang w:eastAsia="zh-CN" w:bidi="ar"/>
              </w:rPr>
              <w:t>（</w:t>
            </w:r>
            <w:r>
              <w:rPr>
                <w:rFonts w:hint="eastAsia" w:cs="宋体"/>
                <w:color w:val="auto"/>
                <w:szCs w:val="21"/>
                <w:highlight w:val="none"/>
                <w:lang w:val="en-US" w:eastAsia="zh-CN"/>
              </w:rPr>
              <w:t>或以上</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技术职称的，每人加</w:t>
            </w:r>
            <w:r>
              <w:rPr>
                <w:rFonts w:hint="eastAsia" w:ascii="宋体" w:hAnsi="宋体" w:cs="宋体"/>
                <w:color w:val="auto"/>
                <w:szCs w:val="21"/>
                <w:highlight w:val="none"/>
                <w:lang w:val="en-US" w:eastAsia="zh-CN" w:bidi="ar"/>
              </w:rPr>
              <w:t>1.5</w:t>
            </w:r>
            <w:r>
              <w:rPr>
                <w:rFonts w:hint="eastAsia" w:ascii="宋体" w:hAnsi="宋体" w:cs="宋体"/>
                <w:color w:val="auto"/>
                <w:szCs w:val="21"/>
                <w:highlight w:val="none"/>
                <w:lang w:bidi="ar"/>
              </w:rPr>
              <w:t>分，本小项最多得</w:t>
            </w:r>
            <w:r>
              <w:rPr>
                <w:rFonts w:hint="eastAsia" w:ascii="宋体" w:hAnsi="宋体" w:cs="宋体"/>
                <w:b/>
                <w:bCs/>
                <w:color w:val="auto"/>
                <w:szCs w:val="21"/>
                <w:highlight w:val="none"/>
                <w:lang w:val="en-US" w:eastAsia="zh-CN" w:bidi="ar"/>
              </w:rPr>
              <w:t>3</w:t>
            </w:r>
            <w:r>
              <w:rPr>
                <w:rFonts w:hint="eastAsia" w:ascii="宋体" w:hAnsi="宋体" w:cs="宋体"/>
                <w:color w:val="auto"/>
                <w:szCs w:val="21"/>
                <w:highlight w:val="none"/>
                <w:lang w:bidi="ar"/>
              </w:rPr>
              <w:t>分。</w:t>
            </w:r>
          </w:p>
        </w:tc>
        <w:tc>
          <w:tcPr>
            <w:tcW w:w="995" w:type="dxa"/>
            <w:tcBorders>
              <w:top w:val="single" w:color="auto" w:sz="4" w:space="0"/>
              <w:left w:val="single" w:color="auto" w:sz="4" w:space="0"/>
              <w:bottom w:val="single" w:color="auto" w:sz="4" w:space="0"/>
              <w:right w:val="single" w:color="auto" w:sz="4" w:space="0"/>
            </w:tcBorders>
            <w:shd w:val="clear" w:color="auto" w:fill="auto"/>
          </w:tcPr>
          <w:p w14:paraId="0F23498D">
            <w:pPr>
              <w:rPr>
                <w:rFonts w:ascii="宋体" w:hAnsi="宋体" w:cs="宋体"/>
                <w:color w:val="auto"/>
                <w:szCs w:val="21"/>
                <w:highlight w:val="none"/>
              </w:rPr>
            </w:pPr>
          </w:p>
        </w:tc>
      </w:tr>
      <w:tr w14:paraId="7553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633" w:type="dxa"/>
            <w:tcBorders>
              <w:top w:val="nil"/>
              <w:left w:val="single" w:color="auto" w:sz="4" w:space="0"/>
              <w:bottom w:val="single" w:color="auto" w:sz="4" w:space="0"/>
              <w:right w:val="single" w:color="auto" w:sz="4" w:space="0"/>
            </w:tcBorders>
            <w:shd w:val="clear" w:color="auto" w:fill="auto"/>
            <w:vAlign w:val="center"/>
          </w:tcPr>
          <w:p w14:paraId="4E286A38">
            <w:pPr>
              <w:jc w:val="center"/>
              <w:rPr>
                <w:rFonts w:hint="eastAsia" w:ascii="Times New Roman" w:hAnsi="Times New Roman" w:eastAsia="宋体"/>
                <w:color w:val="auto"/>
                <w:sz w:val="20"/>
                <w:szCs w:val="20"/>
                <w:highlight w:val="none"/>
                <w:lang w:eastAsia="zh-CN"/>
              </w:rPr>
            </w:pPr>
            <w:bookmarkStart w:id="19" w:name="OLE_LINK1" w:colFirst="1" w:colLast="2"/>
            <w:r>
              <w:rPr>
                <w:rFonts w:hint="eastAsia" w:ascii="Times New Roman" w:hAnsi="Times New Roman"/>
                <w:color w:val="auto"/>
                <w:sz w:val="20"/>
                <w:szCs w:val="20"/>
                <w:highlight w:val="none"/>
                <w:lang w:val="en-US" w:eastAsia="zh-CN"/>
              </w:rPr>
              <w:t>4</w:t>
            </w:r>
          </w:p>
        </w:tc>
        <w:tc>
          <w:tcPr>
            <w:tcW w:w="2527" w:type="dxa"/>
            <w:gridSpan w:val="2"/>
            <w:tcBorders>
              <w:top w:val="nil"/>
              <w:left w:val="single" w:color="auto" w:sz="4" w:space="0"/>
              <w:bottom w:val="single" w:color="auto" w:sz="4" w:space="0"/>
              <w:right w:val="single" w:color="auto" w:sz="4" w:space="0"/>
            </w:tcBorders>
            <w:shd w:val="clear" w:color="auto" w:fill="auto"/>
            <w:vAlign w:val="center"/>
          </w:tcPr>
          <w:p w14:paraId="478A8037">
            <w:pPr>
              <w:jc w:val="center"/>
              <w:rPr>
                <w:rFonts w:ascii="宋体" w:hAnsi="宋体" w:cs="宋体"/>
                <w:color w:val="auto"/>
                <w:szCs w:val="21"/>
                <w:highlight w:val="none"/>
                <w:lang w:bidi="ar"/>
              </w:rPr>
            </w:pPr>
            <w:r>
              <w:rPr>
                <w:rFonts w:hint="eastAsia" w:ascii="宋体" w:hAnsi="宋体" w:cs="宋体"/>
                <w:color w:val="auto"/>
                <w:szCs w:val="21"/>
                <w:highlight w:val="none"/>
              </w:rPr>
              <w:t>信誉（</w:t>
            </w:r>
            <w:r>
              <w:rPr>
                <w:rFonts w:hint="eastAsia" w:ascii="宋体" w:hAnsi="宋体" w:cs="宋体"/>
                <w:color w:val="auto"/>
                <w:szCs w:val="21"/>
                <w:highlight w:val="none"/>
                <w:lang w:val="en-US" w:eastAsia="zh-CN"/>
              </w:rPr>
              <w:t>4</w:t>
            </w:r>
            <w:r>
              <w:rPr>
                <w:rStyle w:val="25"/>
                <w:rFonts w:hint="eastAsia" w:ascii="宋体" w:hAnsi="宋体" w:cs="宋体"/>
                <w:b w:val="0"/>
                <w:color w:val="auto"/>
                <w:szCs w:val="21"/>
                <w:highlight w:val="none"/>
              </w:rPr>
              <w:t>分</w:t>
            </w:r>
            <w:r>
              <w:rPr>
                <w:rFonts w:hint="eastAsia" w:ascii="宋体" w:hAnsi="宋体" w:cs="宋体"/>
                <w:color w:val="auto"/>
                <w:szCs w:val="21"/>
                <w:highlight w:val="none"/>
              </w:rPr>
              <w:t>）</w:t>
            </w:r>
          </w:p>
        </w:tc>
        <w:tc>
          <w:tcPr>
            <w:tcW w:w="10016" w:type="dxa"/>
            <w:tcBorders>
              <w:top w:val="single" w:color="auto" w:sz="4" w:space="0"/>
              <w:left w:val="single" w:color="auto" w:sz="4" w:space="0"/>
              <w:bottom w:val="single" w:color="auto" w:sz="4" w:space="0"/>
              <w:right w:val="single" w:color="auto" w:sz="4" w:space="0"/>
            </w:tcBorders>
            <w:shd w:val="clear" w:color="auto" w:fill="auto"/>
            <w:vAlign w:val="center"/>
          </w:tcPr>
          <w:p w14:paraId="3122B0B0">
            <w:pPr>
              <w:adjustRightInd w:val="0"/>
              <w:snapToGrid w:val="0"/>
              <w:ind w:left="0" w:leftChars="0" w:right="134" w:rightChars="64"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投标人同时具备质量管理</w:t>
            </w:r>
            <w:r>
              <w:rPr>
                <w:rFonts w:hint="eastAsia" w:ascii="宋体" w:hAnsi="宋体" w:cs="宋体"/>
                <w:color w:val="auto"/>
                <w:szCs w:val="21"/>
                <w:highlight w:val="none"/>
                <w:lang w:val="en-US" w:eastAsia="zh-CN"/>
              </w:rPr>
              <w:t>认证</w:t>
            </w:r>
            <w:r>
              <w:rPr>
                <w:rFonts w:hint="eastAsia" w:ascii="宋体" w:hAnsi="宋体" w:eastAsia="宋体" w:cs="宋体"/>
                <w:color w:val="auto"/>
                <w:szCs w:val="21"/>
                <w:highlight w:val="none"/>
              </w:rPr>
              <w:t>体系、环境管理</w:t>
            </w:r>
            <w:r>
              <w:rPr>
                <w:rFonts w:hint="eastAsia" w:ascii="宋体" w:hAnsi="宋体" w:cs="宋体"/>
                <w:color w:val="auto"/>
                <w:szCs w:val="21"/>
                <w:highlight w:val="none"/>
                <w:lang w:val="en-US" w:eastAsia="zh-CN"/>
              </w:rPr>
              <w:t>认证</w:t>
            </w:r>
            <w:r>
              <w:rPr>
                <w:rFonts w:hint="eastAsia" w:ascii="宋体" w:hAnsi="宋体" w:eastAsia="宋体" w:cs="宋体"/>
                <w:color w:val="auto"/>
                <w:szCs w:val="21"/>
                <w:highlight w:val="none"/>
              </w:rPr>
              <w:t>体系和职业健康安全管理</w:t>
            </w:r>
            <w:r>
              <w:rPr>
                <w:rFonts w:hint="eastAsia" w:ascii="宋体" w:hAnsi="宋体" w:cs="宋体"/>
                <w:color w:val="auto"/>
                <w:szCs w:val="21"/>
                <w:highlight w:val="none"/>
                <w:lang w:val="en-US" w:eastAsia="zh-CN"/>
              </w:rPr>
              <w:t>认证</w:t>
            </w:r>
            <w:r>
              <w:rPr>
                <w:rFonts w:hint="eastAsia" w:ascii="宋体" w:hAnsi="宋体" w:eastAsia="宋体" w:cs="宋体"/>
                <w:color w:val="auto"/>
                <w:szCs w:val="21"/>
                <w:highlight w:val="none"/>
              </w:rPr>
              <w:t>体系认证证书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每一项认证体系得0.5分，本小项最多得1.5分</w:t>
            </w:r>
            <w:r>
              <w:rPr>
                <w:rFonts w:hint="eastAsia" w:ascii="宋体" w:hAnsi="宋体" w:eastAsia="宋体" w:cs="宋体"/>
                <w:color w:val="auto"/>
                <w:szCs w:val="21"/>
                <w:highlight w:val="none"/>
              </w:rPr>
              <w:t>。</w:t>
            </w:r>
          </w:p>
          <w:p w14:paraId="3100E970">
            <w:pPr>
              <w:adjustRightInd w:val="0"/>
              <w:snapToGrid w:val="0"/>
              <w:ind w:left="0" w:leftChars="0" w:right="134" w:rightChars="64"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注：须提交上述证书扫描件，认证证书须在有效期内，不符合上述条件或未提供上述资料的不得分。</w:t>
            </w:r>
          </w:p>
          <w:p w14:paraId="12313D65">
            <w:pPr>
              <w:adjustRightInd w:val="0"/>
              <w:snapToGrid w:val="0"/>
              <w:ind w:left="0" w:leftChars="0" w:right="134" w:rightChars="64"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投标人截止202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(含202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)年度，连续取得“纳税信用A级纳税人”3年或以上的，得</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rPr>
              <w:t>分；连续取得2年的，得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分；取得1年的，得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分；其它不得分。</w:t>
            </w:r>
          </w:p>
          <w:p w14:paraId="72C4CDF1">
            <w:pPr>
              <w:adjustRightInd w:val="0"/>
              <w:snapToGrid w:val="0"/>
              <w:ind w:left="0" w:leftChars="0" w:right="134" w:rightChars="64"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A级纳税人须提供企业纳税信用等级证书清晰扫描件或在“国家税务总局”官网（http://www.chinatax.gov.cn/index.html）（或省级税务局网站）纳税信用信息查询结果网页截图。A级纳税人只计算投标人自身（不计算投标人的分公司和子公司）。</w:t>
            </w:r>
          </w:p>
        </w:tc>
        <w:tc>
          <w:tcPr>
            <w:tcW w:w="995" w:type="dxa"/>
            <w:tcBorders>
              <w:top w:val="single" w:color="auto" w:sz="4" w:space="0"/>
              <w:left w:val="single" w:color="auto" w:sz="4" w:space="0"/>
              <w:bottom w:val="single" w:color="auto" w:sz="4" w:space="0"/>
              <w:right w:val="single" w:color="auto" w:sz="4" w:space="0"/>
            </w:tcBorders>
            <w:shd w:val="clear" w:color="auto" w:fill="auto"/>
          </w:tcPr>
          <w:p w14:paraId="199CAF70">
            <w:pPr>
              <w:rPr>
                <w:rFonts w:ascii="宋体" w:hAnsi="宋体" w:cs="宋体"/>
                <w:color w:val="auto"/>
                <w:szCs w:val="21"/>
                <w:highlight w:val="none"/>
              </w:rPr>
            </w:pPr>
          </w:p>
        </w:tc>
      </w:tr>
      <w:bookmarkEnd w:id="19"/>
      <w:tr w14:paraId="4DCE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5DFE6645">
            <w:pPr>
              <w:jc w:val="center"/>
              <w:rPr>
                <w:rFonts w:ascii="宋体" w:hAnsi="宋体" w:cs="宋体"/>
                <w:color w:val="auto"/>
                <w:szCs w:val="21"/>
                <w:highlight w:val="none"/>
              </w:rPr>
            </w:pPr>
            <w:r>
              <w:rPr>
                <w:rFonts w:hint="eastAsia" w:ascii="宋体" w:hAnsi="宋体" w:cs="宋体"/>
                <w:color w:val="auto"/>
                <w:szCs w:val="21"/>
                <w:highlight w:val="none"/>
                <w:lang w:bidi="ar"/>
              </w:rPr>
              <w:t>二</w:t>
            </w:r>
          </w:p>
        </w:tc>
        <w:tc>
          <w:tcPr>
            <w:tcW w:w="25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374F3E">
            <w:pPr>
              <w:jc w:val="center"/>
              <w:rPr>
                <w:rFonts w:hint="eastAsia" w:ascii="宋体" w:hAnsi="宋体" w:cs="宋体"/>
                <w:b/>
                <w:bCs/>
                <w:color w:val="auto"/>
                <w:szCs w:val="21"/>
                <w:highlight w:val="none"/>
                <w:lang w:val="en-US" w:eastAsia="zh-CN" w:bidi="ar"/>
              </w:rPr>
            </w:pPr>
            <w:r>
              <w:rPr>
                <w:rFonts w:hint="eastAsia" w:ascii="宋体" w:hAnsi="宋体" w:cs="宋体"/>
                <w:b/>
                <w:bCs/>
                <w:color w:val="auto"/>
                <w:szCs w:val="21"/>
                <w:highlight w:val="none"/>
                <w:lang w:val="en-US" w:eastAsia="zh-CN" w:bidi="ar"/>
              </w:rPr>
              <w:t>技术文件</w:t>
            </w:r>
          </w:p>
          <w:p w14:paraId="64BC44BD">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设计方案部分</w:t>
            </w:r>
          </w:p>
          <w:p w14:paraId="085E6A01">
            <w:pPr>
              <w:jc w:val="center"/>
              <w:rPr>
                <w:rFonts w:ascii="宋体" w:hAnsi="宋体" w:cs="宋体"/>
                <w:color w:val="auto"/>
                <w:szCs w:val="21"/>
                <w:highlight w:val="none"/>
              </w:rPr>
            </w:pPr>
            <w:r>
              <w:rPr>
                <w:rFonts w:hint="eastAsia" w:ascii="宋体" w:hAnsi="宋体" w:cs="宋体"/>
                <w:b/>
                <w:bCs/>
                <w:color w:val="auto"/>
                <w:szCs w:val="21"/>
                <w:highlight w:val="none"/>
                <w:lang w:bidi="ar"/>
              </w:rPr>
              <w:t>（</w:t>
            </w:r>
            <w:r>
              <w:rPr>
                <w:rFonts w:hint="eastAsia" w:ascii="宋体" w:hAnsi="宋体" w:cs="宋体"/>
                <w:b/>
                <w:bCs/>
                <w:color w:val="auto"/>
                <w:szCs w:val="21"/>
                <w:highlight w:val="none"/>
                <w:lang w:val="en-US" w:eastAsia="zh-CN" w:bidi="ar"/>
              </w:rPr>
              <w:t>60</w:t>
            </w:r>
            <w:r>
              <w:rPr>
                <w:rFonts w:hint="eastAsia" w:ascii="宋体" w:hAnsi="宋体" w:cs="宋体"/>
                <w:b/>
                <w:bCs/>
                <w:color w:val="auto"/>
                <w:szCs w:val="21"/>
                <w:highlight w:val="none"/>
                <w:lang w:bidi="ar"/>
              </w:rPr>
              <w:t>分）</w:t>
            </w:r>
          </w:p>
        </w:tc>
        <w:tc>
          <w:tcPr>
            <w:tcW w:w="10016" w:type="dxa"/>
            <w:tcBorders>
              <w:top w:val="single" w:color="auto" w:sz="4" w:space="0"/>
              <w:left w:val="single" w:color="auto" w:sz="4" w:space="0"/>
              <w:bottom w:val="single" w:color="auto" w:sz="4" w:space="0"/>
              <w:right w:val="single" w:color="auto" w:sz="4" w:space="0"/>
            </w:tcBorders>
            <w:shd w:val="clear" w:color="auto" w:fill="auto"/>
            <w:vAlign w:val="center"/>
          </w:tcPr>
          <w:p w14:paraId="6F3A46D5">
            <w:pPr>
              <w:adjustRightInd w:val="0"/>
              <w:snapToGrid w:val="0"/>
              <w:ind w:right="134" w:rightChars="64"/>
              <w:rPr>
                <w:rFonts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shd w:val="clear" w:color="auto" w:fill="auto"/>
          </w:tcPr>
          <w:p w14:paraId="715B56DC">
            <w:pPr>
              <w:rPr>
                <w:rFonts w:ascii="宋体" w:hAnsi="宋体" w:cs="宋体"/>
                <w:color w:val="auto"/>
                <w:szCs w:val="21"/>
                <w:highlight w:val="none"/>
              </w:rPr>
            </w:pPr>
          </w:p>
        </w:tc>
      </w:tr>
      <w:tr w14:paraId="0ACC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33" w:type="dxa"/>
            <w:tcBorders>
              <w:top w:val="single" w:color="auto" w:sz="4" w:space="0"/>
              <w:left w:val="single" w:color="auto" w:sz="4" w:space="0"/>
              <w:right w:val="single" w:color="auto" w:sz="4" w:space="0"/>
            </w:tcBorders>
            <w:shd w:val="clear" w:color="auto" w:fill="auto"/>
            <w:vAlign w:val="center"/>
          </w:tcPr>
          <w:p w14:paraId="6481B8D1">
            <w:pPr>
              <w:pStyle w:val="18"/>
              <w:jc w:val="center"/>
              <w:rPr>
                <w:rFonts w:hint="eastAsia" w:eastAsia="宋体" w:cs="宋体"/>
                <w:color w:val="auto"/>
                <w:sz w:val="21"/>
                <w:szCs w:val="21"/>
                <w:highlight w:val="none"/>
                <w:lang w:val="en-US" w:eastAsia="zh-CN"/>
              </w:rPr>
            </w:pPr>
            <w:r>
              <w:rPr>
                <w:rFonts w:hint="eastAsia" w:eastAsia="宋体" w:cs="宋体"/>
                <w:color w:val="auto"/>
                <w:kern w:val="2"/>
                <w:sz w:val="21"/>
                <w:szCs w:val="21"/>
                <w:highlight w:val="none"/>
              </w:rPr>
              <w:t>1</w:t>
            </w:r>
          </w:p>
        </w:tc>
        <w:tc>
          <w:tcPr>
            <w:tcW w:w="25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ADDE21">
            <w:pPr>
              <w:pStyle w:val="18"/>
              <w:rPr>
                <w:rFonts w:hint="eastAsia" w:cs="宋体"/>
                <w:color w:val="auto"/>
                <w:sz w:val="21"/>
                <w:szCs w:val="21"/>
                <w:highlight w:val="none"/>
                <w:lang w:val="en-US" w:eastAsia="zh-CN"/>
              </w:rPr>
            </w:pPr>
            <w:r>
              <w:rPr>
                <w:rFonts w:hint="eastAsia" w:eastAsia="宋体" w:cs="宋体"/>
                <w:color w:val="auto"/>
                <w:kern w:val="2"/>
                <w:sz w:val="21"/>
                <w:szCs w:val="21"/>
                <w:highlight w:val="none"/>
              </w:rPr>
              <w:t>设计重点、难点分析及解决措施（</w:t>
            </w:r>
            <w:r>
              <w:rPr>
                <w:rFonts w:hint="eastAsia" w:eastAsia="宋体" w:cs="宋体"/>
                <w:color w:val="auto"/>
                <w:kern w:val="2"/>
                <w:sz w:val="21"/>
                <w:szCs w:val="21"/>
                <w:highlight w:val="none"/>
                <w:lang w:val="en-US" w:eastAsia="zh-CN"/>
              </w:rPr>
              <w:t>8</w:t>
            </w:r>
            <w:r>
              <w:rPr>
                <w:rFonts w:hint="eastAsia" w:eastAsia="宋体" w:cs="宋体"/>
                <w:color w:val="auto"/>
                <w:kern w:val="2"/>
                <w:sz w:val="21"/>
                <w:szCs w:val="21"/>
                <w:highlight w:val="none"/>
              </w:rPr>
              <w:t>分）</w:t>
            </w:r>
          </w:p>
        </w:tc>
        <w:tc>
          <w:tcPr>
            <w:tcW w:w="10016" w:type="dxa"/>
            <w:tcBorders>
              <w:top w:val="single" w:color="auto" w:sz="4" w:space="0"/>
              <w:left w:val="single" w:color="auto" w:sz="4" w:space="0"/>
              <w:bottom w:val="single" w:color="auto" w:sz="4" w:space="0"/>
              <w:right w:val="single" w:color="auto" w:sz="4" w:space="0"/>
            </w:tcBorders>
            <w:shd w:val="clear" w:color="auto" w:fill="auto"/>
            <w:vAlign w:val="center"/>
          </w:tcPr>
          <w:p w14:paraId="6577B7E8">
            <w:pPr>
              <w:adjustRightInd w:val="0"/>
              <w:snapToGrid w:val="0"/>
              <w:ind w:right="134" w:rightChars="64"/>
              <w:rPr>
                <w:rFonts w:cs="宋体"/>
                <w:color w:val="auto"/>
                <w:szCs w:val="21"/>
                <w:highlight w:val="none"/>
              </w:rPr>
            </w:pPr>
            <w:r>
              <w:rPr>
                <w:rFonts w:cs="宋体"/>
                <w:color w:val="auto"/>
                <w:szCs w:val="21"/>
                <w:highlight w:val="none"/>
              </w:rPr>
              <w:t>[好]充分分析本项目设计的重点、难点，针对本项目设计的重点、难点，提出针对性的解决措施，合理化建议切实可行。得[</w:t>
            </w:r>
            <w:r>
              <w:rPr>
                <w:rFonts w:hint="eastAsia" w:cs="宋体"/>
                <w:color w:val="auto"/>
                <w:szCs w:val="21"/>
                <w:highlight w:val="none"/>
                <w:lang w:val="en-US" w:eastAsia="zh-CN"/>
              </w:rPr>
              <w:t>8</w:t>
            </w:r>
            <w:r>
              <w:rPr>
                <w:rFonts w:cs="宋体"/>
                <w:color w:val="auto"/>
                <w:szCs w:val="21"/>
                <w:highlight w:val="none"/>
              </w:rPr>
              <w:t>,</w:t>
            </w:r>
            <w:r>
              <w:rPr>
                <w:rFonts w:hint="eastAsia" w:cs="宋体"/>
                <w:color w:val="auto"/>
                <w:szCs w:val="21"/>
                <w:highlight w:val="none"/>
                <w:lang w:val="en-US" w:eastAsia="zh-CN"/>
              </w:rPr>
              <w:t>5</w:t>
            </w:r>
            <w:r>
              <w:rPr>
                <w:rFonts w:cs="宋体"/>
                <w:color w:val="auto"/>
                <w:szCs w:val="21"/>
                <w:highlight w:val="none"/>
              </w:rPr>
              <w:t>）分。</w:t>
            </w:r>
          </w:p>
          <w:p w14:paraId="29778025">
            <w:pPr>
              <w:adjustRightInd w:val="0"/>
              <w:snapToGrid w:val="0"/>
              <w:ind w:right="134" w:rightChars="64"/>
              <w:rPr>
                <w:rFonts w:cs="宋体"/>
                <w:color w:val="auto"/>
                <w:szCs w:val="21"/>
                <w:highlight w:val="none"/>
              </w:rPr>
            </w:pPr>
            <w:r>
              <w:rPr>
                <w:rFonts w:cs="宋体"/>
                <w:color w:val="auto"/>
                <w:szCs w:val="21"/>
                <w:highlight w:val="none"/>
              </w:rPr>
              <w:t>[中]能较准确的分析本项目设计的重点、难点，针对本项目设计的重点、难点，提出较具有针对性的解决措施，合理化建议较可行。得[</w:t>
            </w:r>
            <w:r>
              <w:rPr>
                <w:rFonts w:hint="eastAsia" w:cs="宋体"/>
                <w:color w:val="auto"/>
                <w:szCs w:val="21"/>
                <w:highlight w:val="none"/>
                <w:lang w:val="en-US" w:eastAsia="zh-CN"/>
              </w:rPr>
              <w:t>5</w:t>
            </w:r>
            <w:r>
              <w:rPr>
                <w:rFonts w:cs="宋体"/>
                <w:color w:val="auto"/>
                <w:szCs w:val="21"/>
                <w:highlight w:val="none"/>
              </w:rPr>
              <w:t>,</w:t>
            </w:r>
            <w:r>
              <w:rPr>
                <w:rFonts w:hint="eastAsia" w:cs="宋体"/>
                <w:color w:val="auto"/>
                <w:szCs w:val="21"/>
                <w:highlight w:val="none"/>
                <w:lang w:val="en-US" w:eastAsia="zh-CN"/>
              </w:rPr>
              <w:t>2</w:t>
            </w:r>
            <w:r>
              <w:rPr>
                <w:rFonts w:cs="宋体"/>
                <w:color w:val="auto"/>
                <w:szCs w:val="21"/>
                <w:highlight w:val="none"/>
              </w:rPr>
              <w:t>）分。</w:t>
            </w:r>
          </w:p>
          <w:p w14:paraId="68661CD7">
            <w:pPr>
              <w:adjustRightInd w:val="0"/>
              <w:snapToGrid w:val="0"/>
              <w:ind w:right="134" w:rightChars="64"/>
              <w:rPr>
                <w:rFonts w:hint="eastAsia" w:ascii="宋体" w:hAnsi="宋体" w:eastAsia="宋体" w:cs="宋体"/>
                <w:color w:val="auto"/>
                <w:szCs w:val="21"/>
                <w:highlight w:val="none"/>
                <w:lang w:eastAsia="zh-CN"/>
              </w:rPr>
            </w:pPr>
            <w:r>
              <w:rPr>
                <w:rFonts w:cs="宋体"/>
                <w:color w:val="auto"/>
                <w:szCs w:val="21"/>
                <w:highlight w:val="none"/>
              </w:rPr>
              <w:t>[差]不满足“好”、“中”的评审标准。得[</w:t>
            </w:r>
            <w:r>
              <w:rPr>
                <w:rFonts w:hint="eastAsia" w:cs="宋体"/>
                <w:color w:val="auto"/>
                <w:szCs w:val="21"/>
                <w:highlight w:val="none"/>
                <w:lang w:val="en-US" w:eastAsia="zh-CN"/>
              </w:rPr>
              <w:t>2</w:t>
            </w:r>
            <w:r>
              <w:rPr>
                <w:rFonts w:cs="宋体"/>
                <w:color w:val="auto"/>
                <w:szCs w:val="21"/>
                <w:highlight w:val="none"/>
              </w:rPr>
              <w:t>,0]分。</w:t>
            </w:r>
          </w:p>
        </w:tc>
        <w:tc>
          <w:tcPr>
            <w:tcW w:w="995" w:type="dxa"/>
            <w:tcBorders>
              <w:top w:val="single" w:color="auto" w:sz="4" w:space="0"/>
              <w:left w:val="single" w:color="auto" w:sz="4" w:space="0"/>
              <w:right w:val="single" w:color="auto" w:sz="4" w:space="0"/>
            </w:tcBorders>
            <w:shd w:val="clear" w:color="auto" w:fill="auto"/>
            <w:vAlign w:val="center"/>
          </w:tcPr>
          <w:p w14:paraId="747F235F">
            <w:pPr>
              <w:pStyle w:val="18"/>
              <w:rPr>
                <w:rFonts w:cs="宋体"/>
                <w:color w:val="auto"/>
                <w:kern w:val="2"/>
                <w:sz w:val="21"/>
                <w:szCs w:val="21"/>
                <w:highlight w:val="none"/>
              </w:rPr>
            </w:pPr>
          </w:p>
        </w:tc>
      </w:tr>
      <w:tr w14:paraId="64EA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633" w:type="dxa"/>
            <w:tcBorders>
              <w:top w:val="single" w:color="auto" w:sz="4" w:space="0"/>
              <w:left w:val="single" w:color="auto" w:sz="4" w:space="0"/>
              <w:right w:val="single" w:color="auto" w:sz="4" w:space="0"/>
            </w:tcBorders>
            <w:shd w:val="clear" w:color="auto" w:fill="auto"/>
            <w:vAlign w:val="center"/>
          </w:tcPr>
          <w:p w14:paraId="72767C92">
            <w:pPr>
              <w:pStyle w:val="18"/>
              <w:jc w:val="center"/>
              <w:rPr>
                <w:rFonts w:hint="eastAsia" w:eastAsia="宋体" w:cs="宋体"/>
                <w:color w:val="auto"/>
                <w:sz w:val="21"/>
                <w:szCs w:val="21"/>
                <w:highlight w:val="none"/>
                <w:lang w:val="en-US" w:eastAsia="zh-CN"/>
              </w:rPr>
            </w:pPr>
            <w:r>
              <w:rPr>
                <w:rFonts w:hint="eastAsia" w:eastAsia="宋体" w:cs="宋体"/>
                <w:b w:val="0"/>
                <w:bCs w:val="0"/>
                <w:color w:val="auto"/>
                <w:kern w:val="2"/>
                <w:sz w:val="21"/>
                <w:szCs w:val="21"/>
                <w:highlight w:val="none"/>
              </w:rPr>
              <w:t>2</w:t>
            </w:r>
          </w:p>
        </w:tc>
        <w:tc>
          <w:tcPr>
            <w:tcW w:w="25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2D9B2F">
            <w:pPr>
              <w:pStyle w:val="18"/>
              <w:rPr>
                <w:rFonts w:hint="eastAsia" w:cs="宋体"/>
                <w:color w:val="auto"/>
                <w:sz w:val="21"/>
                <w:szCs w:val="21"/>
                <w:highlight w:val="none"/>
                <w:lang w:val="en-US" w:eastAsia="zh-CN"/>
              </w:rPr>
            </w:pPr>
            <w:r>
              <w:rPr>
                <w:rFonts w:hint="eastAsia" w:eastAsia="宋体" w:cs="宋体"/>
                <w:color w:val="auto"/>
                <w:kern w:val="2"/>
                <w:sz w:val="21"/>
                <w:szCs w:val="21"/>
                <w:highlight w:val="none"/>
              </w:rPr>
              <w:t>与</w:t>
            </w:r>
            <w:r>
              <w:rPr>
                <w:rFonts w:hint="eastAsia" w:cs="宋体"/>
                <w:color w:val="auto"/>
                <w:kern w:val="2"/>
                <w:sz w:val="21"/>
                <w:szCs w:val="21"/>
                <w:highlight w:val="none"/>
                <w:lang w:val="en-US" w:eastAsia="zh-CN"/>
              </w:rPr>
              <w:t>前期</w:t>
            </w:r>
            <w:r>
              <w:rPr>
                <w:rFonts w:hint="eastAsia" w:eastAsia="宋体" w:cs="宋体"/>
                <w:color w:val="auto"/>
                <w:kern w:val="2"/>
                <w:sz w:val="21"/>
                <w:szCs w:val="21"/>
                <w:highlight w:val="none"/>
                <w:lang w:val="en-US"/>
              </w:rPr>
              <w:t>设计的衔接工作</w:t>
            </w:r>
            <w:r>
              <w:rPr>
                <w:rFonts w:hint="eastAsia" w:eastAsia="宋体" w:cs="宋体"/>
                <w:color w:val="auto"/>
                <w:kern w:val="2"/>
                <w:sz w:val="21"/>
                <w:szCs w:val="21"/>
                <w:highlight w:val="none"/>
              </w:rPr>
              <w:t>方案（</w:t>
            </w:r>
            <w:r>
              <w:rPr>
                <w:rFonts w:hint="eastAsia" w:eastAsia="宋体" w:cs="宋体"/>
                <w:color w:val="auto"/>
                <w:kern w:val="2"/>
                <w:sz w:val="21"/>
                <w:szCs w:val="21"/>
                <w:highlight w:val="none"/>
                <w:lang w:val="en-US" w:eastAsia="zh-CN"/>
              </w:rPr>
              <w:t>8</w:t>
            </w:r>
            <w:r>
              <w:rPr>
                <w:rFonts w:hint="eastAsia" w:eastAsia="宋体" w:cs="宋体"/>
                <w:color w:val="auto"/>
                <w:kern w:val="2"/>
                <w:sz w:val="21"/>
                <w:szCs w:val="21"/>
                <w:highlight w:val="none"/>
              </w:rPr>
              <w:t>分）</w:t>
            </w:r>
          </w:p>
        </w:tc>
        <w:tc>
          <w:tcPr>
            <w:tcW w:w="10016" w:type="dxa"/>
            <w:tcBorders>
              <w:top w:val="single" w:color="auto" w:sz="4" w:space="0"/>
              <w:left w:val="single" w:color="auto" w:sz="4" w:space="0"/>
              <w:bottom w:val="single" w:color="auto" w:sz="4" w:space="0"/>
              <w:right w:val="single" w:color="auto" w:sz="4" w:space="0"/>
            </w:tcBorders>
            <w:shd w:val="clear" w:color="auto" w:fill="auto"/>
            <w:vAlign w:val="center"/>
          </w:tcPr>
          <w:p w14:paraId="26E5CA47">
            <w:pPr>
              <w:adjustRightInd w:val="0"/>
              <w:snapToGrid w:val="0"/>
              <w:ind w:right="134" w:rightChars="64"/>
              <w:rPr>
                <w:rFonts w:cs="宋体"/>
                <w:color w:val="auto"/>
                <w:szCs w:val="21"/>
                <w:highlight w:val="none"/>
              </w:rPr>
            </w:pPr>
            <w:r>
              <w:rPr>
                <w:rFonts w:cs="宋体"/>
                <w:color w:val="auto"/>
                <w:szCs w:val="21"/>
                <w:highlight w:val="none"/>
              </w:rPr>
              <w:t>[好]</w:t>
            </w:r>
            <w:r>
              <w:rPr>
                <w:rFonts w:hint="eastAsia"/>
                <w:bCs/>
                <w:color w:val="auto"/>
                <w:highlight w:val="none"/>
                <w:lang w:val="zh-CN"/>
              </w:rPr>
              <w:t>结合对项目的理解，对</w:t>
            </w:r>
            <w:r>
              <w:rPr>
                <w:rFonts w:hint="eastAsia"/>
                <w:bCs/>
                <w:color w:val="auto"/>
                <w:highlight w:val="none"/>
                <w:lang w:val="en-US" w:eastAsia="zh-CN"/>
              </w:rPr>
              <w:t>前期</w:t>
            </w:r>
            <w:r>
              <w:rPr>
                <w:rFonts w:hint="eastAsia"/>
                <w:bCs/>
                <w:color w:val="auto"/>
                <w:highlight w:val="none"/>
                <w:lang w:val="zh-CN"/>
              </w:rPr>
              <w:t>设计成果</w:t>
            </w:r>
            <w:r>
              <w:rPr>
                <w:rFonts w:hint="eastAsia"/>
                <w:bCs/>
                <w:color w:val="auto"/>
                <w:highlight w:val="none"/>
              </w:rPr>
              <w:t>与后续设计工作的衔接，</w:t>
            </w:r>
            <w:r>
              <w:rPr>
                <w:rFonts w:hint="eastAsia"/>
                <w:bCs/>
                <w:color w:val="auto"/>
                <w:highlight w:val="none"/>
                <w:lang w:val="zh-CN"/>
              </w:rPr>
              <w:t>提出</w:t>
            </w:r>
            <w:r>
              <w:rPr>
                <w:rFonts w:hint="eastAsia"/>
                <w:bCs/>
                <w:color w:val="auto"/>
                <w:highlight w:val="none"/>
              </w:rPr>
              <w:t>了合理的衔接</w:t>
            </w:r>
            <w:r>
              <w:rPr>
                <w:rFonts w:hint="eastAsia"/>
                <w:bCs/>
                <w:color w:val="auto"/>
                <w:highlight w:val="none"/>
                <w:lang w:val="zh-CN"/>
              </w:rPr>
              <w:t>思路</w:t>
            </w:r>
            <w:r>
              <w:rPr>
                <w:rFonts w:hint="eastAsia"/>
                <w:bCs/>
                <w:color w:val="auto"/>
                <w:highlight w:val="none"/>
              </w:rPr>
              <w:t>及建议</w:t>
            </w:r>
            <w:r>
              <w:rPr>
                <w:rFonts w:cs="宋体"/>
                <w:color w:val="auto"/>
                <w:szCs w:val="21"/>
                <w:highlight w:val="none"/>
              </w:rPr>
              <w:t>。得[</w:t>
            </w:r>
            <w:r>
              <w:rPr>
                <w:rFonts w:hint="eastAsia" w:cs="宋体"/>
                <w:color w:val="auto"/>
                <w:szCs w:val="21"/>
                <w:highlight w:val="none"/>
                <w:lang w:val="en-US" w:eastAsia="zh-CN"/>
              </w:rPr>
              <w:t>8</w:t>
            </w:r>
            <w:r>
              <w:rPr>
                <w:rFonts w:cs="宋体"/>
                <w:color w:val="auto"/>
                <w:szCs w:val="21"/>
                <w:highlight w:val="none"/>
              </w:rPr>
              <w:t>,</w:t>
            </w:r>
            <w:r>
              <w:rPr>
                <w:rFonts w:hint="eastAsia" w:cs="宋体"/>
                <w:color w:val="auto"/>
                <w:szCs w:val="21"/>
                <w:highlight w:val="none"/>
                <w:lang w:val="en-US" w:eastAsia="zh-CN"/>
              </w:rPr>
              <w:t>5</w:t>
            </w:r>
            <w:r>
              <w:rPr>
                <w:rFonts w:cs="宋体"/>
                <w:color w:val="auto"/>
                <w:szCs w:val="21"/>
                <w:highlight w:val="none"/>
              </w:rPr>
              <w:t>）分。</w:t>
            </w:r>
          </w:p>
          <w:p w14:paraId="700FB095">
            <w:pPr>
              <w:adjustRightInd w:val="0"/>
              <w:snapToGrid w:val="0"/>
              <w:ind w:right="134" w:rightChars="64"/>
              <w:rPr>
                <w:rFonts w:cs="宋体"/>
                <w:color w:val="auto"/>
                <w:szCs w:val="21"/>
                <w:highlight w:val="none"/>
              </w:rPr>
            </w:pPr>
            <w:r>
              <w:rPr>
                <w:rFonts w:cs="宋体"/>
                <w:color w:val="auto"/>
                <w:szCs w:val="21"/>
                <w:highlight w:val="none"/>
              </w:rPr>
              <w:t>[中]</w:t>
            </w:r>
            <w:r>
              <w:rPr>
                <w:rFonts w:hint="eastAsia"/>
                <w:bCs/>
                <w:color w:val="auto"/>
                <w:highlight w:val="none"/>
                <w:lang w:val="zh-CN"/>
              </w:rPr>
              <w:t>结合对项目的理解，对</w:t>
            </w:r>
            <w:r>
              <w:rPr>
                <w:rFonts w:hint="eastAsia"/>
                <w:bCs/>
                <w:color w:val="auto"/>
                <w:highlight w:val="none"/>
                <w:lang w:val="en-US" w:eastAsia="zh-CN"/>
              </w:rPr>
              <w:t>前期</w:t>
            </w:r>
            <w:r>
              <w:rPr>
                <w:rFonts w:hint="eastAsia"/>
                <w:bCs/>
                <w:color w:val="auto"/>
                <w:highlight w:val="none"/>
                <w:lang w:val="zh-CN"/>
              </w:rPr>
              <w:t>设计成果</w:t>
            </w:r>
            <w:r>
              <w:rPr>
                <w:rFonts w:hint="eastAsia"/>
                <w:bCs/>
                <w:color w:val="auto"/>
                <w:highlight w:val="none"/>
              </w:rPr>
              <w:t>与后续设计工作的衔接，</w:t>
            </w:r>
            <w:r>
              <w:rPr>
                <w:rFonts w:hint="eastAsia"/>
                <w:bCs/>
                <w:color w:val="auto"/>
                <w:highlight w:val="none"/>
                <w:lang w:val="zh-CN"/>
              </w:rPr>
              <w:t>提出</w:t>
            </w:r>
            <w:r>
              <w:rPr>
                <w:rFonts w:hint="eastAsia"/>
                <w:bCs/>
                <w:color w:val="auto"/>
                <w:highlight w:val="none"/>
              </w:rPr>
              <w:t>了较合理的衔接</w:t>
            </w:r>
            <w:r>
              <w:rPr>
                <w:rFonts w:hint="eastAsia"/>
                <w:bCs/>
                <w:color w:val="auto"/>
                <w:highlight w:val="none"/>
                <w:lang w:val="zh-CN"/>
              </w:rPr>
              <w:t>思路</w:t>
            </w:r>
            <w:r>
              <w:rPr>
                <w:rFonts w:hint="eastAsia"/>
                <w:bCs/>
                <w:color w:val="auto"/>
                <w:highlight w:val="none"/>
              </w:rPr>
              <w:t>及建议</w:t>
            </w:r>
            <w:r>
              <w:rPr>
                <w:rFonts w:cs="宋体"/>
                <w:color w:val="auto"/>
                <w:szCs w:val="21"/>
                <w:highlight w:val="none"/>
              </w:rPr>
              <w:t>。得[</w:t>
            </w:r>
            <w:r>
              <w:rPr>
                <w:rFonts w:hint="eastAsia" w:cs="宋体"/>
                <w:color w:val="auto"/>
                <w:szCs w:val="21"/>
                <w:highlight w:val="none"/>
                <w:lang w:val="en-US" w:eastAsia="zh-CN"/>
              </w:rPr>
              <w:t>5</w:t>
            </w:r>
            <w:r>
              <w:rPr>
                <w:rFonts w:cs="宋体"/>
                <w:color w:val="auto"/>
                <w:szCs w:val="21"/>
                <w:highlight w:val="none"/>
              </w:rPr>
              <w:t>,</w:t>
            </w:r>
            <w:r>
              <w:rPr>
                <w:rFonts w:hint="eastAsia" w:cs="宋体"/>
                <w:color w:val="auto"/>
                <w:szCs w:val="21"/>
                <w:highlight w:val="none"/>
                <w:lang w:val="en-US" w:eastAsia="zh-CN"/>
              </w:rPr>
              <w:t>2</w:t>
            </w:r>
            <w:r>
              <w:rPr>
                <w:rFonts w:cs="宋体"/>
                <w:color w:val="auto"/>
                <w:szCs w:val="21"/>
                <w:highlight w:val="none"/>
              </w:rPr>
              <w:t>）分。</w:t>
            </w:r>
          </w:p>
          <w:p w14:paraId="163B40C5">
            <w:pPr>
              <w:adjustRightInd w:val="0"/>
              <w:snapToGrid w:val="0"/>
              <w:ind w:right="134" w:rightChars="64"/>
              <w:rPr>
                <w:rFonts w:hint="eastAsia" w:ascii="宋体" w:hAnsi="宋体" w:eastAsia="宋体" w:cs="宋体"/>
                <w:color w:val="auto"/>
                <w:szCs w:val="21"/>
                <w:highlight w:val="none"/>
              </w:rPr>
            </w:pPr>
            <w:r>
              <w:rPr>
                <w:rFonts w:cs="宋体"/>
                <w:color w:val="auto"/>
                <w:szCs w:val="21"/>
                <w:highlight w:val="none"/>
              </w:rPr>
              <w:t>[差]不满足“好”、“中”的评审标准。得[</w:t>
            </w:r>
            <w:r>
              <w:rPr>
                <w:rFonts w:hint="eastAsia" w:cs="宋体"/>
                <w:color w:val="auto"/>
                <w:szCs w:val="21"/>
                <w:highlight w:val="none"/>
                <w:lang w:val="en-US" w:eastAsia="zh-CN"/>
              </w:rPr>
              <w:t>2</w:t>
            </w:r>
            <w:r>
              <w:rPr>
                <w:rFonts w:cs="宋体"/>
                <w:color w:val="auto"/>
                <w:szCs w:val="21"/>
                <w:highlight w:val="none"/>
              </w:rPr>
              <w:t>,0]分。</w:t>
            </w:r>
          </w:p>
        </w:tc>
        <w:tc>
          <w:tcPr>
            <w:tcW w:w="995" w:type="dxa"/>
            <w:tcBorders>
              <w:top w:val="single" w:color="auto" w:sz="4" w:space="0"/>
              <w:left w:val="single" w:color="auto" w:sz="4" w:space="0"/>
              <w:right w:val="single" w:color="auto" w:sz="4" w:space="0"/>
            </w:tcBorders>
            <w:shd w:val="clear" w:color="auto" w:fill="auto"/>
            <w:vAlign w:val="center"/>
          </w:tcPr>
          <w:p w14:paraId="1081315B">
            <w:pPr>
              <w:pStyle w:val="18"/>
              <w:rPr>
                <w:rFonts w:cs="宋体"/>
                <w:color w:val="auto"/>
                <w:kern w:val="2"/>
                <w:sz w:val="21"/>
                <w:szCs w:val="21"/>
                <w:highlight w:val="none"/>
              </w:rPr>
            </w:pPr>
          </w:p>
        </w:tc>
      </w:tr>
      <w:tr w14:paraId="4D21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633" w:type="dxa"/>
            <w:tcBorders>
              <w:top w:val="single" w:color="auto" w:sz="4" w:space="0"/>
              <w:left w:val="single" w:color="auto" w:sz="4" w:space="0"/>
              <w:right w:val="single" w:color="auto" w:sz="4" w:space="0"/>
            </w:tcBorders>
            <w:shd w:val="clear" w:color="auto" w:fill="auto"/>
            <w:vAlign w:val="center"/>
          </w:tcPr>
          <w:p w14:paraId="01B0FF7D">
            <w:pPr>
              <w:pStyle w:val="18"/>
              <w:jc w:val="center"/>
              <w:rPr>
                <w:rStyle w:val="25"/>
                <w:rFonts w:hint="eastAsia" w:cs="宋体"/>
                <w:b w:val="0"/>
                <w:bCs w:val="0"/>
                <w:color w:val="auto"/>
                <w:kern w:val="2"/>
                <w:sz w:val="21"/>
                <w:szCs w:val="21"/>
                <w:highlight w:val="none"/>
              </w:rPr>
            </w:pPr>
            <w:r>
              <w:rPr>
                <w:rStyle w:val="25"/>
                <w:rFonts w:hint="eastAsia" w:cs="宋体"/>
                <w:b w:val="0"/>
                <w:bCs w:val="0"/>
                <w:color w:val="auto"/>
                <w:kern w:val="2"/>
                <w:sz w:val="21"/>
                <w:szCs w:val="21"/>
                <w:highlight w:val="none"/>
                <w:lang w:val="en-US" w:eastAsia="zh-CN"/>
              </w:rPr>
              <w:t>3</w:t>
            </w:r>
          </w:p>
        </w:tc>
        <w:tc>
          <w:tcPr>
            <w:tcW w:w="25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CD4DB9">
            <w:pPr>
              <w:pStyle w:val="6"/>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施工图</w:t>
            </w:r>
            <w:r>
              <w:rPr>
                <w:rFonts w:hint="eastAsia" w:ascii="宋体" w:hAnsi="宋体" w:cs="宋体"/>
                <w:color w:val="auto"/>
                <w:szCs w:val="21"/>
                <w:highlight w:val="none"/>
                <w:lang w:val="zh-TW" w:eastAsia="zh-TW" w:bidi="zh-TW"/>
              </w:rPr>
              <w:t>设计和施工的融合措施</w:t>
            </w:r>
            <w:r>
              <w:rPr>
                <w:rFonts w:hint="eastAsia" w:ascii="宋体" w:hAnsi="宋体" w:cs="宋体"/>
                <w:color w:val="auto"/>
                <w:szCs w:val="21"/>
                <w:highlight w:val="none"/>
                <w:lang w:val="zh-TW" w:eastAsia="zh-CN" w:bidi="zh-TW"/>
              </w:rPr>
              <w:t>（</w:t>
            </w:r>
            <w:r>
              <w:rPr>
                <w:rFonts w:hint="eastAsia" w:ascii="宋体" w:hAnsi="宋体" w:cs="宋体"/>
                <w:color w:val="auto"/>
                <w:szCs w:val="21"/>
                <w:highlight w:val="none"/>
                <w:lang w:val="en-US" w:eastAsia="zh-CN" w:bidi="zh-TW"/>
              </w:rPr>
              <w:t>8分）</w:t>
            </w:r>
          </w:p>
        </w:tc>
        <w:tc>
          <w:tcPr>
            <w:tcW w:w="10016" w:type="dxa"/>
            <w:tcBorders>
              <w:top w:val="single" w:color="auto" w:sz="4" w:space="0"/>
              <w:left w:val="single" w:color="auto" w:sz="4" w:space="0"/>
              <w:bottom w:val="single" w:color="auto" w:sz="4" w:space="0"/>
              <w:right w:val="single" w:color="auto" w:sz="4" w:space="0"/>
            </w:tcBorders>
            <w:shd w:val="clear" w:color="auto" w:fill="auto"/>
            <w:vAlign w:val="top"/>
          </w:tcPr>
          <w:p w14:paraId="76ACFB0A">
            <w:pPr>
              <w:jc w:val="left"/>
              <w:rPr>
                <w:rFonts w:hint="eastAsia" w:ascii="宋体" w:hAnsi="宋体" w:cs="宋体"/>
                <w:color w:val="auto"/>
                <w:szCs w:val="21"/>
                <w:highlight w:val="none"/>
              </w:rPr>
            </w:pPr>
            <w:r>
              <w:rPr>
                <w:rFonts w:cs="宋体"/>
                <w:color w:val="auto"/>
                <w:szCs w:val="21"/>
                <w:highlight w:val="none"/>
              </w:rPr>
              <w:t>[好]</w:t>
            </w:r>
            <w:r>
              <w:rPr>
                <w:rFonts w:hint="eastAsia" w:cs="宋体"/>
                <w:color w:val="auto"/>
                <w:szCs w:val="21"/>
                <w:highlight w:val="none"/>
                <w:lang w:val="en-US" w:eastAsia="zh-CN"/>
              </w:rPr>
              <w:t xml:space="preserve"> </w:t>
            </w:r>
            <w:r>
              <w:rPr>
                <w:rFonts w:hint="eastAsia" w:ascii="宋体" w:hAnsi="宋体" w:cs="宋体"/>
                <w:color w:val="auto"/>
                <w:szCs w:val="21"/>
                <w:highlight w:val="none"/>
              </w:rPr>
              <w:t>有明确清晰的设计和施工融合目标，有行之有效的设计和施工融合管理体系，有逻辑性强、条理清晰的设计和施工融合措施，确保在项目的设计、施工及保修等过程中，设计方、施工方紧密协作以满足项目的各阶段需求</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cs="宋体"/>
                <w:color w:val="auto"/>
                <w:szCs w:val="21"/>
                <w:highlight w:val="none"/>
              </w:rPr>
              <w:t>[</w:t>
            </w:r>
            <w:r>
              <w:rPr>
                <w:rFonts w:hint="eastAsia" w:cs="宋体"/>
                <w:color w:val="auto"/>
                <w:szCs w:val="21"/>
                <w:highlight w:val="none"/>
                <w:lang w:val="en-US" w:eastAsia="zh-CN"/>
              </w:rPr>
              <w:t>8</w:t>
            </w:r>
            <w:r>
              <w:rPr>
                <w:rFonts w:cs="宋体"/>
                <w:color w:val="auto"/>
                <w:szCs w:val="21"/>
                <w:highlight w:val="none"/>
              </w:rPr>
              <w:t>,</w:t>
            </w:r>
            <w:r>
              <w:rPr>
                <w:rFonts w:hint="eastAsia" w:cs="宋体"/>
                <w:color w:val="auto"/>
                <w:szCs w:val="21"/>
                <w:highlight w:val="none"/>
                <w:lang w:val="en-US" w:eastAsia="zh-CN"/>
              </w:rPr>
              <w:t>5</w:t>
            </w:r>
            <w:r>
              <w:rPr>
                <w:rFonts w:cs="宋体"/>
                <w:color w:val="auto"/>
                <w:szCs w:val="21"/>
                <w:highlight w:val="none"/>
              </w:rPr>
              <w:t>）</w:t>
            </w:r>
            <w:r>
              <w:rPr>
                <w:rFonts w:hint="eastAsia" w:ascii="宋体" w:hAnsi="宋体" w:cs="宋体"/>
                <w:color w:val="auto"/>
                <w:szCs w:val="21"/>
                <w:highlight w:val="none"/>
              </w:rPr>
              <w:t>分。</w:t>
            </w:r>
          </w:p>
          <w:p w14:paraId="23028084">
            <w:pPr>
              <w:jc w:val="left"/>
              <w:rPr>
                <w:rFonts w:hint="eastAsia" w:ascii="宋体" w:hAnsi="宋体" w:cs="宋体"/>
                <w:color w:val="auto"/>
                <w:szCs w:val="21"/>
                <w:highlight w:val="none"/>
              </w:rPr>
            </w:pPr>
            <w:r>
              <w:rPr>
                <w:rFonts w:cs="宋体"/>
                <w:color w:val="auto"/>
                <w:szCs w:val="21"/>
                <w:highlight w:val="none"/>
              </w:rPr>
              <w:t>[中]</w:t>
            </w:r>
            <w:r>
              <w:rPr>
                <w:rFonts w:hint="eastAsia" w:cs="宋体"/>
                <w:color w:val="auto"/>
                <w:szCs w:val="21"/>
                <w:highlight w:val="none"/>
                <w:lang w:val="en-US" w:eastAsia="zh-CN"/>
              </w:rPr>
              <w:t xml:space="preserve"> </w:t>
            </w:r>
            <w:r>
              <w:rPr>
                <w:rFonts w:hint="eastAsia" w:ascii="宋体" w:hAnsi="宋体" w:cs="宋体"/>
                <w:color w:val="auto"/>
                <w:szCs w:val="21"/>
                <w:highlight w:val="none"/>
              </w:rPr>
              <w:t>有设计和施工融合措施，有效的设计和施工融合管理体系，逻辑性较强、条理较清晰的设计和施工融合措施，在项目的设计、施工及保修等过程中，设计方、施工方协作较满足项目的各阶段需求</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cs="宋体"/>
                <w:color w:val="auto"/>
                <w:szCs w:val="21"/>
                <w:highlight w:val="none"/>
              </w:rPr>
              <w:t>[</w:t>
            </w:r>
            <w:r>
              <w:rPr>
                <w:rFonts w:hint="eastAsia" w:cs="宋体"/>
                <w:color w:val="auto"/>
                <w:szCs w:val="21"/>
                <w:highlight w:val="none"/>
                <w:lang w:val="en-US" w:eastAsia="zh-CN"/>
              </w:rPr>
              <w:t>5</w:t>
            </w:r>
            <w:r>
              <w:rPr>
                <w:rFonts w:cs="宋体"/>
                <w:color w:val="auto"/>
                <w:szCs w:val="21"/>
                <w:highlight w:val="none"/>
              </w:rPr>
              <w:t>,</w:t>
            </w:r>
            <w:r>
              <w:rPr>
                <w:rFonts w:hint="eastAsia" w:cs="宋体"/>
                <w:color w:val="auto"/>
                <w:szCs w:val="21"/>
                <w:highlight w:val="none"/>
                <w:lang w:val="en-US" w:eastAsia="zh-CN"/>
              </w:rPr>
              <w:t>2</w:t>
            </w:r>
            <w:r>
              <w:rPr>
                <w:rFonts w:cs="宋体"/>
                <w:color w:val="auto"/>
                <w:szCs w:val="21"/>
                <w:highlight w:val="none"/>
              </w:rPr>
              <w:t>）</w:t>
            </w:r>
            <w:r>
              <w:rPr>
                <w:rFonts w:hint="eastAsia" w:ascii="宋体" w:hAnsi="宋体" w:cs="宋体"/>
                <w:color w:val="auto"/>
                <w:szCs w:val="21"/>
                <w:highlight w:val="none"/>
              </w:rPr>
              <w:t>分。</w:t>
            </w:r>
          </w:p>
          <w:p w14:paraId="67CBCA66">
            <w:pPr>
              <w:adjustRightInd/>
              <w:snapToGrid/>
              <w:ind w:right="0" w:rightChars="0"/>
              <w:jc w:val="left"/>
              <w:rPr>
                <w:rFonts w:hint="eastAsia" w:ascii="宋体" w:hAnsi="宋体" w:eastAsia="宋体" w:cs="宋体"/>
                <w:color w:val="auto"/>
                <w:szCs w:val="21"/>
                <w:highlight w:val="none"/>
              </w:rPr>
            </w:pPr>
            <w:r>
              <w:rPr>
                <w:rFonts w:hint="eastAsia" w:cs="宋体"/>
                <w:color w:val="auto"/>
                <w:szCs w:val="21"/>
                <w:highlight w:val="none"/>
                <w:lang w:val="en-US" w:eastAsia="zh-CN"/>
              </w:rPr>
              <w:t xml:space="preserve"> </w:t>
            </w:r>
            <w:r>
              <w:rPr>
                <w:rFonts w:cs="宋体"/>
                <w:color w:val="auto"/>
                <w:szCs w:val="21"/>
                <w:highlight w:val="none"/>
              </w:rPr>
              <w:t>[差]不满足“好”、“中”的评审标准。</w:t>
            </w:r>
            <w:r>
              <w:rPr>
                <w:rFonts w:hint="eastAsia" w:ascii="宋体" w:hAnsi="宋体" w:cs="宋体"/>
                <w:color w:val="auto"/>
                <w:szCs w:val="21"/>
                <w:highlight w:val="none"/>
              </w:rPr>
              <w:t>得</w:t>
            </w:r>
            <w:r>
              <w:rPr>
                <w:rFonts w:cs="宋体"/>
                <w:color w:val="auto"/>
                <w:szCs w:val="21"/>
                <w:highlight w:val="none"/>
              </w:rPr>
              <w:t>[</w:t>
            </w:r>
            <w:r>
              <w:rPr>
                <w:rFonts w:hint="eastAsia" w:cs="宋体"/>
                <w:color w:val="auto"/>
                <w:szCs w:val="21"/>
                <w:highlight w:val="none"/>
                <w:lang w:val="en-US" w:eastAsia="zh-CN"/>
              </w:rPr>
              <w:t>2</w:t>
            </w:r>
            <w:r>
              <w:rPr>
                <w:rFonts w:cs="宋体"/>
                <w:color w:val="auto"/>
                <w:szCs w:val="21"/>
                <w:highlight w:val="none"/>
              </w:rPr>
              <w:t>,0]</w:t>
            </w:r>
            <w:r>
              <w:rPr>
                <w:rFonts w:hint="eastAsia" w:ascii="宋体" w:hAnsi="宋体" w:cs="宋体"/>
                <w:color w:val="auto"/>
                <w:szCs w:val="21"/>
                <w:highlight w:val="none"/>
              </w:rPr>
              <w:t>分。</w:t>
            </w:r>
          </w:p>
        </w:tc>
        <w:tc>
          <w:tcPr>
            <w:tcW w:w="995" w:type="dxa"/>
            <w:tcBorders>
              <w:top w:val="single" w:color="auto" w:sz="4" w:space="0"/>
              <w:left w:val="single" w:color="auto" w:sz="4" w:space="0"/>
              <w:right w:val="single" w:color="auto" w:sz="4" w:space="0"/>
            </w:tcBorders>
            <w:shd w:val="clear" w:color="auto" w:fill="auto"/>
            <w:vAlign w:val="center"/>
          </w:tcPr>
          <w:p w14:paraId="7683E09A">
            <w:pPr>
              <w:pStyle w:val="18"/>
              <w:rPr>
                <w:rFonts w:cs="宋体"/>
                <w:color w:val="auto"/>
                <w:kern w:val="2"/>
                <w:sz w:val="21"/>
                <w:szCs w:val="21"/>
                <w:highlight w:val="none"/>
              </w:rPr>
            </w:pPr>
          </w:p>
        </w:tc>
      </w:tr>
      <w:tr w14:paraId="49EB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633" w:type="dxa"/>
            <w:tcBorders>
              <w:top w:val="single" w:color="auto" w:sz="4" w:space="0"/>
              <w:left w:val="single" w:color="auto" w:sz="4" w:space="0"/>
              <w:right w:val="single" w:color="auto" w:sz="4" w:space="0"/>
            </w:tcBorders>
            <w:shd w:val="clear" w:color="auto" w:fill="auto"/>
            <w:vAlign w:val="center"/>
          </w:tcPr>
          <w:p w14:paraId="5B51F395">
            <w:pPr>
              <w:pStyle w:val="18"/>
              <w:jc w:val="center"/>
              <w:rPr>
                <w:rFonts w:hint="eastAsia" w:eastAsia="宋体" w:cs="宋体"/>
                <w:color w:val="auto"/>
                <w:sz w:val="21"/>
                <w:szCs w:val="21"/>
                <w:highlight w:val="none"/>
                <w:lang w:val="en-US" w:eastAsia="zh-CN"/>
              </w:rPr>
            </w:pPr>
            <w:r>
              <w:rPr>
                <w:rStyle w:val="25"/>
                <w:rFonts w:hint="eastAsia" w:cs="宋体"/>
                <w:b w:val="0"/>
                <w:bCs w:val="0"/>
                <w:color w:val="auto"/>
                <w:kern w:val="2"/>
                <w:sz w:val="21"/>
                <w:szCs w:val="21"/>
                <w:highlight w:val="none"/>
                <w:lang w:val="en-US" w:eastAsia="zh-CN"/>
              </w:rPr>
              <w:t>4</w:t>
            </w:r>
          </w:p>
        </w:tc>
        <w:tc>
          <w:tcPr>
            <w:tcW w:w="25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5950B9">
            <w:pPr>
              <w:pStyle w:val="6"/>
              <w:ind w:firstLine="0" w:firstLineChars="0"/>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质量管理、工作进度及质量保证措施（</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tc>
        <w:tc>
          <w:tcPr>
            <w:tcW w:w="10016" w:type="dxa"/>
            <w:tcBorders>
              <w:top w:val="single" w:color="auto" w:sz="4" w:space="0"/>
              <w:left w:val="single" w:color="auto" w:sz="4" w:space="0"/>
              <w:bottom w:val="single" w:color="auto" w:sz="4" w:space="0"/>
              <w:right w:val="single" w:color="auto" w:sz="4" w:space="0"/>
            </w:tcBorders>
            <w:shd w:val="clear" w:color="auto" w:fill="auto"/>
            <w:vAlign w:val="top"/>
          </w:tcPr>
          <w:p w14:paraId="5A727D4A">
            <w:pPr>
              <w:adjustRightInd w:val="0"/>
              <w:snapToGrid w:val="0"/>
              <w:ind w:right="134" w:rightChars="64"/>
              <w:rPr>
                <w:rFonts w:cs="宋体"/>
                <w:color w:val="auto"/>
                <w:szCs w:val="21"/>
                <w:highlight w:val="none"/>
              </w:rPr>
            </w:pPr>
            <w:r>
              <w:rPr>
                <w:rFonts w:cs="宋体"/>
                <w:color w:val="auto"/>
                <w:szCs w:val="21"/>
                <w:highlight w:val="none"/>
              </w:rPr>
              <w:t>[好]</w:t>
            </w:r>
            <w:r>
              <w:rPr>
                <w:rFonts w:cs="宋体"/>
                <w:color w:val="auto"/>
                <w:szCs w:val="21"/>
                <w:highlight w:val="none"/>
                <w:lang w:val="zh-CN"/>
              </w:rPr>
              <w:t>设计质量管理体系完善，针对本项目特点，从如何避免自身原因引起的错漏碰、如何减少设计变更控制投资等方面，提出切实可行的</w:t>
            </w:r>
            <w:r>
              <w:rPr>
                <w:rFonts w:cs="宋体"/>
                <w:color w:val="auto"/>
                <w:szCs w:val="21"/>
                <w:highlight w:val="none"/>
              </w:rPr>
              <w:t>进度保证措施、</w:t>
            </w:r>
            <w:r>
              <w:rPr>
                <w:rFonts w:cs="宋体"/>
                <w:color w:val="auto"/>
                <w:szCs w:val="21"/>
                <w:highlight w:val="none"/>
                <w:lang w:val="zh-CN"/>
              </w:rPr>
              <w:t>设计质量管理及质量保证措施，确保</w:t>
            </w:r>
            <w:r>
              <w:rPr>
                <w:rFonts w:cs="宋体"/>
                <w:color w:val="auto"/>
                <w:szCs w:val="21"/>
                <w:highlight w:val="none"/>
              </w:rPr>
              <w:t>按进度</w:t>
            </w:r>
            <w:r>
              <w:rPr>
                <w:rFonts w:hint="eastAsia" w:cs="宋体"/>
                <w:color w:val="auto"/>
                <w:szCs w:val="21"/>
                <w:highlight w:val="none"/>
                <w:lang w:eastAsia="zh-CN"/>
              </w:rPr>
              <w:t>，</w:t>
            </w:r>
            <w:r>
              <w:rPr>
                <w:rFonts w:cs="宋体"/>
                <w:color w:val="auto"/>
                <w:szCs w:val="21"/>
                <w:highlight w:val="none"/>
                <w:lang w:val="zh-CN"/>
              </w:rPr>
              <w:t>实现设计工作的质量目标</w:t>
            </w:r>
            <w:r>
              <w:rPr>
                <w:rFonts w:cs="宋体"/>
                <w:color w:val="auto"/>
                <w:szCs w:val="21"/>
                <w:highlight w:val="none"/>
              </w:rPr>
              <w:t>。得[</w:t>
            </w:r>
            <w:r>
              <w:rPr>
                <w:rFonts w:hint="eastAsia" w:cs="宋体"/>
                <w:color w:val="auto"/>
                <w:szCs w:val="21"/>
                <w:highlight w:val="none"/>
                <w:lang w:val="en-US" w:eastAsia="zh-CN"/>
              </w:rPr>
              <w:t>8</w:t>
            </w:r>
            <w:r>
              <w:rPr>
                <w:rFonts w:cs="宋体"/>
                <w:color w:val="auto"/>
                <w:szCs w:val="21"/>
                <w:highlight w:val="none"/>
              </w:rPr>
              <w:t>,</w:t>
            </w:r>
            <w:r>
              <w:rPr>
                <w:rFonts w:hint="eastAsia" w:cs="宋体"/>
                <w:color w:val="auto"/>
                <w:szCs w:val="21"/>
                <w:highlight w:val="none"/>
                <w:lang w:val="en-US" w:eastAsia="zh-CN"/>
              </w:rPr>
              <w:t>5</w:t>
            </w:r>
            <w:r>
              <w:rPr>
                <w:rFonts w:cs="宋体"/>
                <w:color w:val="auto"/>
                <w:szCs w:val="21"/>
                <w:highlight w:val="none"/>
              </w:rPr>
              <w:t>）分。</w:t>
            </w:r>
          </w:p>
          <w:p w14:paraId="1BC4BD2A">
            <w:pPr>
              <w:adjustRightInd w:val="0"/>
              <w:snapToGrid w:val="0"/>
              <w:ind w:right="134" w:rightChars="64"/>
              <w:rPr>
                <w:rFonts w:hint="eastAsia" w:eastAsia="宋体" w:cs="宋体"/>
                <w:color w:val="auto"/>
                <w:szCs w:val="21"/>
                <w:highlight w:val="none"/>
                <w:lang w:val="en-US" w:eastAsia="zh-CN"/>
              </w:rPr>
            </w:pPr>
            <w:r>
              <w:rPr>
                <w:rFonts w:cs="宋体"/>
                <w:color w:val="auto"/>
                <w:szCs w:val="21"/>
                <w:highlight w:val="none"/>
              </w:rPr>
              <w:t>[中]</w:t>
            </w:r>
            <w:r>
              <w:rPr>
                <w:rFonts w:ascii="宋体" w:hAnsi="宋体" w:cs="宋体"/>
                <w:color w:val="auto"/>
                <w:szCs w:val="21"/>
                <w:highlight w:val="none"/>
                <w:lang w:val="zh-CN"/>
              </w:rPr>
              <w:t>设计质量管理体系</w:t>
            </w:r>
            <w:r>
              <w:rPr>
                <w:rFonts w:hint="eastAsia" w:ascii="宋体" w:hAnsi="宋体" w:cs="宋体"/>
                <w:color w:val="auto"/>
                <w:szCs w:val="21"/>
                <w:highlight w:val="none"/>
              </w:rPr>
              <w:t>较</w:t>
            </w:r>
            <w:r>
              <w:rPr>
                <w:rFonts w:hint="eastAsia" w:ascii="宋体" w:hAnsi="宋体" w:cs="宋体"/>
                <w:color w:val="auto"/>
                <w:szCs w:val="21"/>
                <w:highlight w:val="none"/>
                <w:lang w:val="zh-CN"/>
              </w:rPr>
              <w:t>完善，针对本项目特点，从如何避免自身原因引起的错漏碰、如何减少设计变更控制投资等方面，提出</w:t>
            </w:r>
            <w:r>
              <w:rPr>
                <w:rFonts w:hint="eastAsia" w:ascii="宋体" w:hAnsi="宋体" w:cs="宋体"/>
                <w:color w:val="auto"/>
                <w:szCs w:val="21"/>
                <w:highlight w:val="none"/>
              </w:rPr>
              <w:t>较</w:t>
            </w:r>
            <w:r>
              <w:rPr>
                <w:rFonts w:hint="eastAsia" w:ascii="宋体" w:hAnsi="宋体" w:cs="宋体"/>
                <w:color w:val="auto"/>
                <w:szCs w:val="21"/>
                <w:highlight w:val="none"/>
                <w:lang w:val="zh-CN"/>
              </w:rPr>
              <w:t>可行的</w:t>
            </w:r>
            <w:r>
              <w:rPr>
                <w:rFonts w:hint="eastAsia" w:ascii="宋体" w:hAnsi="宋体" w:cs="宋体"/>
                <w:color w:val="auto"/>
                <w:szCs w:val="21"/>
                <w:highlight w:val="none"/>
              </w:rPr>
              <w:t>进度保证措施、</w:t>
            </w:r>
            <w:r>
              <w:rPr>
                <w:rFonts w:hint="eastAsia" w:ascii="宋体" w:hAnsi="宋体" w:cs="宋体"/>
                <w:color w:val="auto"/>
                <w:szCs w:val="21"/>
                <w:highlight w:val="none"/>
                <w:lang w:val="zh-CN"/>
              </w:rPr>
              <w:t>设计质量管理及质量保证措施，</w:t>
            </w:r>
            <w:r>
              <w:rPr>
                <w:rFonts w:hint="eastAsia" w:ascii="宋体" w:hAnsi="宋体" w:cs="宋体"/>
                <w:color w:val="auto"/>
                <w:szCs w:val="21"/>
                <w:highlight w:val="none"/>
              </w:rPr>
              <w:t>基本能按进度</w:t>
            </w:r>
            <w:r>
              <w:rPr>
                <w:rFonts w:hint="eastAsia" w:ascii="宋体" w:hAnsi="宋体" w:cs="宋体"/>
                <w:color w:val="auto"/>
                <w:szCs w:val="21"/>
                <w:highlight w:val="none"/>
                <w:lang w:val="zh-CN"/>
              </w:rPr>
              <w:t>实现设计工作的质量目标</w:t>
            </w:r>
            <w:r>
              <w:rPr>
                <w:rFonts w:cs="宋体"/>
                <w:color w:val="auto"/>
                <w:szCs w:val="21"/>
                <w:highlight w:val="none"/>
              </w:rPr>
              <w:t>。得[</w:t>
            </w:r>
            <w:r>
              <w:rPr>
                <w:rFonts w:hint="eastAsia" w:cs="宋体"/>
                <w:color w:val="auto"/>
                <w:szCs w:val="21"/>
                <w:highlight w:val="none"/>
                <w:lang w:val="en-US" w:eastAsia="zh-CN"/>
              </w:rPr>
              <w:t>5</w:t>
            </w:r>
            <w:r>
              <w:rPr>
                <w:rFonts w:cs="宋体"/>
                <w:color w:val="auto"/>
                <w:szCs w:val="21"/>
                <w:highlight w:val="none"/>
              </w:rPr>
              <w:t>,</w:t>
            </w:r>
            <w:r>
              <w:rPr>
                <w:rFonts w:hint="eastAsia" w:cs="宋体"/>
                <w:color w:val="auto"/>
                <w:szCs w:val="21"/>
                <w:highlight w:val="none"/>
                <w:lang w:val="en-US" w:eastAsia="zh-CN"/>
              </w:rPr>
              <w:t>2</w:t>
            </w:r>
            <w:r>
              <w:rPr>
                <w:rFonts w:cs="宋体"/>
                <w:color w:val="auto"/>
                <w:szCs w:val="21"/>
                <w:highlight w:val="none"/>
              </w:rPr>
              <w:t>）分。</w:t>
            </w:r>
          </w:p>
          <w:p w14:paraId="0CD31567">
            <w:pPr>
              <w:adjustRightInd w:val="0"/>
              <w:snapToGrid w:val="0"/>
              <w:ind w:right="134" w:rightChars="64"/>
              <w:rPr>
                <w:rFonts w:hint="eastAsia" w:ascii="宋体" w:hAnsi="宋体" w:eastAsia="宋体" w:cs="宋体"/>
                <w:color w:val="auto"/>
                <w:szCs w:val="21"/>
                <w:highlight w:val="none"/>
              </w:rPr>
            </w:pPr>
            <w:r>
              <w:rPr>
                <w:rFonts w:cs="宋体"/>
                <w:color w:val="auto"/>
                <w:szCs w:val="21"/>
                <w:highlight w:val="none"/>
              </w:rPr>
              <w:t>[差]不满足“好”、“中”的评审标准。得[</w:t>
            </w:r>
            <w:r>
              <w:rPr>
                <w:rFonts w:hint="eastAsia" w:cs="宋体"/>
                <w:color w:val="auto"/>
                <w:szCs w:val="21"/>
                <w:highlight w:val="none"/>
                <w:lang w:val="en-US" w:eastAsia="zh-CN"/>
              </w:rPr>
              <w:t>2</w:t>
            </w:r>
            <w:r>
              <w:rPr>
                <w:rFonts w:cs="宋体"/>
                <w:color w:val="auto"/>
                <w:szCs w:val="21"/>
                <w:highlight w:val="none"/>
              </w:rPr>
              <w:t>,0]分。</w:t>
            </w:r>
          </w:p>
        </w:tc>
        <w:tc>
          <w:tcPr>
            <w:tcW w:w="995" w:type="dxa"/>
            <w:tcBorders>
              <w:top w:val="single" w:color="auto" w:sz="4" w:space="0"/>
              <w:left w:val="single" w:color="auto" w:sz="4" w:space="0"/>
              <w:right w:val="single" w:color="auto" w:sz="4" w:space="0"/>
            </w:tcBorders>
            <w:shd w:val="clear" w:color="auto" w:fill="auto"/>
            <w:vAlign w:val="center"/>
          </w:tcPr>
          <w:p w14:paraId="2A175103">
            <w:pPr>
              <w:pStyle w:val="18"/>
              <w:rPr>
                <w:rFonts w:cs="宋体"/>
                <w:color w:val="auto"/>
                <w:kern w:val="2"/>
                <w:sz w:val="21"/>
                <w:szCs w:val="21"/>
                <w:highlight w:val="none"/>
              </w:rPr>
            </w:pPr>
          </w:p>
        </w:tc>
      </w:tr>
      <w:tr w14:paraId="1DA1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633" w:type="dxa"/>
            <w:tcBorders>
              <w:top w:val="single" w:color="auto" w:sz="4" w:space="0"/>
              <w:left w:val="single" w:color="auto" w:sz="4" w:space="0"/>
              <w:right w:val="single" w:color="auto" w:sz="4" w:space="0"/>
            </w:tcBorders>
            <w:shd w:val="clear" w:color="auto" w:fill="auto"/>
            <w:vAlign w:val="center"/>
          </w:tcPr>
          <w:p w14:paraId="24285290">
            <w:pPr>
              <w:pStyle w:val="18"/>
              <w:ind w:right="134" w:rightChars="64"/>
              <w:jc w:val="center"/>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5</w:t>
            </w:r>
          </w:p>
        </w:tc>
        <w:tc>
          <w:tcPr>
            <w:tcW w:w="25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45ECF5">
            <w:pPr>
              <w:pStyle w:val="18"/>
              <w:spacing w:line="23" w:lineRule="atLeast"/>
              <w:ind w:right="134" w:rightChars="64"/>
              <w:jc w:val="center"/>
              <w:rPr>
                <w:rFonts w:hint="eastAsia" w:cs="宋体"/>
                <w:color w:val="auto"/>
                <w:sz w:val="21"/>
                <w:szCs w:val="21"/>
                <w:highlight w:val="none"/>
                <w:lang w:val="en-US" w:eastAsia="zh-CN"/>
              </w:rPr>
            </w:pPr>
            <w:r>
              <w:rPr>
                <w:rFonts w:hint="eastAsia" w:eastAsia="宋体" w:cs="宋体"/>
                <w:bCs w:val="0"/>
                <w:color w:val="auto"/>
                <w:kern w:val="2"/>
                <w:sz w:val="21"/>
                <w:szCs w:val="21"/>
                <w:highlight w:val="none"/>
              </w:rPr>
              <w:t>造价控制措施</w:t>
            </w:r>
            <w:r>
              <w:rPr>
                <w:rFonts w:hint="eastAsia" w:eastAsia="宋体" w:cs="宋体"/>
                <w:color w:val="auto"/>
                <w:kern w:val="2"/>
                <w:sz w:val="21"/>
                <w:szCs w:val="21"/>
                <w:highlight w:val="none"/>
              </w:rPr>
              <w:t>（</w:t>
            </w:r>
            <w:r>
              <w:rPr>
                <w:rFonts w:hint="eastAsia" w:eastAsia="宋体" w:cs="宋体"/>
                <w:color w:val="auto"/>
                <w:kern w:val="2"/>
                <w:sz w:val="21"/>
                <w:szCs w:val="21"/>
                <w:highlight w:val="none"/>
                <w:lang w:val="en-US" w:eastAsia="zh-CN"/>
              </w:rPr>
              <w:t>8</w:t>
            </w:r>
            <w:r>
              <w:rPr>
                <w:rFonts w:hint="eastAsia" w:eastAsia="宋体" w:cs="宋体"/>
                <w:color w:val="auto"/>
                <w:kern w:val="2"/>
                <w:sz w:val="21"/>
                <w:szCs w:val="21"/>
                <w:highlight w:val="none"/>
              </w:rPr>
              <w:t>分）</w:t>
            </w:r>
          </w:p>
        </w:tc>
        <w:tc>
          <w:tcPr>
            <w:tcW w:w="10016" w:type="dxa"/>
            <w:tcBorders>
              <w:top w:val="single" w:color="auto" w:sz="4" w:space="0"/>
              <w:left w:val="single" w:color="auto" w:sz="4" w:space="0"/>
              <w:bottom w:val="single" w:color="auto" w:sz="4" w:space="0"/>
              <w:right w:val="single" w:color="auto" w:sz="4" w:space="0"/>
            </w:tcBorders>
            <w:shd w:val="clear" w:color="auto" w:fill="auto"/>
            <w:vAlign w:val="center"/>
          </w:tcPr>
          <w:p w14:paraId="2C175BD8">
            <w:pPr>
              <w:adjustRightInd w:val="0"/>
              <w:snapToGrid w:val="0"/>
              <w:ind w:right="134" w:rightChars="64"/>
              <w:rPr>
                <w:rFonts w:cs="宋体"/>
                <w:color w:val="auto"/>
                <w:szCs w:val="21"/>
                <w:highlight w:val="none"/>
              </w:rPr>
            </w:pPr>
            <w:r>
              <w:rPr>
                <w:rFonts w:cs="宋体"/>
                <w:color w:val="auto"/>
                <w:szCs w:val="21"/>
                <w:highlight w:val="none"/>
              </w:rPr>
              <w:t>[好]</w:t>
            </w:r>
            <w:r>
              <w:rPr>
                <w:rFonts w:ascii="宋体" w:hAnsi="宋体" w:cs="宋体"/>
                <w:color w:val="auto"/>
                <w:szCs w:val="21"/>
                <w:highlight w:val="none"/>
                <w:lang w:val="zh-CN"/>
              </w:rPr>
              <w:t>根据本招标项目的建设要求及实际情况，提出造价控制措施，控制措施合理、可实施性高</w:t>
            </w:r>
            <w:r>
              <w:rPr>
                <w:rFonts w:cs="宋体"/>
                <w:color w:val="auto"/>
                <w:szCs w:val="21"/>
                <w:highlight w:val="none"/>
              </w:rPr>
              <w:t>。得[</w:t>
            </w:r>
            <w:r>
              <w:rPr>
                <w:rFonts w:hint="eastAsia" w:cs="宋体"/>
                <w:color w:val="auto"/>
                <w:szCs w:val="21"/>
                <w:highlight w:val="none"/>
                <w:lang w:val="en-US" w:eastAsia="zh-CN"/>
              </w:rPr>
              <w:t>8</w:t>
            </w:r>
            <w:r>
              <w:rPr>
                <w:rFonts w:cs="宋体"/>
                <w:color w:val="auto"/>
                <w:szCs w:val="21"/>
                <w:highlight w:val="none"/>
              </w:rPr>
              <w:t>,</w:t>
            </w:r>
            <w:r>
              <w:rPr>
                <w:rFonts w:hint="eastAsia" w:cs="宋体"/>
                <w:color w:val="auto"/>
                <w:szCs w:val="21"/>
                <w:highlight w:val="none"/>
                <w:lang w:val="en-US" w:eastAsia="zh-CN"/>
              </w:rPr>
              <w:t>5</w:t>
            </w:r>
            <w:r>
              <w:rPr>
                <w:rFonts w:cs="宋体"/>
                <w:color w:val="auto"/>
                <w:szCs w:val="21"/>
                <w:highlight w:val="none"/>
              </w:rPr>
              <w:t>）分。</w:t>
            </w:r>
          </w:p>
          <w:p w14:paraId="6F544887">
            <w:pPr>
              <w:adjustRightInd w:val="0"/>
              <w:snapToGrid w:val="0"/>
              <w:ind w:right="134" w:rightChars="64"/>
              <w:rPr>
                <w:rFonts w:cs="宋体"/>
                <w:color w:val="auto"/>
                <w:szCs w:val="21"/>
                <w:highlight w:val="none"/>
              </w:rPr>
            </w:pPr>
            <w:r>
              <w:rPr>
                <w:rFonts w:cs="宋体"/>
                <w:color w:val="auto"/>
                <w:szCs w:val="21"/>
                <w:highlight w:val="none"/>
              </w:rPr>
              <w:t>[中]</w:t>
            </w:r>
            <w:r>
              <w:rPr>
                <w:rFonts w:hint="eastAsia" w:ascii="宋体" w:hAnsi="宋体" w:cs="宋体"/>
                <w:color w:val="auto"/>
                <w:szCs w:val="21"/>
                <w:highlight w:val="none"/>
                <w:lang w:val="zh-CN"/>
              </w:rPr>
              <w:t>根据本招标项目的建设要求及实际情况，提出造价控制措施，控制措施</w:t>
            </w:r>
            <w:r>
              <w:rPr>
                <w:rFonts w:hint="eastAsia" w:ascii="宋体" w:hAnsi="宋体" w:cs="宋体"/>
                <w:color w:val="auto"/>
                <w:szCs w:val="21"/>
                <w:highlight w:val="none"/>
              </w:rPr>
              <w:t>较</w:t>
            </w:r>
            <w:r>
              <w:rPr>
                <w:rFonts w:hint="eastAsia" w:ascii="宋体" w:hAnsi="宋体" w:cs="宋体"/>
                <w:color w:val="auto"/>
                <w:szCs w:val="21"/>
                <w:highlight w:val="none"/>
                <w:lang w:val="zh-CN"/>
              </w:rPr>
              <w:t>合理、可实施性</w:t>
            </w:r>
            <w:r>
              <w:rPr>
                <w:rFonts w:hint="eastAsia" w:ascii="宋体" w:hAnsi="宋体" w:cs="宋体"/>
                <w:color w:val="auto"/>
                <w:szCs w:val="21"/>
                <w:highlight w:val="none"/>
              </w:rPr>
              <w:t>较</w:t>
            </w:r>
            <w:r>
              <w:rPr>
                <w:rFonts w:hint="eastAsia" w:ascii="宋体" w:hAnsi="宋体" w:cs="宋体"/>
                <w:color w:val="auto"/>
                <w:szCs w:val="21"/>
                <w:highlight w:val="none"/>
                <w:lang w:val="zh-CN"/>
              </w:rPr>
              <w:t>高</w:t>
            </w:r>
            <w:r>
              <w:rPr>
                <w:rFonts w:cs="宋体"/>
                <w:color w:val="auto"/>
                <w:szCs w:val="21"/>
                <w:highlight w:val="none"/>
              </w:rPr>
              <w:t>。得[</w:t>
            </w:r>
            <w:r>
              <w:rPr>
                <w:rFonts w:hint="eastAsia" w:cs="宋体"/>
                <w:color w:val="auto"/>
                <w:szCs w:val="21"/>
                <w:highlight w:val="none"/>
                <w:lang w:val="en-US" w:eastAsia="zh-CN"/>
              </w:rPr>
              <w:t>5</w:t>
            </w:r>
            <w:r>
              <w:rPr>
                <w:rFonts w:cs="宋体"/>
                <w:color w:val="auto"/>
                <w:szCs w:val="21"/>
                <w:highlight w:val="none"/>
              </w:rPr>
              <w:t>,</w:t>
            </w:r>
            <w:r>
              <w:rPr>
                <w:rFonts w:hint="eastAsia" w:cs="宋体"/>
                <w:color w:val="auto"/>
                <w:szCs w:val="21"/>
                <w:highlight w:val="none"/>
                <w:lang w:val="en-US" w:eastAsia="zh-CN"/>
              </w:rPr>
              <w:t>2</w:t>
            </w:r>
            <w:r>
              <w:rPr>
                <w:rFonts w:cs="宋体"/>
                <w:color w:val="auto"/>
                <w:szCs w:val="21"/>
                <w:highlight w:val="none"/>
              </w:rPr>
              <w:t>）分。</w:t>
            </w:r>
          </w:p>
          <w:p w14:paraId="303928D4">
            <w:pPr>
              <w:adjustRightInd w:val="0"/>
              <w:snapToGrid w:val="0"/>
              <w:ind w:right="134" w:rightChars="0"/>
              <w:rPr>
                <w:rFonts w:hint="eastAsia" w:ascii="宋体" w:hAnsi="宋体" w:eastAsia="宋体" w:cs="宋体"/>
                <w:color w:val="auto"/>
                <w:szCs w:val="21"/>
                <w:highlight w:val="none"/>
              </w:rPr>
            </w:pPr>
            <w:r>
              <w:rPr>
                <w:rFonts w:cs="宋体"/>
                <w:color w:val="auto"/>
                <w:szCs w:val="21"/>
                <w:highlight w:val="none"/>
              </w:rPr>
              <w:t>[差]不满足“好”、“中”的评审标准。得[</w:t>
            </w:r>
            <w:r>
              <w:rPr>
                <w:rFonts w:hint="eastAsia" w:cs="宋体"/>
                <w:color w:val="auto"/>
                <w:szCs w:val="21"/>
                <w:highlight w:val="none"/>
                <w:lang w:val="en-US" w:eastAsia="zh-CN"/>
              </w:rPr>
              <w:t>2</w:t>
            </w:r>
            <w:r>
              <w:rPr>
                <w:rFonts w:cs="宋体"/>
                <w:color w:val="auto"/>
                <w:szCs w:val="21"/>
                <w:highlight w:val="none"/>
              </w:rPr>
              <w:t>,0]分。</w:t>
            </w:r>
          </w:p>
        </w:tc>
        <w:tc>
          <w:tcPr>
            <w:tcW w:w="995" w:type="dxa"/>
            <w:tcBorders>
              <w:top w:val="single" w:color="auto" w:sz="4" w:space="0"/>
              <w:left w:val="single" w:color="auto" w:sz="4" w:space="0"/>
              <w:right w:val="single" w:color="auto" w:sz="4" w:space="0"/>
            </w:tcBorders>
            <w:shd w:val="clear" w:color="auto" w:fill="auto"/>
            <w:vAlign w:val="center"/>
          </w:tcPr>
          <w:p w14:paraId="58094EDE">
            <w:pPr>
              <w:pStyle w:val="18"/>
              <w:rPr>
                <w:rFonts w:cs="宋体"/>
                <w:color w:val="auto"/>
                <w:kern w:val="2"/>
                <w:sz w:val="21"/>
                <w:szCs w:val="21"/>
                <w:highlight w:val="none"/>
              </w:rPr>
            </w:pPr>
          </w:p>
        </w:tc>
      </w:tr>
      <w:tr w14:paraId="36AF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33" w:type="dxa"/>
            <w:tcBorders>
              <w:top w:val="single" w:color="auto" w:sz="4" w:space="0"/>
              <w:left w:val="single" w:color="auto" w:sz="4" w:space="0"/>
              <w:right w:val="single" w:color="auto" w:sz="4" w:space="0"/>
            </w:tcBorders>
            <w:shd w:val="clear" w:color="auto" w:fill="auto"/>
            <w:vAlign w:val="center"/>
          </w:tcPr>
          <w:p w14:paraId="0933ECFA">
            <w:pPr>
              <w:pStyle w:val="18"/>
              <w:ind w:right="134" w:rightChars="64"/>
              <w:jc w:val="center"/>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6</w:t>
            </w:r>
          </w:p>
        </w:tc>
        <w:tc>
          <w:tcPr>
            <w:tcW w:w="25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D6C54D">
            <w:pPr>
              <w:pStyle w:val="18"/>
              <w:spacing w:line="23" w:lineRule="atLeast"/>
              <w:ind w:right="134" w:rightChars="64"/>
              <w:jc w:val="center"/>
              <w:rPr>
                <w:rFonts w:hint="eastAsia" w:cs="宋体"/>
                <w:color w:val="auto"/>
                <w:sz w:val="21"/>
                <w:szCs w:val="21"/>
                <w:highlight w:val="none"/>
                <w:lang w:val="en-US" w:eastAsia="zh-CN"/>
              </w:rPr>
            </w:pPr>
            <w:r>
              <w:rPr>
                <w:rFonts w:hint="eastAsia" w:eastAsia="宋体" w:cs="宋体"/>
                <w:color w:val="auto"/>
                <w:kern w:val="2"/>
                <w:sz w:val="21"/>
                <w:szCs w:val="21"/>
                <w:highlight w:val="none"/>
              </w:rPr>
              <w:t>装配式设计工作方案（</w:t>
            </w:r>
            <w:r>
              <w:rPr>
                <w:rFonts w:hint="eastAsia" w:eastAsia="宋体" w:cs="宋体"/>
                <w:color w:val="auto"/>
                <w:kern w:val="2"/>
                <w:sz w:val="21"/>
                <w:szCs w:val="21"/>
                <w:highlight w:val="none"/>
                <w:lang w:val="en-US" w:eastAsia="zh-CN"/>
              </w:rPr>
              <w:t>5</w:t>
            </w:r>
            <w:r>
              <w:rPr>
                <w:rFonts w:hint="eastAsia" w:eastAsia="宋体" w:cs="宋体"/>
                <w:color w:val="auto"/>
                <w:kern w:val="2"/>
                <w:sz w:val="21"/>
                <w:szCs w:val="21"/>
                <w:highlight w:val="none"/>
              </w:rPr>
              <w:t>分）</w:t>
            </w:r>
          </w:p>
        </w:tc>
        <w:tc>
          <w:tcPr>
            <w:tcW w:w="10016" w:type="dxa"/>
            <w:tcBorders>
              <w:top w:val="single" w:color="auto" w:sz="4" w:space="0"/>
              <w:left w:val="single" w:color="auto" w:sz="4" w:space="0"/>
              <w:bottom w:val="single" w:color="auto" w:sz="4" w:space="0"/>
              <w:right w:val="single" w:color="auto" w:sz="4" w:space="0"/>
            </w:tcBorders>
            <w:shd w:val="clear" w:color="auto" w:fill="auto"/>
            <w:vAlign w:val="center"/>
          </w:tcPr>
          <w:p w14:paraId="4B2E8D75">
            <w:pPr>
              <w:adjustRightInd w:val="0"/>
              <w:snapToGrid w:val="0"/>
              <w:ind w:right="134" w:rightChars="64"/>
              <w:rPr>
                <w:rFonts w:cs="宋体"/>
                <w:color w:val="auto"/>
                <w:szCs w:val="21"/>
                <w:highlight w:val="none"/>
              </w:rPr>
            </w:pPr>
            <w:r>
              <w:rPr>
                <w:rFonts w:cs="宋体"/>
                <w:color w:val="auto"/>
                <w:szCs w:val="21"/>
                <w:highlight w:val="none"/>
              </w:rPr>
              <w:t>[好]</w:t>
            </w:r>
            <w:r>
              <w:rPr>
                <w:rFonts w:hint="eastAsia" w:ascii="宋体" w:hAnsi="宋体" w:cs="宋体"/>
                <w:bCs/>
                <w:color w:val="auto"/>
                <w:szCs w:val="21"/>
                <w:highlight w:val="none"/>
                <w:lang w:val="zh-CN"/>
              </w:rPr>
              <w:t>装配式设计遵循适用、经济、绿色、安全、美观的原则，装配式混凝土建筑技术体系应符合标准化设计、工厂化生产、装配式施工、一体化装修、信息化管理和智能化应用的要求，装配式设计工作方案合理可行</w:t>
            </w:r>
            <w:r>
              <w:rPr>
                <w:rFonts w:cs="宋体"/>
                <w:color w:val="auto"/>
                <w:szCs w:val="21"/>
                <w:highlight w:val="none"/>
              </w:rPr>
              <w:t>。得[</w:t>
            </w:r>
            <w:r>
              <w:rPr>
                <w:rFonts w:hint="eastAsia" w:cs="宋体"/>
                <w:color w:val="auto"/>
                <w:szCs w:val="21"/>
                <w:highlight w:val="none"/>
                <w:lang w:val="en-US" w:eastAsia="zh-CN"/>
              </w:rPr>
              <w:t>5</w:t>
            </w:r>
            <w:r>
              <w:rPr>
                <w:rFonts w:cs="宋体"/>
                <w:color w:val="auto"/>
                <w:szCs w:val="21"/>
                <w:highlight w:val="none"/>
              </w:rPr>
              <w:t>,</w:t>
            </w:r>
            <w:r>
              <w:rPr>
                <w:rFonts w:hint="eastAsia" w:cs="宋体"/>
                <w:color w:val="auto"/>
                <w:szCs w:val="21"/>
                <w:highlight w:val="none"/>
                <w:lang w:val="en-US" w:eastAsia="zh-CN"/>
              </w:rPr>
              <w:t>3</w:t>
            </w:r>
            <w:r>
              <w:rPr>
                <w:rFonts w:cs="宋体"/>
                <w:color w:val="auto"/>
                <w:szCs w:val="21"/>
                <w:highlight w:val="none"/>
              </w:rPr>
              <w:t>）分。</w:t>
            </w:r>
          </w:p>
          <w:p w14:paraId="11652F95">
            <w:pPr>
              <w:adjustRightInd w:val="0"/>
              <w:snapToGrid w:val="0"/>
              <w:ind w:right="134" w:rightChars="64"/>
              <w:rPr>
                <w:rFonts w:cs="宋体"/>
                <w:color w:val="auto"/>
                <w:szCs w:val="21"/>
                <w:highlight w:val="none"/>
              </w:rPr>
            </w:pPr>
            <w:r>
              <w:rPr>
                <w:rFonts w:cs="宋体"/>
                <w:color w:val="auto"/>
                <w:szCs w:val="21"/>
                <w:highlight w:val="none"/>
              </w:rPr>
              <w:t>[中]</w:t>
            </w:r>
            <w:r>
              <w:rPr>
                <w:rFonts w:hint="eastAsia" w:ascii="宋体" w:hAnsi="宋体" w:cs="宋体"/>
                <w:bCs/>
                <w:color w:val="auto"/>
                <w:szCs w:val="21"/>
                <w:highlight w:val="none"/>
                <w:lang w:val="zh-CN"/>
              </w:rPr>
              <w:t>装配式设计遵循适用、经济、绿色、安全、美观的原则，装配式混凝土建筑技术体系应符合标准化设计、工厂化生产、装配式施工、一体化装修、信息化管理和智能化应用的要求，装配式设计工作方案较合理</w:t>
            </w:r>
            <w:r>
              <w:rPr>
                <w:rFonts w:cs="宋体"/>
                <w:color w:val="auto"/>
                <w:szCs w:val="21"/>
                <w:highlight w:val="none"/>
              </w:rPr>
              <w:t>。得[</w:t>
            </w:r>
            <w:r>
              <w:rPr>
                <w:rFonts w:hint="eastAsia" w:cs="宋体"/>
                <w:color w:val="auto"/>
                <w:szCs w:val="21"/>
                <w:highlight w:val="none"/>
                <w:lang w:val="en-US" w:eastAsia="zh-CN"/>
              </w:rPr>
              <w:t>3</w:t>
            </w:r>
            <w:r>
              <w:rPr>
                <w:rFonts w:cs="宋体"/>
                <w:color w:val="auto"/>
                <w:szCs w:val="21"/>
                <w:highlight w:val="none"/>
              </w:rPr>
              <w:t>,</w:t>
            </w:r>
            <w:r>
              <w:rPr>
                <w:rFonts w:hint="eastAsia" w:cs="宋体"/>
                <w:color w:val="auto"/>
                <w:szCs w:val="21"/>
                <w:highlight w:val="none"/>
                <w:lang w:val="en-US" w:eastAsia="zh-CN"/>
              </w:rPr>
              <w:t>1</w:t>
            </w:r>
            <w:r>
              <w:rPr>
                <w:rFonts w:cs="宋体"/>
                <w:color w:val="auto"/>
                <w:szCs w:val="21"/>
                <w:highlight w:val="none"/>
              </w:rPr>
              <w:t>）分。</w:t>
            </w:r>
          </w:p>
          <w:p w14:paraId="7F0CCE88">
            <w:pPr>
              <w:adjustRightInd w:val="0"/>
              <w:snapToGrid w:val="0"/>
              <w:ind w:right="134" w:rightChars="0"/>
              <w:rPr>
                <w:rFonts w:hint="eastAsia" w:ascii="宋体" w:hAnsi="宋体" w:eastAsia="宋体" w:cs="宋体"/>
                <w:color w:val="auto"/>
                <w:szCs w:val="21"/>
                <w:highlight w:val="none"/>
              </w:rPr>
            </w:pPr>
            <w:r>
              <w:rPr>
                <w:rFonts w:cs="宋体"/>
                <w:color w:val="auto"/>
                <w:szCs w:val="21"/>
                <w:highlight w:val="none"/>
              </w:rPr>
              <w:t>[差]不满足“好”、“中”的评审标准。得[</w:t>
            </w:r>
            <w:r>
              <w:rPr>
                <w:rFonts w:hint="eastAsia" w:cs="宋体"/>
                <w:color w:val="auto"/>
                <w:szCs w:val="21"/>
                <w:highlight w:val="none"/>
                <w:lang w:val="en-US" w:eastAsia="zh-CN"/>
              </w:rPr>
              <w:t>1</w:t>
            </w:r>
            <w:r>
              <w:rPr>
                <w:rFonts w:cs="宋体"/>
                <w:color w:val="auto"/>
                <w:szCs w:val="21"/>
                <w:highlight w:val="none"/>
              </w:rPr>
              <w:t>,0]分。</w:t>
            </w:r>
          </w:p>
        </w:tc>
        <w:tc>
          <w:tcPr>
            <w:tcW w:w="995" w:type="dxa"/>
            <w:tcBorders>
              <w:top w:val="single" w:color="auto" w:sz="4" w:space="0"/>
              <w:left w:val="single" w:color="auto" w:sz="4" w:space="0"/>
              <w:right w:val="single" w:color="auto" w:sz="4" w:space="0"/>
            </w:tcBorders>
            <w:shd w:val="clear" w:color="auto" w:fill="auto"/>
            <w:vAlign w:val="center"/>
          </w:tcPr>
          <w:p w14:paraId="45092D57">
            <w:pPr>
              <w:pStyle w:val="18"/>
              <w:rPr>
                <w:rFonts w:cs="宋体"/>
                <w:color w:val="auto"/>
                <w:kern w:val="2"/>
                <w:sz w:val="21"/>
                <w:szCs w:val="21"/>
                <w:highlight w:val="none"/>
              </w:rPr>
            </w:pPr>
          </w:p>
        </w:tc>
      </w:tr>
      <w:tr w14:paraId="0FFA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33" w:type="dxa"/>
            <w:tcBorders>
              <w:top w:val="single" w:color="auto" w:sz="4" w:space="0"/>
              <w:left w:val="single" w:color="auto" w:sz="4" w:space="0"/>
              <w:right w:val="single" w:color="auto" w:sz="4" w:space="0"/>
            </w:tcBorders>
            <w:shd w:val="clear" w:color="auto" w:fill="auto"/>
            <w:vAlign w:val="center"/>
          </w:tcPr>
          <w:p w14:paraId="14C7A876">
            <w:pPr>
              <w:pStyle w:val="18"/>
              <w:ind w:right="134" w:rightChars="64"/>
              <w:jc w:val="center"/>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7</w:t>
            </w:r>
          </w:p>
        </w:tc>
        <w:tc>
          <w:tcPr>
            <w:tcW w:w="25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13EB46">
            <w:pPr>
              <w:pStyle w:val="6"/>
              <w:ind w:firstLine="0" w:firstLineChars="0"/>
              <w:jc w:val="both"/>
              <w:rPr>
                <w:rFonts w:hint="eastAsia" w:ascii="宋体" w:hAnsi="宋体" w:eastAsia="宋体" w:cs="Times New Roman"/>
                <w:b w:val="0"/>
                <w:color w:val="auto"/>
                <w:kern w:val="0"/>
                <w:sz w:val="21"/>
                <w:szCs w:val="21"/>
                <w:highlight w:val="none"/>
                <w:lang w:eastAsia="zh-CN"/>
              </w:rPr>
            </w:pPr>
            <w:r>
              <w:rPr>
                <w:rFonts w:hint="eastAsia" w:ascii="宋体" w:hAnsi="宋体" w:eastAsia="宋体" w:cs="宋体"/>
                <w:color w:val="auto"/>
                <w:sz w:val="21"/>
                <w:szCs w:val="21"/>
                <w:highlight w:val="none"/>
              </w:rPr>
              <w:t>绿色建筑（</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分）</w:t>
            </w:r>
          </w:p>
        </w:tc>
        <w:tc>
          <w:tcPr>
            <w:tcW w:w="10016" w:type="dxa"/>
            <w:tcBorders>
              <w:top w:val="single" w:color="auto" w:sz="4" w:space="0"/>
              <w:left w:val="single" w:color="auto" w:sz="4" w:space="0"/>
              <w:bottom w:val="single" w:color="auto" w:sz="4" w:space="0"/>
              <w:right w:val="single" w:color="auto" w:sz="4" w:space="0"/>
            </w:tcBorders>
            <w:shd w:val="clear" w:color="auto" w:fill="auto"/>
            <w:vAlign w:val="center"/>
          </w:tcPr>
          <w:p w14:paraId="5739713D">
            <w:pPr>
              <w:adjustRightInd w:val="0"/>
              <w:snapToGrid w:val="0"/>
              <w:ind w:right="134" w:rightChars="64"/>
              <w:rPr>
                <w:rFonts w:cs="宋体"/>
                <w:color w:val="auto"/>
                <w:szCs w:val="21"/>
                <w:highlight w:val="none"/>
              </w:rPr>
            </w:pPr>
            <w:r>
              <w:rPr>
                <w:rFonts w:cs="宋体"/>
                <w:color w:val="auto"/>
                <w:szCs w:val="21"/>
                <w:highlight w:val="none"/>
              </w:rPr>
              <w:t>[好]</w:t>
            </w:r>
            <w:r>
              <w:rPr>
                <w:rFonts w:hint="eastAsia" w:cs="宋体"/>
                <w:color w:val="auto"/>
                <w:szCs w:val="21"/>
                <w:highlight w:val="none"/>
                <w:lang w:val="en-US" w:eastAsia="zh-CN"/>
              </w:rPr>
              <w:t xml:space="preserve"> </w:t>
            </w:r>
            <w:r>
              <w:rPr>
                <w:rFonts w:cs="宋体"/>
                <w:color w:val="auto"/>
                <w:szCs w:val="21"/>
                <w:highlight w:val="none"/>
              </w:rPr>
              <w:t>完全符合绿色建筑设计目标，采取的绿色技术措施充分考虑建筑所在地的气候特点，最大限度地节约资源、保护环境、减少污染，提供健康、适应和高效的使用空间；合理布置绿化、户外区域；合理设置节电节水自动控制、网络、雨水收集与利用等系统；满足绿色建筑二星级的要求。充分符合城市防洪排涝标准、本区域的海绵城市专项设计。得[5,3）分。</w:t>
            </w:r>
          </w:p>
          <w:p w14:paraId="1F8C427A">
            <w:pPr>
              <w:adjustRightInd w:val="0"/>
              <w:snapToGrid w:val="0"/>
              <w:ind w:right="134" w:rightChars="64"/>
              <w:rPr>
                <w:rFonts w:cs="宋体"/>
                <w:color w:val="auto"/>
                <w:szCs w:val="21"/>
                <w:highlight w:val="none"/>
              </w:rPr>
            </w:pPr>
            <w:r>
              <w:rPr>
                <w:rFonts w:cs="宋体"/>
                <w:color w:val="auto"/>
                <w:szCs w:val="21"/>
                <w:highlight w:val="none"/>
              </w:rPr>
              <w:t>[中]</w:t>
            </w:r>
            <w:r>
              <w:rPr>
                <w:rFonts w:hint="eastAsia" w:cs="宋体"/>
                <w:color w:val="auto"/>
                <w:szCs w:val="21"/>
                <w:highlight w:val="none"/>
                <w:lang w:val="en-US" w:eastAsia="zh-CN"/>
              </w:rPr>
              <w:t xml:space="preserve"> </w:t>
            </w:r>
            <w:r>
              <w:rPr>
                <w:rFonts w:cs="宋体"/>
                <w:color w:val="auto"/>
                <w:szCs w:val="21"/>
                <w:highlight w:val="none"/>
              </w:rPr>
              <w:t>较符合绿色建筑设计目标，采取的绿色技术措施较充分考虑建筑所在地的气候特点，较节约资源、保护环境、减少污染，提供健康、适应和高效的使用空间；较合理布置绿化、户外区域；较合理设置节电节水自动控制、网络、雨水收集与利用等系统；满足绿色建筑二星级的要求。较符合城市防洪排涝标准、本区域的海绵城市专项设计。得[3,1）分。</w:t>
            </w:r>
          </w:p>
          <w:p w14:paraId="3170C0B1">
            <w:pPr>
              <w:adjustRightInd w:val="0"/>
              <w:snapToGrid w:val="0"/>
              <w:ind w:right="134" w:rightChars="0"/>
              <w:rPr>
                <w:rFonts w:hint="eastAsia" w:ascii="宋体" w:hAnsi="宋体"/>
                <w:b w:val="0"/>
                <w:color w:val="auto"/>
                <w:kern w:val="0"/>
                <w:sz w:val="21"/>
                <w:szCs w:val="21"/>
                <w:highlight w:val="none"/>
              </w:rPr>
            </w:pPr>
            <w:r>
              <w:rPr>
                <w:rFonts w:cs="宋体"/>
                <w:color w:val="auto"/>
                <w:szCs w:val="21"/>
                <w:highlight w:val="none"/>
              </w:rPr>
              <w:t>[差]</w:t>
            </w:r>
            <w:r>
              <w:rPr>
                <w:rFonts w:hint="eastAsia" w:cs="宋体"/>
                <w:color w:val="auto"/>
                <w:szCs w:val="21"/>
                <w:highlight w:val="none"/>
                <w:lang w:val="en-US" w:eastAsia="zh-CN"/>
              </w:rPr>
              <w:t xml:space="preserve"> </w:t>
            </w:r>
            <w:r>
              <w:rPr>
                <w:rFonts w:cs="宋体"/>
                <w:color w:val="auto"/>
                <w:szCs w:val="21"/>
                <w:highlight w:val="none"/>
              </w:rPr>
              <w:t>不满足“好”、“中”的评审标准。得[1,0]分。</w:t>
            </w:r>
          </w:p>
        </w:tc>
        <w:tc>
          <w:tcPr>
            <w:tcW w:w="995" w:type="dxa"/>
            <w:tcBorders>
              <w:top w:val="single" w:color="auto" w:sz="4" w:space="0"/>
              <w:left w:val="single" w:color="auto" w:sz="4" w:space="0"/>
              <w:right w:val="single" w:color="auto" w:sz="4" w:space="0"/>
            </w:tcBorders>
            <w:shd w:val="clear" w:color="auto" w:fill="auto"/>
            <w:vAlign w:val="center"/>
          </w:tcPr>
          <w:p w14:paraId="5D62F77F">
            <w:pPr>
              <w:pStyle w:val="18"/>
              <w:rPr>
                <w:rFonts w:cs="宋体"/>
                <w:color w:val="auto"/>
                <w:kern w:val="2"/>
                <w:sz w:val="21"/>
                <w:szCs w:val="21"/>
                <w:highlight w:val="none"/>
              </w:rPr>
            </w:pPr>
          </w:p>
        </w:tc>
      </w:tr>
      <w:tr w14:paraId="090F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633" w:type="dxa"/>
            <w:tcBorders>
              <w:top w:val="single" w:color="auto" w:sz="4" w:space="0"/>
              <w:left w:val="single" w:color="auto" w:sz="4" w:space="0"/>
              <w:right w:val="single" w:color="auto" w:sz="4" w:space="0"/>
            </w:tcBorders>
            <w:shd w:val="clear" w:color="auto" w:fill="auto"/>
            <w:vAlign w:val="center"/>
          </w:tcPr>
          <w:p w14:paraId="7AF66804">
            <w:pPr>
              <w:pStyle w:val="18"/>
              <w:jc w:val="center"/>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8</w:t>
            </w:r>
          </w:p>
        </w:tc>
        <w:tc>
          <w:tcPr>
            <w:tcW w:w="25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C54693">
            <w:pPr>
              <w:pStyle w:val="53"/>
              <w:jc w:val="both"/>
              <w:rPr>
                <w:rFonts w:hint="eastAsia" w:cs="宋体"/>
                <w:color w:val="auto"/>
                <w:sz w:val="21"/>
                <w:szCs w:val="21"/>
                <w:highlight w:val="none"/>
                <w:lang w:val="en-US" w:eastAsia="zh-CN"/>
              </w:rPr>
            </w:pPr>
            <w:r>
              <w:rPr>
                <w:rFonts w:hint="eastAsia"/>
                <w:bCs/>
                <w:color w:val="auto"/>
                <w:sz w:val="21"/>
                <w:szCs w:val="21"/>
                <w:highlight w:val="none"/>
                <w:lang w:val="en-US" w:eastAsia="zh-CN" w:bidi="ar-SA"/>
              </w:rPr>
              <w:t>无障碍设计（5分）</w:t>
            </w:r>
          </w:p>
        </w:tc>
        <w:tc>
          <w:tcPr>
            <w:tcW w:w="10016" w:type="dxa"/>
            <w:tcBorders>
              <w:top w:val="single" w:color="auto" w:sz="4" w:space="0"/>
              <w:left w:val="single" w:color="auto" w:sz="4" w:space="0"/>
              <w:bottom w:val="single" w:color="auto" w:sz="4" w:space="0"/>
              <w:right w:val="single" w:color="auto" w:sz="4" w:space="0"/>
            </w:tcBorders>
            <w:shd w:val="clear" w:color="auto" w:fill="auto"/>
            <w:vAlign w:val="center"/>
          </w:tcPr>
          <w:p w14:paraId="7F6700D7">
            <w:pPr>
              <w:ind w:firstLine="0" w:firstLineChars="0"/>
              <w:rPr>
                <w:rFonts w:hint="eastAsia" w:ascii="宋体" w:hAnsi="宋体" w:cs="宋体"/>
                <w:bCs/>
                <w:color w:val="auto"/>
                <w:szCs w:val="21"/>
                <w:highlight w:val="none"/>
                <w:lang w:val="zh-TW" w:eastAsia="zh-TW" w:bidi="zh-TW"/>
              </w:rPr>
            </w:pPr>
            <w:r>
              <w:rPr>
                <w:rFonts w:cs="宋体"/>
                <w:color w:val="auto"/>
                <w:szCs w:val="21"/>
                <w:highlight w:val="none"/>
              </w:rPr>
              <w:t>[好]</w:t>
            </w:r>
            <w:r>
              <w:rPr>
                <w:rFonts w:hint="eastAsia" w:cs="宋体"/>
                <w:color w:val="auto"/>
                <w:szCs w:val="21"/>
                <w:highlight w:val="none"/>
                <w:lang w:val="en-US" w:eastAsia="zh-CN"/>
              </w:rPr>
              <w:t xml:space="preserve"> </w:t>
            </w:r>
            <w:r>
              <w:rPr>
                <w:rFonts w:hint="eastAsia" w:ascii="宋体" w:hAnsi="宋体" w:cs="宋体"/>
                <w:bCs/>
                <w:color w:val="auto"/>
                <w:szCs w:val="21"/>
                <w:highlight w:val="none"/>
                <w:lang w:val="zh-TW" w:eastAsia="zh-TW" w:bidi="zh-TW"/>
              </w:rPr>
              <w:t>交通流线清晰良好，电梯的位置和数量合理，停车体系完善，连接方便，避免交通阻隔和绕行，减少无效路程，可快速疏通人流，提高交通效率；充分考虑无障碍设计要求；无碍障设计实施范围包括：建筑基地（人行通路、停车车位）、建筑入口、入口平台及门、水平与垂直交通、接待用房、公共厕所</w:t>
            </w:r>
            <w:r>
              <w:rPr>
                <w:rFonts w:hint="eastAsia" w:ascii="宋体" w:hAnsi="宋体" w:cs="宋体"/>
                <w:bCs/>
                <w:color w:val="auto"/>
                <w:szCs w:val="21"/>
                <w:highlight w:val="none"/>
                <w:lang w:val="zh-TW" w:eastAsia="zh-CN" w:bidi="zh-TW"/>
              </w:rPr>
              <w:t>。</w:t>
            </w:r>
            <w:r>
              <w:rPr>
                <w:rFonts w:hint="eastAsia" w:ascii="宋体" w:hAnsi="宋体" w:cs="宋体"/>
                <w:bCs/>
                <w:color w:val="auto"/>
                <w:szCs w:val="21"/>
                <w:highlight w:val="none"/>
                <w:lang w:val="zh-TW" w:eastAsia="zh-TW" w:bidi="zh-TW"/>
              </w:rPr>
              <w:t>得[</w:t>
            </w:r>
            <w:r>
              <w:rPr>
                <w:rFonts w:hint="eastAsia" w:ascii="宋体" w:hAnsi="宋体" w:cs="宋体"/>
                <w:bCs/>
                <w:color w:val="auto"/>
                <w:szCs w:val="21"/>
                <w:highlight w:val="none"/>
                <w:lang w:val="en-US" w:eastAsia="zh-CN" w:bidi="zh-TW"/>
              </w:rPr>
              <w:t>5</w:t>
            </w:r>
            <w:r>
              <w:rPr>
                <w:rFonts w:cs="宋体"/>
                <w:color w:val="auto"/>
                <w:szCs w:val="21"/>
                <w:highlight w:val="none"/>
              </w:rPr>
              <w:t>,</w:t>
            </w:r>
            <w:r>
              <w:rPr>
                <w:rFonts w:hint="eastAsia" w:ascii="宋体" w:hAnsi="宋体" w:cs="宋体"/>
                <w:bCs/>
                <w:color w:val="auto"/>
                <w:szCs w:val="21"/>
                <w:highlight w:val="none"/>
                <w:lang w:val="en-US" w:eastAsia="zh-CN" w:bidi="zh-TW"/>
              </w:rPr>
              <w:t>3</w:t>
            </w:r>
            <w:r>
              <w:rPr>
                <w:rFonts w:hint="eastAsia" w:ascii="宋体" w:hAnsi="宋体" w:cs="宋体"/>
                <w:bCs/>
                <w:color w:val="auto"/>
                <w:szCs w:val="21"/>
                <w:highlight w:val="none"/>
                <w:lang w:val="zh-TW" w:eastAsia="zh-TW" w:bidi="zh-TW"/>
              </w:rPr>
              <w:t>）分。</w:t>
            </w:r>
          </w:p>
          <w:p w14:paraId="1DF72ED9">
            <w:pPr>
              <w:ind w:firstLine="0" w:firstLineChars="0"/>
              <w:rPr>
                <w:rFonts w:hint="eastAsia" w:ascii="宋体" w:hAnsi="宋体" w:cs="宋体"/>
                <w:bCs/>
                <w:color w:val="auto"/>
                <w:szCs w:val="21"/>
                <w:highlight w:val="none"/>
                <w:lang w:val="zh-TW" w:eastAsia="zh-TW" w:bidi="zh-TW"/>
              </w:rPr>
            </w:pPr>
            <w:r>
              <w:rPr>
                <w:rFonts w:cs="宋体"/>
                <w:color w:val="auto"/>
                <w:szCs w:val="21"/>
                <w:highlight w:val="none"/>
              </w:rPr>
              <w:t>[中]</w:t>
            </w:r>
            <w:r>
              <w:rPr>
                <w:rFonts w:hint="eastAsia" w:cs="宋体"/>
                <w:color w:val="auto"/>
                <w:szCs w:val="21"/>
                <w:highlight w:val="none"/>
                <w:lang w:val="en-US" w:eastAsia="zh-CN"/>
              </w:rPr>
              <w:t xml:space="preserve"> </w:t>
            </w:r>
            <w:r>
              <w:rPr>
                <w:rFonts w:hint="eastAsia" w:ascii="宋体" w:hAnsi="宋体" w:cs="宋体"/>
                <w:bCs/>
                <w:color w:val="auto"/>
                <w:szCs w:val="21"/>
                <w:highlight w:val="none"/>
                <w:lang w:val="zh-TW" w:eastAsia="zh-TW" w:bidi="zh-TW"/>
              </w:rPr>
              <w:t>交通流线清晰一般，电梯的位置和数量合理，停车体系完善，连接方便，避免交通阻隔和绕行，减少无效路程，可快速疏通人流，提高交通效率；部分考虑无障碍设计要求；无碍障设计实施范围包括：建筑基地（人行通路、停车车位）、建筑入口、入口平台及门、水平与垂直交通、接待用房、公共厕所</w:t>
            </w:r>
            <w:r>
              <w:rPr>
                <w:rFonts w:hint="eastAsia" w:ascii="宋体" w:hAnsi="宋体" w:cs="宋体"/>
                <w:bCs/>
                <w:color w:val="auto"/>
                <w:szCs w:val="21"/>
                <w:highlight w:val="none"/>
                <w:lang w:val="zh-TW" w:eastAsia="zh-CN" w:bidi="zh-TW"/>
              </w:rPr>
              <w:t>。</w:t>
            </w:r>
            <w:r>
              <w:rPr>
                <w:rFonts w:hint="eastAsia" w:ascii="宋体" w:hAnsi="宋体" w:cs="宋体"/>
                <w:bCs/>
                <w:color w:val="auto"/>
                <w:szCs w:val="21"/>
                <w:highlight w:val="none"/>
                <w:lang w:val="zh-TW" w:eastAsia="zh-TW" w:bidi="zh-TW"/>
              </w:rPr>
              <w:t>得[</w:t>
            </w:r>
            <w:r>
              <w:rPr>
                <w:rFonts w:hint="eastAsia" w:ascii="宋体" w:hAnsi="宋体" w:cs="宋体"/>
                <w:bCs/>
                <w:color w:val="auto"/>
                <w:szCs w:val="21"/>
                <w:highlight w:val="none"/>
                <w:lang w:val="en-US" w:eastAsia="zh-CN" w:bidi="zh-TW"/>
              </w:rPr>
              <w:t>3</w:t>
            </w:r>
            <w:r>
              <w:rPr>
                <w:rFonts w:cs="宋体"/>
                <w:color w:val="auto"/>
                <w:szCs w:val="21"/>
                <w:highlight w:val="none"/>
              </w:rPr>
              <w:t>,</w:t>
            </w:r>
            <w:r>
              <w:rPr>
                <w:rFonts w:hint="eastAsia" w:ascii="宋体" w:hAnsi="宋体" w:cs="宋体"/>
                <w:bCs/>
                <w:color w:val="auto"/>
                <w:szCs w:val="21"/>
                <w:highlight w:val="none"/>
                <w:lang w:val="en-US" w:eastAsia="zh-CN" w:bidi="zh-TW"/>
              </w:rPr>
              <w:t>1</w:t>
            </w:r>
            <w:r>
              <w:rPr>
                <w:rFonts w:hint="eastAsia" w:ascii="宋体" w:hAnsi="宋体" w:cs="宋体"/>
                <w:bCs/>
                <w:color w:val="auto"/>
                <w:szCs w:val="21"/>
                <w:highlight w:val="none"/>
                <w:lang w:val="zh-TW" w:eastAsia="zh-TW" w:bidi="zh-TW"/>
              </w:rPr>
              <w:t>)分。</w:t>
            </w:r>
          </w:p>
          <w:p w14:paraId="10ECF43A">
            <w:pPr>
              <w:ind w:firstLine="0" w:firstLineChars="0"/>
              <w:rPr>
                <w:rFonts w:hint="eastAsia" w:ascii="宋体" w:hAnsi="宋体" w:cs="宋体"/>
                <w:bCs/>
                <w:color w:val="auto"/>
                <w:szCs w:val="21"/>
                <w:highlight w:val="none"/>
                <w:lang w:val="zh-TW" w:eastAsia="zh-TW" w:bidi="zh-TW"/>
              </w:rPr>
            </w:pPr>
            <w:r>
              <w:rPr>
                <w:rFonts w:cs="宋体"/>
                <w:color w:val="auto"/>
                <w:szCs w:val="21"/>
                <w:highlight w:val="none"/>
              </w:rPr>
              <w:t>[差]</w:t>
            </w:r>
            <w:r>
              <w:rPr>
                <w:rFonts w:hint="eastAsia" w:cs="宋体"/>
                <w:color w:val="auto"/>
                <w:szCs w:val="21"/>
                <w:highlight w:val="none"/>
                <w:lang w:val="en-US" w:eastAsia="zh-CN"/>
              </w:rPr>
              <w:t xml:space="preserve"> </w:t>
            </w:r>
            <w:r>
              <w:rPr>
                <w:rFonts w:cs="宋体"/>
                <w:color w:val="auto"/>
                <w:szCs w:val="21"/>
                <w:highlight w:val="none"/>
              </w:rPr>
              <w:t>不满足“好”、“中”的评审标准。</w:t>
            </w:r>
            <w:r>
              <w:rPr>
                <w:rFonts w:hint="eastAsia" w:ascii="宋体" w:hAnsi="宋体" w:cs="宋体"/>
                <w:bCs/>
                <w:color w:val="auto"/>
                <w:szCs w:val="21"/>
                <w:highlight w:val="none"/>
                <w:lang w:val="zh-TW" w:eastAsia="zh-TW" w:bidi="zh-TW"/>
              </w:rPr>
              <w:t>得[</w:t>
            </w:r>
            <w:r>
              <w:rPr>
                <w:rFonts w:hint="eastAsia" w:ascii="宋体" w:hAnsi="宋体" w:cs="宋体"/>
                <w:bCs/>
                <w:color w:val="auto"/>
                <w:szCs w:val="21"/>
                <w:highlight w:val="none"/>
                <w:lang w:val="en-US" w:eastAsia="zh-CN" w:bidi="zh-TW"/>
              </w:rPr>
              <w:t>1</w:t>
            </w:r>
            <w:r>
              <w:rPr>
                <w:rFonts w:cs="宋体"/>
                <w:color w:val="auto"/>
                <w:szCs w:val="21"/>
                <w:highlight w:val="none"/>
              </w:rPr>
              <w:t>,</w:t>
            </w:r>
            <w:r>
              <w:rPr>
                <w:rFonts w:hint="eastAsia" w:ascii="宋体" w:hAnsi="宋体" w:cs="宋体"/>
                <w:bCs/>
                <w:color w:val="auto"/>
                <w:szCs w:val="21"/>
                <w:highlight w:val="none"/>
                <w:lang w:val="zh-TW" w:eastAsia="zh-TW" w:bidi="zh-TW"/>
              </w:rPr>
              <w:t>0</w:t>
            </w:r>
            <w:r>
              <w:rPr>
                <w:rFonts w:cs="宋体"/>
                <w:color w:val="auto"/>
                <w:szCs w:val="21"/>
                <w:highlight w:val="none"/>
              </w:rPr>
              <w:t>]</w:t>
            </w:r>
            <w:r>
              <w:rPr>
                <w:rFonts w:hint="eastAsia" w:ascii="宋体" w:hAnsi="宋体" w:cs="宋体"/>
                <w:bCs/>
                <w:color w:val="auto"/>
                <w:szCs w:val="21"/>
                <w:highlight w:val="none"/>
                <w:lang w:val="zh-TW" w:eastAsia="zh-TW" w:bidi="zh-TW"/>
              </w:rPr>
              <w:t>分。</w:t>
            </w:r>
          </w:p>
          <w:p w14:paraId="1D794728">
            <w:pPr>
              <w:adjustRightInd/>
              <w:snapToGrid/>
              <w:ind w:right="0" w:rightChars="0"/>
              <w:rPr>
                <w:rFonts w:hint="eastAsia" w:ascii="宋体" w:hAnsi="宋体" w:eastAsia="宋体" w:cs="宋体"/>
                <w:color w:val="auto"/>
                <w:szCs w:val="21"/>
                <w:highlight w:val="none"/>
              </w:rPr>
            </w:pPr>
            <w:r>
              <w:rPr>
                <w:rFonts w:hint="eastAsia" w:ascii="宋体" w:hAnsi="宋体" w:cs="宋体"/>
                <w:b w:val="0"/>
                <w:bCs/>
                <w:color w:val="auto"/>
                <w:szCs w:val="21"/>
                <w:highlight w:val="none"/>
                <w:lang w:val="zh-TW" w:eastAsia="zh-TW" w:bidi="zh-TW"/>
              </w:rPr>
              <w:t>注：无障碍设计可参考</w:t>
            </w:r>
            <w:r>
              <w:rPr>
                <w:rFonts w:hint="eastAsia" w:ascii="宋体" w:hAnsi="宋体" w:cs="宋体"/>
                <w:b w:val="0"/>
                <w:bCs/>
                <w:color w:val="auto"/>
                <w:szCs w:val="21"/>
                <w:highlight w:val="none"/>
                <w:lang w:val="en-US" w:eastAsia="zh-CN" w:bidi="zh-TW"/>
              </w:rPr>
              <w:t>项目初步设计和方案设计文件、</w:t>
            </w:r>
            <w:r>
              <w:rPr>
                <w:rFonts w:hint="eastAsia" w:ascii="宋体" w:hAnsi="宋体" w:cs="宋体"/>
                <w:b w:val="0"/>
                <w:bCs/>
                <w:color w:val="auto"/>
                <w:szCs w:val="21"/>
                <w:highlight w:val="none"/>
                <w:lang w:val="zh-TW" w:eastAsia="zh-TW" w:bidi="zh-TW"/>
              </w:rPr>
              <w:t>《</w:t>
            </w:r>
            <w:r>
              <w:rPr>
                <w:rFonts w:hint="eastAsia" w:ascii="宋体" w:hAnsi="宋体"/>
                <w:color w:val="auto"/>
                <w:kern w:val="0"/>
                <w:szCs w:val="21"/>
                <w:highlight w:val="none"/>
              </w:rPr>
              <w:t>广东省新闻出版高级技工学校钟落潭校区建设项目</w:t>
            </w:r>
            <w:r>
              <w:rPr>
                <w:rFonts w:hint="eastAsia" w:ascii="宋体" w:hAnsi="宋体" w:cs="Times New Roman"/>
                <w:b w:val="0"/>
                <w:color w:val="auto"/>
                <w:kern w:val="0"/>
                <w:sz w:val="21"/>
                <w:szCs w:val="21"/>
                <w:highlight w:val="none"/>
              </w:rPr>
              <w:t>可行性研究报告</w:t>
            </w:r>
            <w:r>
              <w:rPr>
                <w:rFonts w:hint="eastAsia" w:ascii="宋体" w:hAnsi="宋体" w:cs="宋体"/>
                <w:b w:val="0"/>
                <w:bCs/>
                <w:color w:val="auto"/>
                <w:szCs w:val="21"/>
                <w:highlight w:val="none"/>
                <w:lang w:val="zh-TW" w:eastAsia="zh-TW" w:bidi="zh-TW"/>
              </w:rPr>
              <w:t>》相关的内容。</w:t>
            </w:r>
          </w:p>
        </w:tc>
        <w:tc>
          <w:tcPr>
            <w:tcW w:w="995" w:type="dxa"/>
            <w:tcBorders>
              <w:top w:val="single" w:color="auto" w:sz="4" w:space="0"/>
              <w:left w:val="single" w:color="auto" w:sz="4" w:space="0"/>
              <w:right w:val="single" w:color="auto" w:sz="4" w:space="0"/>
            </w:tcBorders>
            <w:shd w:val="clear" w:color="auto" w:fill="auto"/>
            <w:vAlign w:val="center"/>
          </w:tcPr>
          <w:p w14:paraId="376A3B54">
            <w:pPr>
              <w:pStyle w:val="18"/>
              <w:rPr>
                <w:rFonts w:cs="宋体"/>
                <w:color w:val="auto"/>
                <w:kern w:val="2"/>
                <w:sz w:val="21"/>
                <w:szCs w:val="21"/>
                <w:highlight w:val="none"/>
              </w:rPr>
            </w:pPr>
          </w:p>
        </w:tc>
      </w:tr>
      <w:tr w14:paraId="2A46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33" w:type="dxa"/>
            <w:tcBorders>
              <w:top w:val="single" w:color="auto" w:sz="4" w:space="0"/>
              <w:left w:val="single" w:color="auto" w:sz="4" w:space="0"/>
              <w:right w:val="single" w:color="auto" w:sz="4" w:space="0"/>
            </w:tcBorders>
            <w:shd w:val="clear" w:color="auto" w:fill="auto"/>
            <w:vAlign w:val="center"/>
          </w:tcPr>
          <w:p w14:paraId="2C8CE7D7">
            <w:pPr>
              <w:pStyle w:val="18"/>
              <w:jc w:val="center"/>
              <w:rPr>
                <w:rFonts w:hint="eastAsia" w:eastAsia="宋体" w:cs="宋体"/>
                <w:color w:val="auto"/>
                <w:sz w:val="21"/>
                <w:szCs w:val="21"/>
                <w:highlight w:val="none"/>
                <w:lang w:val="en-US" w:eastAsia="zh-CN"/>
              </w:rPr>
            </w:pPr>
            <w:r>
              <w:rPr>
                <w:rFonts w:hint="eastAsia" w:cs="宋体"/>
                <w:color w:val="auto"/>
                <w:sz w:val="21"/>
                <w:szCs w:val="21"/>
                <w:highlight w:val="none"/>
                <w:lang w:val="en-US" w:eastAsia="zh-CN"/>
              </w:rPr>
              <w:t>9</w:t>
            </w:r>
          </w:p>
        </w:tc>
        <w:tc>
          <w:tcPr>
            <w:tcW w:w="25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A058EE">
            <w:pPr>
              <w:pStyle w:val="18"/>
              <w:rPr>
                <w:rFonts w:hint="eastAsia" w:ascii="宋体" w:hAnsi="宋体" w:eastAsia="宋体" w:cs="Times New Roman"/>
                <w:b w:val="0"/>
                <w:color w:val="auto"/>
                <w:kern w:val="0"/>
                <w:sz w:val="21"/>
                <w:szCs w:val="21"/>
                <w:highlight w:val="none"/>
                <w:lang w:eastAsia="zh-CN"/>
              </w:rPr>
            </w:pPr>
            <w:r>
              <w:rPr>
                <w:rFonts w:hint="eastAsia" w:cs="Times New Roman"/>
                <w:b w:val="0"/>
                <w:bCs w:val="0"/>
                <w:color w:val="auto"/>
                <w:kern w:val="0"/>
                <w:sz w:val="21"/>
                <w:szCs w:val="21"/>
                <w:highlight w:val="none"/>
                <w:lang w:val="en-US" w:eastAsia="zh-CN"/>
              </w:rPr>
              <w:t>施工图设计阶段</w:t>
            </w:r>
            <w:r>
              <w:rPr>
                <w:rFonts w:hint="eastAsia" w:ascii="宋体" w:hAnsi="宋体" w:eastAsia="宋体" w:cs="Times New Roman"/>
                <w:b w:val="0"/>
                <w:bCs w:val="0"/>
                <w:color w:val="auto"/>
                <w:kern w:val="0"/>
                <w:sz w:val="21"/>
                <w:szCs w:val="21"/>
                <w:highlight w:val="none"/>
                <w:lang w:eastAsia="zh-CN"/>
              </w:rPr>
              <w:t>BIM</w:t>
            </w:r>
            <w:r>
              <w:rPr>
                <w:rFonts w:hint="eastAsia" w:cs="Times New Roman"/>
                <w:b w:val="0"/>
                <w:bCs w:val="0"/>
                <w:color w:val="auto"/>
                <w:kern w:val="0"/>
                <w:sz w:val="21"/>
                <w:szCs w:val="21"/>
                <w:highlight w:val="none"/>
                <w:lang w:val="en-US" w:eastAsia="zh-CN"/>
              </w:rPr>
              <w:t>技术应用</w:t>
            </w:r>
            <w:r>
              <w:rPr>
                <w:rFonts w:hint="eastAsia" w:ascii="宋体" w:hAnsi="宋体" w:eastAsia="宋体" w:cs="Times New Roman"/>
                <w:b w:val="0"/>
                <w:bCs w:val="0"/>
                <w:color w:val="auto"/>
                <w:kern w:val="0"/>
                <w:sz w:val="21"/>
                <w:szCs w:val="21"/>
                <w:highlight w:val="none"/>
                <w:lang w:eastAsia="zh-CN"/>
              </w:rPr>
              <w:t>（</w:t>
            </w:r>
            <w:r>
              <w:rPr>
                <w:rFonts w:hint="eastAsia" w:eastAsia="宋体" w:cs="Times New Roman"/>
                <w:b w:val="0"/>
                <w:bCs w:val="0"/>
                <w:color w:val="auto"/>
                <w:kern w:val="0"/>
                <w:sz w:val="21"/>
                <w:szCs w:val="21"/>
                <w:highlight w:val="none"/>
                <w:lang w:val="en-US" w:eastAsia="zh-CN"/>
              </w:rPr>
              <w:t>5</w:t>
            </w:r>
            <w:r>
              <w:rPr>
                <w:rFonts w:hint="eastAsia" w:ascii="宋体" w:hAnsi="宋体" w:eastAsia="宋体" w:cs="Times New Roman"/>
                <w:b w:val="0"/>
                <w:bCs w:val="0"/>
                <w:color w:val="auto"/>
                <w:kern w:val="0"/>
                <w:sz w:val="21"/>
                <w:szCs w:val="21"/>
                <w:highlight w:val="none"/>
                <w:lang w:eastAsia="zh-CN"/>
              </w:rPr>
              <w:t>分）</w:t>
            </w:r>
          </w:p>
        </w:tc>
        <w:tc>
          <w:tcPr>
            <w:tcW w:w="10016" w:type="dxa"/>
            <w:tcBorders>
              <w:top w:val="single" w:color="auto" w:sz="4" w:space="0"/>
              <w:left w:val="single" w:color="auto" w:sz="4" w:space="0"/>
              <w:bottom w:val="single" w:color="auto" w:sz="4" w:space="0"/>
              <w:right w:val="single" w:color="auto" w:sz="4" w:space="0"/>
            </w:tcBorders>
            <w:shd w:val="clear" w:color="auto" w:fill="auto"/>
            <w:vAlign w:val="center"/>
          </w:tcPr>
          <w:p w14:paraId="3E5B480C">
            <w:pPr>
              <w:adjustRightInd w:val="0"/>
              <w:snapToGrid w:val="0"/>
              <w:ind w:right="134" w:rightChars="64"/>
              <w:rPr>
                <w:rFonts w:hint="eastAsia" w:ascii="宋体" w:hAnsi="宋体" w:cs="Times New Roman"/>
                <w:color w:val="auto"/>
                <w:kern w:val="0"/>
                <w:szCs w:val="21"/>
                <w:highlight w:val="none"/>
              </w:rPr>
            </w:pPr>
            <w:r>
              <w:rPr>
                <w:rFonts w:cs="宋体"/>
                <w:color w:val="auto"/>
                <w:szCs w:val="21"/>
                <w:highlight w:val="none"/>
              </w:rPr>
              <w:t>[好]</w:t>
            </w:r>
            <w:r>
              <w:rPr>
                <w:rFonts w:hint="eastAsia" w:cs="宋体"/>
                <w:color w:val="auto"/>
                <w:szCs w:val="21"/>
                <w:highlight w:val="none"/>
                <w:lang w:val="en-US" w:eastAsia="zh-CN"/>
              </w:rPr>
              <w:t xml:space="preserve"> </w:t>
            </w:r>
            <w:r>
              <w:rPr>
                <w:rFonts w:hint="eastAsia" w:ascii="宋体" w:hAnsi="宋体" w:cs="Times New Roman"/>
                <w:color w:val="auto"/>
                <w:kern w:val="0"/>
                <w:szCs w:val="21"/>
                <w:highlight w:val="none"/>
              </w:rPr>
              <w:t>论述BIM服务内容与措施良好，完全达到提高工程建设质量的效果</w:t>
            </w:r>
            <w:r>
              <w:rPr>
                <w:rFonts w:hint="eastAsia" w:ascii="宋体" w:hAnsi="宋体" w:cs="Times New Roman"/>
                <w:color w:val="auto"/>
                <w:kern w:val="0"/>
                <w:szCs w:val="21"/>
                <w:highlight w:val="none"/>
                <w:lang w:eastAsia="zh-CN"/>
              </w:rPr>
              <w:t>。</w:t>
            </w:r>
            <w:r>
              <w:rPr>
                <w:rFonts w:hint="eastAsia" w:ascii="宋体" w:hAnsi="宋体" w:cs="Times New Roman"/>
                <w:color w:val="auto"/>
                <w:kern w:val="0"/>
                <w:szCs w:val="21"/>
                <w:highlight w:val="none"/>
              </w:rPr>
              <w:t>得[</w:t>
            </w:r>
            <w:r>
              <w:rPr>
                <w:rFonts w:hint="eastAsia" w:ascii="宋体" w:hAnsi="宋体" w:cs="Times New Roman"/>
                <w:color w:val="auto"/>
                <w:kern w:val="0"/>
                <w:szCs w:val="21"/>
                <w:highlight w:val="none"/>
                <w:lang w:val="en-US" w:eastAsia="zh-CN"/>
              </w:rPr>
              <w:t>5</w:t>
            </w:r>
            <w:r>
              <w:rPr>
                <w:rFonts w:cs="宋体"/>
                <w:color w:val="auto"/>
                <w:szCs w:val="21"/>
                <w:highlight w:val="none"/>
              </w:rPr>
              <w:t>,</w:t>
            </w:r>
            <w:r>
              <w:rPr>
                <w:rFonts w:hint="eastAsia" w:ascii="宋体" w:hAnsi="宋体" w:cs="Times New Roman"/>
                <w:color w:val="auto"/>
                <w:kern w:val="0"/>
                <w:szCs w:val="21"/>
                <w:highlight w:val="none"/>
              </w:rPr>
              <w:t>3）分。</w:t>
            </w:r>
          </w:p>
          <w:p w14:paraId="4564D145">
            <w:pPr>
              <w:adjustRightInd w:val="0"/>
              <w:snapToGrid w:val="0"/>
              <w:ind w:right="134" w:rightChars="64"/>
              <w:rPr>
                <w:rFonts w:hint="eastAsia" w:ascii="宋体" w:hAnsi="宋体" w:cs="Times New Roman"/>
                <w:color w:val="auto"/>
                <w:kern w:val="0"/>
                <w:szCs w:val="21"/>
                <w:highlight w:val="none"/>
              </w:rPr>
            </w:pPr>
            <w:r>
              <w:rPr>
                <w:rFonts w:cs="宋体"/>
                <w:color w:val="auto"/>
                <w:szCs w:val="21"/>
                <w:highlight w:val="none"/>
              </w:rPr>
              <w:t>[中]</w:t>
            </w:r>
            <w:r>
              <w:rPr>
                <w:rFonts w:hint="eastAsia" w:cs="宋体"/>
                <w:color w:val="auto"/>
                <w:szCs w:val="21"/>
                <w:highlight w:val="none"/>
                <w:lang w:val="en-US" w:eastAsia="zh-CN"/>
              </w:rPr>
              <w:t xml:space="preserve"> </w:t>
            </w:r>
            <w:r>
              <w:rPr>
                <w:rFonts w:hint="eastAsia" w:ascii="宋体" w:hAnsi="宋体" w:cs="Times New Roman"/>
                <w:color w:val="auto"/>
                <w:kern w:val="0"/>
                <w:szCs w:val="21"/>
                <w:highlight w:val="none"/>
              </w:rPr>
              <w:t>论述BIM服务内容与措施一般，部分达到提高工程建设质量的效果</w:t>
            </w:r>
            <w:r>
              <w:rPr>
                <w:rFonts w:hint="eastAsia" w:ascii="宋体" w:hAnsi="宋体" w:cs="Times New Roman"/>
                <w:color w:val="auto"/>
                <w:kern w:val="0"/>
                <w:szCs w:val="21"/>
                <w:highlight w:val="none"/>
                <w:lang w:eastAsia="zh-CN"/>
              </w:rPr>
              <w:t>。</w:t>
            </w:r>
            <w:r>
              <w:rPr>
                <w:rFonts w:hint="eastAsia" w:ascii="宋体" w:hAnsi="宋体" w:cs="Times New Roman"/>
                <w:color w:val="auto"/>
                <w:kern w:val="0"/>
                <w:szCs w:val="21"/>
                <w:highlight w:val="none"/>
              </w:rPr>
              <w:t>得[3</w:t>
            </w:r>
            <w:r>
              <w:rPr>
                <w:rFonts w:cs="宋体"/>
                <w:color w:val="auto"/>
                <w:szCs w:val="21"/>
                <w:highlight w:val="none"/>
              </w:rPr>
              <w:t>,</w:t>
            </w:r>
            <w:r>
              <w:rPr>
                <w:rFonts w:hint="eastAsia" w:ascii="宋体" w:hAnsi="宋体" w:cs="Times New Roman"/>
                <w:color w:val="auto"/>
                <w:kern w:val="0"/>
                <w:szCs w:val="21"/>
                <w:highlight w:val="none"/>
                <w:lang w:val="en-US" w:eastAsia="zh-CN"/>
              </w:rPr>
              <w:t>1</w:t>
            </w:r>
            <w:r>
              <w:rPr>
                <w:rFonts w:hint="eastAsia" w:ascii="宋体" w:hAnsi="宋体" w:cs="Times New Roman"/>
                <w:color w:val="auto"/>
                <w:kern w:val="0"/>
                <w:szCs w:val="21"/>
                <w:highlight w:val="none"/>
              </w:rPr>
              <w:t>)分。</w:t>
            </w:r>
          </w:p>
          <w:p w14:paraId="129AF611">
            <w:pPr>
              <w:adjustRightInd w:val="0"/>
              <w:snapToGrid w:val="0"/>
              <w:ind w:right="134" w:rightChars="64"/>
              <w:rPr>
                <w:rFonts w:hint="eastAsia" w:ascii="宋体" w:hAnsi="宋体" w:cs="Times New Roman"/>
                <w:b w:val="0"/>
                <w:color w:val="auto"/>
                <w:kern w:val="0"/>
                <w:sz w:val="21"/>
                <w:szCs w:val="21"/>
                <w:highlight w:val="none"/>
              </w:rPr>
            </w:pPr>
            <w:r>
              <w:rPr>
                <w:rFonts w:cs="宋体"/>
                <w:color w:val="auto"/>
                <w:szCs w:val="21"/>
                <w:highlight w:val="none"/>
              </w:rPr>
              <w:t>[差]</w:t>
            </w:r>
            <w:r>
              <w:rPr>
                <w:rFonts w:hint="eastAsia" w:cs="宋体"/>
                <w:color w:val="auto"/>
                <w:szCs w:val="21"/>
                <w:highlight w:val="none"/>
                <w:lang w:val="en-US" w:eastAsia="zh-CN"/>
              </w:rPr>
              <w:t xml:space="preserve"> </w:t>
            </w:r>
            <w:r>
              <w:rPr>
                <w:rFonts w:cs="宋体"/>
                <w:color w:val="auto"/>
                <w:szCs w:val="21"/>
                <w:highlight w:val="none"/>
              </w:rPr>
              <w:t>不满足“好”、“中”的评审标准。</w:t>
            </w:r>
            <w:r>
              <w:rPr>
                <w:rFonts w:hint="eastAsia" w:ascii="宋体" w:hAnsi="宋体" w:cs="宋体"/>
                <w:bCs/>
                <w:color w:val="auto"/>
                <w:szCs w:val="21"/>
                <w:highlight w:val="none"/>
                <w:lang w:val="zh-TW" w:eastAsia="zh-TW" w:bidi="zh-TW"/>
              </w:rPr>
              <w:t>得[</w:t>
            </w:r>
            <w:r>
              <w:rPr>
                <w:rFonts w:hint="eastAsia" w:ascii="宋体" w:hAnsi="宋体" w:cs="宋体"/>
                <w:bCs/>
                <w:color w:val="auto"/>
                <w:szCs w:val="21"/>
                <w:highlight w:val="none"/>
                <w:lang w:val="en-US" w:eastAsia="zh-CN" w:bidi="zh-TW"/>
              </w:rPr>
              <w:t>1</w:t>
            </w:r>
            <w:r>
              <w:rPr>
                <w:rFonts w:cs="宋体"/>
                <w:color w:val="auto"/>
                <w:szCs w:val="21"/>
                <w:highlight w:val="none"/>
              </w:rPr>
              <w:t>,</w:t>
            </w:r>
            <w:r>
              <w:rPr>
                <w:rFonts w:hint="eastAsia" w:ascii="宋体" w:hAnsi="宋体" w:cs="宋体"/>
                <w:bCs/>
                <w:color w:val="auto"/>
                <w:szCs w:val="21"/>
                <w:highlight w:val="none"/>
                <w:lang w:val="zh-TW" w:eastAsia="zh-TW" w:bidi="zh-TW"/>
              </w:rPr>
              <w:t>0</w:t>
            </w:r>
            <w:r>
              <w:rPr>
                <w:rFonts w:cs="宋体"/>
                <w:color w:val="auto"/>
                <w:szCs w:val="21"/>
                <w:highlight w:val="none"/>
              </w:rPr>
              <w:t>]</w:t>
            </w:r>
            <w:r>
              <w:rPr>
                <w:rFonts w:hint="eastAsia" w:ascii="宋体" w:hAnsi="宋体" w:cs="宋体"/>
                <w:bCs/>
                <w:color w:val="auto"/>
                <w:szCs w:val="21"/>
                <w:highlight w:val="none"/>
                <w:lang w:val="zh-TW" w:eastAsia="zh-TW" w:bidi="zh-TW"/>
              </w:rPr>
              <w:t>分。</w:t>
            </w:r>
          </w:p>
        </w:tc>
        <w:tc>
          <w:tcPr>
            <w:tcW w:w="995" w:type="dxa"/>
            <w:tcBorders>
              <w:top w:val="single" w:color="auto" w:sz="4" w:space="0"/>
              <w:left w:val="single" w:color="auto" w:sz="4" w:space="0"/>
              <w:right w:val="single" w:color="auto" w:sz="4" w:space="0"/>
            </w:tcBorders>
            <w:shd w:val="clear" w:color="auto" w:fill="auto"/>
            <w:vAlign w:val="center"/>
          </w:tcPr>
          <w:p w14:paraId="3FEF04B4">
            <w:pPr>
              <w:pStyle w:val="18"/>
              <w:rPr>
                <w:rFonts w:cs="宋体"/>
                <w:color w:val="auto"/>
                <w:kern w:val="2"/>
                <w:sz w:val="21"/>
                <w:szCs w:val="21"/>
                <w:highlight w:val="none"/>
              </w:rPr>
            </w:pPr>
          </w:p>
        </w:tc>
      </w:tr>
      <w:tr w14:paraId="618B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2C44EF96">
            <w:pPr>
              <w:jc w:val="center"/>
              <w:rPr>
                <w:rFonts w:hint="eastAsia" w:cs="宋体"/>
                <w:color w:val="auto"/>
                <w:sz w:val="21"/>
                <w:szCs w:val="21"/>
                <w:highlight w:val="none"/>
                <w:lang w:val="en-US" w:eastAsia="zh-CN"/>
              </w:rPr>
            </w:pPr>
            <w:r>
              <w:rPr>
                <w:rFonts w:hint="eastAsia" w:ascii="宋体" w:hAnsi="宋体" w:cs="宋体"/>
                <w:b/>
                <w:bCs/>
                <w:color w:val="auto"/>
                <w:kern w:val="2"/>
                <w:sz w:val="21"/>
                <w:szCs w:val="21"/>
                <w:highlight w:val="none"/>
                <w:lang w:val="en-US" w:eastAsia="zh-CN" w:bidi="ar-SA"/>
              </w:rPr>
              <w:t>三</w:t>
            </w:r>
          </w:p>
        </w:tc>
        <w:tc>
          <w:tcPr>
            <w:tcW w:w="25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57BAB9">
            <w:pPr>
              <w:jc w:val="center"/>
              <w:rPr>
                <w:rFonts w:hint="eastAsia" w:ascii="宋体" w:hAnsi="宋体"/>
                <w:b/>
                <w:bCs/>
                <w:color w:val="auto"/>
                <w:sz w:val="21"/>
                <w:szCs w:val="21"/>
                <w:highlight w:val="none"/>
                <w:lang w:eastAsia="zh-CN"/>
              </w:rPr>
            </w:pPr>
            <w:r>
              <w:rPr>
                <w:rFonts w:ascii="宋体" w:hAnsi="宋体" w:eastAsia="宋体"/>
                <w:b/>
                <w:bCs/>
                <w:color w:val="auto"/>
                <w:sz w:val="21"/>
                <w:szCs w:val="21"/>
                <w:highlight w:val="none"/>
                <w:lang w:eastAsia="zh-CN"/>
              </w:rPr>
              <w:t>投标报价</w:t>
            </w:r>
            <w:r>
              <w:rPr>
                <w:rFonts w:hint="eastAsia" w:ascii="宋体" w:hAnsi="宋体"/>
                <w:b/>
                <w:bCs/>
                <w:color w:val="auto"/>
                <w:sz w:val="21"/>
                <w:szCs w:val="21"/>
                <w:highlight w:val="none"/>
                <w:lang w:eastAsia="zh-CN"/>
              </w:rPr>
              <w:t>评分标准</w:t>
            </w:r>
          </w:p>
          <w:p w14:paraId="7A4BBF5E">
            <w:pPr>
              <w:jc w:val="center"/>
              <w:rPr>
                <w:rFonts w:hint="eastAsia"/>
                <w:color w:val="auto"/>
                <w:sz w:val="21"/>
                <w:szCs w:val="21"/>
                <w:highlight w:val="none"/>
                <w:lang w:val="en-US" w:eastAsia="zh-CN" w:bidi="ar-SA"/>
              </w:rPr>
            </w:pPr>
            <w:r>
              <w:rPr>
                <w:rFonts w:hint="eastAsia" w:ascii="宋体" w:hAnsi="宋体"/>
                <w:b/>
                <w:bCs/>
                <w:color w:val="auto"/>
                <w:sz w:val="21"/>
                <w:szCs w:val="21"/>
                <w:highlight w:val="none"/>
                <w:lang w:val="en-US" w:eastAsia="zh-CN"/>
              </w:rPr>
              <w:t>10分（100分×</w:t>
            </w:r>
            <w:r>
              <w:rPr>
                <w:rFonts w:hint="eastAsia" w:ascii="宋体" w:hAnsi="宋体" w:eastAsia="宋体" w:cs="宋体"/>
                <w:b/>
                <w:bCs/>
                <w:color w:val="auto"/>
                <w:sz w:val="21"/>
                <w:szCs w:val="21"/>
                <w:highlight w:val="none"/>
                <w:lang w:eastAsia="zh-CN"/>
              </w:rPr>
              <w:t>报价</w:t>
            </w:r>
            <w:r>
              <w:rPr>
                <w:rFonts w:hint="eastAsia" w:ascii="宋体" w:hAnsi="宋体"/>
                <w:b/>
                <w:bCs/>
                <w:color w:val="auto"/>
                <w:sz w:val="21"/>
                <w:szCs w:val="21"/>
                <w:highlight w:val="none"/>
                <w:lang w:val="en-US" w:eastAsia="zh-CN"/>
              </w:rPr>
              <w:t>权重10%</w:t>
            </w:r>
            <w:r>
              <w:rPr>
                <w:rFonts w:hint="eastAsia" w:ascii="宋体" w:hAnsi="宋体"/>
                <w:b/>
                <w:bCs/>
                <w:color w:val="auto"/>
                <w:sz w:val="21"/>
                <w:szCs w:val="21"/>
                <w:highlight w:val="none"/>
                <w:lang w:eastAsia="zh-CN"/>
              </w:rPr>
              <w:t>）</w:t>
            </w:r>
          </w:p>
        </w:tc>
        <w:tc>
          <w:tcPr>
            <w:tcW w:w="10016" w:type="dxa"/>
            <w:tcBorders>
              <w:top w:val="single" w:color="auto" w:sz="4" w:space="0"/>
              <w:left w:val="single" w:color="auto" w:sz="4" w:space="0"/>
              <w:bottom w:val="single" w:color="auto" w:sz="4" w:space="0"/>
              <w:right w:val="single" w:color="auto" w:sz="4" w:space="0"/>
            </w:tcBorders>
            <w:shd w:val="clear" w:color="auto" w:fill="auto"/>
            <w:vAlign w:val="center"/>
          </w:tcPr>
          <w:p w14:paraId="6FC0976B">
            <w:pPr>
              <w:jc w:val="left"/>
              <w:rPr>
                <w:rFonts w:hint="eastAsia"/>
                <w:color w:val="auto"/>
                <w:sz w:val="21"/>
                <w:szCs w:val="21"/>
                <w:highlight w:val="none"/>
              </w:rPr>
            </w:pPr>
            <w:r>
              <w:rPr>
                <w:rFonts w:hint="eastAsia" w:ascii="宋体" w:hAnsi="宋体"/>
                <w:color w:val="auto"/>
                <w:szCs w:val="21"/>
                <w:highlight w:val="none"/>
              </w:rPr>
              <w:t>以评标基准价作为计算各有效投标价得分的基础，当有效投标价等于评标基准价时得</w:t>
            </w:r>
            <w:r>
              <w:rPr>
                <w:rFonts w:ascii="宋体" w:hAnsi="宋体"/>
                <w:color w:val="auto"/>
                <w:szCs w:val="21"/>
                <w:highlight w:val="none"/>
              </w:rPr>
              <w:t>1</w:t>
            </w:r>
            <w:r>
              <w:rPr>
                <w:rFonts w:hint="eastAsia" w:ascii="宋体" w:hAnsi="宋体"/>
                <w:color w:val="auto"/>
                <w:szCs w:val="21"/>
                <w:highlight w:val="none"/>
                <w:lang w:val="en-US" w:eastAsia="zh-CN"/>
              </w:rPr>
              <w:t>00</w:t>
            </w:r>
            <w:r>
              <w:rPr>
                <w:rFonts w:hint="eastAsia" w:ascii="宋体" w:hAnsi="宋体"/>
                <w:color w:val="auto"/>
                <w:szCs w:val="21"/>
                <w:highlight w:val="none"/>
              </w:rPr>
              <w:t>分；投标有效</w:t>
            </w:r>
            <w:r>
              <w:rPr>
                <w:rFonts w:hint="eastAsia" w:ascii="宋体" w:hAnsi="宋体"/>
                <w:color w:val="auto"/>
                <w:szCs w:val="21"/>
                <w:highlight w:val="none"/>
                <w:lang w:eastAsia="zh-CN"/>
              </w:rPr>
              <w:t>标</w:t>
            </w:r>
            <w:r>
              <w:rPr>
                <w:rFonts w:hint="eastAsia" w:ascii="宋体" w:hAnsi="宋体"/>
                <w:color w:val="auto"/>
                <w:szCs w:val="21"/>
                <w:highlight w:val="none"/>
              </w:rPr>
              <w:t>价与评标基准价相比，每上偏1 %扣1.</w:t>
            </w:r>
            <w:r>
              <w:rPr>
                <w:rFonts w:hint="eastAsia" w:ascii="宋体" w:hAnsi="宋体"/>
                <w:color w:val="auto"/>
                <w:szCs w:val="21"/>
                <w:highlight w:val="none"/>
                <w:lang w:val="en-US" w:eastAsia="zh-CN"/>
              </w:rPr>
              <w:t>5</w:t>
            </w:r>
            <w:r>
              <w:rPr>
                <w:rFonts w:hint="eastAsia" w:ascii="宋体" w:hAnsi="宋体"/>
                <w:color w:val="auto"/>
                <w:szCs w:val="21"/>
                <w:highlight w:val="none"/>
              </w:rPr>
              <w:t>分，每下偏 1 %扣</w:t>
            </w:r>
            <w:r>
              <w:rPr>
                <w:rFonts w:hint="eastAsia" w:ascii="宋体" w:hAnsi="宋体"/>
                <w:color w:val="auto"/>
                <w:szCs w:val="21"/>
                <w:highlight w:val="none"/>
                <w:lang w:val="en-US" w:eastAsia="zh-CN"/>
              </w:rPr>
              <w:t>1.0</w:t>
            </w:r>
            <w:r>
              <w:rPr>
                <w:rFonts w:hint="eastAsia" w:ascii="宋体" w:hAnsi="宋体"/>
                <w:color w:val="auto"/>
                <w:szCs w:val="21"/>
                <w:highlight w:val="none"/>
              </w:rPr>
              <w:t xml:space="preserve"> 分。最多扣</w:t>
            </w:r>
            <w:r>
              <w:rPr>
                <w:rFonts w:ascii="宋体" w:hAnsi="宋体"/>
                <w:color w:val="auto"/>
                <w:szCs w:val="21"/>
                <w:highlight w:val="none"/>
              </w:rPr>
              <w:t>1</w:t>
            </w:r>
            <w:r>
              <w:rPr>
                <w:rFonts w:hint="eastAsia" w:ascii="宋体" w:hAnsi="宋体"/>
                <w:color w:val="auto"/>
                <w:szCs w:val="21"/>
                <w:highlight w:val="none"/>
                <w:lang w:val="en-US" w:eastAsia="zh-CN"/>
              </w:rPr>
              <w:t>00</w:t>
            </w:r>
            <w:r>
              <w:rPr>
                <w:rFonts w:hint="eastAsia" w:ascii="宋体" w:hAnsi="宋体"/>
                <w:color w:val="auto"/>
                <w:szCs w:val="21"/>
                <w:highlight w:val="none"/>
              </w:rPr>
              <w:t>分。</w:t>
            </w:r>
          </w:p>
        </w:tc>
        <w:tc>
          <w:tcPr>
            <w:tcW w:w="995" w:type="dxa"/>
            <w:tcBorders>
              <w:top w:val="single" w:color="auto" w:sz="4" w:space="0"/>
              <w:left w:val="single" w:color="auto" w:sz="4" w:space="0"/>
              <w:right w:val="single" w:color="auto" w:sz="4" w:space="0"/>
            </w:tcBorders>
            <w:shd w:val="clear" w:color="auto" w:fill="auto"/>
            <w:vAlign w:val="center"/>
          </w:tcPr>
          <w:p w14:paraId="75590556">
            <w:pPr>
              <w:pStyle w:val="18"/>
              <w:jc w:val="center"/>
              <w:rPr>
                <w:rFonts w:cs="宋体"/>
                <w:color w:val="auto"/>
                <w:kern w:val="2"/>
                <w:sz w:val="21"/>
                <w:szCs w:val="21"/>
                <w:highlight w:val="none"/>
              </w:rPr>
            </w:pPr>
            <w:r>
              <w:rPr>
                <w:rFonts w:hint="eastAsia" w:cs="宋体"/>
                <w:color w:val="auto"/>
                <w:sz w:val="21"/>
                <w:szCs w:val="21"/>
                <w:highlight w:val="none"/>
                <w:lang w:val="en-US" w:eastAsia="zh-CN"/>
              </w:rPr>
              <w:t>9</w:t>
            </w:r>
          </w:p>
        </w:tc>
      </w:tr>
      <w:tr w14:paraId="5A6E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60DC94EF">
            <w:pPr>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color w:val="auto"/>
                <w:szCs w:val="21"/>
                <w:highlight w:val="none"/>
                <w:lang w:bidi="ar"/>
              </w:rPr>
              <w:t>总计</w:t>
            </w:r>
          </w:p>
        </w:tc>
        <w:tc>
          <w:tcPr>
            <w:tcW w:w="25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99467E">
            <w:pPr>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color w:val="auto"/>
                <w:szCs w:val="21"/>
                <w:highlight w:val="none"/>
                <w:lang w:bidi="ar"/>
              </w:rPr>
              <w:t>100分</w:t>
            </w:r>
          </w:p>
        </w:tc>
        <w:tc>
          <w:tcPr>
            <w:tcW w:w="10016" w:type="dxa"/>
            <w:tcBorders>
              <w:top w:val="single" w:color="auto" w:sz="4" w:space="0"/>
              <w:left w:val="single" w:color="auto" w:sz="4" w:space="0"/>
              <w:bottom w:val="single" w:color="auto" w:sz="4" w:space="0"/>
              <w:right w:val="single" w:color="auto" w:sz="4" w:space="0"/>
            </w:tcBorders>
            <w:shd w:val="clear" w:color="auto" w:fill="auto"/>
          </w:tcPr>
          <w:p w14:paraId="4A2639A7">
            <w:pPr>
              <w:jc w:val="left"/>
              <w:rPr>
                <w:rFonts w:ascii="宋体" w:hAnsi="宋体" w:cs="Times New Roman"/>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shd w:val="clear" w:color="auto" w:fill="auto"/>
          </w:tcPr>
          <w:p w14:paraId="5ADB99C6">
            <w:pPr>
              <w:rPr>
                <w:rFonts w:ascii="宋体" w:hAnsi="宋体" w:cs="宋体"/>
                <w:color w:val="auto"/>
                <w:szCs w:val="21"/>
                <w:highlight w:val="none"/>
              </w:rPr>
            </w:pPr>
          </w:p>
        </w:tc>
      </w:tr>
      <w:tr w14:paraId="680C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6A951E16">
            <w:pPr>
              <w:jc w:val="center"/>
              <w:rPr>
                <w:rFonts w:ascii="宋体" w:hAnsi="宋体" w:cs="宋体"/>
                <w:color w:val="auto"/>
                <w:szCs w:val="21"/>
                <w:highlight w:val="none"/>
              </w:rPr>
            </w:pPr>
          </w:p>
        </w:tc>
        <w:tc>
          <w:tcPr>
            <w:tcW w:w="25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6C6F38">
            <w:pPr>
              <w:jc w:val="center"/>
              <w:rPr>
                <w:rFonts w:ascii="宋体" w:hAnsi="宋体" w:cs="宋体"/>
                <w:color w:val="auto"/>
                <w:szCs w:val="21"/>
                <w:highlight w:val="none"/>
              </w:rPr>
            </w:pPr>
          </w:p>
        </w:tc>
        <w:tc>
          <w:tcPr>
            <w:tcW w:w="10016" w:type="dxa"/>
            <w:tcBorders>
              <w:top w:val="single" w:color="auto" w:sz="4" w:space="0"/>
              <w:left w:val="single" w:color="auto" w:sz="4" w:space="0"/>
              <w:bottom w:val="single" w:color="auto" w:sz="4" w:space="0"/>
              <w:right w:val="single" w:color="auto" w:sz="4" w:space="0"/>
            </w:tcBorders>
            <w:shd w:val="clear" w:color="auto" w:fill="auto"/>
          </w:tcPr>
          <w:p w14:paraId="153DBDEA">
            <w:pPr>
              <w:jc w:val="left"/>
              <w:rPr>
                <w:rFonts w:ascii="宋体" w:hAnsi="宋体" w:cs="Times New Roman"/>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shd w:val="clear" w:color="auto" w:fill="auto"/>
          </w:tcPr>
          <w:p w14:paraId="33FBF78F">
            <w:pPr>
              <w:rPr>
                <w:rFonts w:ascii="宋体" w:hAnsi="宋体" w:cs="宋体"/>
                <w:color w:val="auto"/>
                <w:szCs w:val="21"/>
                <w:highlight w:val="none"/>
              </w:rPr>
            </w:pPr>
          </w:p>
        </w:tc>
      </w:tr>
    </w:tbl>
    <w:p w14:paraId="5AE48D14">
      <w:pPr>
        <w:pStyle w:val="9"/>
        <w:rPr>
          <w:color w:val="auto"/>
          <w:highlight w:val="none"/>
          <w:lang w:val="zh-CN" w:eastAsia="zh-CN"/>
        </w:rPr>
      </w:pPr>
    </w:p>
    <w:p w14:paraId="2D4DF787">
      <w:pPr>
        <w:snapToGrid w:val="0"/>
        <w:rPr>
          <w:rFonts w:ascii="宋体" w:hAnsi="宋体" w:cs="宋体"/>
          <w:bCs/>
          <w:color w:val="auto"/>
          <w:highlight w:val="none"/>
        </w:rPr>
      </w:pPr>
      <w:r>
        <w:rPr>
          <w:rFonts w:hint="eastAsia" w:ascii="宋体" w:hAnsi="宋体" w:cs="宋体"/>
          <w:bCs/>
          <w:color w:val="auto"/>
          <w:highlight w:val="none"/>
        </w:rPr>
        <w:t>注：</w:t>
      </w:r>
    </w:p>
    <w:p w14:paraId="5B3E13E5">
      <w:pPr>
        <w:snapToGrid w:val="0"/>
        <w:rPr>
          <w:rFonts w:ascii="宋体" w:hAnsi="宋体" w:cs="宋体"/>
          <w:b/>
          <w:bCs/>
          <w:color w:val="auto"/>
          <w:szCs w:val="21"/>
          <w:highlight w:val="none"/>
        </w:rPr>
      </w:pPr>
      <w:r>
        <w:rPr>
          <w:rFonts w:hint="eastAsia" w:ascii="宋体" w:hAnsi="宋体" w:cs="宋体"/>
          <w:b/>
          <w:bCs/>
          <w:color w:val="auto"/>
          <w:kern w:val="0"/>
          <w:sz w:val="22"/>
          <w:highlight w:val="none"/>
        </w:rPr>
        <w:t>1、</w:t>
      </w:r>
      <w:r>
        <w:rPr>
          <w:rFonts w:hint="eastAsia" w:ascii="宋体" w:hAnsi="宋体" w:cs="宋体"/>
          <w:b/>
          <w:bCs/>
          <w:color w:val="auto"/>
          <w:szCs w:val="21"/>
          <w:highlight w:val="none"/>
        </w:rPr>
        <w:t>设计业绩要求：</w:t>
      </w:r>
    </w:p>
    <w:p w14:paraId="7A0832CD">
      <w:pPr>
        <w:snapToGrid w:val="0"/>
        <w:rPr>
          <w:rFonts w:ascii="宋体" w:hAnsi="宋体" w:cs="宋体"/>
          <w:color w:val="auto"/>
          <w:szCs w:val="21"/>
          <w:highlight w:val="none"/>
        </w:rPr>
      </w:pPr>
      <w:r>
        <w:rPr>
          <w:rFonts w:hint="eastAsia" w:ascii="宋体" w:hAnsi="宋体" w:cs="宋体"/>
          <w:color w:val="auto"/>
          <w:szCs w:val="21"/>
          <w:highlight w:val="none"/>
        </w:rPr>
        <w:t>（1）设计业绩须同时提供①中标通知书（或免招标证明文件）、②合同关键页、③初步设计批复或施工图审査合格证书等证明文件清晰扫描件。</w:t>
      </w:r>
    </w:p>
    <w:p w14:paraId="16836FF2">
      <w:pPr>
        <w:snapToGrid w:val="0"/>
        <w:rPr>
          <w:rFonts w:ascii="宋体" w:hAnsi="宋体" w:cs="宋体"/>
          <w:color w:val="auto"/>
          <w:szCs w:val="21"/>
          <w:highlight w:val="none"/>
        </w:rPr>
      </w:pPr>
      <w:r>
        <w:rPr>
          <w:rFonts w:hint="eastAsia" w:ascii="宋体" w:hAnsi="宋体" w:cs="宋体"/>
          <w:color w:val="auto"/>
          <w:szCs w:val="21"/>
          <w:highlight w:val="none"/>
        </w:rPr>
        <w:t>（2）业绩时间以初步设计批复或施工图审査合格证书载明时间为准；项目总投资</w:t>
      </w:r>
      <w:r>
        <w:rPr>
          <w:rFonts w:hint="eastAsia" w:ascii="宋体" w:hAnsi="宋体" w:cs="宋体"/>
          <w:color w:val="auto"/>
          <w:szCs w:val="21"/>
          <w:highlight w:val="none"/>
          <w:shd w:val="clear" w:color="auto" w:fill="FFFFFF"/>
          <w:lang w:eastAsia="zh-CN"/>
        </w:rPr>
        <w:t>（或建安费）</w:t>
      </w:r>
      <w:r>
        <w:rPr>
          <w:rFonts w:hint="eastAsia" w:ascii="宋体" w:hAnsi="宋体" w:cs="宋体"/>
          <w:color w:val="auto"/>
          <w:szCs w:val="21"/>
          <w:highlight w:val="none"/>
        </w:rPr>
        <w:t>或建筑面积的证明文件可以是合同中有列明的可作为证明文件，如合同未列明的，可提交列明</w:t>
      </w:r>
      <w:bookmarkStart w:id="20" w:name="OLE_LINK10"/>
      <w:r>
        <w:rPr>
          <w:rFonts w:hint="eastAsia" w:ascii="宋体" w:hAnsi="宋体" w:cs="宋体"/>
          <w:color w:val="auto"/>
          <w:szCs w:val="21"/>
          <w:highlight w:val="none"/>
        </w:rPr>
        <w:t>总投资</w:t>
      </w:r>
      <w:r>
        <w:rPr>
          <w:rFonts w:hint="eastAsia" w:ascii="宋体" w:hAnsi="宋体" w:cs="宋体"/>
          <w:color w:val="auto"/>
          <w:szCs w:val="21"/>
          <w:highlight w:val="none"/>
          <w:shd w:val="clear" w:color="auto" w:fill="FFFFFF"/>
          <w:lang w:eastAsia="zh-CN"/>
        </w:rPr>
        <w:t>（或建安费）</w:t>
      </w:r>
      <w:r>
        <w:rPr>
          <w:rFonts w:hint="eastAsia" w:ascii="宋体" w:hAnsi="宋体" w:cs="宋体"/>
          <w:color w:val="auto"/>
          <w:szCs w:val="21"/>
          <w:highlight w:val="none"/>
        </w:rPr>
        <w:t>金额</w:t>
      </w:r>
      <w:bookmarkEnd w:id="20"/>
      <w:r>
        <w:rPr>
          <w:rFonts w:hint="eastAsia" w:ascii="宋体" w:hAnsi="宋体" w:cs="宋体"/>
          <w:color w:val="auto"/>
          <w:szCs w:val="21"/>
          <w:highlight w:val="none"/>
        </w:rPr>
        <w:t>或建筑面积的《项目建议书批文》或《可行性研究报告批文》或《企业投资项目备案证》作为证明材料。</w:t>
      </w:r>
    </w:p>
    <w:p w14:paraId="6DCD8D27">
      <w:pPr>
        <w:snapToGrid w:val="0"/>
        <w:rPr>
          <w:rFonts w:ascii="宋体" w:hAnsi="宋体" w:cs="宋体"/>
          <w:color w:val="auto"/>
          <w:szCs w:val="21"/>
          <w:highlight w:val="none"/>
        </w:rPr>
      </w:pPr>
      <w:r>
        <w:rPr>
          <w:rFonts w:hint="eastAsia" w:ascii="宋体" w:hAnsi="宋体" w:cs="宋体"/>
          <w:color w:val="auto"/>
          <w:szCs w:val="21"/>
          <w:highlight w:val="none"/>
        </w:rPr>
        <w:t>（3）不符合上述条件或未提供上述资料的不得分。</w:t>
      </w:r>
    </w:p>
    <w:p w14:paraId="32BC80B7">
      <w:pPr>
        <w:snapToGrid w:val="0"/>
        <w:rPr>
          <w:rFonts w:ascii="宋体" w:hAnsi="宋体" w:cs="宋体"/>
          <w:b/>
          <w:bCs/>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、设计获奖要求：</w:t>
      </w:r>
    </w:p>
    <w:p w14:paraId="7B9073B9">
      <w:pPr>
        <w:snapToGrid w:val="0"/>
        <w:rPr>
          <w:rFonts w:ascii="宋体" w:hAnsi="宋体" w:cs="宋体"/>
          <w:color w:val="auto"/>
          <w:szCs w:val="21"/>
          <w:highlight w:val="none"/>
        </w:rPr>
      </w:pPr>
      <w:r>
        <w:rPr>
          <w:rFonts w:hint="eastAsia" w:ascii="宋体" w:hAnsi="宋体" w:cs="宋体"/>
          <w:color w:val="auto"/>
          <w:szCs w:val="21"/>
          <w:highlight w:val="none"/>
        </w:rPr>
        <w:t>（1）设计奖项是指：</w:t>
      </w:r>
      <w:r>
        <w:rPr>
          <w:rFonts w:hint="eastAsia" w:ascii="宋体" w:hAnsi="宋体" w:cs="宋体"/>
          <w:b/>
          <w:bCs/>
          <w:color w:val="auto"/>
          <w:szCs w:val="21"/>
          <w:highlight w:val="none"/>
        </w:rPr>
        <w:t>国家级</w:t>
      </w:r>
      <w:r>
        <w:rPr>
          <w:rFonts w:hint="eastAsia" w:ascii="宋体" w:hAnsi="宋体" w:cs="宋体"/>
          <w:color w:val="auto"/>
          <w:szCs w:val="21"/>
          <w:highlight w:val="none"/>
        </w:rPr>
        <w:t>设计奖项是指国务院颁发的国家科学技术奖、住建部颁发的“全国优秀工程勘察设计奖”、中国勘察设计协会颁发的“全国优秀工程勘察设计行业奖”或“工程勘察、建筑设计行业和市政公用工程优秀勘察设计奖”</w:t>
      </w:r>
      <w:r>
        <w:rPr>
          <w:rFonts w:hint="eastAsia" w:ascii="宋体" w:hAnsi="宋体" w:cs="宋体"/>
          <w:color w:val="auto"/>
          <w:szCs w:val="21"/>
          <w:highlight w:val="none"/>
          <w:lang w:eastAsia="zh-CN"/>
        </w:rPr>
        <w:t>或“</w:t>
      </w:r>
      <w:r>
        <w:rPr>
          <w:rFonts w:hint="eastAsia" w:ascii="宋体" w:hAnsi="宋体" w:cs="宋体"/>
          <w:color w:val="auto"/>
          <w:szCs w:val="21"/>
          <w:highlight w:val="none"/>
        </w:rPr>
        <w:t>中国勘察设计协会全国优秀工程勘察设计奖</w:t>
      </w:r>
      <w:r>
        <w:rPr>
          <w:rFonts w:hint="eastAsia" w:ascii="宋体" w:hAnsi="宋体" w:cs="宋体"/>
          <w:color w:val="auto"/>
          <w:szCs w:val="21"/>
          <w:highlight w:val="none"/>
          <w:lang w:eastAsia="zh-CN"/>
        </w:rPr>
        <w:t>”</w:t>
      </w:r>
      <w:r>
        <w:rPr>
          <w:rFonts w:hint="eastAsia" w:ascii="宋体" w:hAnsi="宋体" w:cs="宋体"/>
          <w:color w:val="auto"/>
          <w:szCs w:val="21"/>
          <w:highlight w:val="none"/>
        </w:rPr>
        <w:t>（简称“行业优秀勘察设计奖”）、住建部的华夏建设科学技术奖励委员会颁发的华夏建设科学技术奖；</w:t>
      </w:r>
      <w:r>
        <w:rPr>
          <w:rFonts w:hint="eastAsia" w:ascii="宋体" w:hAnsi="宋体" w:cs="宋体"/>
          <w:b/>
          <w:bCs/>
          <w:color w:val="auto"/>
          <w:szCs w:val="21"/>
          <w:highlight w:val="none"/>
        </w:rPr>
        <w:t>省、市级（含副省级）</w:t>
      </w:r>
      <w:r>
        <w:rPr>
          <w:rFonts w:hint="eastAsia" w:ascii="宋体" w:hAnsi="宋体" w:cs="宋体"/>
          <w:color w:val="auto"/>
          <w:szCs w:val="21"/>
          <w:highlight w:val="none"/>
        </w:rPr>
        <w:t>设计奖项是指省、市级（含副省级）人民政府颁发的科学技术奖及省、市级（含副省级）建设行政主管部门颁发的或省、市级（含副省级）勘察设计行业协会颁发的“优秀工程勘察设计奖”。</w:t>
      </w:r>
    </w:p>
    <w:p w14:paraId="6B8F9D14">
      <w:pPr>
        <w:snapToGrid w:val="0"/>
        <w:rPr>
          <w:rFonts w:ascii="宋体" w:hAnsi="宋体" w:cs="宋体"/>
          <w:color w:val="auto"/>
          <w:szCs w:val="21"/>
          <w:highlight w:val="none"/>
        </w:rPr>
      </w:pPr>
      <w:r>
        <w:rPr>
          <w:rFonts w:hint="eastAsia" w:ascii="宋体" w:hAnsi="宋体" w:cs="宋体"/>
          <w:color w:val="auto"/>
          <w:szCs w:val="21"/>
          <w:highlight w:val="none"/>
        </w:rPr>
        <w:t>（2）同一项目按最高奖项计取，不重复计取。时间以获奖证书上的颁发日期为准。</w:t>
      </w:r>
    </w:p>
    <w:p w14:paraId="215ACB82">
      <w:pPr>
        <w:snapToGrid w:val="0"/>
        <w:rPr>
          <w:rFonts w:ascii="宋体" w:hAnsi="宋体" w:cs="宋体"/>
          <w:color w:val="auto"/>
          <w:szCs w:val="21"/>
          <w:highlight w:val="none"/>
        </w:rPr>
      </w:pPr>
      <w:r>
        <w:rPr>
          <w:rFonts w:hint="eastAsia" w:ascii="宋体" w:hAnsi="宋体" w:cs="宋体"/>
          <w:color w:val="auto"/>
          <w:szCs w:val="21"/>
          <w:highlight w:val="none"/>
        </w:rPr>
        <w:t>（3）获奖业绩需提供项目获奖证书和合同关键页清晰扫描件并加盖投标单位电子印章。</w:t>
      </w:r>
    </w:p>
    <w:p w14:paraId="51F0CC7C">
      <w:pPr>
        <w:snapToGrid w:val="0"/>
        <w:rPr>
          <w:rFonts w:ascii="宋体" w:hAnsi="宋体" w:cs="宋体"/>
          <w:color w:val="auto"/>
          <w:szCs w:val="21"/>
          <w:highlight w:val="none"/>
        </w:rPr>
      </w:pPr>
      <w:r>
        <w:rPr>
          <w:rFonts w:hint="eastAsia" w:ascii="宋体" w:hAnsi="宋体" w:cs="宋体"/>
          <w:color w:val="auto"/>
          <w:szCs w:val="21"/>
          <w:highlight w:val="none"/>
        </w:rPr>
        <w:t>（4）不符合上述条件或未提供上述资料的不得分。</w:t>
      </w:r>
    </w:p>
    <w:p w14:paraId="7C4B500D">
      <w:pPr>
        <w:snapToGrid w:val="0"/>
        <w:rPr>
          <w:rFonts w:ascii="宋体" w:hAnsi="宋体" w:cs="宋体"/>
          <w:b/>
          <w:bCs/>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、设计管理班子配备情况</w:t>
      </w:r>
    </w:p>
    <w:p w14:paraId="7A3DDE6B">
      <w:pPr>
        <w:snapToGrid w:val="0"/>
        <w:rPr>
          <w:rFonts w:ascii="宋体" w:hAnsi="宋体" w:cs="宋体"/>
          <w:color w:val="auto"/>
          <w:szCs w:val="21"/>
          <w:highlight w:val="none"/>
        </w:rPr>
      </w:pPr>
      <w:r>
        <w:rPr>
          <w:rFonts w:hint="eastAsia" w:ascii="宋体" w:hAnsi="宋体" w:cs="宋体"/>
          <w:color w:val="auto"/>
          <w:szCs w:val="21"/>
          <w:highlight w:val="none"/>
        </w:rPr>
        <w:t>（1）拟派人员证件按评审要求提供</w:t>
      </w:r>
      <w:r>
        <w:rPr>
          <w:rFonts w:hint="eastAsia" w:ascii="宋体" w:hAnsi="宋体" w:cs="宋体"/>
          <w:color w:val="auto"/>
          <w:szCs w:val="21"/>
          <w:highlight w:val="none"/>
          <w:lang w:eastAsia="zh-CN"/>
        </w:rPr>
        <w:t>相应有效的注册证书（如有）或职称证（如有）或毕业证（如需）等资格证书的清晰扫描件或电子证照</w:t>
      </w:r>
      <w:r>
        <w:rPr>
          <w:rFonts w:hint="eastAsia" w:ascii="宋体" w:hAnsi="宋体" w:cs="宋体"/>
          <w:color w:val="auto"/>
          <w:szCs w:val="21"/>
          <w:highlight w:val="none"/>
        </w:rPr>
        <w:t>对应证书清晰扫描件。</w:t>
      </w:r>
    </w:p>
    <w:p w14:paraId="07ED88B4">
      <w:pPr>
        <w:snapToGrid w:val="0"/>
        <w:rPr>
          <w:rFonts w:ascii="宋体" w:hAnsi="宋体" w:cs="宋体"/>
          <w:color w:val="auto"/>
          <w:szCs w:val="21"/>
          <w:highlight w:val="none"/>
        </w:rPr>
      </w:pPr>
      <w:r>
        <w:rPr>
          <w:rFonts w:hint="eastAsia" w:ascii="宋体" w:hAnsi="宋体" w:cs="宋体"/>
          <w:color w:val="auto"/>
          <w:szCs w:val="21"/>
          <w:highlight w:val="none"/>
        </w:rPr>
        <w:t>（2）需提供投标截止时间前近1个月（202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月）的社保证明（不含投标截止当月）投标人单位为拟投入本项目人员购买的社会保险证明文</w:t>
      </w:r>
      <w:r>
        <w:rPr>
          <w:rFonts w:ascii="宋体" w:hAnsi="宋体" w:cs="宋体"/>
          <w:color w:val="auto"/>
          <w:szCs w:val="21"/>
          <w:highlight w:val="none"/>
        </w:rPr>
        <w:t>件扫描件。</w:t>
      </w:r>
    </w:p>
    <w:p w14:paraId="01CF5D2A">
      <w:pPr>
        <w:snapToGrid w:val="0"/>
        <w:rPr>
          <w:rFonts w:ascii="宋体" w:hAnsi="宋体" w:cs="宋体"/>
          <w:color w:val="auto"/>
          <w:szCs w:val="21"/>
          <w:highlight w:val="none"/>
        </w:rPr>
      </w:pPr>
      <w:r>
        <w:rPr>
          <w:rFonts w:ascii="宋体" w:hAnsi="宋体" w:cs="宋体"/>
          <w:color w:val="auto"/>
          <w:szCs w:val="21"/>
          <w:highlight w:val="none"/>
        </w:rPr>
        <w:t>（3）项目管理团队的各专业设计负责人不可兼任，每专业仅计算一人得分，一个专业配置多人仅计算第一人得分</w:t>
      </w:r>
      <w:r>
        <w:rPr>
          <w:rFonts w:hint="eastAsia" w:ascii="宋体" w:hAnsi="宋体" w:cs="宋体"/>
          <w:color w:val="auto"/>
          <w:szCs w:val="21"/>
          <w:highlight w:val="none"/>
        </w:rPr>
        <w:t>，同一人员只计一次得分</w:t>
      </w:r>
      <w:r>
        <w:rPr>
          <w:rFonts w:ascii="宋体" w:hAnsi="宋体" w:cs="宋体"/>
          <w:color w:val="auto"/>
          <w:szCs w:val="21"/>
          <w:highlight w:val="none"/>
        </w:rPr>
        <w:t>。</w:t>
      </w:r>
    </w:p>
    <w:p w14:paraId="7D6921E1">
      <w:pPr>
        <w:snapToGrid w:val="0"/>
        <w:rPr>
          <w:rFonts w:ascii="宋体" w:hAnsi="宋体" w:cs="宋体"/>
          <w:color w:val="auto"/>
          <w:szCs w:val="21"/>
          <w:highlight w:val="none"/>
        </w:rPr>
      </w:pPr>
      <w:r>
        <w:rPr>
          <w:rFonts w:ascii="宋体" w:hAnsi="宋体" w:cs="宋体"/>
          <w:color w:val="auto"/>
          <w:szCs w:val="21"/>
          <w:highlight w:val="none"/>
        </w:rPr>
        <w:t>（4）不符合上述条件或未提供上述资料的不得分。</w:t>
      </w:r>
    </w:p>
    <w:p w14:paraId="092B32FC">
      <w:pPr>
        <w:snapToGrid w:val="0"/>
        <w:rPr>
          <w:rFonts w:ascii="宋体" w:hAnsi="宋体" w:cs="宋体"/>
          <w:b/>
          <w:bCs/>
          <w:color w:val="auto"/>
          <w:szCs w:val="21"/>
          <w:highlight w:val="none"/>
        </w:rPr>
      </w:pPr>
      <w:r>
        <w:rPr>
          <w:rFonts w:hint="eastAsia" w:ascii="宋体" w:hAnsi="宋体" w:cs="宋体"/>
          <w:b/>
          <w:bCs/>
          <w:color w:val="auto"/>
          <w:szCs w:val="21"/>
          <w:highlight w:val="none"/>
          <w:lang w:val="en-US" w:eastAsia="zh-CN"/>
        </w:rPr>
        <w:t>4</w:t>
      </w:r>
      <w:r>
        <w:rPr>
          <w:rFonts w:ascii="宋体" w:hAnsi="宋体" w:cs="宋体"/>
          <w:b/>
          <w:bCs/>
          <w:color w:val="auto"/>
          <w:szCs w:val="21"/>
          <w:highlight w:val="none"/>
        </w:rPr>
        <w:t>、项目负责人资历要求</w:t>
      </w:r>
    </w:p>
    <w:p w14:paraId="77C13DBB">
      <w:pPr>
        <w:snapToGrid w:val="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项目负责人证明材料按评审要求提供对应证书</w:t>
      </w:r>
      <w:r>
        <w:rPr>
          <w:rFonts w:ascii="宋体" w:hAnsi="宋体" w:cs="宋体"/>
          <w:color w:val="auto"/>
          <w:szCs w:val="21"/>
          <w:highlight w:val="none"/>
        </w:rPr>
        <w:t>、投标截止时间前近1个月（202</w:t>
      </w:r>
      <w:r>
        <w:rPr>
          <w:rFonts w:hint="eastAsia" w:ascii="宋体" w:hAnsi="宋体" w:cs="宋体"/>
          <w:color w:val="auto"/>
          <w:szCs w:val="21"/>
          <w:highlight w:val="none"/>
          <w:lang w:val="en-US" w:eastAsia="zh-CN"/>
        </w:rPr>
        <w:t>5</w:t>
      </w:r>
      <w:r>
        <w:rPr>
          <w:rFonts w:ascii="宋体" w:hAnsi="宋体" w:cs="宋体"/>
          <w:color w:val="auto"/>
          <w:szCs w:val="21"/>
          <w:highlight w:val="none"/>
        </w:rPr>
        <w:t>年</w:t>
      </w:r>
      <w:r>
        <w:rPr>
          <w:rFonts w:hint="eastAsia" w:ascii="宋体" w:hAnsi="宋体" w:cs="宋体"/>
          <w:color w:val="auto"/>
          <w:szCs w:val="21"/>
          <w:highlight w:val="none"/>
          <w:lang w:val="en-US" w:eastAsia="zh-CN"/>
        </w:rPr>
        <w:t>9</w:t>
      </w:r>
      <w:r>
        <w:rPr>
          <w:rFonts w:ascii="宋体" w:hAnsi="宋体" w:cs="宋体"/>
          <w:color w:val="auto"/>
          <w:szCs w:val="21"/>
          <w:highlight w:val="none"/>
        </w:rPr>
        <w:t>月）的社保证明（不含投标截止当月）投标人单位为拟投入本项目人员购买的社会保险证明文件扫描件。</w:t>
      </w:r>
    </w:p>
    <w:p w14:paraId="5AD92C9B">
      <w:pPr>
        <w:snapToGrid w:val="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shd w:val="clear" w:color="auto" w:fill="FFFFFF"/>
        </w:rPr>
        <w:t>类似项目业绩需提供①合同关键页、②初步设计批复或施工图审查合格书作为业绩证明文件，业绩时间以初步设计批复或施工图审查合格书时间为准。如果合同或初步设计批复或施工图审查单位出具的施工图审查合格书不能证明项目负责人</w:t>
      </w:r>
      <w:r>
        <w:rPr>
          <w:rFonts w:hint="eastAsia" w:ascii="宋体" w:hAnsi="宋体" w:cs="宋体"/>
          <w:color w:val="auto"/>
          <w:szCs w:val="21"/>
          <w:highlight w:val="none"/>
          <w:shd w:val="clear" w:color="auto" w:fill="FFFFFF"/>
          <w:lang w:eastAsia="zh-CN"/>
        </w:rPr>
        <w:t>或设计负责人</w:t>
      </w:r>
      <w:r>
        <w:rPr>
          <w:rFonts w:hint="eastAsia" w:ascii="宋体" w:hAnsi="宋体" w:cs="宋体"/>
          <w:color w:val="auto"/>
          <w:szCs w:val="21"/>
          <w:highlight w:val="none"/>
          <w:shd w:val="clear" w:color="auto" w:fill="FFFFFF"/>
        </w:rPr>
        <w:t>的名字，必须另行提供有效证明文件证明。投标单位需提供能证明项目总投资</w:t>
      </w:r>
      <w:r>
        <w:rPr>
          <w:rFonts w:hint="eastAsia" w:ascii="宋体" w:hAnsi="宋体" w:cs="宋体"/>
          <w:color w:val="auto"/>
          <w:szCs w:val="21"/>
          <w:highlight w:val="none"/>
          <w:shd w:val="clear" w:color="auto" w:fill="FFFFFF"/>
          <w:lang w:eastAsia="zh-CN"/>
        </w:rPr>
        <w:t>（或建安费）</w:t>
      </w:r>
      <w:r>
        <w:rPr>
          <w:rFonts w:hint="eastAsia" w:ascii="宋体" w:hAnsi="宋体" w:cs="宋体"/>
          <w:color w:val="auto"/>
          <w:szCs w:val="21"/>
          <w:highlight w:val="none"/>
          <w:shd w:val="clear" w:color="auto" w:fill="FFFFFF"/>
        </w:rPr>
        <w:t>的证明文件扫描件，加盖投标人电子印章。总投资</w:t>
      </w:r>
      <w:r>
        <w:rPr>
          <w:rFonts w:hint="eastAsia" w:ascii="宋体" w:hAnsi="宋体" w:cs="宋体"/>
          <w:color w:val="auto"/>
          <w:szCs w:val="21"/>
          <w:highlight w:val="none"/>
          <w:shd w:val="clear" w:color="auto" w:fill="FFFFFF"/>
          <w:lang w:eastAsia="zh-CN"/>
        </w:rPr>
        <w:t>（或建安费）</w:t>
      </w:r>
      <w:r>
        <w:rPr>
          <w:rFonts w:hint="eastAsia" w:ascii="宋体" w:hAnsi="宋体" w:cs="宋体"/>
          <w:color w:val="auto"/>
          <w:szCs w:val="21"/>
          <w:highlight w:val="none"/>
          <w:shd w:val="clear" w:color="auto" w:fill="FFFFFF"/>
        </w:rPr>
        <w:t>或建筑面积证明文件可以是项目建议书批文、可行性研究报告批文或企业投资项目备案证。合同中列明项目总投资</w:t>
      </w:r>
      <w:r>
        <w:rPr>
          <w:rFonts w:hint="eastAsia" w:ascii="宋体" w:hAnsi="宋体" w:cs="宋体"/>
          <w:color w:val="auto"/>
          <w:szCs w:val="21"/>
          <w:highlight w:val="none"/>
          <w:shd w:val="clear" w:color="auto" w:fill="FFFFFF"/>
          <w:lang w:eastAsia="zh-CN"/>
        </w:rPr>
        <w:t>（或建安费）</w:t>
      </w:r>
      <w:r>
        <w:rPr>
          <w:rFonts w:hint="eastAsia" w:ascii="宋体" w:hAnsi="宋体" w:cs="宋体"/>
          <w:color w:val="auto"/>
          <w:szCs w:val="21"/>
          <w:highlight w:val="none"/>
          <w:shd w:val="clear" w:color="auto" w:fill="FFFFFF"/>
        </w:rPr>
        <w:t>或建筑面积的，可做为项目总投资</w:t>
      </w:r>
      <w:r>
        <w:rPr>
          <w:rFonts w:hint="eastAsia" w:ascii="宋体" w:hAnsi="宋体" w:cs="宋体"/>
          <w:color w:val="auto"/>
          <w:szCs w:val="21"/>
          <w:highlight w:val="none"/>
          <w:shd w:val="clear" w:color="auto" w:fill="FFFFFF"/>
          <w:lang w:eastAsia="zh-CN"/>
        </w:rPr>
        <w:t>（或建安费）</w:t>
      </w:r>
      <w:r>
        <w:rPr>
          <w:rFonts w:hint="eastAsia" w:ascii="宋体" w:hAnsi="宋体" w:cs="宋体"/>
          <w:color w:val="auto"/>
          <w:szCs w:val="21"/>
          <w:highlight w:val="none"/>
          <w:shd w:val="clear" w:color="auto" w:fill="FFFFFF"/>
        </w:rPr>
        <w:t>或建筑面积证明文件</w:t>
      </w:r>
      <w:r>
        <w:rPr>
          <w:rFonts w:ascii="宋体" w:hAnsi="宋体" w:cs="宋体"/>
          <w:color w:val="auto"/>
          <w:szCs w:val="21"/>
          <w:highlight w:val="none"/>
        </w:rPr>
        <w:t>。</w:t>
      </w:r>
    </w:p>
    <w:p w14:paraId="75B6857B">
      <w:pPr>
        <w:snapToGrid w:val="0"/>
        <w:rPr>
          <w:rFonts w:ascii="宋体" w:hAnsi="宋体" w:cs="宋体"/>
          <w:color w:val="auto"/>
          <w:szCs w:val="21"/>
          <w:highlight w:val="none"/>
        </w:rPr>
      </w:pPr>
      <w:r>
        <w:rPr>
          <w:rFonts w:ascii="宋体" w:hAnsi="宋体" w:cs="宋体"/>
          <w:color w:val="auto"/>
          <w:szCs w:val="21"/>
          <w:highlight w:val="none"/>
        </w:rPr>
        <w:t>（3）不符合上述条件或未提供上述资料的不得分。</w:t>
      </w:r>
    </w:p>
    <w:p w14:paraId="5A41BD1F">
      <w:pPr>
        <w:snapToGrid w:val="0"/>
        <w:rPr>
          <w:rFonts w:ascii="宋体" w:hAnsi="宋体" w:cs="宋体"/>
          <w:b/>
          <w:bCs/>
          <w:color w:val="auto"/>
          <w:szCs w:val="21"/>
          <w:highlight w:val="none"/>
        </w:rPr>
      </w:pP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、本表中所有要求提供的证明资料扫描件需加盖投标人电子印章。未提供证明资料或提供的证明材料不齐全、不符合要求的，不得分。</w:t>
      </w:r>
    </w:p>
    <w:p w14:paraId="472545C9">
      <w:pPr>
        <w:pStyle w:val="35"/>
        <w:widowControl/>
        <w:spacing w:line="288" w:lineRule="auto"/>
        <w:rPr>
          <w:rFonts w:ascii="宋体" w:hAnsi="宋体" w:eastAsia="宋体" w:cs="宋体"/>
          <w:b/>
          <w:bCs/>
          <w:color w:val="auto"/>
          <w:kern w:val="2"/>
          <w:sz w:val="21"/>
          <w:szCs w:val="21"/>
          <w:highlight w:val="none"/>
          <w:shd w:val="clear" w:color="auto" w:fill="FFFFFF"/>
          <w:lang w:eastAsia="zh-CN"/>
        </w:rPr>
      </w:pPr>
      <w:r>
        <w:rPr>
          <w:rFonts w:hint="eastAsia" w:ascii="宋体" w:hAnsi="宋体" w:eastAsia="宋体" w:cs="宋体"/>
          <w:b/>
          <w:bCs/>
          <w:color w:val="auto"/>
          <w:kern w:val="2"/>
          <w:sz w:val="21"/>
          <w:szCs w:val="21"/>
          <w:highlight w:val="none"/>
          <w:shd w:val="clear" w:color="auto" w:fill="FFFFFF"/>
          <w:lang w:val="en-US" w:eastAsia="zh-CN"/>
        </w:rPr>
        <w:t>6</w:t>
      </w:r>
      <w:r>
        <w:rPr>
          <w:rFonts w:hint="eastAsia" w:ascii="宋体" w:hAnsi="宋体" w:eastAsia="宋体" w:cs="宋体"/>
          <w:b/>
          <w:bCs/>
          <w:color w:val="auto"/>
          <w:kern w:val="2"/>
          <w:sz w:val="21"/>
          <w:szCs w:val="21"/>
          <w:highlight w:val="none"/>
          <w:shd w:val="clear" w:color="auto" w:fill="FFFFFF"/>
          <w:lang w:eastAsia="zh-CN"/>
        </w:rPr>
        <w:t>、投标人的得分为各评委评分的算术平均值（若分数出现小数点时，保留小数点后二位，第三位小数四舍五入）。</w:t>
      </w:r>
    </w:p>
    <w:p w14:paraId="7180D362">
      <w:pPr>
        <w:pStyle w:val="35"/>
        <w:spacing w:line="288" w:lineRule="auto"/>
        <w:ind w:firstLine="440" w:firstLineChars="200"/>
        <w:rPr>
          <w:rFonts w:ascii="宋体" w:hAnsi="宋体"/>
          <w:color w:val="auto"/>
          <w:highlight w:val="none"/>
          <w:lang w:eastAsia="zh-CN"/>
        </w:rPr>
        <w:sectPr>
          <w:pgSz w:w="15840" w:h="12240" w:orient="landscape"/>
          <w:pgMar w:top="1718" w:right="1502" w:bottom="1718" w:left="1123" w:header="0" w:footer="918" w:gutter="0"/>
          <w:pgBorders>
            <w:top w:val="none" w:sz="0" w:space="0"/>
            <w:left w:val="none" w:sz="0" w:space="0"/>
            <w:bottom w:val="none" w:sz="0" w:space="0"/>
            <w:right w:val="none" w:sz="0" w:space="0"/>
          </w:pgBorders>
          <w:cols w:space="720" w:num="1"/>
          <w:docGrid w:linePitch="286" w:charSpace="0"/>
        </w:sectPr>
      </w:pPr>
    </w:p>
    <w:p w14:paraId="7541973C">
      <w:pPr>
        <w:pStyle w:val="19"/>
        <w:jc w:val="both"/>
        <w:rPr>
          <w:rFonts w:hint="eastAsia" w:ascii="宋体" w:hAnsi="宋体" w:eastAsia="宋体" w:cs="Times New Roman"/>
          <w:b w:val="0"/>
          <w:color w:val="auto"/>
          <w:highlight w:val="none"/>
          <w:lang w:eastAsia="zh-CN"/>
        </w:rPr>
      </w:pPr>
      <w:r>
        <w:rPr>
          <w:rFonts w:hint="eastAsia" w:ascii="宋体" w:hAnsi="宋体" w:eastAsia="宋体" w:cs="Times New Roman"/>
          <w:b w:val="0"/>
          <w:color w:val="auto"/>
          <w:highlight w:val="none"/>
          <w:lang w:eastAsia="zh-CN"/>
        </w:rPr>
        <w:t>附件二：资格审查表</w:t>
      </w:r>
    </w:p>
    <w:p w14:paraId="15E76A37">
      <w:pPr>
        <w:pStyle w:val="12"/>
        <w:jc w:val="center"/>
        <w:rPr>
          <w:rFonts w:hAnsi="宋体"/>
          <w:bCs/>
          <w:color w:val="auto"/>
          <w:sz w:val="32"/>
          <w:szCs w:val="32"/>
          <w:highlight w:val="none"/>
          <w:lang w:eastAsia="zh-CN"/>
        </w:rPr>
      </w:pPr>
      <w:r>
        <w:rPr>
          <w:rFonts w:hint="eastAsia" w:hAnsi="宋体"/>
          <w:bCs/>
          <w:color w:val="auto"/>
          <w:sz w:val="32"/>
          <w:szCs w:val="32"/>
          <w:highlight w:val="none"/>
          <w:lang w:eastAsia="zh-CN"/>
        </w:rPr>
        <w:t>资格审查表</w:t>
      </w:r>
    </w:p>
    <w:p w14:paraId="28B59627">
      <w:pPr>
        <w:pStyle w:val="12"/>
        <w:rPr>
          <w:rFonts w:hAnsi="宋体"/>
          <w:color w:val="auto"/>
          <w:highlight w:val="none"/>
        </w:rPr>
      </w:pPr>
      <w:r>
        <w:rPr>
          <w:rFonts w:hint="eastAsia" w:hAnsi="宋体"/>
          <w:color w:val="auto"/>
          <w:highlight w:val="none"/>
        </w:rPr>
        <w:t>项目名称：</w:t>
      </w:r>
    </w:p>
    <w:tbl>
      <w:tblPr>
        <w:tblStyle w:val="23"/>
        <w:tblW w:w="8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1"/>
        <w:gridCol w:w="5770"/>
        <w:gridCol w:w="838"/>
        <w:gridCol w:w="839"/>
        <w:gridCol w:w="840"/>
      </w:tblGrid>
      <w:tr w14:paraId="1632A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91" w:type="dxa"/>
            <w:vAlign w:val="center"/>
          </w:tcPr>
          <w:p w14:paraId="4C29B5CF">
            <w:pPr>
              <w:pStyle w:val="12"/>
              <w:jc w:val="center"/>
              <w:rPr>
                <w:rFonts w:hAnsi="宋体"/>
                <w:color w:val="auto"/>
                <w:highlight w:val="none"/>
                <w:lang w:eastAsia="zh-CN"/>
              </w:rPr>
            </w:pPr>
            <w:r>
              <w:rPr>
                <w:rFonts w:hint="eastAsia" w:hAnsi="宋体"/>
                <w:color w:val="auto"/>
                <w:highlight w:val="none"/>
                <w:lang w:eastAsia="zh-CN"/>
              </w:rPr>
              <w:t>序号</w:t>
            </w:r>
          </w:p>
        </w:tc>
        <w:tc>
          <w:tcPr>
            <w:tcW w:w="5770" w:type="dxa"/>
            <w:tcBorders>
              <w:tl2br w:val="single" w:color="auto" w:sz="12" w:space="0"/>
            </w:tcBorders>
            <w:vAlign w:val="center"/>
          </w:tcPr>
          <w:p w14:paraId="26F5B1C3">
            <w:pPr>
              <w:pStyle w:val="12"/>
              <w:rPr>
                <w:rFonts w:hAnsi="宋体"/>
                <w:color w:val="auto"/>
                <w:sz w:val="20"/>
                <w:highlight w:val="none"/>
                <w:lang w:eastAsia="zh-CN"/>
              </w:rPr>
            </w:pPr>
            <w:r>
              <w:rPr>
                <w:rFonts w:hint="eastAsia" w:hAnsi="宋体"/>
                <w:color w:val="auto"/>
                <w:highlight w:val="none"/>
                <w:lang w:eastAsia="zh-CN"/>
              </w:rPr>
              <w:t xml:space="preserve">                             投标人名称</w:t>
            </w:r>
          </w:p>
          <w:p w14:paraId="52CC77ED">
            <w:pPr>
              <w:pStyle w:val="12"/>
              <w:rPr>
                <w:rFonts w:hAnsi="宋体"/>
                <w:bCs/>
                <w:color w:val="auto"/>
                <w:highlight w:val="none"/>
                <w:lang w:eastAsia="zh-CN"/>
              </w:rPr>
            </w:pPr>
            <w:r>
              <w:rPr>
                <w:rFonts w:hint="eastAsia" w:hAnsi="宋体"/>
                <w:color w:val="auto"/>
                <w:highlight w:val="none"/>
                <w:lang w:eastAsia="zh-CN"/>
              </w:rPr>
              <w:t>审查项目</w:t>
            </w:r>
          </w:p>
        </w:tc>
        <w:tc>
          <w:tcPr>
            <w:tcW w:w="838" w:type="dxa"/>
            <w:vAlign w:val="center"/>
          </w:tcPr>
          <w:p w14:paraId="060B1420">
            <w:pPr>
              <w:pStyle w:val="12"/>
              <w:jc w:val="center"/>
              <w:rPr>
                <w:rFonts w:hAnsi="宋体"/>
                <w:bCs/>
                <w:color w:val="auto"/>
                <w:sz w:val="32"/>
                <w:szCs w:val="32"/>
                <w:highlight w:val="none"/>
                <w:lang w:eastAsia="zh-CN"/>
              </w:rPr>
            </w:pPr>
          </w:p>
        </w:tc>
        <w:tc>
          <w:tcPr>
            <w:tcW w:w="839" w:type="dxa"/>
            <w:vAlign w:val="center"/>
          </w:tcPr>
          <w:p w14:paraId="7E2A582A">
            <w:pPr>
              <w:pStyle w:val="12"/>
              <w:jc w:val="center"/>
              <w:rPr>
                <w:rFonts w:hAnsi="宋体"/>
                <w:bCs/>
                <w:color w:val="auto"/>
                <w:sz w:val="32"/>
                <w:szCs w:val="32"/>
                <w:highlight w:val="none"/>
                <w:lang w:eastAsia="zh-CN"/>
              </w:rPr>
            </w:pPr>
          </w:p>
        </w:tc>
        <w:tc>
          <w:tcPr>
            <w:tcW w:w="840" w:type="dxa"/>
            <w:vAlign w:val="center"/>
          </w:tcPr>
          <w:p w14:paraId="05226538">
            <w:pPr>
              <w:pStyle w:val="12"/>
              <w:jc w:val="center"/>
              <w:rPr>
                <w:rFonts w:hAnsi="宋体"/>
                <w:bCs/>
                <w:color w:val="auto"/>
                <w:sz w:val="32"/>
                <w:szCs w:val="32"/>
                <w:highlight w:val="none"/>
                <w:lang w:eastAsia="zh-CN"/>
              </w:rPr>
            </w:pPr>
          </w:p>
        </w:tc>
      </w:tr>
      <w:tr w14:paraId="1669B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91" w:type="dxa"/>
            <w:vAlign w:val="center"/>
          </w:tcPr>
          <w:p w14:paraId="48D465E4">
            <w:pPr>
              <w:pStyle w:val="12"/>
              <w:jc w:val="center"/>
              <w:rPr>
                <w:rFonts w:hAnsi="宋体"/>
                <w:color w:val="auto"/>
                <w:highlight w:val="none"/>
                <w:lang w:eastAsia="zh-CN"/>
              </w:rPr>
            </w:pPr>
            <w:r>
              <w:rPr>
                <w:rFonts w:hint="eastAsia" w:hAnsi="宋体"/>
                <w:color w:val="auto"/>
                <w:highlight w:val="none"/>
                <w:lang w:eastAsia="zh-CN"/>
              </w:rPr>
              <w:t>1</w:t>
            </w:r>
          </w:p>
        </w:tc>
        <w:tc>
          <w:tcPr>
            <w:tcW w:w="5770" w:type="dxa"/>
            <w:vAlign w:val="center"/>
          </w:tcPr>
          <w:p w14:paraId="136B966F">
            <w:pPr>
              <w:pStyle w:val="12"/>
              <w:rPr>
                <w:rFonts w:hAnsi="宋体"/>
                <w:color w:val="auto"/>
                <w:highlight w:val="none"/>
                <w:lang w:eastAsia="zh-CN"/>
              </w:rPr>
            </w:pPr>
            <w:r>
              <w:rPr>
                <w:rFonts w:hint="eastAsia" w:hAnsi="宋体"/>
                <w:color w:val="auto"/>
                <w:highlight w:val="none"/>
                <w:lang w:eastAsia="zh-CN"/>
              </w:rPr>
              <w:t>投标人与招标人过去3年内无合同履约纠纷，没有不得参加投标的情形；</w:t>
            </w:r>
            <w:r>
              <w:rPr>
                <w:rFonts w:hint="eastAsia" w:hAnsi="宋体" w:eastAsia="宋体" w:cs="宋体"/>
                <w:color w:val="auto"/>
                <w:sz w:val="21"/>
                <w:szCs w:val="21"/>
                <w:highlight w:val="none"/>
                <w:lang w:eastAsia="zh-CN"/>
              </w:rPr>
              <w:t>（</w:t>
            </w:r>
            <w:r>
              <w:rPr>
                <w:rFonts w:hint="eastAsia" w:hAnsi="宋体"/>
                <w:color w:val="auto"/>
                <w:highlight w:val="none"/>
                <w:lang w:eastAsia="zh-CN"/>
              </w:rPr>
              <w:t>以投标人提供的《投标人声明》为评审依据。）</w:t>
            </w:r>
          </w:p>
        </w:tc>
        <w:tc>
          <w:tcPr>
            <w:tcW w:w="838" w:type="dxa"/>
            <w:vAlign w:val="center"/>
          </w:tcPr>
          <w:p w14:paraId="669DC1F6">
            <w:pPr>
              <w:pStyle w:val="12"/>
              <w:rPr>
                <w:rFonts w:hAnsi="宋体"/>
                <w:color w:val="auto"/>
                <w:highlight w:val="none"/>
                <w:lang w:eastAsia="zh-CN"/>
              </w:rPr>
            </w:pPr>
          </w:p>
        </w:tc>
        <w:tc>
          <w:tcPr>
            <w:tcW w:w="839" w:type="dxa"/>
            <w:vAlign w:val="center"/>
          </w:tcPr>
          <w:p w14:paraId="595934C7">
            <w:pPr>
              <w:pStyle w:val="12"/>
              <w:rPr>
                <w:rFonts w:hAnsi="宋体"/>
                <w:color w:val="auto"/>
                <w:highlight w:val="none"/>
                <w:lang w:eastAsia="zh-CN"/>
              </w:rPr>
            </w:pPr>
          </w:p>
        </w:tc>
        <w:tc>
          <w:tcPr>
            <w:tcW w:w="840" w:type="dxa"/>
            <w:vAlign w:val="center"/>
          </w:tcPr>
          <w:p w14:paraId="239ADD1E">
            <w:pPr>
              <w:pStyle w:val="12"/>
              <w:rPr>
                <w:rFonts w:hAnsi="宋体"/>
                <w:color w:val="auto"/>
                <w:highlight w:val="none"/>
                <w:lang w:eastAsia="zh-CN"/>
              </w:rPr>
            </w:pPr>
          </w:p>
        </w:tc>
      </w:tr>
      <w:tr w14:paraId="42D16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591" w:type="dxa"/>
            <w:vAlign w:val="center"/>
          </w:tcPr>
          <w:p w14:paraId="356FA4CA">
            <w:pPr>
              <w:pStyle w:val="12"/>
              <w:jc w:val="center"/>
              <w:rPr>
                <w:rFonts w:hAnsi="宋体"/>
                <w:color w:val="auto"/>
                <w:highlight w:val="none"/>
                <w:lang w:eastAsia="zh-CN"/>
              </w:rPr>
            </w:pPr>
            <w:r>
              <w:rPr>
                <w:rFonts w:hint="eastAsia" w:hAnsi="宋体"/>
                <w:color w:val="auto"/>
                <w:highlight w:val="none"/>
                <w:lang w:eastAsia="zh-CN"/>
              </w:rPr>
              <w:t>2</w:t>
            </w:r>
          </w:p>
        </w:tc>
        <w:tc>
          <w:tcPr>
            <w:tcW w:w="5770" w:type="dxa"/>
            <w:vAlign w:val="center"/>
          </w:tcPr>
          <w:p w14:paraId="4F60F3F0">
            <w:pPr>
              <w:pStyle w:val="12"/>
              <w:rPr>
                <w:rFonts w:hAnsi="宋体"/>
                <w:color w:val="auto"/>
                <w:highlight w:val="none"/>
                <w:lang w:eastAsia="zh-CN"/>
              </w:rPr>
            </w:pPr>
            <w:r>
              <w:rPr>
                <w:rFonts w:hint="eastAsia" w:hAnsi="宋体"/>
                <w:color w:val="auto"/>
                <w:highlight w:val="none"/>
                <w:lang w:eastAsia="zh-CN"/>
              </w:rPr>
              <w:t>投标人的资质满足招标公告规定。</w:t>
            </w:r>
          </w:p>
        </w:tc>
        <w:tc>
          <w:tcPr>
            <w:tcW w:w="838" w:type="dxa"/>
            <w:vAlign w:val="center"/>
          </w:tcPr>
          <w:p w14:paraId="1582CECD">
            <w:pPr>
              <w:pStyle w:val="12"/>
              <w:rPr>
                <w:rFonts w:hAnsi="宋体"/>
                <w:color w:val="auto"/>
                <w:highlight w:val="none"/>
                <w:lang w:eastAsia="zh-CN"/>
              </w:rPr>
            </w:pPr>
          </w:p>
        </w:tc>
        <w:tc>
          <w:tcPr>
            <w:tcW w:w="839" w:type="dxa"/>
            <w:vAlign w:val="center"/>
          </w:tcPr>
          <w:p w14:paraId="4D72A7AF">
            <w:pPr>
              <w:pStyle w:val="12"/>
              <w:rPr>
                <w:rFonts w:hAnsi="宋体"/>
                <w:color w:val="auto"/>
                <w:highlight w:val="none"/>
                <w:lang w:eastAsia="zh-CN"/>
              </w:rPr>
            </w:pPr>
          </w:p>
        </w:tc>
        <w:tc>
          <w:tcPr>
            <w:tcW w:w="840" w:type="dxa"/>
            <w:vAlign w:val="center"/>
          </w:tcPr>
          <w:p w14:paraId="49145C62">
            <w:pPr>
              <w:pStyle w:val="12"/>
              <w:rPr>
                <w:rFonts w:hAnsi="宋体"/>
                <w:color w:val="auto"/>
                <w:highlight w:val="none"/>
                <w:lang w:eastAsia="zh-CN"/>
              </w:rPr>
            </w:pPr>
          </w:p>
        </w:tc>
      </w:tr>
      <w:tr w14:paraId="29A5A2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591" w:type="dxa"/>
            <w:vAlign w:val="center"/>
          </w:tcPr>
          <w:p w14:paraId="60ECF726">
            <w:pPr>
              <w:pStyle w:val="12"/>
              <w:jc w:val="center"/>
              <w:rPr>
                <w:rFonts w:hAnsi="宋体"/>
                <w:color w:val="auto"/>
                <w:highlight w:val="none"/>
                <w:lang w:eastAsia="zh-CN"/>
              </w:rPr>
            </w:pPr>
            <w:r>
              <w:rPr>
                <w:rFonts w:hint="eastAsia" w:hAnsi="宋体"/>
                <w:color w:val="auto"/>
                <w:highlight w:val="none"/>
                <w:lang w:eastAsia="zh-CN"/>
              </w:rPr>
              <w:t>3</w:t>
            </w:r>
          </w:p>
        </w:tc>
        <w:tc>
          <w:tcPr>
            <w:tcW w:w="5770" w:type="dxa"/>
            <w:vAlign w:val="center"/>
          </w:tcPr>
          <w:p w14:paraId="49785F4E">
            <w:pPr>
              <w:pStyle w:val="12"/>
              <w:rPr>
                <w:rFonts w:hAnsi="宋体"/>
                <w:color w:val="auto"/>
                <w:highlight w:val="none"/>
                <w:lang w:eastAsia="zh-CN"/>
              </w:rPr>
            </w:pPr>
            <w:r>
              <w:rPr>
                <w:rFonts w:hint="eastAsia" w:hAnsi="宋体"/>
                <w:color w:val="auto"/>
                <w:highlight w:val="none"/>
                <w:lang w:eastAsia="zh-CN"/>
              </w:rPr>
              <w:t>外国或澳门、台湾的设计企业必须选择一家符合上述条件（招标公告第3.1条、第3.2条要求）的国内投标人进行合作设计。香港企业如不单独参加投标，也必须选择一家符合上述条件（招标公告第3.1条、第3.2条要求）的国内投标人进行合作设计；（需提供合作设计协议书。）</w:t>
            </w:r>
          </w:p>
        </w:tc>
        <w:tc>
          <w:tcPr>
            <w:tcW w:w="838" w:type="dxa"/>
            <w:vAlign w:val="center"/>
          </w:tcPr>
          <w:p w14:paraId="6A20AA51">
            <w:pPr>
              <w:pStyle w:val="12"/>
              <w:rPr>
                <w:rFonts w:hAnsi="宋体"/>
                <w:color w:val="auto"/>
                <w:highlight w:val="none"/>
                <w:lang w:eastAsia="zh-CN"/>
              </w:rPr>
            </w:pPr>
          </w:p>
        </w:tc>
        <w:tc>
          <w:tcPr>
            <w:tcW w:w="839" w:type="dxa"/>
            <w:vAlign w:val="center"/>
          </w:tcPr>
          <w:p w14:paraId="4A571713">
            <w:pPr>
              <w:pStyle w:val="12"/>
              <w:rPr>
                <w:rFonts w:hAnsi="宋体"/>
                <w:color w:val="auto"/>
                <w:highlight w:val="none"/>
                <w:lang w:eastAsia="zh-CN"/>
              </w:rPr>
            </w:pPr>
          </w:p>
        </w:tc>
        <w:tc>
          <w:tcPr>
            <w:tcW w:w="840" w:type="dxa"/>
            <w:vAlign w:val="center"/>
          </w:tcPr>
          <w:p w14:paraId="25A3756A">
            <w:pPr>
              <w:pStyle w:val="12"/>
              <w:rPr>
                <w:rFonts w:hAnsi="宋体"/>
                <w:color w:val="auto"/>
                <w:highlight w:val="none"/>
                <w:lang w:eastAsia="zh-CN"/>
              </w:rPr>
            </w:pPr>
          </w:p>
        </w:tc>
      </w:tr>
      <w:tr w14:paraId="0492B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91" w:type="dxa"/>
            <w:vAlign w:val="center"/>
          </w:tcPr>
          <w:p w14:paraId="29B258B4">
            <w:pPr>
              <w:pStyle w:val="12"/>
              <w:jc w:val="center"/>
              <w:rPr>
                <w:rFonts w:hAnsi="宋体"/>
                <w:color w:val="auto"/>
                <w:highlight w:val="none"/>
                <w:lang w:eastAsia="zh-CN"/>
              </w:rPr>
            </w:pPr>
            <w:r>
              <w:rPr>
                <w:rFonts w:hint="eastAsia" w:hAnsi="宋体"/>
                <w:color w:val="auto"/>
                <w:highlight w:val="none"/>
                <w:lang w:eastAsia="zh-CN"/>
              </w:rPr>
              <w:t>4</w:t>
            </w:r>
          </w:p>
        </w:tc>
        <w:tc>
          <w:tcPr>
            <w:tcW w:w="5770" w:type="dxa"/>
            <w:vAlign w:val="center"/>
          </w:tcPr>
          <w:p w14:paraId="23E1E0BB">
            <w:pPr>
              <w:pStyle w:val="12"/>
              <w:rPr>
                <w:rFonts w:hAnsi="宋体"/>
                <w:color w:val="auto"/>
                <w:highlight w:val="none"/>
                <w:lang w:eastAsia="zh-CN"/>
              </w:rPr>
            </w:pPr>
            <w:r>
              <w:rPr>
                <w:rFonts w:hint="eastAsia" w:hAnsi="宋体"/>
                <w:color w:val="auto"/>
                <w:highlight w:val="none"/>
                <w:lang w:eastAsia="zh-CN" w:bidi="ar"/>
              </w:rPr>
              <w:t>投标人已在广州市住建行业信用管理平台建立企业信用档案，拟委派的项目负责人须是本企业信用档案中的在册人员。</w:t>
            </w:r>
          </w:p>
        </w:tc>
        <w:tc>
          <w:tcPr>
            <w:tcW w:w="838" w:type="dxa"/>
            <w:vAlign w:val="center"/>
          </w:tcPr>
          <w:p w14:paraId="1332BB4D">
            <w:pPr>
              <w:pStyle w:val="12"/>
              <w:rPr>
                <w:rFonts w:hAnsi="宋体"/>
                <w:color w:val="auto"/>
                <w:highlight w:val="none"/>
                <w:lang w:eastAsia="zh-CN"/>
              </w:rPr>
            </w:pPr>
          </w:p>
        </w:tc>
        <w:tc>
          <w:tcPr>
            <w:tcW w:w="839" w:type="dxa"/>
            <w:vAlign w:val="center"/>
          </w:tcPr>
          <w:p w14:paraId="3FC28CBB">
            <w:pPr>
              <w:pStyle w:val="12"/>
              <w:rPr>
                <w:rFonts w:hAnsi="宋体"/>
                <w:color w:val="auto"/>
                <w:highlight w:val="none"/>
                <w:lang w:eastAsia="zh-CN"/>
              </w:rPr>
            </w:pPr>
          </w:p>
        </w:tc>
        <w:tc>
          <w:tcPr>
            <w:tcW w:w="840" w:type="dxa"/>
            <w:vAlign w:val="center"/>
          </w:tcPr>
          <w:p w14:paraId="486ED920">
            <w:pPr>
              <w:pStyle w:val="12"/>
              <w:rPr>
                <w:rFonts w:hAnsi="宋体"/>
                <w:color w:val="auto"/>
                <w:highlight w:val="none"/>
                <w:lang w:eastAsia="zh-CN"/>
              </w:rPr>
            </w:pPr>
          </w:p>
        </w:tc>
      </w:tr>
      <w:tr w14:paraId="104FB2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591" w:type="dxa"/>
            <w:vAlign w:val="center"/>
          </w:tcPr>
          <w:p w14:paraId="49F430C7">
            <w:pPr>
              <w:pStyle w:val="12"/>
              <w:jc w:val="center"/>
              <w:rPr>
                <w:rFonts w:hAnsi="宋体"/>
                <w:color w:val="auto"/>
                <w:highlight w:val="none"/>
                <w:lang w:eastAsia="zh-CN"/>
              </w:rPr>
            </w:pPr>
            <w:r>
              <w:rPr>
                <w:rFonts w:hint="eastAsia" w:hAnsi="宋体"/>
                <w:color w:val="auto"/>
                <w:highlight w:val="none"/>
                <w:lang w:eastAsia="zh-CN"/>
              </w:rPr>
              <w:t>5</w:t>
            </w:r>
          </w:p>
        </w:tc>
        <w:tc>
          <w:tcPr>
            <w:tcW w:w="5770" w:type="dxa"/>
            <w:vAlign w:val="center"/>
          </w:tcPr>
          <w:p w14:paraId="0DF54EB0">
            <w:pPr>
              <w:pStyle w:val="12"/>
              <w:rPr>
                <w:rFonts w:hAnsi="宋体"/>
                <w:color w:val="auto"/>
                <w:highlight w:val="none"/>
                <w:lang w:eastAsia="zh-CN"/>
              </w:rPr>
            </w:pPr>
            <w:r>
              <w:rPr>
                <w:rFonts w:hint="eastAsia" w:hAnsi="宋体"/>
                <w:color w:val="auto"/>
                <w:highlight w:val="none"/>
                <w:lang w:eastAsia="zh-CN" w:bidi="ar"/>
              </w:rPr>
              <w:t>投标人</w:t>
            </w:r>
            <w:r>
              <w:rPr>
                <w:rFonts w:hint="eastAsia" w:hAnsi="宋体"/>
                <w:color w:val="auto"/>
                <w:highlight w:val="none"/>
                <w:lang w:eastAsia="zh-CN"/>
              </w:rPr>
              <w:t>拟派项目负责人资格满足招标公告规定。</w:t>
            </w:r>
          </w:p>
        </w:tc>
        <w:tc>
          <w:tcPr>
            <w:tcW w:w="838" w:type="dxa"/>
            <w:vAlign w:val="center"/>
          </w:tcPr>
          <w:p w14:paraId="07EF361A">
            <w:pPr>
              <w:pStyle w:val="12"/>
              <w:rPr>
                <w:rFonts w:hAnsi="宋体"/>
                <w:color w:val="auto"/>
                <w:highlight w:val="none"/>
                <w:lang w:eastAsia="zh-CN"/>
              </w:rPr>
            </w:pPr>
          </w:p>
        </w:tc>
        <w:tc>
          <w:tcPr>
            <w:tcW w:w="839" w:type="dxa"/>
            <w:vAlign w:val="center"/>
          </w:tcPr>
          <w:p w14:paraId="63A544EB">
            <w:pPr>
              <w:pStyle w:val="12"/>
              <w:rPr>
                <w:rFonts w:hAnsi="宋体"/>
                <w:color w:val="auto"/>
                <w:highlight w:val="none"/>
                <w:lang w:eastAsia="zh-CN"/>
              </w:rPr>
            </w:pPr>
          </w:p>
        </w:tc>
        <w:tc>
          <w:tcPr>
            <w:tcW w:w="840" w:type="dxa"/>
            <w:vAlign w:val="center"/>
          </w:tcPr>
          <w:p w14:paraId="2154D46A">
            <w:pPr>
              <w:pStyle w:val="12"/>
              <w:rPr>
                <w:rFonts w:hAnsi="宋体"/>
                <w:color w:val="auto"/>
                <w:highlight w:val="none"/>
                <w:lang w:eastAsia="zh-CN"/>
              </w:rPr>
            </w:pPr>
          </w:p>
        </w:tc>
      </w:tr>
      <w:tr w14:paraId="68154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91" w:type="dxa"/>
            <w:vAlign w:val="center"/>
          </w:tcPr>
          <w:p w14:paraId="4B75A2C2">
            <w:pPr>
              <w:pStyle w:val="12"/>
              <w:jc w:val="center"/>
              <w:rPr>
                <w:rFonts w:hAnsi="宋体"/>
                <w:color w:val="auto"/>
                <w:highlight w:val="none"/>
                <w:lang w:eastAsia="zh-CN"/>
              </w:rPr>
            </w:pPr>
            <w:r>
              <w:rPr>
                <w:rFonts w:hint="eastAsia" w:hAnsi="宋体"/>
                <w:color w:val="auto"/>
                <w:highlight w:val="none"/>
                <w:lang w:eastAsia="zh-CN"/>
              </w:rPr>
              <w:t>6</w:t>
            </w:r>
          </w:p>
        </w:tc>
        <w:tc>
          <w:tcPr>
            <w:tcW w:w="5770" w:type="dxa"/>
            <w:vAlign w:val="center"/>
          </w:tcPr>
          <w:p w14:paraId="25B433C4">
            <w:pPr>
              <w:pStyle w:val="12"/>
              <w:rPr>
                <w:rFonts w:hAnsi="宋体"/>
                <w:color w:val="auto"/>
                <w:highlight w:val="none"/>
                <w:lang w:eastAsia="zh-CN" w:bidi="ar"/>
              </w:rPr>
            </w:pPr>
            <w:r>
              <w:rPr>
                <w:rFonts w:hint="eastAsia" w:hAnsi="宋体"/>
                <w:color w:val="auto"/>
                <w:highlight w:val="none"/>
                <w:lang w:eastAsia="zh-CN" w:bidi="ar"/>
              </w:rPr>
              <w:t>本项目不接受联合体投标</w:t>
            </w:r>
          </w:p>
        </w:tc>
        <w:tc>
          <w:tcPr>
            <w:tcW w:w="838" w:type="dxa"/>
            <w:vAlign w:val="center"/>
          </w:tcPr>
          <w:p w14:paraId="66ED5D17">
            <w:pPr>
              <w:pStyle w:val="12"/>
              <w:rPr>
                <w:rFonts w:hAnsi="宋体"/>
                <w:color w:val="auto"/>
                <w:highlight w:val="none"/>
                <w:lang w:eastAsia="zh-CN"/>
              </w:rPr>
            </w:pPr>
          </w:p>
        </w:tc>
        <w:tc>
          <w:tcPr>
            <w:tcW w:w="839" w:type="dxa"/>
            <w:vAlign w:val="center"/>
          </w:tcPr>
          <w:p w14:paraId="0FE3F27A">
            <w:pPr>
              <w:pStyle w:val="12"/>
              <w:rPr>
                <w:rFonts w:hAnsi="宋体"/>
                <w:color w:val="auto"/>
                <w:highlight w:val="none"/>
                <w:lang w:eastAsia="zh-CN"/>
              </w:rPr>
            </w:pPr>
          </w:p>
        </w:tc>
        <w:tc>
          <w:tcPr>
            <w:tcW w:w="840" w:type="dxa"/>
            <w:vAlign w:val="center"/>
          </w:tcPr>
          <w:p w14:paraId="49148744">
            <w:pPr>
              <w:pStyle w:val="12"/>
              <w:rPr>
                <w:rFonts w:hAnsi="宋体"/>
                <w:color w:val="auto"/>
                <w:highlight w:val="none"/>
                <w:lang w:eastAsia="zh-CN"/>
              </w:rPr>
            </w:pPr>
          </w:p>
        </w:tc>
      </w:tr>
      <w:tr w14:paraId="634B1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91" w:type="dxa"/>
            <w:vAlign w:val="center"/>
          </w:tcPr>
          <w:p w14:paraId="44B34292">
            <w:pPr>
              <w:pStyle w:val="12"/>
              <w:jc w:val="center"/>
              <w:rPr>
                <w:rFonts w:hAnsi="宋体"/>
                <w:color w:val="auto"/>
                <w:highlight w:val="none"/>
                <w:lang w:eastAsia="zh-CN"/>
              </w:rPr>
            </w:pPr>
            <w:r>
              <w:rPr>
                <w:rFonts w:hint="eastAsia" w:hAnsi="宋体"/>
                <w:color w:val="auto"/>
                <w:highlight w:val="none"/>
                <w:lang w:eastAsia="zh-CN"/>
              </w:rPr>
              <w:t>7</w:t>
            </w:r>
          </w:p>
        </w:tc>
        <w:tc>
          <w:tcPr>
            <w:tcW w:w="5770" w:type="dxa"/>
            <w:vAlign w:val="center"/>
          </w:tcPr>
          <w:p w14:paraId="06C85D66">
            <w:pPr>
              <w:pStyle w:val="12"/>
              <w:rPr>
                <w:rFonts w:hAnsi="宋体"/>
                <w:color w:val="auto"/>
                <w:highlight w:val="none"/>
                <w:lang w:eastAsia="zh-CN" w:bidi="ar"/>
              </w:rPr>
            </w:pPr>
            <w:r>
              <w:rPr>
                <w:rFonts w:hint="eastAsia" w:hAnsi="宋体"/>
                <w:color w:val="auto"/>
                <w:highlight w:val="none"/>
                <w:lang w:eastAsia="zh-CN" w:bidi="ar"/>
              </w:rPr>
              <w:t>投标人没有招标文件第二章第1.4.3项规定的任何一种情形（根据《投标人声明》进行评审），投标人须按《投标人声明》规定的格式填写并加盖投标人章）。</w:t>
            </w:r>
          </w:p>
        </w:tc>
        <w:tc>
          <w:tcPr>
            <w:tcW w:w="838" w:type="dxa"/>
            <w:vAlign w:val="center"/>
          </w:tcPr>
          <w:p w14:paraId="4EF12EEE">
            <w:pPr>
              <w:pStyle w:val="12"/>
              <w:rPr>
                <w:rFonts w:hAnsi="宋体"/>
                <w:color w:val="auto"/>
                <w:highlight w:val="none"/>
                <w:lang w:eastAsia="zh-CN"/>
              </w:rPr>
            </w:pPr>
          </w:p>
        </w:tc>
        <w:tc>
          <w:tcPr>
            <w:tcW w:w="839" w:type="dxa"/>
            <w:vAlign w:val="center"/>
          </w:tcPr>
          <w:p w14:paraId="763271AB">
            <w:pPr>
              <w:pStyle w:val="12"/>
              <w:rPr>
                <w:rFonts w:hAnsi="宋体"/>
                <w:color w:val="auto"/>
                <w:highlight w:val="none"/>
                <w:lang w:eastAsia="zh-CN"/>
              </w:rPr>
            </w:pPr>
          </w:p>
        </w:tc>
        <w:tc>
          <w:tcPr>
            <w:tcW w:w="840" w:type="dxa"/>
            <w:vAlign w:val="center"/>
          </w:tcPr>
          <w:p w14:paraId="1BF099BC">
            <w:pPr>
              <w:pStyle w:val="12"/>
              <w:rPr>
                <w:rFonts w:hAnsi="宋体"/>
                <w:color w:val="auto"/>
                <w:highlight w:val="none"/>
                <w:lang w:eastAsia="zh-CN"/>
              </w:rPr>
            </w:pPr>
          </w:p>
        </w:tc>
      </w:tr>
      <w:tr w14:paraId="68259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91" w:type="dxa"/>
            <w:vAlign w:val="center"/>
          </w:tcPr>
          <w:p w14:paraId="6B2FB151">
            <w:pPr>
              <w:pStyle w:val="12"/>
              <w:jc w:val="center"/>
              <w:rPr>
                <w:rFonts w:hAnsi="宋体"/>
                <w:color w:val="auto"/>
                <w:highlight w:val="none"/>
                <w:lang w:eastAsia="zh-CN"/>
              </w:rPr>
            </w:pPr>
            <w:r>
              <w:rPr>
                <w:rFonts w:hint="eastAsia" w:hAnsi="宋体"/>
                <w:color w:val="auto"/>
                <w:highlight w:val="none"/>
                <w:lang w:eastAsia="zh-CN"/>
              </w:rPr>
              <w:t>8</w:t>
            </w:r>
          </w:p>
        </w:tc>
        <w:tc>
          <w:tcPr>
            <w:tcW w:w="5770" w:type="dxa"/>
            <w:vAlign w:val="center"/>
          </w:tcPr>
          <w:p w14:paraId="5208D804">
            <w:pPr>
              <w:pStyle w:val="12"/>
              <w:rPr>
                <w:rFonts w:hAnsi="宋体"/>
                <w:color w:val="auto"/>
                <w:highlight w:val="none"/>
                <w:lang w:eastAsia="zh-CN" w:bidi="ar"/>
              </w:rPr>
            </w:pPr>
            <w:r>
              <w:rPr>
                <w:rFonts w:hint="eastAsia" w:ascii="宋体" w:hAnsi="宋体" w:eastAsia="Calibri"/>
                <w:color w:val="auto"/>
                <w:kern w:val="0"/>
                <w:sz w:val="22"/>
                <w:szCs w:val="20"/>
                <w:highlight w:val="none"/>
                <w:lang w:bidi="ar"/>
              </w:rPr>
              <w:t>未被列入拖欠农民工工资失信联合惩戒对象名单（投标人无需提供资料，按投标截止时间广州交易集团有限公司(广州公共资源交易中心)交易系统比对的结果进行评审）。</w:t>
            </w:r>
          </w:p>
        </w:tc>
        <w:tc>
          <w:tcPr>
            <w:tcW w:w="838" w:type="dxa"/>
            <w:vAlign w:val="center"/>
          </w:tcPr>
          <w:p w14:paraId="3C825AF1">
            <w:pPr>
              <w:pStyle w:val="12"/>
              <w:rPr>
                <w:rFonts w:hAnsi="宋体"/>
                <w:color w:val="auto"/>
                <w:highlight w:val="none"/>
                <w:lang w:eastAsia="zh-CN"/>
              </w:rPr>
            </w:pPr>
          </w:p>
        </w:tc>
        <w:tc>
          <w:tcPr>
            <w:tcW w:w="839" w:type="dxa"/>
            <w:vAlign w:val="center"/>
          </w:tcPr>
          <w:p w14:paraId="4589D85D">
            <w:pPr>
              <w:pStyle w:val="12"/>
              <w:rPr>
                <w:rFonts w:hAnsi="宋体"/>
                <w:color w:val="auto"/>
                <w:highlight w:val="none"/>
                <w:lang w:eastAsia="zh-CN"/>
              </w:rPr>
            </w:pPr>
          </w:p>
        </w:tc>
        <w:tc>
          <w:tcPr>
            <w:tcW w:w="840" w:type="dxa"/>
            <w:vAlign w:val="center"/>
          </w:tcPr>
          <w:p w14:paraId="71D1B744">
            <w:pPr>
              <w:pStyle w:val="12"/>
              <w:rPr>
                <w:rFonts w:hAnsi="宋体"/>
                <w:color w:val="auto"/>
                <w:highlight w:val="none"/>
                <w:lang w:eastAsia="zh-CN"/>
              </w:rPr>
            </w:pPr>
          </w:p>
        </w:tc>
      </w:tr>
      <w:tr w14:paraId="0AA2E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1" w:type="dxa"/>
            <w:vAlign w:val="center"/>
          </w:tcPr>
          <w:p w14:paraId="5C392257">
            <w:pPr>
              <w:pStyle w:val="12"/>
              <w:jc w:val="center"/>
              <w:rPr>
                <w:rFonts w:hint="default" w:hAnsi="宋体"/>
                <w:color w:val="auto"/>
                <w:highlight w:val="none"/>
                <w:lang w:val="en-US" w:eastAsia="zh-CN"/>
              </w:rPr>
            </w:pPr>
            <w:r>
              <w:rPr>
                <w:rFonts w:hint="eastAsia" w:hAnsi="宋体"/>
                <w:color w:val="auto"/>
                <w:highlight w:val="none"/>
                <w:lang w:val="en-US" w:eastAsia="zh-CN"/>
              </w:rPr>
              <w:t>9</w:t>
            </w:r>
          </w:p>
        </w:tc>
        <w:tc>
          <w:tcPr>
            <w:tcW w:w="5770" w:type="dxa"/>
            <w:vAlign w:val="center"/>
          </w:tcPr>
          <w:p w14:paraId="421D358B">
            <w:pPr>
              <w:rPr>
                <w:rFonts w:hint="eastAsia" w:ascii="宋体" w:hAnsi="宋体" w:eastAsia="Calibri"/>
                <w:color w:val="auto"/>
                <w:kern w:val="0"/>
                <w:sz w:val="22"/>
                <w:szCs w:val="20"/>
                <w:highlight w:val="none"/>
                <w:lang w:bidi="ar"/>
              </w:rPr>
            </w:pPr>
            <w:r>
              <w:rPr>
                <w:rFonts w:hint="eastAsia" w:ascii="宋体" w:hAnsi="宋体" w:eastAsia="Calibri"/>
                <w:color w:val="auto"/>
                <w:kern w:val="0"/>
                <w:sz w:val="22"/>
                <w:szCs w:val="20"/>
                <w:highlight w:val="none"/>
                <w:lang w:bidi="ar"/>
              </w:rPr>
              <w:t>政府投资项目，在投标截止时间前，投标人未被列入“失信被执行人”名单。</w:t>
            </w:r>
          </w:p>
          <w:p w14:paraId="4E5040BF">
            <w:pPr>
              <w:rPr>
                <w:rFonts w:hint="eastAsia" w:ascii="宋体" w:hAnsi="宋体" w:eastAsia="Calibri" w:cs="Times New Roman"/>
                <w:color w:val="auto"/>
                <w:kern w:val="0"/>
                <w:sz w:val="22"/>
                <w:szCs w:val="20"/>
                <w:highlight w:val="none"/>
                <w:lang w:val="en-US" w:eastAsia="zh-CN" w:bidi="ar"/>
              </w:rPr>
            </w:pPr>
            <w:r>
              <w:rPr>
                <w:rFonts w:hint="eastAsia" w:ascii="宋体" w:hAnsi="宋体" w:eastAsia="Calibri"/>
                <w:color w:val="auto"/>
                <w:kern w:val="0"/>
                <w:sz w:val="22"/>
                <w:szCs w:val="20"/>
                <w:highlight w:val="none"/>
                <w:lang w:bidi="ar"/>
              </w:rPr>
              <w:t>注：按《全国失信惩戒措施基础清单（2025年版）》的有关规定执行。本项投标人无需提供资料，按投标截止时间广州交易集团有限公司（广州公共资源交易中心）交易系统比对结果进行评审。</w:t>
            </w:r>
          </w:p>
        </w:tc>
        <w:tc>
          <w:tcPr>
            <w:tcW w:w="838" w:type="dxa"/>
            <w:vAlign w:val="center"/>
          </w:tcPr>
          <w:p w14:paraId="622ED19C">
            <w:pPr>
              <w:pStyle w:val="12"/>
              <w:jc w:val="center"/>
              <w:rPr>
                <w:rFonts w:hAnsi="宋体"/>
                <w:bCs/>
                <w:color w:val="auto"/>
                <w:sz w:val="32"/>
                <w:szCs w:val="32"/>
                <w:highlight w:val="none"/>
                <w:lang w:eastAsia="zh-CN"/>
              </w:rPr>
            </w:pPr>
          </w:p>
        </w:tc>
        <w:tc>
          <w:tcPr>
            <w:tcW w:w="839" w:type="dxa"/>
            <w:vAlign w:val="center"/>
          </w:tcPr>
          <w:p w14:paraId="5EC4DB86">
            <w:pPr>
              <w:pStyle w:val="12"/>
              <w:jc w:val="center"/>
              <w:rPr>
                <w:rFonts w:hAnsi="宋体"/>
                <w:bCs/>
                <w:color w:val="auto"/>
                <w:sz w:val="32"/>
                <w:szCs w:val="32"/>
                <w:highlight w:val="none"/>
                <w:lang w:eastAsia="zh-CN"/>
              </w:rPr>
            </w:pPr>
          </w:p>
        </w:tc>
        <w:tc>
          <w:tcPr>
            <w:tcW w:w="840" w:type="dxa"/>
            <w:vAlign w:val="center"/>
          </w:tcPr>
          <w:p w14:paraId="60400573">
            <w:pPr>
              <w:pStyle w:val="12"/>
              <w:jc w:val="center"/>
              <w:rPr>
                <w:rFonts w:hAnsi="宋体"/>
                <w:bCs/>
                <w:color w:val="auto"/>
                <w:sz w:val="32"/>
                <w:szCs w:val="32"/>
                <w:highlight w:val="none"/>
                <w:lang w:eastAsia="zh-CN"/>
              </w:rPr>
            </w:pPr>
          </w:p>
        </w:tc>
      </w:tr>
      <w:tr w14:paraId="6C132A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1" w:type="dxa"/>
            <w:vAlign w:val="center"/>
          </w:tcPr>
          <w:p w14:paraId="2108B04B">
            <w:pPr>
              <w:pStyle w:val="12"/>
              <w:jc w:val="center"/>
              <w:rPr>
                <w:rFonts w:hint="default" w:hAnsi="宋体"/>
                <w:color w:val="auto"/>
                <w:highlight w:val="none"/>
                <w:lang w:val="en-US" w:eastAsia="zh-CN"/>
              </w:rPr>
            </w:pPr>
            <w:r>
              <w:rPr>
                <w:rFonts w:hint="eastAsia" w:hAnsi="宋体"/>
                <w:color w:val="auto"/>
                <w:highlight w:val="none"/>
                <w:lang w:val="en-US" w:eastAsia="zh-CN"/>
              </w:rPr>
              <w:t>10</w:t>
            </w:r>
          </w:p>
        </w:tc>
        <w:tc>
          <w:tcPr>
            <w:tcW w:w="5770" w:type="dxa"/>
            <w:vAlign w:val="center"/>
          </w:tcPr>
          <w:p w14:paraId="674BBFF4">
            <w:pPr>
              <w:rPr>
                <w:rFonts w:hint="eastAsia" w:hAnsi="宋体"/>
                <w:color w:val="auto"/>
                <w:highlight w:val="none"/>
                <w:lang w:eastAsia="zh-CN"/>
              </w:rPr>
            </w:pPr>
            <w:r>
              <w:rPr>
                <w:rFonts w:hint="eastAsia" w:ascii="宋体" w:hAnsi="宋体" w:eastAsia="Calibri" w:cs="Times New Roman"/>
                <w:color w:val="auto"/>
                <w:kern w:val="0"/>
                <w:sz w:val="22"/>
                <w:szCs w:val="20"/>
                <w:highlight w:val="none"/>
                <w:lang w:val="en-US" w:eastAsia="zh-CN" w:bidi="ar"/>
              </w:rPr>
              <w:t>未在以往工程中因不充分履约行为被本项目招标人书面拒绝投标的（详见附件一《被本项目招标人书面拒绝投标的企业名单》）。</w:t>
            </w:r>
          </w:p>
        </w:tc>
        <w:tc>
          <w:tcPr>
            <w:tcW w:w="838" w:type="dxa"/>
            <w:vAlign w:val="center"/>
          </w:tcPr>
          <w:p w14:paraId="19A25938">
            <w:pPr>
              <w:pStyle w:val="12"/>
              <w:jc w:val="center"/>
              <w:rPr>
                <w:rFonts w:hAnsi="宋体"/>
                <w:bCs/>
                <w:color w:val="auto"/>
                <w:sz w:val="32"/>
                <w:szCs w:val="32"/>
                <w:highlight w:val="none"/>
                <w:lang w:eastAsia="zh-CN"/>
              </w:rPr>
            </w:pPr>
          </w:p>
        </w:tc>
        <w:tc>
          <w:tcPr>
            <w:tcW w:w="839" w:type="dxa"/>
            <w:vAlign w:val="center"/>
          </w:tcPr>
          <w:p w14:paraId="782C4DC2">
            <w:pPr>
              <w:pStyle w:val="12"/>
              <w:jc w:val="center"/>
              <w:rPr>
                <w:rFonts w:hAnsi="宋体"/>
                <w:bCs/>
                <w:color w:val="auto"/>
                <w:sz w:val="32"/>
                <w:szCs w:val="32"/>
                <w:highlight w:val="none"/>
                <w:lang w:eastAsia="zh-CN"/>
              </w:rPr>
            </w:pPr>
          </w:p>
        </w:tc>
        <w:tc>
          <w:tcPr>
            <w:tcW w:w="840" w:type="dxa"/>
            <w:vAlign w:val="center"/>
          </w:tcPr>
          <w:p w14:paraId="6E2940ED">
            <w:pPr>
              <w:pStyle w:val="12"/>
              <w:jc w:val="center"/>
              <w:rPr>
                <w:rFonts w:hAnsi="宋体"/>
                <w:bCs/>
                <w:color w:val="auto"/>
                <w:sz w:val="32"/>
                <w:szCs w:val="32"/>
                <w:highlight w:val="none"/>
                <w:lang w:eastAsia="zh-CN"/>
              </w:rPr>
            </w:pPr>
          </w:p>
        </w:tc>
      </w:tr>
      <w:tr w14:paraId="4D5AA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1" w:type="dxa"/>
            <w:vAlign w:val="center"/>
          </w:tcPr>
          <w:p w14:paraId="0EF3396F">
            <w:pPr>
              <w:pStyle w:val="12"/>
              <w:jc w:val="center"/>
              <w:rPr>
                <w:rFonts w:hAnsi="宋体"/>
                <w:color w:val="auto"/>
                <w:highlight w:val="none"/>
                <w:lang w:eastAsia="zh-CN"/>
              </w:rPr>
            </w:pPr>
            <w:r>
              <w:rPr>
                <w:rFonts w:hint="eastAsia" w:hAnsi="宋体"/>
                <w:color w:val="auto"/>
                <w:highlight w:val="none"/>
                <w:lang w:eastAsia="zh-CN"/>
              </w:rPr>
              <w:t>结论</w:t>
            </w:r>
          </w:p>
        </w:tc>
        <w:tc>
          <w:tcPr>
            <w:tcW w:w="5770" w:type="dxa"/>
            <w:vAlign w:val="center"/>
          </w:tcPr>
          <w:p w14:paraId="25AE3A0C">
            <w:pPr>
              <w:pStyle w:val="12"/>
              <w:rPr>
                <w:rFonts w:hAnsi="宋体"/>
                <w:color w:val="auto"/>
                <w:highlight w:val="none"/>
                <w:lang w:eastAsia="zh-CN"/>
              </w:rPr>
            </w:pPr>
            <w:r>
              <w:rPr>
                <w:rFonts w:hint="eastAsia" w:hAnsi="宋体"/>
                <w:color w:val="auto"/>
                <w:highlight w:val="none"/>
                <w:lang w:eastAsia="zh-CN"/>
              </w:rPr>
              <w:t>是否通过并进入下一阶段评审</w:t>
            </w:r>
          </w:p>
        </w:tc>
        <w:tc>
          <w:tcPr>
            <w:tcW w:w="838" w:type="dxa"/>
            <w:vAlign w:val="center"/>
          </w:tcPr>
          <w:p w14:paraId="70ACA8A2">
            <w:pPr>
              <w:pStyle w:val="12"/>
              <w:jc w:val="center"/>
              <w:rPr>
                <w:rFonts w:hAnsi="宋体"/>
                <w:bCs/>
                <w:color w:val="auto"/>
                <w:sz w:val="32"/>
                <w:szCs w:val="32"/>
                <w:highlight w:val="none"/>
                <w:lang w:eastAsia="zh-CN"/>
              </w:rPr>
            </w:pPr>
          </w:p>
        </w:tc>
        <w:tc>
          <w:tcPr>
            <w:tcW w:w="839" w:type="dxa"/>
            <w:vAlign w:val="center"/>
          </w:tcPr>
          <w:p w14:paraId="3288568B">
            <w:pPr>
              <w:pStyle w:val="12"/>
              <w:jc w:val="center"/>
              <w:rPr>
                <w:rFonts w:hAnsi="宋体"/>
                <w:bCs/>
                <w:color w:val="auto"/>
                <w:sz w:val="32"/>
                <w:szCs w:val="32"/>
                <w:highlight w:val="none"/>
                <w:lang w:eastAsia="zh-CN"/>
              </w:rPr>
            </w:pPr>
          </w:p>
        </w:tc>
        <w:tc>
          <w:tcPr>
            <w:tcW w:w="840" w:type="dxa"/>
            <w:vAlign w:val="center"/>
          </w:tcPr>
          <w:p w14:paraId="2BBDC2F7">
            <w:pPr>
              <w:pStyle w:val="12"/>
              <w:jc w:val="center"/>
              <w:rPr>
                <w:rFonts w:hAnsi="宋体"/>
                <w:bCs/>
                <w:color w:val="auto"/>
                <w:sz w:val="32"/>
                <w:szCs w:val="32"/>
                <w:highlight w:val="none"/>
                <w:lang w:eastAsia="zh-CN"/>
              </w:rPr>
            </w:pPr>
          </w:p>
        </w:tc>
      </w:tr>
    </w:tbl>
    <w:p w14:paraId="60BFF16A">
      <w:pPr>
        <w:snapToGrid w:val="0"/>
        <w:rPr>
          <w:rFonts w:ascii="宋体" w:hAnsi="宋体" w:cs="Calibri"/>
          <w:color w:val="auto"/>
          <w:szCs w:val="21"/>
          <w:highlight w:val="none"/>
        </w:rPr>
      </w:pPr>
      <w:r>
        <w:rPr>
          <w:rFonts w:hint="eastAsia" w:ascii="宋体" w:hAnsi="宋体"/>
          <w:color w:val="auto"/>
          <w:highlight w:val="none"/>
        </w:rPr>
        <w:t>备注：1、根据本表的审查项目，填“通过”或“不通过”。对于序号3，非“外国或澳门、台湾的设计企业和香港不单独参加投标的设计企业”，该评审项用“通过”表示。</w:t>
      </w:r>
    </w:p>
    <w:p w14:paraId="00AE3BB3">
      <w:pPr>
        <w:snapToGrid w:val="0"/>
        <w:ind w:left="840" w:leftChars="300" w:hanging="210" w:hangingChars="100"/>
        <w:rPr>
          <w:rFonts w:ascii="宋体" w:hAnsi="宋体"/>
          <w:color w:val="auto"/>
          <w:highlight w:val="none"/>
        </w:rPr>
      </w:pPr>
      <w:r>
        <w:rPr>
          <w:rFonts w:hint="eastAsia" w:ascii="宋体" w:hAnsi="宋体"/>
          <w:color w:val="auto"/>
          <w:highlight w:val="none"/>
        </w:rPr>
        <w:t>2、表中出现一个或以上“不通过”，即该投标人的评审“结论”为“不通过”。</w:t>
      </w:r>
    </w:p>
    <w:p w14:paraId="74117FF0">
      <w:pPr>
        <w:snapToGrid w:val="0"/>
        <w:ind w:left="840" w:leftChars="300" w:hanging="210" w:hangingChars="100"/>
        <w:rPr>
          <w:rStyle w:val="31"/>
          <w:color w:val="auto"/>
          <w:highlight w:val="none"/>
        </w:rPr>
      </w:pPr>
      <w:r>
        <w:rPr>
          <w:rFonts w:hint="eastAsia" w:ascii="宋体" w:hAnsi="宋体"/>
          <w:color w:val="auto"/>
          <w:highlight w:val="none"/>
        </w:rPr>
        <w:t>3、表中全部评审结果为“通过”，即该投标人的评审“结论”为“通过”。</w:t>
      </w:r>
    </w:p>
    <w:p w14:paraId="34BDCAC9">
      <w:pPr>
        <w:pStyle w:val="6"/>
        <w:ind w:firstLine="630" w:firstLineChars="300"/>
        <w:rPr>
          <w:rFonts w:eastAsia="宋体"/>
          <w:color w:val="auto"/>
          <w:highlight w:val="none"/>
          <w:lang w:eastAsia="zh-CN"/>
        </w:rPr>
      </w:pPr>
      <w:r>
        <w:rPr>
          <w:rStyle w:val="31"/>
          <w:rFonts w:hint="eastAsia" w:eastAsia="宋体"/>
          <w:color w:val="auto"/>
          <w:highlight w:val="none"/>
          <w:lang w:eastAsia="zh-CN"/>
        </w:rPr>
        <w:t>4、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65A24969">
      <w:pPr>
        <w:snapToGrid w:val="0"/>
        <w:rPr>
          <w:rFonts w:ascii="宋体" w:hAnsi="宋体"/>
          <w:color w:val="auto"/>
          <w:highlight w:val="none"/>
        </w:rPr>
      </w:pPr>
      <w:r>
        <w:rPr>
          <w:rFonts w:hint="eastAsia" w:ascii="宋体" w:hAnsi="宋体"/>
          <w:color w:val="auto"/>
          <w:highlight w:val="none"/>
        </w:rPr>
        <w:t xml:space="preserve"> </w:t>
      </w:r>
    </w:p>
    <w:p w14:paraId="0264152F">
      <w:pPr>
        <w:spacing w:line="360" w:lineRule="auto"/>
        <w:rPr>
          <w:rFonts w:ascii="宋体" w:hAnsi="宋体"/>
          <w:color w:val="auto"/>
          <w:highlight w:val="none"/>
        </w:rPr>
      </w:pPr>
      <w:r>
        <w:rPr>
          <w:rFonts w:hint="eastAsia" w:ascii="宋体" w:hAnsi="宋体"/>
          <w:color w:val="auto"/>
          <w:highlight w:val="none"/>
        </w:rPr>
        <w:t>评委签名：                     日期</w:t>
      </w:r>
    </w:p>
    <w:p w14:paraId="22180FA6">
      <w:pPr>
        <w:spacing w:line="360" w:lineRule="auto"/>
        <w:ind w:right="44"/>
        <w:rPr>
          <w:rFonts w:ascii="宋体" w:hAnsi="宋体"/>
          <w:color w:val="auto"/>
          <w:highlight w:val="none"/>
        </w:rPr>
      </w:pPr>
      <w:bookmarkStart w:id="21" w:name="_Toc18465"/>
      <w:r>
        <w:rPr>
          <w:rFonts w:ascii="宋体" w:hAnsi="宋体"/>
          <w:color w:val="auto"/>
          <w:highlight w:val="none"/>
        </w:rPr>
        <w:br w:type="page"/>
      </w:r>
    </w:p>
    <w:p w14:paraId="1DE0E826">
      <w:pPr>
        <w:pStyle w:val="4"/>
        <w:spacing w:line="360" w:lineRule="auto"/>
        <w:ind w:right="44"/>
        <w:rPr>
          <w:rFonts w:ascii="宋体" w:hAnsi="宋体"/>
          <w:b w:val="0"/>
          <w:color w:val="auto"/>
          <w:sz w:val="24"/>
          <w:szCs w:val="24"/>
          <w:highlight w:val="none"/>
        </w:rPr>
      </w:pPr>
      <w:r>
        <w:rPr>
          <w:rFonts w:ascii="宋体" w:hAnsi="宋体"/>
          <w:b w:val="0"/>
          <w:color w:val="auto"/>
          <w:highlight w:val="none"/>
        </w:rPr>
        <w:t>1. 评标方法</w:t>
      </w:r>
      <w:bookmarkEnd w:id="21"/>
    </w:p>
    <w:p w14:paraId="4309563F">
      <w:pPr>
        <w:spacing w:line="360" w:lineRule="auto"/>
        <w:ind w:firstLine="480" w:firstLineChars="200"/>
        <w:rPr>
          <w:rFonts w:hint="eastAsia" w:ascii="宋体" w:hAnsi="宋体" w:eastAsia="宋体"/>
          <w:color w:val="auto"/>
          <w:sz w:val="24"/>
          <w:szCs w:val="24"/>
          <w:highlight w:val="none"/>
          <w:lang w:eastAsia="zh-CN"/>
        </w:rPr>
      </w:pPr>
      <w:r>
        <w:rPr>
          <w:rFonts w:hint="eastAsia"/>
          <w:color w:val="auto"/>
          <w:sz w:val="24"/>
          <w:szCs w:val="24"/>
          <w:highlight w:val="none"/>
        </w:rPr>
        <w:t>本次评标采用综合评标法。评标委员会对满足招标文件实质性要求的投标文件，按照本章规定的评分标准进行打分，并按得分由高到低顺序推荐前三名作为中标候选人，综合评分相等的，</w:t>
      </w:r>
      <w:r>
        <w:rPr>
          <w:rFonts w:hint="eastAsia"/>
          <w:color w:val="auto"/>
          <w:sz w:val="24"/>
          <w:szCs w:val="24"/>
          <w:highlight w:val="none"/>
          <w:lang w:eastAsia="zh-CN"/>
        </w:rPr>
        <w:t>以投标报价低的优先；</w:t>
      </w:r>
      <w:r>
        <w:rPr>
          <w:rFonts w:hint="eastAsia"/>
          <w:color w:val="auto"/>
          <w:sz w:val="24"/>
          <w:szCs w:val="24"/>
          <w:highlight w:val="none"/>
          <w:lang w:val="en-US" w:eastAsia="zh-CN"/>
        </w:rPr>
        <w:t>投标报价相同，</w:t>
      </w:r>
      <w:r>
        <w:rPr>
          <w:rFonts w:hint="eastAsia"/>
          <w:color w:val="auto"/>
          <w:sz w:val="24"/>
          <w:szCs w:val="24"/>
          <w:highlight w:val="none"/>
        </w:rPr>
        <w:t>以设计方案得分高的优先；设计方案得分也相等的，以资信业绩得分高的优先；如果资信业绩得分也相等</w:t>
      </w:r>
      <w:r>
        <w:rPr>
          <w:rFonts w:hint="eastAsia" w:ascii="宋体" w:hAnsi="宋体" w:cs="宋体"/>
          <w:color w:val="auto"/>
          <w:sz w:val="24"/>
          <w:szCs w:val="24"/>
          <w:highlight w:val="none"/>
          <w:lang w:bidi="ar"/>
        </w:rPr>
        <w:t>，</w:t>
      </w:r>
      <w:r>
        <w:rPr>
          <w:rFonts w:hint="eastAsia"/>
          <w:color w:val="auto"/>
          <w:sz w:val="24"/>
          <w:szCs w:val="24"/>
          <w:highlight w:val="none"/>
        </w:rPr>
        <w:t>则由评委以投票方式进行表决，确定相等得分的中标候选人的排序（记名投票方式确定排序的具体操作步骤为：由评标委员会对出现该情况的投标人进行编号，然后通过记名投票方式依次确定投标人的排序。评标委员会各成员一人一票，得票最多且过半数的投标人优先）。</w:t>
      </w:r>
    </w:p>
    <w:p w14:paraId="71453F17">
      <w:pPr>
        <w:pStyle w:val="4"/>
        <w:spacing w:line="360" w:lineRule="auto"/>
        <w:ind w:right="44"/>
        <w:rPr>
          <w:rFonts w:ascii="宋体" w:hAnsi="宋体"/>
          <w:b w:val="0"/>
          <w:color w:val="auto"/>
          <w:sz w:val="24"/>
          <w:szCs w:val="24"/>
          <w:highlight w:val="none"/>
        </w:rPr>
      </w:pPr>
      <w:bookmarkStart w:id="22" w:name="_Toc8909"/>
      <w:r>
        <w:rPr>
          <w:rFonts w:ascii="宋体" w:hAnsi="宋体"/>
          <w:b w:val="0"/>
          <w:color w:val="auto"/>
          <w:highlight w:val="none"/>
        </w:rPr>
        <w:t>2. 评审标准</w:t>
      </w:r>
      <w:bookmarkEnd w:id="22"/>
    </w:p>
    <w:p w14:paraId="21C191BA">
      <w:pPr>
        <w:pStyle w:val="5"/>
        <w:spacing w:line="360" w:lineRule="auto"/>
        <w:ind w:right="44"/>
        <w:rPr>
          <w:b w:val="0"/>
          <w:color w:val="auto"/>
          <w:highlight w:val="none"/>
        </w:rPr>
      </w:pPr>
      <w:r>
        <w:rPr>
          <w:b w:val="0"/>
          <w:color w:val="auto"/>
          <w:highlight w:val="none"/>
        </w:rPr>
        <w:t>2.1初步评审标准</w:t>
      </w:r>
    </w:p>
    <w:p w14:paraId="26750819">
      <w:pPr>
        <w:pStyle w:val="9"/>
        <w:spacing w:line="360" w:lineRule="auto"/>
        <w:ind w:left="0" w:firstLine="480" w:firstLineChars="200"/>
        <w:rPr>
          <w:color w:val="auto"/>
          <w:highlight w:val="none"/>
          <w:lang w:eastAsia="zh-CN"/>
        </w:rPr>
      </w:pPr>
      <w:r>
        <w:rPr>
          <w:color w:val="auto"/>
          <w:sz w:val="24"/>
          <w:szCs w:val="24"/>
          <w:highlight w:val="none"/>
          <w:lang w:eastAsia="zh-CN"/>
        </w:rPr>
        <w:t>2.1.1形式评审标准：见评标办法前附表</w:t>
      </w:r>
      <w:r>
        <w:rPr>
          <w:rFonts w:hint="eastAsia"/>
          <w:color w:val="auto"/>
          <w:sz w:val="24"/>
          <w:szCs w:val="24"/>
          <w:highlight w:val="none"/>
          <w:lang w:eastAsia="zh-CN"/>
        </w:rPr>
        <w:t>。</w:t>
      </w:r>
    </w:p>
    <w:p w14:paraId="3BF0ED0B">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2.1.2资格评审标准：见评标办法前附表。</w:t>
      </w:r>
    </w:p>
    <w:p w14:paraId="71EAE0B2">
      <w:pPr>
        <w:pStyle w:val="9"/>
        <w:spacing w:line="360" w:lineRule="auto"/>
        <w:ind w:left="0" w:firstLine="480" w:firstLineChars="200"/>
        <w:rPr>
          <w:color w:val="auto"/>
          <w:sz w:val="24"/>
          <w:szCs w:val="24"/>
          <w:highlight w:val="none"/>
          <w:u w:val="single"/>
          <w:lang w:eastAsia="zh-CN"/>
        </w:rPr>
      </w:pPr>
      <w:r>
        <w:rPr>
          <w:color w:val="auto"/>
          <w:sz w:val="24"/>
          <w:szCs w:val="24"/>
          <w:highlight w:val="none"/>
          <w:lang w:eastAsia="zh-CN"/>
        </w:rPr>
        <w:t>2.1.3响应性评审标准：见评标办法前附表。</w:t>
      </w:r>
    </w:p>
    <w:p w14:paraId="7D555AC9">
      <w:pPr>
        <w:pStyle w:val="5"/>
        <w:spacing w:line="360" w:lineRule="auto"/>
        <w:ind w:right="44"/>
        <w:rPr>
          <w:b w:val="0"/>
          <w:color w:val="auto"/>
          <w:sz w:val="24"/>
          <w:szCs w:val="24"/>
          <w:highlight w:val="none"/>
        </w:rPr>
      </w:pPr>
      <w:r>
        <w:rPr>
          <w:b w:val="0"/>
          <w:color w:val="auto"/>
          <w:highlight w:val="none"/>
        </w:rPr>
        <w:t>2.2分值构成与评分标准</w:t>
      </w:r>
    </w:p>
    <w:p w14:paraId="04A796CB">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2.2.1 分值构成</w:t>
      </w:r>
    </w:p>
    <w:p w14:paraId="10114B48">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w:t>
      </w:r>
      <w:r>
        <w:rPr>
          <w:rFonts w:hint="eastAsia"/>
          <w:color w:val="auto"/>
          <w:sz w:val="24"/>
          <w:szCs w:val="24"/>
          <w:highlight w:val="none"/>
          <w:u w:val="single"/>
          <w:lang w:val="en-US" w:eastAsia="zh-CN"/>
        </w:rPr>
        <w:t>商务文件</w:t>
      </w:r>
      <w:r>
        <w:rPr>
          <w:rFonts w:hint="eastAsia"/>
          <w:color w:val="auto"/>
          <w:sz w:val="24"/>
          <w:szCs w:val="24"/>
          <w:highlight w:val="none"/>
          <w:lang w:val="en-US" w:eastAsia="zh-CN"/>
        </w:rPr>
        <w:t>（</w:t>
      </w:r>
      <w:r>
        <w:rPr>
          <w:color w:val="auto"/>
          <w:sz w:val="24"/>
          <w:szCs w:val="24"/>
          <w:highlight w:val="none"/>
          <w:lang w:eastAsia="zh-CN"/>
        </w:rPr>
        <w:t>资信</w:t>
      </w:r>
      <w:r>
        <w:rPr>
          <w:rFonts w:hint="eastAsia"/>
          <w:color w:val="auto"/>
          <w:sz w:val="24"/>
          <w:szCs w:val="24"/>
          <w:highlight w:val="none"/>
          <w:lang w:eastAsia="zh-CN"/>
        </w:rPr>
        <w:t>业绩）</w:t>
      </w:r>
      <w:r>
        <w:rPr>
          <w:color w:val="auto"/>
          <w:sz w:val="24"/>
          <w:szCs w:val="24"/>
          <w:highlight w:val="none"/>
          <w:lang w:eastAsia="zh-CN"/>
        </w:rPr>
        <w:t>部分：见评标办法前附表；</w:t>
      </w:r>
    </w:p>
    <w:p w14:paraId="4ACA71C5">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（2）</w:t>
      </w:r>
      <w:r>
        <w:rPr>
          <w:rFonts w:hint="eastAsia"/>
          <w:color w:val="auto"/>
          <w:sz w:val="24"/>
          <w:szCs w:val="24"/>
          <w:highlight w:val="none"/>
          <w:u w:val="single"/>
          <w:lang w:val="en-US" w:eastAsia="zh-CN"/>
        </w:rPr>
        <w:t>技术文件（</w:t>
      </w:r>
      <w:r>
        <w:rPr>
          <w:rFonts w:hint="eastAsia"/>
          <w:color w:val="auto"/>
          <w:sz w:val="24"/>
          <w:szCs w:val="24"/>
          <w:highlight w:val="none"/>
          <w:u w:val="single"/>
          <w:lang w:eastAsia="zh-CN"/>
        </w:rPr>
        <w:t>设计方案）</w:t>
      </w:r>
      <w:r>
        <w:rPr>
          <w:color w:val="auto"/>
          <w:sz w:val="24"/>
          <w:szCs w:val="24"/>
          <w:highlight w:val="none"/>
          <w:lang w:eastAsia="zh-CN"/>
        </w:rPr>
        <w:t>部分：见评标办法前附表；</w:t>
      </w:r>
    </w:p>
    <w:p w14:paraId="612214D8">
      <w:pPr>
        <w:pStyle w:val="9"/>
        <w:spacing w:line="360" w:lineRule="auto"/>
        <w:ind w:left="0" w:firstLine="480" w:firstLineChars="200"/>
        <w:rPr>
          <w:strike w:val="0"/>
          <w:dstrike w:val="0"/>
          <w:color w:val="auto"/>
          <w:sz w:val="24"/>
          <w:szCs w:val="24"/>
          <w:highlight w:val="none"/>
          <w:lang w:eastAsia="zh-CN"/>
        </w:rPr>
      </w:pPr>
      <w:r>
        <w:rPr>
          <w:strike w:val="0"/>
          <w:dstrike w:val="0"/>
          <w:color w:val="auto"/>
          <w:sz w:val="24"/>
          <w:szCs w:val="24"/>
          <w:highlight w:val="none"/>
          <w:lang w:eastAsia="zh-CN"/>
        </w:rPr>
        <w:t>（</w:t>
      </w:r>
      <w:r>
        <w:rPr>
          <w:rFonts w:hint="eastAsia"/>
          <w:strike w:val="0"/>
          <w:dstrike w:val="0"/>
          <w:color w:val="auto"/>
          <w:sz w:val="24"/>
          <w:szCs w:val="24"/>
          <w:highlight w:val="none"/>
          <w:lang w:eastAsia="zh-CN"/>
        </w:rPr>
        <w:t>3</w:t>
      </w:r>
      <w:r>
        <w:rPr>
          <w:strike w:val="0"/>
          <w:dstrike w:val="0"/>
          <w:color w:val="auto"/>
          <w:sz w:val="24"/>
          <w:szCs w:val="24"/>
          <w:highlight w:val="none"/>
          <w:lang w:eastAsia="zh-CN"/>
        </w:rPr>
        <w:t>）投标报价：见评标办法前附表；</w:t>
      </w:r>
    </w:p>
    <w:p w14:paraId="21F9BF46">
      <w:pPr>
        <w:pStyle w:val="9"/>
        <w:spacing w:line="360" w:lineRule="auto"/>
        <w:ind w:left="0" w:firstLine="480" w:firstLineChars="200"/>
        <w:rPr>
          <w:strike/>
          <w:color w:val="auto"/>
          <w:sz w:val="24"/>
          <w:szCs w:val="24"/>
          <w:highlight w:val="none"/>
          <w:lang w:eastAsia="zh-CN"/>
        </w:rPr>
      </w:pPr>
      <w:r>
        <w:rPr>
          <w:strike/>
          <w:color w:val="auto"/>
          <w:sz w:val="24"/>
          <w:szCs w:val="24"/>
          <w:highlight w:val="none"/>
          <w:lang w:eastAsia="zh-CN"/>
        </w:rPr>
        <w:t>（4）其他评分因素：见评标办法前附表。</w:t>
      </w:r>
    </w:p>
    <w:p w14:paraId="6B3FEA8B">
      <w:pPr>
        <w:pStyle w:val="9"/>
        <w:spacing w:line="360" w:lineRule="auto"/>
        <w:ind w:left="0" w:firstLine="480" w:firstLineChars="200"/>
        <w:rPr>
          <w:strike w:val="0"/>
          <w:dstrike w:val="0"/>
          <w:color w:val="auto"/>
          <w:sz w:val="24"/>
          <w:szCs w:val="24"/>
          <w:highlight w:val="none"/>
          <w:lang w:eastAsia="zh-CN"/>
        </w:rPr>
      </w:pPr>
      <w:r>
        <w:rPr>
          <w:strike w:val="0"/>
          <w:dstrike w:val="0"/>
          <w:color w:val="auto"/>
          <w:sz w:val="24"/>
          <w:szCs w:val="24"/>
          <w:highlight w:val="none"/>
          <w:lang w:eastAsia="zh-CN"/>
        </w:rPr>
        <w:t>2.2.2评标基准价计算</w:t>
      </w:r>
    </w:p>
    <w:p w14:paraId="765116B1">
      <w:pPr>
        <w:pStyle w:val="9"/>
        <w:spacing w:line="360" w:lineRule="auto"/>
        <w:ind w:left="0" w:firstLine="480" w:firstLineChars="200"/>
        <w:rPr>
          <w:strike w:val="0"/>
          <w:dstrike w:val="0"/>
          <w:color w:val="auto"/>
          <w:sz w:val="24"/>
          <w:szCs w:val="24"/>
          <w:highlight w:val="none"/>
          <w:lang w:eastAsia="zh-CN"/>
        </w:rPr>
      </w:pPr>
      <w:r>
        <w:rPr>
          <w:strike w:val="0"/>
          <w:dstrike w:val="0"/>
          <w:color w:val="auto"/>
          <w:sz w:val="24"/>
          <w:szCs w:val="24"/>
          <w:highlight w:val="none"/>
          <w:lang w:eastAsia="zh-CN"/>
        </w:rPr>
        <w:t>评标基准价计算方法：见评标办法前附表。</w:t>
      </w:r>
    </w:p>
    <w:p w14:paraId="1D9C8748">
      <w:pPr>
        <w:pStyle w:val="9"/>
        <w:spacing w:line="360" w:lineRule="auto"/>
        <w:ind w:left="0" w:firstLine="480" w:firstLineChars="200"/>
        <w:rPr>
          <w:strike w:val="0"/>
          <w:dstrike w:val="0"/>
          <w:color w:val="auto"/>
          <w:sz w:val="24"/>
          <w:szCs w:val="24"/>
          <w:highlight w:val="none"/>
          <w:lang w:eastAsia="zh-CN"/>
        </w:rPr>
      </w:pPr>
      <w:r>
        <w:rPr>
          <w:strike w:val="0"/>
          <w:dstrike w:val="0"/>
          <w:color w:val="auto"/>
          <w:sz w:val="24"/>
          <w:szCs w:val="24"/>
          <w:highlight w:val="none"/>
          <w:lang w:eastAsia="zh-CN"/>
        </w:rPr>
        <w:t>2.2.3投标报价的偏差率计算</w:t>
      </w:r>
    </w:p>
    <w:p w14:paraId="7B7AB869">
      <w:pPr>
        <w:pStyle w:val="9"/>
        <w:spacing w:line="360" w:lineRule="auto"/>
        <w:ind w:left="0" w:firstLine="480" w:firstLineChars="200"/>
        <w:rPr>
          <w:strike w:val="0"/>
          <w:dstrike w:val="0"/>
          <w:color w:val="auto"/>
          <w:sz w:val="24"/>
          <w:szCs w:val="24"/>
          <w:highlight w:val="none"/>
          <w:lang w:eastAsia="zh-CN"/>
        </w:rPr>
      </w:pPr>
      <w:r>
        <w:rPr>
          <w:strike w:val="0"/>
          <w:dstrike w:val="0"/>
          <w:color w:val="auto"/>
          <w:sz w:val="24"/>
          <w:szCs w:val="24"/>
          <w:highlight w:val="none"/>
          <w:lang w:eastAsia="zh-CN"/>
        </w:rPr>
        <w:t>投标报价的偏差率计算公式：见评标办法前附表。</w:t>
      </w:r>
    </w:p>
    <w:p w14:paraId="56EDF89E">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2.2.4评分标准</w:t>
      </w:r>
    </w:p>
    <w:p w14:paraId="0FEDCD2D">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w:t>
      </w:r>
      <w:r>
        <w:rPr>
          <w:rFonts w:hint="eastAsia"/>
          <w:color w:val="auto"/>
          <w:sz w:val="24"/>
          <w:szCs w:val="24"/>
          <w:highlight w:val="none"/>
          <w:u w:val="single"/>
          <w:lang w:val="en-US" w:eastAsia="zh-CN"/>
        </w:rPr>
        <w:t>商务文件</w:t>
      </w:r>
      <w:r>
        <w:rPr>
          <w:rFonts w:hint="eastAsia"/>
          <w:color w:val="auto"/>
          <w:sz w:val="24"/>
          <w:szCs w:val="24"/>
          <w:highlight w:val="none"/>
          <w:lang w:val="en-US" w:eastAsia="zh-CN"/>
        </w:rPr>
        <w:t>（</w:t>
      </w:r>
      <w:r>
        <w:rPr>
          <w:color w:val="auto"/>
          <w:sz w:val="24"/>
          <w:szCs w:val="24"/>
          <w:highlight w:val="none"/>
          <w:lang w:eastAsia="zh-CN"/>
        </w:rPr>
        <w:t>资信</w:t>
      </w:r>
      <w:r>
        <w:rPr>
          <w:rFonts w:hint="eastAsia"/>
          <w:color w:val="auto"/>
          <w:sz w:val="24"/>
          <w:szCs w:val="24"/>
          <w:highlight w:val="none"/>
          <w:lang w:eastAsia="zh-CN"/>
        </w:rPr>
        <w:t>业绩）</w:t>
      </w:r>
      <w:r>
        <w:rPr>
          <w:color w:val="auto"/>
          <w:sz w:val="24"/>
          <w:szCs w:val="24"/>
          <w:highlight w:val="none"/>
          <w:lang w:eastAsia="zh-CN"/>
        </w:rPr>
        <w:t>评分标准：见评标办法前附表；</w:t>
      </w:r>
    </w:p>
    <w:p w14:paraId="4FBBDB08">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（2）</w:t>
      </w:r>
      <w:r>
        <w:rPr>
          <w:rFonts w:hint="eastAsia"/>
          <w:color w:val="auto"/>
          <w:sz w:val="24"/>
          <w:szCs w:val="24"/>
          <w:highlight w:val="none"/>
          <w:u w:val="single"/>
          <w:lang w:val="en-US" w:eastAsia="zh-CN"/>
        </w:rPr>
        <w:t>技术文件（</w:t>
      </w:r>
      <w:r>
        <w:rPr>
          <w:rFonts w:hint="eastAsia"/>
          <w:color w:val="auto"/>
          <w:sz w:val="24"/>
          <w:szCs w:val="24"/>
          <w:highlight w:val="none"/>
          <w:u w:val="single"/>
          <w:lang w:eastAsia="zh-CN"/>
        </w:rPr>
        <w:t>设计方案）</w:t>
      </w:r>
      <w:r>
        <w:rPr>
          <w:color w:val="auto"/>
          <w:sz w:val="24"/>
          <w:szCs w:val="24"/>
          <w:highlight w:val="none"/>
          <w:lang w:eastAsia="zh-CN"/>
        </w:rPr>
        <w:t>评分标准：见评标办法前附表；</w:t>
      </w:r>
    </w:p>
    <w:p w14:paraId="6585C2C0">
      <w:pPr>
        <w:pStyle w:val="9"/>
        <w:spacing w:line="360" w:lineRule="auto"/>
        <w:ind w:left="0" w:firstLine="480" w:firstLineChars="200"/>
        <w:rPr>
          <w:strike w:val="0"/>
          <w:color w:val="auto"/>
          <w:sz w:val="24"/>
          <w:szCs w:val="24"/>
          <w:highlight w:val="none"/>
          <w:lang w:eastAsia="zh-CN"/>
        </w:rPr>
      </w:pPr>
      <w:r>
        <w:rPr>
          <w:strike w:val="0"/>
          <w:color w:val="auto"/>
          <w:sz w:val="24"/>
          <w:szCs w:val="24"/>
          <w:highlight w:val="none"/>
          <w:lang w:eastAsia="zh-CN"/>
        </w:rPr>
        <w:t>（3）投标报价评分标准：见评标办法前附表；</w:t>
      </w:r>
    </w:p>
    <w:p w14:paraId="05C2513B">
      <w:pPr>
        <w:pStyle w:val="9"/>
        <w:spacing w:line="360" w:lineRule="auto"/>
        <w:ind w:left="0" w:firstLine="480" w:firstLineChars="200"/>
        <w:rPr>
          <w:color w:val="auto"/>
          <w:sz w:val="24"/>
          <w:szCs w:val="24"/>
          <w:highlight w:val="none"/>
          <w:lang w:eastAsia="zh-CN"/>
        </w:rPr>
      </w:pPr>
      <w:r>
        <w:rPr>
          <w:strike/>
          <w:color w:val="auto"/>
          <w:sz w:val="24"/>
          <w:szCs w:val="24"/>
          <w:highlight w:val="none"/>
          <w:lang w:eastAsia="zh-CN"/>
        </w:rPr>
        <w:t>（4）其他因素评分标准：见评标办法前附表。</w:t>
      </w:r>
    </w:p>
    <w:p w14:paraId="72F9B372">
      <w:pPr>
        <w:pStyle w:val="4"/>
        <w:spacing w:line="360" w:lineRule="auto"/>
        <w:ind w:right="44"/>
        <w:rPr>
          <w:rFonts w:ascii="宋体" w:hAnsi="宋体"/>
          <w:b w:val="0"/>
          <w:color w:val="auto"/>
          <w:highlight w:val="none"/>
        </w:rPr>
      </w:pPr>
      <w:bookmarkStart w:id="23" w:name="_Toc1873"/>
      <w:r>
        <w:rPr>
          <w:rFonts w:ascii="宋体" w:hAnsi="宋体"/>
          <w:b w:val="0"/>
          <w:color w:val="auto"/>
          <w:highlight w:val="none"/>
        </w:rPr>
        <w:t>3. 评标程序</w:t>
      </w:r>
      <w:bookmarkEnd w:id="23"/>
    </w:p>
    <w:p w14:paraId="1FD6E2E2">
      <w:pPr>
        <w:pStyle w:val="5"/>
        <w:spacing w:line="360" w:lineRule="auto"/>
        <w:ind w:right="44"/>
        <w:rPr>
          <w:b w:val="0"/>
          <w:color w:val="auto"/>
          <w:sz w:val="24"/>
          <w:szCs w:val="24"/>
          <w:highlight w:val="none"/>
        </w:rPr>
      </w:pPr>
      <w:r>
        <w:rPr>
          <w:b w:val="0"/>
          <w:color w:val="auto"/>
          <w:highlight w:val="none"/>
        </w:rPr>
        <w:t>3.1 初步评审</w:t>
      </w:r>
    </w:p>
    <w:p w14:paraId="1AE4EF3A">
      <w:pPr>
        <w:pStyle w:val="9"/>
        <w:adjustRightInd w:val="0"/>
        <w:snapToGrid w:val="0"/>
        <w:spacing w:line="360" w:lineRule="auto"/>
        <w:ind w:left="0" w:firstLine="480" w:firstLineChars="200"/>
        <w:rPr>
          <w:color w:val="auto"/>
          <w:sz w:val="24"/>
          <w:szCs w:val="24"/>
          <w:highlight w:val="none"/>
          <w:lang w:eastAsia="zh-CN"/>
        </w:rPr>
      </w:pPr>
      <w:r>
        <w:rPr>
          <w:color w:val="auto"/>
          <w:sz w:val="24"/>
          <w:szCs w:val="24"/>
          <w:highlight w:val="none"/>
          <w:lang w:eastAsia="zh-CN"/>
        </w:rPr>
        <w:t>3.1.1评标委员会依据本章第 2.1款规定的标准对投标文件进行初步评审。有一项不符合评审标准的，评标委员会应当否决其投标</w:t>
      </w:r>
      <w:r>
        <w:rPr>
          <w:rFonts w:hint="eastAsia"/>
          <w:color w:val="auto"/>
          <w:sz w:val="24"/>
          <w:szCs w:val="24"/>
          <w:highlight w:val="none"/>
          <w:lang w:eastAsia="zh-CN"/>
        </w:rPr>
        <w:t>，</w:t>
      </w:r>
      <w:r>
        <w:rPr>
          <w:rFonts w:hint="eastAsia"/>
          <w:color w:val="auto"/>
          <w:sz w:val="24"/>
          <w:szCs w:val="24"/>
          <w:highlight w:val="none"/>
          <w:u w:val="single"/>
          <w:lang w:eastAsia="zh-CN"/>
        </w:rPr>
        <w:t>若评委意见不一致时，则按少数服从多数的原则，决定该投标人是否通过相应阶段的评审，进入下一阶段评审。评标委员会发现商务文件、资格审查文件投标文件中含义不明确、对同类问题表述不一致、有明显文字和计算错误的，应当要求投标人作必要的澄清、说明后再判定投标人是否通过初步评审，不得直接否决投标。</w:t>
      </w:r>
    </w:p>
    <w:p w14:paraId="4932AE30">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3.1.2投标人有以下情形之一的，评标委员会应当否决其投标：</w:t>
      </w:r>
    </w:p>
    <w:p w14:paraId="393ED257">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（1）投标文件没有对招标文件的实质性要求和条件作出响应，或者对招标文件的偏差超出招标文件规定的偏差范围或最高项数；</w:t>
      </w:r>
    </w:p>
    <w:p w14:paraId="20DF766B">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（2）有串通投标、弄虚作假、行贿等违法行为。</w:t>
      </w:r>
    </w:p>
    <w:p w14:paraId="2A8EA59E">
      <w:pPr>
        <w:spacing w:line="360" w:lineRule="auto"/>
        <w:ind w:firstLine="480" w:firstLineChars="200"/>
        <w:rPr>
          <w:color w:val="auto"/>
          <w:highlight w:val="none"/>
          <w:lang w:eastAsia="zh-CN"/>
        </w:rPr>
      </w:pP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出现</w:t>
      </w:r>
      <w:r>
        <w:rPr>
          <w:rFonts w:hint="eastAsia" w:ascii="宋体" w:hAnsi="宋体"/>
          <w:color w:val="auto"/>
          <w:sz w:val="24"/>
          <w:szCs w:val="24"/>
          <w:highlight w:val="none"/>
          <w:u w:val="single"/>
        </w:rPr>
        <w:t>第二章《投标人须知前附表》第10.</w:t>
      </w:r>
      <w:r>
        <w:rPr>
          <w:rFonts w:hint="eastAsia" w:ascii="宋体" w:hAnsi="宋体"/>
          <w:color w:val="auto"/>
          <w:sz w:val="24"/>
          <w:szCs w:val="24"/>
          <w:highlight w:val="none"/>
          <w:u w:val="single"/>
          <w:lang w:val="en-US" w:eastAsia="zh-CN"/>
        </w:rPr>
        <w:t>7</w:t>
      </w:r>
      <w:r>
        <w:rPr>
          <w:rFonts w:hint="eastAsia" w:ascii="宋体" w:hAnsi="宋体"/>
          <w:color w:val="auto"/>
          <w:sz w:val="24"/>
          <w:szCs w:val="24"/>
          <w:highlight w:val="none"/>
          <w:u w:val="single"/>
        </w:rPr>
        <w:t>款</w:t>
      </w:r>
      <w:r>
        <w:rPr>
          <w:rFonts w:hint="eastAsia" w:ascii="宋体" w:hAnsi="宋体"/>
          <w:color w:val="auto"/>
          <w:sz w:val="24"/>
          <w:szCs w:val="24"/>
          <w:highlight w:val="none"/>
          <w:u w:val="single"/>
          <w:lang w:val="en-US" w:eastAsia="zh-CN"/>
        </w:rPr>
        <w:t>中情形的</w:t>
      </w:r>
      <w:r>
        <w:rPr>
          <w:rFonts w:hint="eastAsia" w:ascii="宋体" w:hAnsi="宋体"/>
          <w:color w:val="auto"/>
          <w:sz w:val="24"/>
          <w:szCs w:val="24"/>
          <w:highlight w:val="none"/>
          <w:u w:val="single"/>
        </w:rPr>
        <w:t>。</w:t>
      </w:r>
    </w:p>
    <w:p w14:paraId="4AF99BDB">
      <w:pPr>
        <w:spacing w:line="360" w:lineRule="auto"/>
        <w:ind w:left="210" w:leftChars="100"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3.1.3投标报价有算术错误及其他错误的，评标委员会按以下原则要求投标人对投标报价进行修正，并要求投标人书面澄清确认。投标人拒不澄清确认的，评标委员会应当否决其投标：</w:t>
      </w:r>
    </w:p>
    <w:p w14:paraId="5DFBD724">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（1）投标文件中的大写金额与小写金额不一致的，以大写金额为准；</w:t>
      </w:r>
    </w:p>
    <w:p w14:paraId="474C9533">
      <w:pPr>
        <w:pStyle w:val="9"/>
        <w:spacing w:line="360" w:lineRule="auto"/>
        <w:ind w:left="239" w:leftChars="114" w:firstLine="240" w:firstLineChars="100"/>
        <w:rPr>
          <w:strike/>
          <w:color w:val="auto"/>
          <w:sz w:val="24"/>
          <w:szCs w:val="24"/>
          <w:highlight w:val="none"/>
          <w:lang w:eastAsia="zh-CN"/>
        </w:rPr>
      </w:pPr>
      <w:r>
        <w:rPr>
          <w:color w:val="auto"/>
          <w:sz w:val="24"/>
          <w:szCs w:val="24"/>
          <w:highlight w:val="none"/>
          <w:lang w:eastAsia="zh-CN"/>
        </w:rPr>
        <w:t>（2）总价金额与单价金额不一致的，以单价金额为准，但单价金额小数点有明显错误的除外。</w:t>
      </w:r>
    </w:p>
    <w:p w14:paraId="126B98A5">
      <w:pPr>
        <w:spacing w:line="360" w:lineRule="auto"/>
        <w:rPr>
          <w:rFonts w:ascii="宋体" w:hAnsi="宋体"/>
          <w:color w:val="auto"/>
          <w:sz w:val="24"/>
          <w:szCs w:val="24"/>
          <w:highlight w:val="none"/>
        </w:rPr>
      </w:pPr>
    </w:p>
    <w:p w14:paraId="7B2C9A2A">
      <w:pPr>
        <w:pStyle w:val="5"/>
        <w:spacing w:line="360" w:lineRule="auto"/>
        <w:ind w:right="44"/>
        <w:rPr>
          <w:rFonts w:hint="eastAsia" w:ascii="宋体" w:hAnsi="宋体" w:eastAsia="宋体" w:cs="宋体"/>
          <w:b w:val="0"/>
          <w:color w:val="auto"/>
          <w:sz w:val="24"/>
          <w:szCs w:val="24"/>
          <w:highlight w:val="none"/>
        </w:rPr>
      </w:pPr>
      <w:r>
        <w:rPr>
          <w:rFonts w:hint="eastAsia" w:ascii="宋体" w:hAnsi="宋体" w:eastAsia="宋体" w:cs="宋体"/>
          <w:b w:val="0"/>
          <w:color w:val="auto"/>
          <w:highlight w:val="none"/>
        </w:rPr>
        <w:t>3.2 详细评审</w:t>
      </w:r>
    </w:p>
    <w:p w14:paraId="5211BAEE">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3.2.1评标委员会按本章第 2.2款规定的量化因素和分值进行打分，并计算出综合得分。</w:t>
      </w:r>
    </w:p>
    <w:p w14:paraId="7DFD3556">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（1）按本章第2.2.4（1）目规定的评审因素和分值对</w:t>
      </w:r>
      <w:r>
        <w:rPr>
          <w:rFonts w:hint="eastAsia"/>
          <w:color w:val="auto"/>
          <w:sz w:val="24"/>
          <w:szCs w:val="24"/>
          <w:highlight w:val="none"/>
          <w:u w:val="single"/>
          <w:lang w:val="en-US" w:eastAsia="zh-CN"/>
        </w:rPr>
        <w:t>商务文件（</w:t>
      </w:r>
      <w:r>
        <w:rPr>
          <w:color w:val="auto"/>
          <w:sz w:val="24"/>
          <w:szCs w:val="24"/>
          <w:highlight w:val="none"/>
          <w:u w:val="single"/>
          <w:lang w:eastAsia="zh-CN"/>
        </w:rPr>
        <w:t>资信</w:t>
      </w:r>
      <w:r>
        <w:rPr>
          <w:rFonts w:hint="eastAsia"/>
          <w:color w:val="auto"/>
          <w:sz w:val="24"/>
          <w:szCs w:val="24"/>
          <w:highlight w:val="none"/>
          <w:u w:val="single"/>
          <w:lang w:eastAsia="zh-CN"/>
        </w:rPr>
        <w:t>业绩）</w:t>
      </w:r>
      <w:r>
        <w:rPr>
          <w:color w:val="auto"/>
          <w:sz w:val="24"/>
          <w:szCs w:val="24"/>
          <w:highlight w:val="none"/>
          <w:lang w:eastAsia="zh-CN"/>
        </w:rPr>
        <w:t>部分计算出</w:t>
      </w:r>
      <w:r>
        <w:rPr>
          <w:rFonts w:hint="eastAsia"/>
          <w:color w:val="auto"/>
          <w:sz w:val="24"/>
          <w:szCs w:val="24"/>
          <w:highlight w:val="none"/>
          <w:u w:val="single"/>
          <w:lang w:val="en-US" w:eastAsia="zh-CN"/>
        </w:rPr>
        <w:t>商务文件</w:t>
      </w:r>
      <w:r>
        <w:rPr>
          <w:color w:val="auto"/>
          <w:sz w:val="24"/>
          <w:szCs w:val="24"/>
          <w:highlight w:val="none"/>
          <w:u w:val="single"/>
          <w:lang w:eastAsia="zh-CN"/>
        </w:rPr>
        <w:t>得分</w:t>
      </w:r>
      <w:r>
        <w:rPr>
          <w:color w:val="auto"/>
          <w:sz w:val="24"/>
          <w:szCs w:val="24"/>
          <w:highlight w:val="none"/>
          <w:lang w:eastAsia="zh-CN"/>
        </w:rPr>
        <w:t>；</w:t>
      </w:r>
    </w:p>
    <w:p w14:paraId="2D28999B">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（2）按本章第2.2.4（2）目规定的评审因素和分值对</w:t>
      </w:r>
      <w:r>
        <w:rPr>
          <w:rFonts w:hint="eastAsia"/>
          <w:color w:val="auto"/>
          <w:sz w:val="24"/>
          <w:szCs w:val="24"/>
          <w:highlight w:val="none"/>
          <w:u w:val="single"/>
          <w:lang w:val="en-US" w:eastAsia="zh-CN"/>
        </w:rPr>
        <w:t>技术文件（</w:t>
      </w:r>
      <w:r>
        <w:rPr>
          <w:rFonts w:hint="eastAsia"/>
          <w:color w:val="auto"/>
          <w:sz w:val="24"/>
          <w:szCs w:val="24"/>
          <w:highlight w:val="none"/>
          <w:u w:val="single"/>
          <w:lang w:eastAsia="zh-CN"/>
        </w:rPr>
        <w:t>设计方案）</w:t>
      </w:r>
      <w:r>
        <w:rPr>
          <w:color w:val="auto"/>
          <w:sz w:val="24"/>
          <w:szCs w:val="24"/>
          <w:highlight w:val="none"/>
          <w:lang w:eastAsia="zh-CN"/>
        </w:rPr>
        <w:t>部分计算出</w:t>
      </w:r>
      <w:r>
        <w:rPr>
          <w:rFonts w:hint="eastAsia"/>
          <w:color w:val="auto"/>
          <w:sz w:val="24"/>
          <w:szCs w:val="24"/>
          <w:highlight w:val="none"/>
          <w:u w:val="single"/>
          <w:lang w:val="en-US" w:eastAsia="zh-CN"/>
        </w:rPr>
        <w:t>技术文件</w:t>
      </w:r>
      <w:r>
        <w:rPr>
          <w:color w:val="auto"/>
          <w:sz w:val="24"/>
          <w:szCs w:val="24"/>
          <w:highlight w:val="none"/>
          <w:u w:val="single"/>
          <w:lang w:eastAsia="zh-CN"/>
        </w:rPr>
        <w:t>得分</w:t>
      </w:r>
      <w:r>
        <w:rPr>
          <w:color w:val="auto"/>
          <w:sz w:val="24"/>
          <w:szCs w:val="24"/>
          <w:highlight w:val="none"/>
          <w:lang w:eastAsia="zh-CN"/>
        </w:rPr>
        <w:t>；</w:t>
      </w:r>
    </w:p>
    <w:p w14:paraId="6A5AD51D">
      <w:pPr>
        <w:pStyle w:val="9"/>
        <w:spacing w:line="360" w:lineRule="auto"/>
        <w:ind w:firstLine="480" w:firstLineChars="200"/>
        <w:rPr>
          <w:rFonts w:cs="宋体"/>
          <w:color w:val="auto"/>
          <w:sz w:val="24"/>
          <w:szCs w:val="24"/>
          <w:highlight w:val="none"/>
          <w:u w:val="single"/>
          <w:lang w:eastAsia="zh-CN"/>
        </w:rPr>
      </w:pPr>
      <w:r>
        <w:rPr>
          <w:rFonts w:hint="eastAsia" w:cs="宋体"/>
          <w:color w:val="auto"/>
          <w:sz w:val="24"/>
          <w:szCs w:val="24"/>
          <w:highlight w:val="none"/>
          <w:u w:val="single"/>
          <w:lang w:eastAsia="zh-CN"/>
        </w:rPr>
        <w:t>（3）评标委员会揭晓</w:t>
      </w:r>
      <w:r>
        <w:rPr>
          <w:rFonts w:hint="eastAsia" w:cs="宋体"/>
          <w:color w:val="auto"/>
          <w:sz w:val="24"/>
          <w:szCs w:val="24"/>
          <w:highlight w:val="none"/>
          <w:u w:val="single"/>
          <w:lang w:val="en-US" w:eastAsia="zh-CN"/>
        </w:rPr>
        <w:t>技术文件</w:t>
      </w:r>
      <w:r>
        <w:rPr>
          <w:rFonts w:hint="eastAsia" w:cs="宋体"/>
          <w:color w:val="auto"/>
          <w:sz w:val="24"/>
          <w:szCs w:val="24"/>
          <w:highlight w:val="none"/>
          <w:u w:val="single"/>
          <w:lang w:eastAsia="zh-CN"/>
        </w:rPr>
        <w:t>投标人身份。</w:t>
      </w:r>
    </w:p>
    <w:p w14:paraId="47E20514">
      <w:pPr>
        <w:pStyle w:val="9"/>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（4）</w:t>
      </w:r>
      <w:r>
        <w:rPr>
          <w:rFonts w:hint="eastAsia" w:cs="宋体"/>
          <w:color w:val="auto"/>
          <w:sz w:val="24"/>
          <w:szCs w:val="24"/>
          <w:highlight w:val="none"/>
          <w:u w:val="single"/>
          <w:lang w:eastAsia="zh-CN"/>
        </w:rPr>
        <w:t>揭晓技术文件投标人身份后，根据初步评审结果，未通过初步评审的投标人，不进入得分汇总阶段。</w:t>
      </w:r>
    </w:p>
    <w:p w14:paraId="064B3071">
      <w:pPr>
        <w:pStyle w:val="9"/>
        <w:spacing w:line="360" w:lineRule="auto"/>
        <w:ind w:left="0" w:firstLine="480" w:firstLineChars="200"/>
        <w:rPr>
          <w:strike w:val="0"/>
          <w:dstrike w:val="0"/>
          <w:color w:val="auto"/>
          <w:sz w:val="24"/>
          <w:szCs w:val="24"/>
          <w:highlight w:val="none"/>
          <w:lang w:eastAsia="zh-CN"/>
        </w:rPr>
      </w:pPr>
      <w:r>
        <w:rPr>
          <w:strike w:val="0"/>
          <w:dstrike w:val="0"/>
          <w:color w:val="auto"/>
          <w:sz w:val="24"/>
          <w:szCs w:val="24"/>
          <w:highlight w:val="none"/>
          <w:lang w:eastAsia="zh-CN"/>
        </w:rPr>
        <w:t>（</w:t>
      </w:r>
      <w:r>
        <w:rPr>
          <w:rFonts w:hint="eastAsia"/>
          <w:strike w:val="0"/>
          <w:dstrike w:val="0"/>
          <w:color w:val="auto"/>
          <w:sz w:val="24"/>
          <w:szCs w:val="24"/>
          <w:highlight w:val="none"/>
          <w:lang w:eastAsia="zh-CN"/>
        </w:rPr>
        <w:t>3</w:t>
      </w:r>
      <w:r>
        <w:rPr>
          <w:strike w:val="0"/>
          <w:dstrike w:val="0"/>
          <w:color w:val="auto"/>
          <w:sz w:val="24"/>
          <w:szCs w:val="24"/>
          <w:highlight w:val="none"/>
          <w:lang w:eastAsia="zh-CN"/>
        </w:rPr>
        <w:t>）按本章第2.2.4（</w:t>
      </w:r>
      <w:r>
        <w:rPr>
          <w:rFonts w:hint="eastAsia"/>
          <w:strike w:val="0"/>
          <w:dstrike w:val="0"/>
          <w:color w:val="auto"/>
          <w:sz w:val="24"/>
          <w:szCs w:val="24"/>
          <w:highlight w:val="none"/>
          <w:lang w:eastAsia="zh-CN"/>
        </w:rPr>
        <w:t>3</w:t>
      </w:r>
      <w:r>
        <w:rPr>
          <w:strike w:val="0"/>
          <w:dstrike w:val="0"/>
          <w:color w:val="auto"/>
          <w:sz w:val="24"/>
          <w:szCs w:val="24"/>
          <w:highlight w:val="none"/>
          <w:lang w:eastAsia="zh-CN"/>
        </w:rPr>
        <w:t>）目规定的评审因素和分值对投标报价计算出得分；</w:t>
      </w:r>
    </w:p>
    <w:p w14:paraId="697E1B3F">
      <w:pPr>
        <w:pStyle w:val="9"/>
        <w:spacing w:line="360" w:lineRule="auto"/>
        <w:ind w:left="0" w:firstLine="480" w:firstLineChars="200"/>
        <w:rPr>
          <w:rFonts w:ascii="宋体" w:hAnsi="宋体" w:eastAsia="宋体" w:cs="Times New Roman"/>
          <w:strike/>
          <w:dstrike w:val="0"/>
          <w:color w:val="auto"/>
          <w:sz w:val="24"/>
          <w:szCs w:val="24"/>
          <w:highlight w:val="none"/>
          <w:lang w:eastAsia="zh-CN"/>
        </w:rPr>
      </w:pPr>
      <w:r>
        <w:rPr>
          <w:rFonts w:hint="default" w:ascii="宋体" w:hAnsi="宋体" w:eastAsia="宋体" w:cs="Times New Roman"/>
          <w:strike/>
          <w:dstrike w:val="0"/>
          <w:color w:val="auto"/>
          <w:sz w:val="24"/>
          <w:szCs w:val="24"/>
          <w:highlight w:val="none"/>
          <w:lang w:val="en-US" w:eastAsia="zh-CN"/>
        </w:rPr>
        <w:t>（4）按本章第 2.2.4（4）目规定的评审因素和分值对其他部分计算出得分 D</w:t>
      </w:r>
    </w:p>
    <w:p w14:paraId="56DB8E40">
      <w:pPr>
        <w:pStyle w:val="9"/>
        <w:spacing w:line="360" w:lineRule="auto"/>
        <w:ind w:left="1" w:firstLine="480" w:firstLineChars="200"/>
        <w:rPr>
          <w:color w:val="auto"/>
          <w:sz w:val="24"/>
          <w:szCs w:val="24"/>
          <w:highlight w:val="none"/>
          <w:lang w:eastAsia="zh-CN"/>
        </w:rPr>
      </w:pPr>
      <w:r>
        <w:rPr>
          <w:color w:val="auto"/>
          <w:sz w:val="24"/>
          <w:szCs w:val="24"/>
          <w:highlight w:val="none"/>
          <w:lang w:eastAsia="zh-CN"/>
        </w:rPr>
        <w:t>3.2.2评分分值计算保留小数点后两位，小数点后第三位“四舍五入”。</w:t>
      </w:r>
    </w:p>
    <w:p w14:paraId="08177BC6">
      <w:pPr>
        <w:pStyle w:val="9"/>
        <w:spacing w:line="360" w:lineRule="auto"/>
        <w:ind w:left="0" w:firstLine="480" w:firstLineChars="200"/>
        <w:rPr>
          <w:rFonts w:hint="default" w:ascii="宋体" w:hAnsi="宋体" w:eastAsia="宋体" w:cs="Times New Roman"/>
          <w:color w:val="auto"/>
          <w:sz w:val="24"/>
          <w:szCs w:val="24"/>
          <w:highlight w:val="none"/>
          <w:u w:val="single"/>
          <w:lang w:eastAsia="zh-CN"/>
        </w:rPr>
      </w:pPr>
      <w:r>
        <w:rPr>
          <w:color w:val="auto"/>
          <w:sz w:val="24"/>
          <w:szCs w:val="24"/>
          <w:highlight w:val="none"/>
          <w:lang w:eastAsia="zh-CN"/>
        </w:rPr>
        <w:t>3.2.3</w:t>
      </w:r>
      <w:r>
        <w:rPr>
          <w:rFonts w:hint="eastAsia"/>
          <w:color w:val="auto"/>
          <w:sz w:val="24"/>
          <w:szCs w:val="24"/>
          <w:highlight w:val="none"/>
          <w:lang w:val="en-US" w:eastAsia="zh-CN"/>
        </w:rPr>
        <w:t>投标人得分</w:t>
      </w:r>
      <w:r>
        <w:rPr>
          <w:rFonts w:hint="eastAsia"/>
          <w:color w:val="auto"/>
          <w:sz w:val="24"/>
          <w:szCs w:val="24"/>
          <w:highlight w:val="none"/>
          <w:u w:val="single"/>
          <w:lang w:val="en-US" w:eastAsia="zh-CN"/>
        </w:rPr>
        <w:t>按本章</w:t>
      </w:r>
      <w:r>
        <w:rPr>
          <w:rFonts w:hint="eastAsia"/>
          <w:color w:val="auto"/>
          <w:sz w:val="24"/>
          <w:szCs w:val="24"/>
          <w:highlight w:val="none"/>
          <w:u w:val="single"/>
          <w:lang w:eastAsia="zh-CN"/>
        </w:rPr>
        <w:t>评标办法前附表</w:t>
      </w:r>
      <w:r>
        <w:rPr>
          <w:rFonts w:hint="eastAsia"/>
          <w:color w:val="auto"/>
          <w:sz w:val="24"/>
          <w:szCs w:val="24"/>
          <w:highlight w:val="none"/>
          <w:u w:val="single"/>
          <w:lang w:val="en-US" w:eastAsia="zh-CN"/>
        </w:rPr>
        <w:t>第</w:t>
      </w:r>
      <w:r>
        <w:rPr>
          <w:rFonts w:hint="eastAsia" w:cs="Times New Roman"/>
          <w:color w:val="auto"/>
          <w:sz w:val="24"/>
          <w:szCs w:val="24"/>
          <w:highlight w:val="none"/>
          <w:u w:val="single"/>
          <w:lang w:val="en-US" w:eastAsia="zh-CN"/>
        </w:rPr>
        <w:t>2.2.1目</w:t>
      </w:r>
      <w:r>
        <w:rPr>
          <w:strike w:val="0"/>
          <w:dstrike w:val="0"/>
          <w:color w:val="auto"/>
          <w:sz w:val="24"/>
          <w:szCs w:val="24"/>
          <w:highlight w:val="none"/>
          <w:u w:val="single"/>
          <w:lang w:eastAsia="zh-CN"/>
        </w:rPr>
        <w:t>计算出</w:t>
      </w:r>
      <w:r>
        <w:rPr>
          <w:rFonts w:hint="eastAsia"/>
          <w:strike w:val="0"/>
          <w:dstrike w:val="0"/>
          <w:color w:val="auto"/>
          <w:sz w:val="24"/>
          <w:szCs w:val="24"/>
          <w:highlight w:val="none"/>
          <w:u w:val="single"/>
          <w:lang w:eastAsia="zh-CN"/>
        </w:rPr>
        <w:t>总</w:t>
      </w:r>
      <w:r>
        <w:rPr>
          <w:strike w:val="0"/>
          <w:dstrike w:val="0"/>
          <w:color w:val="auto"/>
          <w:sz w:val="24"/>
          <w:szCs w:val="24"/>
          <w:highlight w:val="none"/>
          <w:u w:val="single"/>
          <w:lang w:eastAsia="zh-CN"/>
        </w:rPr>
        <w:t>得分</w:t>
      </w:r>
      <w:r>
        <w:rPr>
          <w:rFonts w:hint="eastAsia"/>
          <w:strike w:val="0"/>
          <w:dstrike w:val="0"/>
          <w:color w:val="auto"/>
          <w:sz w:val="24"/>
          <w:szCs w:val="24"/>
          <w:highlight w:val="none"/>
          <w:u w:val="single"/>
          <w:lang w:eastAsia="zh-CN"/>
        </w:rPr>
        <w:t>。</w:t>
      </w:r>
    </w:p>
    <w:p w14:paraId="5AEC6A24">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3BC06043">
      <w:pPr>
        <w:spacing w:line="360" w:lineRule="auto"/>
        <w:rPr>
          <w:rFonts w:ascii="宋体" w:hAnsi="宋体"/>
          <w:color w:val="auto"/>
          <w:sz w:val="24"/>
          <w:szCs w:val="24"/>
          <w:highlight w:val="none"/>
        </w:rPr>
      </w:pPr>
    </w:p>
    <w:p w14:paraId="2420BDF5">
      <w:pPr>
        <w:pStyle w:val="5"/>
        <w:spacing w:line="360" w:lineRule="auto"/>
        <w:ind w:right="44"/>
        <w:rPr>
          <w:b w:val="0"/>
          <w:color w:val="auto"/>
          <w:sz w:val="24"/>
          <w:szCs w:val="24"/>
          <w:highlight w:val="none"/>
        </w:rPr>
      </w:pPr>
      <w:r>
        <w:rPr>
          <w:b w:val="0"/>
          <w:color w:val="auto"/>
          <w:highlight w:val="none"/>
        </w:rPr>
        <w:t>3.3  投标文件的澄清</w:t>
      </w:r>
    </w:p>
    <w:p w14:paraId="37F3DB1C">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7290C2F">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3.3.2澄清、说明或补正不得超出投标文件的范围且不得改变投标文件的实质性内容，并构成投标文件的组成部分。</w:t>
      </w:r>
    </w:p>
    <w:p w14:paraId="7803F693">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3.3.3评标委员会对投标人提交的澄清、说明或补正有疑问的，可以要求投标人进一步澄清、说明或补正，直至满足评标委员会的要求。</w:t>
      </w:r>
    </w:p>
    <w:p w14:paraId="6325438C">
      <w:pPr>
        <w:spacing w:line="360" w:lineRule="auto"/>
        <w:rPr>
          <w:rFonts w:ascii="宋体" w:hAnsi="宋体"/>
          <w:color w:val="auto"/>
          <w:sz w:val="24"/>
          <w:szCs w:val="24"/>
          <w:highlight w:val="none"/>
        </w:rPr>
      </w:pPr>
    </w:p>
    <w:p w14:paraId="61A0BA57">
      <w:pPr>
        <w:pStyle w:val="5"/>
        <w:spacing w:line="360" w:lineRule="auto"/>
        <w:ind w:right="44"/>
        <w:rPr>
          <w:b w:val="0"/>
          <w:color w:val="auto"/>
          <w:sz w:val="24"/>
          <w:szCs w:val="24"/>
          <w:highlight w:val="none"/>
        </w:rPr>
      </w:pPr>
      <w:r>
        <w:rPr>
          <w:b w:val="0"/>
          <w:color w:val="auto"/>
          <w:highlight w:val="none"/>
        </w:rPr>
        <w:t>3.4 评标结果</w:t>
      </w:r>
    </w:p>
    <w:p w14:paraId="6B27774B">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3.4.1除第二章“投标人须知”前附表授权直接确定中标人外，评标委员会按照得分由高到低的顺序推荐中标候选人，并标明排序。</w:t>
      </w:r>
    </w:p>
    <w:p w14:paraId="12BDB4B7">
      <w:pPr>
        <w:pStyle w:val="9"/>
        <w:spacing w:line="360" w:lineRule="auto"/>
        <w:ind w:left="0" w:firstLine="480" w:firstLineChars="200"/>
        <w:rPr>
          <w:color w:val="auto"/>
          <w:sz w:val="24"/>
          <w:szCs w:val="24"/>
          <w:highlight w:val="none"/>
          <w:lang w:eastAsia="zh-CN"/>
        </w:rPr>
      </w:pPr>
      <w:r>
        <w:rPr>
          <w:color w:val="auto"/>
          <w:sz w:val="24"/>
          <w:szCs w:val="24"/>
          <w:highlight w:val="none"/>
          <w:lang w:eastAsia="zh-CN"/>
        </w:rPr>
        <w:t>3.4.2评标委员会完成评标后，应当向招标人提交书面评标报告和中标候选人名单。</w:t>
      </w:r>
    </w:p>
    <w:p w14:paraId="2A9C943C">
      <w:pPr>
        <w:pStyle w:val="2"/>
        <w:keepNext w:val="0"/>
        <w:keepLines w:val="0"/>
        <w:numPr>
          <w:ilvl w:val="0"/>
          <w:numId w:val="2"/>
        </w:numPr>
        <w:spacing w:before="0" w:after="0" w:line="240" w:lineRule="auto"/>
        <w:ind w:left="3"/>
        <w:jc w:val="center"/>
        <w:rPr>
          <w:rFonts w:ascii="宋体" w:hAnsi="宋体"/>
          <w:b w:val="0"/>
          <w:color w:val="auto"/>
          <w:highlight w:val="none"/>
        </w:rPr>
      </w:pPr>
      <w:r>
        <w:rPr>
          <w:rFonts w:ascii="宋体" w:hAnsi="宋体"/>
          <w:b w:val="0"/>
          <w:color w:val="auto"/>
          <w:highlight w:val="none"/>
        </w:rPr>
        <w:br w:type="page"/>
      </w:r>
      <w:r>
        <w:rPr>
          <w:rFonts w:hint="eastAsia" w:ascii="宋体" w:hAnsi="宋体"/>
          <w:b w:val="0"/>
          <w:color w:val="auto"/>
          <w:highlight w:val="none"/>
        </w:rPr>
        <w:t xml:space="preserve"> </w:t>
      </w:r>
      <w:bookmarkStart w:id="24" w:name="_Toc23905"/>
      <w:r>
        <w:rPr>
          <w:rFonts w:ascii="宋体" w:hAnsi="宋体"/>
          <w:b w:val="0"/>
          <w:color w:val="auto"/>
          <w:highlight w:val="none"/>
        </w:rPr>
        <w:t>合同条款及格式</w:t>
      </w:r>
      <w:bookmarkEnd w:id="24"/>
    </w:p>
    <w:p w14:paraId="60104FB6">
      <w:pPr>
        <w:rPr>
          <w:rFonts w:ascii="宋体" w:hAnsi="宋体"/>
          <w:color w:val="auto"/>
          <w:highlight w:val="none"/>
        </w:rPr>
      </w:pPr>
    </w:p>
    <w:p w14:paraId="6AB3DBD5">
      <w:pPr>
        <w:pStyle w:val="9"/>
        <w:ind w:left="0"/>
        <w:jc w:val="center"/>
        <w:rPr>
          <w:color w:val="auto"/>
          <w:sz w:val="32"/>
          <w:szCs w:val="32"/>
          <w:highlight w:val="none"/>
          <w:lang w:eastAsia="zh-CN"/>
        </w:rPr>
      </w:pPr>
      <w:r>
        <w:rPr>
          <w:rFonts w:hint="eastAsia"/>
          <w:color w:val="auto"/>
          <w:spacing w:val="-1"/>
          <w:sz w:val="32"/>
          <w:szCs w:val="32"/>
          <w:highlight w:val="none"/>
          <w:lang w:eastAsia="zh-CN"/>
        </w:rPr>
        <w:t>（另册）</w:t>
      </w:r>
    </w:p>
    <w:p w14:paraId="1626D998">
      <w:pPr>
        <w:rPr>
          <w:rFonts w:ascii="宋体" w:hAnsi="宋体" w:cs="宋体"/>
          <w:color w:val="auto"/>
          <w:sz w:val="20"/>
          <w:szCs w:val="20"/>
          <w:highlight w:val="none"/>
        </w:rPr>
      </w:pPr>
      <w:r>
        <w:rPr>
          <w:rFonts w:ascii="宋体" w:hAnsi="宋体" w:cs="宋体"/>
          <w:color w:val="auto"/>
          <w:sz w:val="20"/>
          <w:szCs w:val="20"/>
          <w:highlight w:val="none"/>
        </w:rPr>
        <w:br w:type="page"/>
      </w:r>
    </w:p>
    <w:p w14:paraId="70693195">
      <w:pPr>
        <w:pStyle w:val="2"/>
        <w:spacing w:line="738" w:lineRule="exact"/>
        <w:ind w:right="3"/>
        <w:jc w:val="center"/>
        <w:rPr>
          <w:rFonts w:ascii="宋体" w:hAnsi="宋体"/>
          <w:b w:val="0"/>
          <w:bCs w:val="0"/>
          <w:color w:val="auto"/>
          <w:highlight w:val="none"/>
        </w:rPr>
      </w:pPr>
      <w:bookmarkStart w:id="25" w:name="_Toc27852"/>
      <w:r>
        <w:rPr>
          <w:rFonts w:ascii="宋体" w:hAnsi="宋体"/>
          <w:b w:val="0"/>
          <w:color w:val="auto"/>
          <w:highlight w:val="none"/>
        </w:rPr>
        <w:t>第二卷</w:t>
      </w:r>
      <w:bookmarkEnd w:id="25"/>
    </w:p>
    <w:p w14:paraId="5B351545">
      <w:pPr>
        <w:spacing w:line="738" w:lineRule="exact"/>
        <w:jc w:val="center"/>
        <w:rPr>
          <w:rFonts w:ascii="宋体" w:hAnsi="宋体"/>
          <w:color w:val="auto"/>
          <w:highlight w:val="none"/>
        </w:rPr>
        <w:sectPr>
          <w:pgSz w:w="12240" w:h="15840"/>
          <w:pgMar w:top="1502" w:right="1718" w:bottom="1123" w:left="1718" w:header="0" w:footer="918" w:gutter="0"/>
          <w:pgBorders>
            <w:top w:val="none" w:sz="0" w:space="0"/>
            <w:left w:val="none" w:sz="0" w:space="0"/>
            <w:bottom w:val="none" w:sz="0" w:space="0"/>
            <w:right w:val="none" w:sz="0" w:space="0"/>
          </w:pgBorders>
          <w:cols w:space="720" w:num="1"/>
          <w:docGrid w:linePitch="1" w:charSpace="0"/>
        </w:sectPr>
      </w:pPr>
    </w:p>
    <w:p w14:paraId="513C4DFC">
      <w:pPr>
        <w:rPr>
          <w:rFonts w:ascii="宋体" w:hAnsi="宋体" w:cs="Microsoft JhengHei"/>
          <w:bCs/>
          <w:color w:val="auto"/>
          <w:sz w:val="20"/>
          <w:szCs w:val="20"/>
          <w:highlight w:val="none"/>
        </w:rPr>
      </w:pPr>
    </w:p>
    <w:p w14:paraId="7AF04500">
      <w:pPr>
        <w:spacing w:before="3"/>
        <w:rPr>
          <w:rFonts w:ascii="宋体" w:hAnsi="宋体" w:cs="Microsoft JhengHei"/>
          <w:bCs/>
          <w:color w:val="auto"/>
          <w:sz w:val="19"/>
          <w:szCs w:val="19"/>
          <w:highlight w:val="none"/>
        </w:rPr>
      </w:pPr>
    </w:p>
    <w:p w14:paraId="352FC2D8">
      <w:pPr>
        <w:pStyle w:val="2"/>
        <w:keepNext w:val="0"/>
        <w:keepLines w:val="0"/>
        <w:numPr>
          <w:ilvl w:val="0"/>
          <w:numId w:val="2"/>
        </w:numPr>
        <w:spacing w:before="0" w:after="0" w:line="240" w:lineRule="auto"/>
        <w:ind w:left="3"/>
        <w:jc w:val="center"/>
        <w:rPr>
          <w:rFonts w:ascii="宋体" w:hAnsi="宋体"/>
          <w:b w:val="0"/>
          <w:color w:val="auto"/>
          <w:highlight w:val="none"/>
        </w:rPr>
      </w:pPr>
      <w:r>
        <w:rPr>
          <w:rFonts w:hint="eastAsia" w:ascii="宋体" w:hAnsi="宋体"/>
          <w:b w:val="0"/>
          <w:color w:val="auto"/>
          <w:highlight w:val="none"/>
        </w:rPr>
        <w:t xml:space="preserve"> </w:t>
      </w:r>
      <w:bookmarkStart w:id="26" w:name="_Toc29802"/>
      <w:r>
        <w:rPr>
          <w:rFonts w:hint="eastAsia" w:ascii="宋体" w:hAnsi="宋体"/>
          <w:b w:val="0"/>
          <w:color w:val="auto"/>
          <w:highlight w:val="none"/>
        </w:rPr>
        <w:t>发包人要求</w:t>
      </w:r>
      <w:bookmarkEnd w:id="26"/>
    </w:p>
    <w:p w14:paraId="1B6B40D0">
      <w:pPr>
        <w:rPr>
          <w:rFonts w:ascii="宋体" w:hAnsi="宋体"/>
          <w:color w:val="auto"/>
          <w:highlight w:val="none"/>
        </w:rPr>
      </w:pPr>
    </w:p>
    <w:p w14:paraId="7F75DE5C">
      <w:pPr>
        <w:jc w:val="center"/>
        <w:rPr>
          <w:color w:val="auto"/>
          <w:highlight w:val="none"/>
        </w:rPr>
      </w:pPr>
    </w:p>
    <w:p w14:paraId="22FBFAE8">
      <w:pPr>
        <w:jc w:val="center"/>
        <w:rPr>
          <w:rFonts w:hint="eastAsia" w:eastAsia="宋体"/>
          <w:b/>
          <w:color w:val="auto"/>
          <w:sz w:val="28"/>
          <w:szCs w:val="28"/>
          <w:highlight w:val="none"/>
          <w:lang w:eastAsia="zh-CN"/>
        </w:rPr>
      </w:pPr>
      <w:r>
        <w:rPr>
          <w:rFonts w:hint="eastAsia" w:cs="Times New Roman"/>
          <w:b/>
          <w:color w:val="auto"/>
          <w:kern w:val="2"/>
          <w:sz w:val="28"/>
          <w:szCs w:val="28"/>
          <w:highlight w:val="none"/>
          <w:lang w:eastAsia="zh-CN"/>
        </w:rPr>
        <w:t>广东省新闻出版高级技工学校钟落潭校区建设项目可行性研究报告</w:t>
      </w:r>
    </w:p>
    <w:p w14:paraId="19C6F96A">
      <w:pPr>
        <w:jc w:val="center"/>
        <w:rPr>
          <w:b/>
          <w:color w:val="auto"/>
          <w:sz w:val="28"/>
          <w:szCs w:val="28"/>
          <w:highlight w:val="none"/>
        </w:rPr>
      </w:pPr>
      <w:r>
        <w:rPr>
          <w:rFonts w:hint="eastAsia"/>
          <w:b/>
          <w:color w:val="auto"/>
          <w:sz w:val="28"/>
          <w:szCs w:val="28"/>
          <w:highlight w:val="none"/>
        </w:rPr>
        <w:t>（另册，详见挂网资料）</w:t>
      </w:r>
    </w:p>
    <w:p w14:paraId="68B50093">
      <w:pPr>
        <w:jc w:val="center"/>
        <w:rPr>
          <w:rFonts w:eastAsia="黑体"/>
          <w:color w:val="auto"/>
          <w:sz w:val="36"/>
          <w:szCs w:val="36"/>
          <w:highlight w:val="none"/>
        </w:rPr>
        <w:sectPr>
          <w:pgSz w:w="12240" w:h="15840"/>
          <w:pgMar w:top="1502" w:right="1718" w:bottom="1123" w:left="1718" w:header="0" w:footer="918" w:gutter="0"/>
          <w:pgBorders>
            <w:top w:val="none" w:sz="0" w:space="0"/>
            <w:left w:val="none" w:sz="0" w:space="0"/>
            <w:bottom w:val="none" w:sz="0" w:space="0"/>
            <w:right w:val="none" w:sz="0" w:space="0"/>
          </w:pgBorders>
          <w:cols w:space="720" w:num="1"/>
          <w:docGrid w:linePitch="299" w:charSpace="0"/>
        </w:sectPr>
      </w:pPr>
    </w:p>
    <w:p w14:paraId="5019D2A3">
      <w:pPr>
        <w:rPr>
          <w:rFonts w:ascii="宋体" w:hAnsi="宋体"/>
          <w:color w:val="auto"/>
          <w:sz w:val="20"/>
          <w:szCs w:val="20"/>
          <w:highlight w:val="none"/>
        </w:rPr>
      </w:pPr>
    </w:p>
    <w:p w14:paraId="25D5E878">
      <w:pPr>
        <w:rPr>
          <w:rFonts w:ascii="宋体" w:hAnsi="宋体"/>
          <w:color w:val="auto"/>
          <w:sz w:val="20"/>
          <w:szCs w:val="20"/>
          <w:highlight w:val="none"/>
        </w:rPr>
      </w:pPr>
    </w:p>
    <w:p w14:paraId="578BA0A4">
      <w:pPr>
        <w:pStyle w:val="22"/>
        <w:rPr>
          <w:rFonts w:ascii="宋体"/>
          <w:color w:val="auto"/>
          <w:szCs w:val="20"/>
          <w:highlight w:val="none"/>
          <w:lang w:eastAsia="zh-CN"/>
        </w:rPr>
      </w:pPr>
    </w:p>
    <w:p w14:paraId="6A0256AE">
      <w:pPr>
        <w:pStyle w:val="22"/>
        <w:rPr>
          <w:rFonts w:ascii="宋体"/>
          <w:color w:val="auto"/>
          <w:szCs w:val="20"/>
          <w:highlight w:val="none"/>
          <w:lang w:eastAsia="zh-CN"/>
        </w:rPr>
      </w:pPr>
    </w:p>
    <w:p w14:paraId="2095EA0A">
      <w:pPr>
        <w:spacing w:before="8"/>
        <w:rPr>
          <w:rFonts w:ascii="宋体" w:hAnsi="宋体"/>
          <w:color w:val="auto"/>
          <w:sz w:val="26"/>
          <w:szCs w:val="26"/>
          <w:highlight w:val="none"/>
        </w:rPr>
      </w:pPr>
    </w:p>
    <w:p w14:paraId="70579DE5">
      <w:pPr>
        <w:pStyle w:val="2"/>
        <w:spacing w:line="589" w:lineRule="exact"/>
        <w:ind w:right="3"/>
        <w:jc w:val="center"/>
        <w:rPr>
          <w:rFonts w:ascii="宋体" w:hAnsi="宋体"/>
          <w:b w:val="0"/>
          <w:bCs w:val="0"/>
          <w:color w:val="auto"/>
          <w:highlight w:val="none"/>
        </w:rPr>
      </w:pPr>
      <w:bookmarkStart w:id="27" w:name="_Toc15330"/>
      <w:r>
        <w:rPr>
          <w:rFonts w:ascii="宋体" w:hAnsi="宋体"/>
          <w:b w:val="0"/>
          <w:color w:val="auto"/>
          <w:highlight w:val="none"/>
        </w:rPr>
        <w:t>第三卷</w:t>
      </w:r>
      <w:bookmarkEnd w:id="27"/>
    </w:p>
    <w:p w14:paraId="481528F3">
      <w:pPr>
        <w:spacing w:line="589" w:lineRule="exact"/>
        <w:jc w:val="center"/>
        <w:rPr>
          <w:rFonts w:ascii="宋体" w:hAnsi="宋体"/>
          <w:color w:val="auto"/>
          <w:highlight w:val="none"/>
        </w:rPr>
        <w:sectPr>
          <w:pgSz w:w="12240" w:h="15840"/>
          <w:pgMar w:top="1502" w:right="1718" w:bottom="1123" w:left="1718" w:header="0" w:footer="918" w:gutter="0"/>
          <w:pgBorders>
            <w:top w:val="none" w:sz="0" w:space="0"/>
            <w:left w:val="none" w:sz="0" w:space="0"/>
            <w:bottom w:val="none" w:sz="0" w:space="0"/>
            <w:right w:val="none" w:sz="0" w:space="0"/>
          </w:pgBorders>
          <w:cols w:space="720" w:num="1"/>
          <w:docGrid w:linePitch="1" w:charSpace="0"/>
        </w:sectPr>
      </w:pPr>
    </w:p>
    <w:p w14:paraId="13BA1421">
      <w:pPr>
        <w:pStyle w:val="2"/>
        <w:jc w:val="center"/>
        <w:rPr>
          <w:rFonts w:ascii="宋体" w:hAnsi="宋体"/>
          <w:b w:val="0"/>
          <w:color w:val="auto"/>
          <w:highlight w:val="none"/>
        </w:rPr>
      </w:pPr>
      <w:bookmarkStart w:id="28" w:name="_Toc2738"/>
      <w:r>
        <w:rPr>
          <w:rFonts w:ascii="宋体" w:hAnsi="宋体"/>
          <w:b w:val="0"/>
          <w:color w:val="auto"/>
          <w:highlight w:val="none"/>
        </w:rPr>
        <w:t>第六章</w:t>
      </w:r>
      <w:r>
        <w:rPr>
          <w:rFonts w:hint="eastAsia" w:ascii="宋体" w:hAnsi="宋体"/>
          <w:b w:val="0"/>
          <w:color w:val="auto"/>
          <w:highlight w:val="none"/>
        </w:rPr>
        <w:t xml:space="preserve">  </w:t>
      </w:r>
      <w:r>
        <w:rPr>
          <w:rFonts w:ascii="宋体" w:hAnsi="宋体"/>
          <w:b w:val="0"/>
          <w:color w:val="auto"/>
          <w:highlight w:val="none"/>
        </w:rPr>
        <w:t>投标文件格式</w:t>
      </w:r>
      <w:bookmarkEnd w:id="28"/>
    </w:p>
    <w:p w14:paraId="7B7AE8BB">
      <w:pPr>
        <w:autoSpaceDE w:val="0"/>
        <w:autoSpaceDN w:val="0"/>
        <w:adjustRightInd w:val="0"/>
        <w:spacing w:line="466" w:lineRule="exact"/>
        <w:ind w:right="-20"/>
        <w:jc w:val="center"/>
        <w:outlineLvl w:val="0"/>
        <w:rPr>
          <w:rFonts w:ascii="宋体" w:hAnsi="宋体"/>
          <w:bCs/>
          <w:color w:val="auto"/>
          <w:spacing w:val="2"/>
          <w:position w:val="-1"/>
          <w:sz w:val="32"/>
          <w:szCs w:val="32"/>
          <w:highlight w:val="none"/>
        </w:rPr>
      </w:pPr>
      <w:r>
        <w:rPr>
          <w:rFonts w:ascii="宋体" w:hAnsi="宋体"/>
          <w:color w:val="auto"/>
          <w:highlight w:val="none"/>
        </w:rPr>
        <w:br w:type="page"/>
      </w:r>
      <w:bookmarkStart w:id="29" w:name="_Toc11783"/>
      <w:r>
        <w:rPr>
          <w:rFonts w:hint="eastAsia" w:ascii="宋体" w:hAnsi="宋体"/>
          <w:bCs/>
          <w:color w:val="auto"/>
          <w:spacing w:val="2"/>
          <w:position w:val="-1"/>
          <w:sz w:val="32"/>
          <w:szCs w:val="32"/>
          <w:highlight w:val="none"/>
        </w:rPr>
        <w:t>设计投标文件编制要求</w:t>
      </w:r>
      <w:bookmarkEnd w:id="29"/>
    </w:p>
    <w:p w14:paraId="63C7153D">
      <w:pPr>
        <w:pStyle w:val="6"/>
        <w:ind w:firstLine="440"/>
        <w:rPr>
          <w:color w:val="auto"/>
          <w:highlight w:val="none"/>
          <w:lang w:eastAsia="zh-CN"/>
        </w:rPr>
      </w:pPr>
    </w:p>
    <w:p w14:paraId="4AC9F686">
      <w:pPr>
        <w:pStyle w:val="4"/>
        <w:spacing w:line="360" w:lineRule="auto"/>
        <w:ind w:left="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1、投标文件组成</w:t>
      </w:r>
    </w:p>
    <w:p w14:paraId="68D3AD0D">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1.1  投标文件由商务文件（含资格审查部分、资信业绩部分）、技术文件（含设计方案部分）两个部分组成。各部分投标文件应分别编制。</w:t>
      </w:r>
      <w:r>
        <w:rPr>
          <w:rFonts w:hint="eastAsia" w:ascii="宋体" w:hAnsi="宋体"/>
          <w:color w:val="auto"/>
          <w:sz w:val="24"/>
          <w:szCs w:val="24"/>
          <w:highlight w:val="none"/>
        </w:rPr>
        <w:t>商务文件</w:t>
      </w:r>
      <w:r>
        <w:rPr>
          <w:rFonts w:hint="eastAsia" w:ascii="宋体" w:hAnsi="宋体" w:eastAsia="宋体"/>
          <w:color w:val="auto"/>
          <w:sz w:val="24"/>
          <w:szCs w:val="24"/>
          <w:highlight w:val="none"/>
          <w:lang w:eastAsia="zh-CN"/>
        </w:rPr>
        <w:t>（含资格审查文件）和设计方案文件两部分组成的总页数不限，设计方案电子文档（上传系统文件）大小不</w:t>
      </w:r>
      <w:r>
        <w:rPr>
          <w:rFonts w:hint="eastAsia" w:ascii="宋体" w:hAnsi="宋体"/>
          <w:color w:val="auto"/>
          <w:sz w:val="24"/>
          <w:szCs w:val="24"/>
          <w:highlight w:val="none"/>
          <w:lang w:val="en-US" w:eastAsia="zh-CN"/>
        </w:rPr>
        <w:t>宜</w:t>
      </w:r>
      <w:r>
        <w:rPr>
          <w:rFonts w:hint="eastAsia" w:ascii="宋体" w:hAnsi="宋体" w:eastAsia="宋体"/>
          <w:color w:val="auto"/>
          <w:sz w:val="24"/>
          <w:szCs w:val="24"/>
          <w:highlight w:val="none"/>
          <w:lang w:eastAsia="zh-CN"/>
        </w:rPr>
        <w:t>超</w:t>
      </w:r>
      <w:r>
        <w:rPr>
          <w:rFonts w:ascii="宋体" w:hAnsi="宋体" w:eastAsia="宋体"/>
          <w:color w:val="auto"/>
          <w:sz w:val="24"/>
          <w:szCs w:val="24"/>
          <w:highlight w:val="none"/>
          <w:lang w:eastAsia="zh-CN"/>
        </w:rPr>
        <w:t>1000M</w:t>
      </w:r>
      <w:r>
        <w:rPr>
          <w:rFonts w:hint="eastAsia" w:ascii="宋体" w:hAnsi="宋体" w:eastAsia="宋体"/>
          <w:color w:val="auto"/>
          <w:sz w:val="24"/>
          <w:szCs w:val="24"/>
          <w:highlight w:val="none"/>
          <w:lang w:eastAsia="zh-CN"/>
        </w:rPr>
        <w:t>。</w:t>
      </w:r>
    </w:p>
    <w:p w14:paraId="16A37E65">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1.2  投标文件应做到清晰、完整，文本、图纸规格应当尽量统一。除非另有规定，否则投标文件的计量单位宜采用国际标准计量单位，尺寸齐全、准确，所有文字说明和文字标注以中文为准，报价均为人民币，时间均为北京时间。</w:t>
      </w:r>
    </w:p>
    <w:p w14:paraId="3181AEAF">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1.3  每个投标人报送一个投标方案，投标文件应达到招标文件规定的深度，满足评审需要。不响应招标文件要求的投标文件可能被拒绝，责任由投标人自负。</w:t>
      </w:r>
    </w:p>
    <w:p w14:paraId="2A420810">
      <w:pPr>
        <w:pStyle w:val="4"/>
        <w:spacing w:line="360" w:lineRule="auto"/>
        <w:ind w:left="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olor w:val="auto"/>
          <w:sz w:val="24"/>
          <w:szCs w:val="24"/>
          <w:highlight w:val="none"/>
          <w:lang w:eastAsia="zh-CN"/>
        </w:rPr>
        <w:t>商务文件（含资格审查部分、资信业绩部分）编制要求</w:t>
      </w:r>
    </w:p>
    <w:p w14:paraId="7833F744">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2.1  商务文件（含资格审查部分、资信业绩部分）由下列资料组成：</w:t>
      </w:r>
    </w:p>
    <w:p w14:paraId="6D475E93">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）封面：写明项目名称、商务文件（含资格审查部分、资信业绩部分）、投标人单位及   年   月   日；加盖投标人电子印章。</w:t>
      </w:r>
    </w:p>
    <w:p w14:paraId="35C0B244">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2</w:t>
      </w:r>
      <w:r>
        <w:rPr>
          <w:rFonts w:hint="eastAsia" w:ascii="宋体" w:hAnsi="宋体" w:eastAsia="宋体"/>
          <w:color w:val="auto"/>
          <w:sz w:val="24"/>
          <w:szCs w:val="24"/>
          <w:highlight w:val="none"/>
          <w:lang w:eastAsia="zh-CN"/>
        </w:rPr>
        <w:t>）目录。</w:t>
      </w:r>
    </w:p>
    <w:p w14:paraId="06869906">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3</w:t>
      </w:r>
      <w:r>
        <w:rPr>
          <w:rFonts w:hint="eastAsia" w:ascii="宋体" w:hAnsi="宋体" w:eastAsia="宋体"/>
          <w:color w:val="auto"/>
          <w:sz w:val="24"/>
          <w:szCs w:val="24"/>
          <w:highlight w:val="none"/>
          <w:lang w:eastAsia="zh-CN"/>
        </w:rPr>
        <w:t>）填妥并签字盖章的《投标书》（格式见格式一）。</w:t>
      </w:r>
    </w:p>
    <w:p w14:paraId="605105D9">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4</w:t>
      </w:r>
      <w:r>
        <w:rPr>
          <w:rFonts w:hint="eastAsia" w:ascii="宋体" w:hAnsi="宋体" w:eastAsia="宋体"/>
          <w:color w:val="auto"/>
          <w:sz w:val="24"/>
          <w:szCs w:val="24"/>
          <w:highlight w:val="none"/>
          <w:lang w:eastAsia="zh-CN"/>
        </w:rPr>
        <w:t>）填妥并签字盖章的《法人代表</w:t>
      </w:r>
      <w:r>
        <w:rPr>
          <w:rFonts w:hint="eastAsia" w:ascii="宋体" w:hAnsi="宋体"/>
          <w:color w:val="auto"/>
          <w:sz w:val="24"/>
          <w:szCs w:val="24"/>
          <w:highlight w:val="none"/>
          <w:lang w:eastAsia="zh-CN"/>
        </w:rPr>
        <w:t>人</w:t>
      </w:r>
      <w:r>
        <w:rPr>
          <w:rFonts w:hint="eastAsia" w:ascii="宋体" w:hAnsi="宋体" w:eastAsia="宋体"/>
          <w:color w:val="auto"/>
          <w:sz w:val="24"/>
          <w:szCs w:val="24"/>
          <w:highlight w:val="none"/>
          <w:lang w:eastAsia="zh-CN"/>
        </w:rPr>
        <w:t>身份证明</w:t>
      </w:r>
      <w:r>
        <w:rPr>
          <w:rFonts w:hint="eastAsia" w:ascii="宋体" w:hAnsi="宋体"/>
          <w:color w:val="auto"/>
          <w:sz w:val="24"/>
          <w:szCs w:val="24"/>
          <w:highlight w:val="none"/>
          <w:lang w:eastAsia="zh-CN"/>
        </w:rPr>
        <w:t>书</w:t>
      </w:r>
      <w:r>
        <w:rPr>
          <w:rFonts w:hint="eastAsia" w:ascii="宋体" w:hAnsi="宋体" w:eastAsia="宋体"/>
          <w:color w:val="auto"/>
          <w:sz w:val="24"/>
          <w:szCs w:val="24"/>
          <w:highlight w:val="none"/>
          <w:lang w:eastAsia="zh-CN"/>
        </w:rPr>
        <w:t>》和《</w:t>
      </w:r>
      <w:r>
        <w:rPr>
          <w:rFonts w:hint="eastAsia" w:ascii="宋体" w:hAnsi="宋体"/>
          <w:color w:val="auto"/>
          <w:sz w:val="24"/>
          <w:szCs w:val="24"/>
          <w:highlight w:val="none"/>
          <w:lang w:eastAsia="zh-CN"/>
        </w:rPr>
        <w:t>法定代表人</w:t>
      </w:r>
      <w:r>
        <w:rPr>
          <w:rFonts w:hint="eastAsia" w:ascii="宋体" w:hAnsi="宋体" w:eastAsia="宋体"/>
          <w:color w:val="auto"/>
          <w:sz w:val="24"/>
          <w:szCs w:val="24"/>
          <w:highlight w:val="none"/>
          <w:lang w:eastAsia="zh-CN"/>
        </w:rPr>
        <w:t>授权委托书》（格式见格式二）。</w:t>
      </w:r>
    </w:p>
    <w:p w14:paraId="59E0EBCA">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（5）填妥并签字盖章的《合作设计协议</w:t>
      </w:r>
      <w:r>
        <w:rPr>
          <w:rFonts w:hint="eastAsia" w:ascii="宋体" w:hAnsi="宋体"/>
          <w:color w:val="auto"/>
          <w:sz w:val="24"/>
          <w:szCs w:val="24"/>
          <w:highlight w:val="none"/>
          <w:lang w:eastAsia="zh-CN"/>
        </w:rPr>
        <w:t>书</w:t>
      </w:r>
      <w:r>
        <w:rPr>
          <w:rFonts w:hint="eastAsia" w:ascii="宋体" w:hAnsi="宋体" w:eastAsia="宋体"/>
          <w:color w:val="auto"/>
          <w:sz w:val="24"/>
          <w:szCs w:val="24"/>
          <w:highlight w:val="none"/>
          <w:lang w:eastAsia="zh-CN"/>
        </w:rPr>
        <w:t>》（外国或香港、澳门、台湾的设计企业提供）（</w:t>
      </w:r>
      <w:r>
        <w:rPr>
          <w:rFonts w:hint="eastAsia" w:ascii="宋体" w:hAnsi="宋体"/>
          <w:color w:val="auto"/>
          <w:sz w:val="24"/>
          <w:szCs w:val="24"/>
          <w:highlight w:val="none"/>
          <w:lang w:val="en-US" w:eastAsia="zh-CN"/>
        </w:rPr>
        <w:t>如有，</w:t>
      </w:r>
      <w:r>
        <w:rPr>
          <w:rFonts w:hint="eastAsia" w:ascii="宋体" w:hAnsi="宋体" w:eastAsia="宋体"/>
          <w:color w:val="auto"/>
          <w:sz w:val="24"/>
          <w:szCs w:val="24"/>
          <w:highlight w:val="none"/>
          <w:lang w:eastAsia="zh-CN"/>
        </w:rPr>
        <w:t>格式见格式三）</w:t>
      </w:r>
    </w:p>
    <w:p w14:paraId="1C62534D">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（6）填妥并签字盖章的《投标人声明》（格式见格式四）</w:t>
      </w:r>
    </w:p>
    <w:p w14:paraId="179D7EA6">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val="en-US" w:eastAsia="zh-CN"/>
        </w:rPr>
        <w:t>7</w:t>
      </w:r>
      <w:r>
        <w:rPr>
          <w:rFonts w:hint="eastAsia" w:ascii="宋体" w:hAnsi="宋体" w:eastAsia="宋体"/>
          <w:color w:val="auto"/>
          <w:sz w:val="24"/>
          <w:szCs w:val="24"/>
          <w:highlight w:val="none"/>
          <w:lang w:eastAsia="zh-CN"/>
        </w:rPr>
        <w:t>）投标人资质证书扫描件</w:t>
      </w:r>
    </w:p>
    <w:p w14:paraId="6B883B6F">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val="en-US" w:eastAsia="zh-CN"/>
        </w:rPr>
        <w:t>8</w:t>
      </w:r>
      <w:r>
        <w:rPr>
          <w:rFonts w:hint="eastAsia" w:ascii="宋体" w:hAnsi="宋体" w:eastAsia="宋体"/>
          <w:color w:val="auto"/>
          <w:sz w:val="24"/>
          <w:szCs w:val="24"/>
          <w:highlight w:val="none"/>
          <w:lang w:eastAsia="zh-CN"/>
        </w:rPr>
        <w:t>）企业营业执照副本扫描件</w:t>
      </w:r>
    </w:p>
    <w:p w14:paraId="4CE7390C">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val="en-US" w:eastAsia="zh-CN"/>
        </w:rPr>
        <w:t>9</w:t>
      </w:r>
      <w:r>
        <w:rPr>
          <w:rFonts w:hint="eastAsia" w:ascii="宋体" w:hAnsi="宋体" w:eastAsia="宋体"/>
          <w:color w:val="auto"/>
          <w:sz w:val="24"/>
          <w:szCs w:val="24"/>
          <w:highlight w:val="none"/>
          <w:lang w:eastAsia="zh-CN"/>
        </w:rPr>
        <w:t>）</w:t>
      </w:r>
      <w:r>
        <w:rPr>
          <w:rFonts w:hint="eastAsia" w:ascii="宋体" w:hAnsi="宋体"/>
          <w:color w:val="auto"/>
          <w:spacing w:val="7"/>
          <w:sz w:val="24"/>
          <w:highlight w:val="none"/>
          <w:lang w:eastAsia="zh-CN"/>
        </w:rPr>
        <w:t>投标人已在</w:t>
      </w:r>
      <w:r>
        <w:rPr>
          <w:rFonts w:hint="eastAsia" w:ascii="宋体" w:hAnsi="宋体" w:eastAsia="宋体"/>
          <w:color w:val="auto"/>
          <w:spacing w:val="7"/>
          <w:sz w:val="24"/>
          <w:highlight w:val="none"/>
          <w:lang w:eastAsia="zh-CN"/>
        </w:rPr>
        <w:t>广州市住房和城乡建设局</w:t>
      </w:r>
      <w:r>
        <w:rPr>
          <w:rFonts w:hint="eastAsia" w:ascii="宋体" w:hAnsi="宋体"/>
          <w:color w:val="auto"/>
          <w:spacing w:val="7"/>
          <w:sz w:val="24"/>
          <w:highlight w:val="none"/>
          <w:lang w:eastAsia="zh-CN"/>
        </w:rPr>
        <w:t>建立企业信用档案，拟委派的项目负责人须是本企业信用档案中的在册人员</w:t>
      </w:r>
    </w:p>
    <w:p w14:paraId="76F041B5">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color w:val="auto"/>
          <w:sz w:val="24"/>
          <w:szCs w:val="24"/>
          <w:highlight w:val="none"/>
          <w:lang w:val="en-US" w:eastAsia="zh-CN"/>
        </w:rPr>
        <w:t>0</w:t>
      </w:r>
      <w:r>
        <w:rPr>
          <w:rFonts w:hint="eastAsia" w:ascii="宋体" w:hAnsi="宋体" w:eastAsia="宋体"/>
          <w:color w:val="auto"/>
          <w:sz w:val="24"/>
          <w:szCs w:val="24"/>
          <w:highlight w:val="none"/>
          <w:lang w:eastAsia="zh-CN"/>
        </w:rPr>
        <w:t>）拟派项目负责人注册执业资格证书扫描件</w:t>
      </w:r>
    </w:p>
    <w:p w14:paraId="3A7A137C">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color w:val="auto"/>
          <w:sz w:val="24"/>
          <w:szCs w:val="24"/>
          <w:highlight w:val="none"/>
          <w:lang w:val="en-US" w:eastAsia="zh-CN"/>
        </w:rPr>
        <w:t>1</w:t>
      </w:r>
      <w:r>
        <w:rPr>
          <w:rFonts w:hint="eastAsia" w:ascii="宋体" w:hAnsi="宋体" w:eastAsia="宋体"/>
          <w:color w:val="auto"/>
          <w:sz w:val="24"/>
          <w:szCs w:val="24"/>
          <w:highlight w:val="none"/>
          <w:lang w:eastAsia="zh-CN"/>
        </w:rPr>
        <w:t>）投标人认为有必要提供的其他资格要求证明资料扫描件</w:t>
      </w:r>
    </w:p>
    <w:p w14:paraId="0195106B">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color w:val="auto"/>
          <w:sz w:val="24"/>
          <w:szCs w:val="24"/>
          <w:highlight w:val="none"/>
          <w:lang w:val="en-US" w:eastAsia="zh-CN"/>
        </w:rPr>
        <w:t>2</w:t>
      </w:r>
      <w:r>
        <w:rPr>
          <w:rFonts w:hint="eastAsia" w:ascii="宋体" w:hAnsi="宋体" w:eastAsia="宋体"/>
          <w:color w:val="auto"/>
          <w:sz w:val="24"/>
          <w:szCs w:val="24"/>
          <w:highlight w:val="none"/>
          <w:lang w:eastAsia="zh-CN"/>
        </w:rPr>
        <w:t>）填妥并签字盖章的（工程设计费报价汇总表，工程设计费计算表）（格式见格式五）</w:t>
      </w:r>
    </w:p>
    <w:p w14:paraId="6EBBBFC8">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color w:val="auto"/>
          <w:sz w:val="24"/>
          <w:szCs w:val="24"/>
          <w:highlight w:val="none"/>
          <w:lang w:val="en-US" w:eastAsia="zh-CN"/>
        </w:rPr>
        <w:t>3</w:t>
      </w:r>
      <w:r>
        <w:rPr>
          <w:rFonts w:hint="eastAsia" w:ascii="宋体" w:hAnsi="宋体" w:eastAsia="宋体"/>
          <w:color w:val="auto"/>
          <w:sz w:val="24"/>
          <w:szCs w:val="24"/>
          <w:highlight w:val="none"/>
          <w:lang w:eastAsia="zh-CN"/>
        </w:rPr>
        <w:t>）企业类似业绩证明资料扫描件（格式见格式七）</w:t>
      </w:r>
    </w:p>
    <w:p w14:paraId="1DB54E9B">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color w:val="auto"/>
          <w:sz w:val="24"/>
          <w:szCs w:val="24"/>
          <w:highlight w:val="none"/>
          <w:lang w:val="en-US" w:eastAsia="zh-CN"/>
        </w:rPr>
        <w:t>4</w:t>
      </w:r>
      <w:r>
        <w:rPr>
          <w:rFonts w:hint="eastAsia" w:ascii="宋体" w:hAnsi="宋体" w:eastAsia="宋体"/>
          <w:color w:val="auto"/>
          <w:sz w:val="24"/>
          <w:szCs w:val="24"/>
          <w:highlight w:val="none"/>
          <w:lang w:eastAsia="zh-CN"/>
        </w:rPr>
        <w:t>）企业业绩获奖证明资料扫描件（格式见格式八）</w:t>
      </w:r>
    </w:p>
    <w:p w14:paraId="5AAC4053">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lang w:eastAsia="zh-CN"/>
        </w:rPr>
        <w:t>）项目负责人设计经历及业务能力证明材料扫描件</w:t>
      </w:r>
    </w:p>
    <w:p w14:paraId="03D70AA7">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color w:val="auto"/>
          <w:sz w:val="24"/>
          <w:szCs w:val="24"/>
          <w:highlight w:val="none"/>
          <w:lang w:val="en-US" w:eastAsia="zh-CN"/>
        </w:rPr>
        <w:t>6</w:t>
      </w:r>
      <w:r>
        <w:rPr>
          <w:rFonts w:hint="eastAsia" w:ascii="宋体" w:hAnsi="宋体" w:eastAsia="宋体"/>
          <w:color w:val="auto"/>
          <w:sz w:val="24"/>
          <w:szCs w:val="24"/>
          <w:highlight w:val="none"/>
          <w:lang w:eastAsia="zh-CN"/>
        </w:rPr>
        <w:t>）为本项目拟投入的技术力量。主要包括各专业负责人的职称、执业资格等证明材料，并能保证材料的真实性。（格式见格式六）</w:t>
      </w:r>
    </w:p>
    <w:p w14:paraId="7BF760B2">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color w:val="auto"/>
          <w:sz w:val="24"/>
          <w:szCs w:val="24"/>
          <w:highlight w:val="none"/>
          <w:lang w:val="en-US" w:eastAsia="zh-CN"/>
        </w:rPr>
        <w:t>7</w:t>
      </w:r>
      <w:r>
        <w:rPr>
          <w:rFonts w:hint="eastAsia" w:ascii="宋体" w:hAnsi="宋体" w:eastAsia="宋体"/>
          <w:color w:val="auto"/>
          <w:sz w:val="24"/>
          <w:szCs w:val="24"/>
          <w:highlight w:val="none"/>
          <w:lang w:eastAsia="zh-CN"/>
        </w:rPr>
        <w:t>）信誉证明材料扫描件。</w:t>
      </w:r>
    </w:p>
    <w:p w14:paraId="67177805">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w:t>
      </w:r>
      <w:r>
        <w:rPr>
          <w:rFonts w:hint="eastAsia" w:ascii="宋体" w:hAnsi="宋体"/>
          <w:color w:val="auto"/>
          <w:sz w:val="24"/>
          <w:szCs w:val="24"/>
          <w:highlight w:val="none"/>
          <w:lang w:val="en-US" w:eastAsia="zh-CN"/>
        </w:rPr>
        <w:t>8</w:t>
      </w:r>
      <w:r>
        <w:rPr>
          <w:rFonts w:hint="eastAsia" w:ascii="宋体" w:hAnsi="宋体" w:eastAsia="宋体"/>
          <w:color w:val="auto"/>
          <w:sz w:val="24"/>
          <w:szCs w:val="24"/>
          <w:highlight w:val="none"/>
          <w:lang w:eastAsia="zh-CN"/>
        </w:rPr>
        <w:t>）投标人认为有必要提供的其他资料。</w:t>
      </w:r>
    </w:p>
    <w:p w14:paraId="4E29FA46">
      <w:pPr>
        <w:spacing w:line="360" w:lineRule="auto"/>
        <w:ind w:firstLine="482" w:firstLineChars="200"/>
        <w:rPr>
          <w:rFonts w:ascii="宋体" w:hAnsi="宋体" w:eastAsia="宋体"/>
          <w:b/>
          <w:bCs/>
          <w:color w:val="auto"/>
          <w:sz w:val="24"/>
          <w:szCs w:val="24"/>
          <w:highlight w:val="none"/>
          <w:lang w:eastAsia="zh-CN"/>
        </w:rPr>
      </w:pPr>
      <w:r>
        <w:rPr>
          <w:rFonts w:hint="eastAsia" w:ascii="宋体" w:hAnsi="宋体" w:eastAsia="宋体"/>
          <w:b/>
          <w:bCs/>
          <w:color w:val="auto"/>
          <w:sz w:val="24"/>
          <w:szCs w:val="24"/>
          <w:highlight w:val="none"/>
          <w:lang w:eastAsia="zh-CN"/>
        </w:rPr>
        <w:t>注：</w:t>
      </w:r>
      <w:r>
        <w:rPr>
          <w:rFonts w:hint="eastAsia" w:cs="宋体"/>
          <w:b/>
          <w:bCs/>
          <w:color w:val="auto"/>
          <w:sz w:val="24"/>
          <w:szCs w:val="24"/>
          <w:highlight w:val="none"/>
          <w:u w:val="single"/>
          <w:lang w:eastAsia="zh-CN"/>
        </w:rPr>
        <w:t>商务文件中的（</w:t>
      </w:r>
      <w:r>
        <w:rPr>
          <w:rFonts w:hint="eastAsia" w:cs="宋体"/>
          <w:b/>
          <w:bCs/>
          <w:color w:val="auto"/>
          <w:sz w:val="24"/>
          <w:szCs w:val="24"/>
          <w:highlight w:val="none"/>
          <w:u w:val="single"/>
          <w:lang w:val="en-US" w:eastAsia="zh-CN"/>
        </w:rPr>
        <w:t>9</w:t>
      </w:r>
      <w:r>
        <w:rPr>
          <w:rFonts w:hint="eastAsia" w:cs="宋体"/>
          <w:b/>
          <w:bCs/>
          <w:color w:val="auto"/>
          <w:sz w:val="24"/>
          <w:szCs w:val="24"/>
          <w:highlight w:val="none"/>
          <w:u w:val="single"/>
          <w:lang w:eastAsia="zh-CN"/>
        </w:rPr>
        <w:t>）取自广州市住建行业信用管理平台，投标人广州市住建行业信用管理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14:paraId="104C350C">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投标人在评标过程中作出的符合法律法规和招标文件规定的澄清确认，构成投标文件的组成部分。</w:t>
      </w:r>
    </w:p>
    <w:p w14:paraId="27E65E0B">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2.3  签署要求：按格式要求签字盖章。</w:t>
      </w:r>
    </w:p>
    <w:p w14:paraId="08F689DE">
      <w:pPr>
        <w:pStyle w:val="4"/>
        <w:spacing w:line="360" w:lineRule="auto"/>
        <w:ind w:left="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olor w:val="auto"/>
          <w:sz w:val="24"/>
          <w:szCs w:val="24"/>
          <w:highlight w:val="none"/>
          <w:lang w:eastAsia="zh-CN"/>
        </w:rPr>
        <w:t>技术文件（含设计方案部分）编制要求（暗标，不得标注名称、印章、商标、图形等记认符号，使人辨认出投标人或其专业技术人员的身份，上传系统，电子文档上传不</w:t>
      </w:r>
      <w:r>
        <w:rPr>
          <w:rFonts w:hint="eastAsia" w:ascii="宋体" w:hAnsi="宋体"/>
          <w:color w:val="auto"/>
          <w:sz w:val="24"/>
          <w:szCs w:val="24"/>
          <w:highlight w:val="none"/>
          <w:lang w:val="en-US" w:eastAsia="zh-CN"/>
        </w:rPr>
        <w:t>宜</w:t>
      </w:r>
      <w:r>
        <w:rPr>
          <w:rFonts w:hint="eastAsia" w:ascii="宋体" w:hAnsi="宋体" w:eastAsia="宋体"/>
          <w:color w:val="auto"/>
          <w:sz w:val="24"/>
          <w:szCs w:val="24"/>
          <w:highlight w:val="none"/>
          <w:lang w:eastAsia="zh-CN"/>
        </w:rPr>
        <w:t>超</w:t>
      </w:r>
      <w:r>
        <w:rPr>
          <w:rFonts w:ascii="宋体" w:hAnsi="宋体" w:eastAsia="宋体"/>
          <w:color w:val="auto"/>
          <w:sz w:val="24"/>
          <w:szCs w:val="24"/>
          <w:highlight w:val="none"/>
          <w:lang w:eastAsia="zh-CN"/>
        </w:rPr>
        <w:t>1000M</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u w:val="none"/>
          <w:lang w:eastAsia="zh-CN"/>
        </w:rPr>
        <w:t>。</w:t>
      </w:r>
    </w:p>
    <w:p w14:paraId="4F9E1409">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3.1  技术文件（含设计方案部分）由下列资料组成：</w:t>
      </w:r>
    </w:p>
    <w:p w14:paraId="25648AEA">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）首页：写明项目名称、设计作品主题（不宜超过</w:t>
      </w:r>
      <w:r>
        <w:rPr>
          <w:rFonts w:ascii="宋体" w:hAnsi="宋体" w:eastAsia="宋体"/>
          <w:color w:val="auto"/>
          <w:sz w:val="24"/>
          <w:szCs w:val="24"/>
          <w:highlight w:val="none"/>
          <w:lang w:eastAsia="zh-CN"/>
        </w:rPr>
        <w:t>20</w:t>
      </w:r>
      <w:r>
        <w:rPr>
          <w:rFonts w:hint="eastAsia" w:ascii="宋体" w:hAnsi="宋体" w:eastAsia="宋体"/>
          <w:color w:val="auto"/>
          <w:sz w:val="24"/>
          <w:szCs w:val="24"/>
          <w:highlight w:val="none"/>
          <w:lang w:eastAsia="zh-CN"/>
        </w:rPr>
        <w:t>个字）、编制年月；</w:t>
      </w:r>
    </w:p>
    <w:p w14:paraId="7F63A5AF">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2</w:t>
      </w:r>
      <w:r>
        <w:rPr>
          <w:rFonts w:hint="eastAsia" w:ascii="宋体" w:hAnsi="宋体" w:eastAsia="宋体"/>
          <w:color w:val="auto"/>
          <w:sz w:val="24"/>
          <w:szCs w:val="24"/>
          <w:highlight w:val="none"/>
          <w:lang w:eastAsia="zh-CN"/>
        </w:rPr>
        <w:t>）目录；</w:t>
      </w:r>
    </w:p>
    <w:p w14:paraId="430076DC">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3</w:t>
      </w:r>
      <w:r>
        <w:rPr>
          <w:rFonts w:hint="eastAsia" w:ascii="宋体" w:hAnsi="宋体" w:eastAsia="宋体"/>
          <w:color w:val="auto"/>
          <w:sz w:val="24"/>
          <w:szCs w:val="24"/>
          <w:highlight w:val="none"/>
          <w:lang w:eastAsia="zh-CN"/>
        </w:rPr>
        <w:t>）相关设计说明；</w:t>
      </w:r>
    </w:p>
    <w:p w14:paraId="0A3A76DE">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4</w:t>
      </w: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val="en-US" w:eastAsia="zh-CN"/>
        </w:rPr>
        <w:t>设计方案</w:t>
      </w:r>
      <w:r>
        <w:rPr>
          <w:rFonts w:hint="eastAsia" w:ascii="宋体" w:hAnsi="宋体" w:eastAsia="宋体"/>
          <w:color w:val="auto"/>
          <w:sz w:val="24"/>
          <w:szCs w:val="24"/>
          <w:highlight w:val="none"/>
          <w:lang w:eastAsia="zh-CN"/>
        </w:rPr>
        <w:t>；</w:t>
      </w:r>
    </w:p>
    <w:p w14:paraId="64D39EE6">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lang w:eastAsia="zh-CN"/>
        </w:rPr>
        <w:t>）《工期计划表》（</w:t>
      </w:r>
      <w:r>
        <w:rPr>
          <w:rFonts w:hint="eastAsia" w:ascii="宋体" w:hAnsi="宋体" w:cs="宋体"/>
          <w:color w:val="auto"/>
          <w:sz w:val="24"/>
          <w:szCs w:val="24"/>
          <w:highlight w:val="none"/>
          <w:u w:val="single"/>
          <w:lang w:eastAsia="zh-CN"/>
        </w:rPr>
        <w:t>施工图设计、竣工图编制</w:t>
      </w:r>
      <w:r>
        <w:rPr>
          <w:rFonts w:hint="eastAsia" w:ascii="宋体" w:hAnsi="宋体" w:eastAsia="宋体"/>
          <w:color w:val="auto"/>
          <w:sz w:val="24"/>
          <w:szCs w:val="24"/>
          <w:highlight w:val="none"/>
          <w:lang w:eastAsia="zh-CN"/>
        </w:rPr>
        <w:t>）；</w:t>
      </w:r>
    </w:p>
    <w:p w14:paraId="6B9F3344">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val="en-US" w:eastAsia="zh-CN"/>
        </w:rPr>
        <w:t>6</w:t>
      </w:r>
      <w:r>
        <w:rPr>
          <w:rFonts w:hint="eastAsia" w:ascii="宋体" w:hAnsi="宋体" w:eastAsia="宋体"/>
          <w:color w:val="auto"/>
          <w:sz w:val="24"/>
          <w:szCs w:val="24"/>
          <w:highlight w:val="none"/>
          <w:lang w:eastAsia="zh-CN"/>
        </w:rPr>
        <w:t>）投标人提出的建议、工程创新</w:t>
      </w:r>
      <w:r>
        <w:rPr>
          <w:rFonts w:hint="eastAsia" w:ascii="宋体" w:hAnsi="宋体"/>
          <w:color w:val="auto"/>
          <w:sz w:val="24"/>
          <w:szCs w:val="24"/>
          <w:highlight w:val="none"/>
          <w:lang w:val="en-US" w:eastAsia="zh-CN"/>
        </w:rPr>
        <w:t>等方案或措施</w:t>
      </w:r>
      <w:r>
        <w:rPr>
          <w:rFonts w:hint="eastAsia" w:ascii="宋体" w:hAnsi="宋体" w:eastAsia="宋体"/>
          <w:color w:val="auto"/>
          <w:sz w:val="24"/>
          <w:szCs w:val="24"/>
          <w:highlight w:val="none"/>
          <w:lang w:eastAsia="zh-CN"/>
        </w:rPr>
        <w:t>；</w:t>
      </w:r>
    </w:p>
    <w:p w14:paraId="2F3D7715">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val="en-US" w:eastAsia="zh-CN"/>
        </w:rPr>
        <w:t>7</w:t>
      </w:r>
      <w:r>
        <w:rPr>
          <w:rFonts w:hint="eastAsia" w:ascii="宋体" w:hAnsi="宋体" w:eastAsia="宋体"/>
          <w:color w:val="auto"/>
          <w:sz w:val="24"/>
          <w:szCs w:val="24"/>
          <w:highlight w:val="none"/>
          <w:lang w:eastAsia="zh-CN"/>
        </w:rPr>
        <w:t>）完成本项目的难点，保障工期、质量的主要措施；</w:t>
      </w:r>
    </w:p>
    <w:p w14:paraId="28C62F51">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val="en-US" w:eastAsia="zh-CN"/>
        </w:rPr>
        <w:t>8</w:t>
      </w:r>
      <w:r>
        <w:rPr>
          <w:rFonts w:hint="eastAsia" w:ascii="宋体" w:hAnsi="宋体" w:eastAsia="宋体"/>
          <w:color w:val="auto"/>
          <w:sz w:val="24"/>
          <w:szCs w:val="24"/>
          <w:highlight w:val="none"/>
          <w:lang w:eastAsia="zh-CN"/>
        </w:rPr>
        <w:t>）投标人认为有必要提供的其他资料。</w:t>
      </w:r>
    </w:p>
    <w:p w14:paraId="33CBEF01">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注：</w:t>
      </w:r>
      <w:r>
        <w:rPr>
          <w:rFonts w:hint="eastAsia" w:ascii="宋体" w:hAnsi="宋体" w:eastAsia="宋体"/>
          <w:b/>
          <w:bCs/>
          <w:color w:val="auto"/>
          <w:sz w:val="24"/>
          <w:szCs w:val="24"/>
          <w:highlight w:val="none"/>
          <w:lang w:eastAsia="zh-CN"/>
        </w:rPr>
        <w:t>技术文件（含设计方案部分）为暗标</w:t>
      </w:r>
      <w:r>
        <w:rPr>
          <w:rFonts w:hint="eastAsia" w:ascii="宋体" w:hAnsi="宋体" w:eastAsia="宋体"/>
          <w:color w:val="auto"/>
          <w:sz w:val="24"/>
          <w:szCs w:val="24"/>
          <w:highlight w:val="none"/>
          <w:lang w:eastAsia="zh-CN"/>
        </w:rPr>
        <w:t>。技术</w:t>
      </w:r>
      <w:r>
        <w:rPr>
          <w:rFonts w:hint="eastAsia" w:ascii="宋体" w:hAnsi="宋体"/>
          <w:color w:val="auto"/>
          <w:sz w:val="24"/>
          <w:szCs w:val="24"/>
          <w:highlight w:val="none"/>
          <w:lang w:val="en-US" w:eastAsia="zh-CN"/>
        </w:rPr>
        <w:t>文件</w:t>
      </w:r>
      <w:r>
        <w:rPr>
          <w:rFonts w:hint="eastAsia" w:ascii="宋体" w:hAnsi="宋体" w:eastAsia="宋体"/>
          <w:color w:val="auto"/>
          <w:sz w:val="24"/>
          <w:szCs w:val="24"/>
          <w:highlight w:val="none"/>
          <w:lang w:eastAsia="zh-CN"/>
        </w:rPr>
        <w:t>中不</w:t>
      </w:r>
      <w:r>
        <w:rPr>
          <w:rFonts w:hint="eastAsia" w:ascii="宋体" w:hAnsi="宋体"/>
          <w:color w:val="auto"/>
          <w:sz w:val="24"/>
          <w:szCs w:val="24"/>
          <w:highlight w:val="none"/>
          <w:lang w:val="en-US" w:eastAsia="zh-CN"/>
        </w:rPr>
        <w:t>可</w:t>
      </w:r>
      <w:r>
        <w:rPr>
          <w:rFonts w:hint="eastAsia" w:ascii="宋体" w:hAnsi="宋体" w:eastAsia="宋体"/>
          <w:color w:val="auto"/>
          <w:sz w:val="24"/>
          <w:szCs w:val="24"/>
          <w:highlight w:val="none"/>
          <w:lang w:eastAsia="zh-CN"/>
        </w:rPr>
        <w:t>辨认出投标人或其专业技术人员的身份。不</w:t>
      </w:r>
      <w:r>
        <w:rPr>
          <w:rFonts w:hint="eastAsia" w:ascii="宋体" w:hAnsi="宋体"/>
          <w:color w:val="auto"/>
          <w:sz w:val="24"/>
          <w:szCs w:val="24"/>
          <w:highlight w:val="none"/>
          <w:lang w:val="en-US" w:eastAsia="zh-CN"/>
        </w:rPr>
        <w:t>得</w:t>
      </w:r>
      <w:r>
        <w:rPr>
          <w:rFonts w:hint="eastAsia" w:ascii="宋体" w:hAnsi="宋体" w:eastAsia="宋体"/>
          <w:color w:val="auto"/>
          <w:sz w:val="24"/>
          <w:szCs w:val="24"/>
          <w:highlight w:val="none"/>
          <w:lang w:eastAsia="zh-CN"/>
        </w:rPr>
        <w:t>在设计方案上标注或做任何可以辨认投标人及专业技术人员身份的名称、印章、商标、图形等记认符号。</w:t>
      </w:r>
    </w:p>
    <w:p w14:paraId="5FD92A94">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投标人在评标过程中作出的符合法律法规和招标文件规定的澄清确认，构成投标文件的组成部分。</w:t>
      </w:r>
    </w:p>
    <w:p w14:paraId="2B916F49">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3.2  技术文件（含设计方案部分）必须隐匿投标人及专业技术人员的名称，投标人不得在设计方案文件的设计方案、计算机文件、展示图纸上标注或做任何可以辨认投标人及专业技术人员身份的名称、印章、商标、图形等记认符号。</w:t>
      </w:r>
    </w:p>
    <w:p w14:paraId="54F4497C">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3.3  技术文件备用光盘（暗标，不得标注名称、印章、商标、图形等记认符号，使人辨认出投标人或其专业技术人员的身份）及保密信封（此部分为纸质资料，与投标文件光盘（备用）一起提交）。</w:t>
      </w:r>
    </w:p>
    <w:p w14:paraId="00B6F969">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3.4  保密信封</w:t>
      </w:r>
      <w:r>
        <w:rPr>
          <w:rFonts w:hint="eastAsia" w:ascii="宋体" w:hAnsi="宋体" w:eastAsia="宋体"/>
          <w:b/>
          <w:color w:val="auto"/>
          <w:sz w:val="24"/>
          <w:szCs w:val="24"/>
          <w:highlight w:val="none"/>
          <w:lang w:eastAsia="zh-CN"/>
        </w:rPr>
        <w:t>（此部分为纸质资料，与投标文件光盘（备用）一起提交）</w:t>
      </w:r>
    </w:p>
    <w:p w14:paraId="4C88B41A">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（1）设计投标保密信封，内附</w:t>
      </w:r>
      <w:r>
        <w:rPr>
          <w:rFonts w:ascii="宋体" w:hAnsi="宋体" w:eastAsia="宋体"/>
          <w:color w:val="auto"/>
          <w:sz w:val="24"/>
          <w:szCs w:val="24"/>
          <w:highlight w:val="none"/>
          <w:lang w:eastAsia="zh-CN"/>
        </w:rPr>
        <w:t>A3</w:t>
      </w:r>
      <w:r>
        <w:rPr>
          <w:rFonts w:hint="eastAsia" w:ascii="宋体" w:hAnsi="宋体" w:eastAsia="宋体"/>
          <w:color w:val="auto"/>
          <w:sz w:val="24"/>
          <w:szCs w:val="24"/>
          <w:highlight w:val="none"/>
          <w:lang w:eastAsia="zh-CN"/>
        </w:rPr>
        <w:t>规格制作的表现图</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张，加盖投标人公章，项目负责人署名。表现图内容应与设计方案一致（并注明表现图在设计方案中的页码或图号），用于分辨投标文件对应的投标人身份。</w:t>
      </w:r>
    </w:p>
    <w:p w14:paraId="318799DF">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（2）保密信封用不透明信封独立密封。</w:t>
      </w:r>
    </w:p>
    <w:p w14:paraId="705BD876">
      <w:pPr>
        <w:spacing w:line="360" w:lineRule="auto"/>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3.5  备用光盘</w:t>
      </w:r>
    </w:p>
    <w:p w14:paraId="06A04284">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u w:val="single"/>
          <w:lang w:eastAsia="zh-CN"/>
        </w:rPr>
        <w:t>（1）投标人可制作非加密的商务文件光盘、技术文件光盘各1个及制作保密信封（1个），在招标公告规定的时间、地点提交备用。刻录好的投标文件光盘及保密信封密封在密封袋中。密封袋上应写明项目名称和招标人名称。递交的投标文件光盘（备用）不得加密</w:t>
      </w:r>
      <w:r>
        <w:rPr>
          <w:rFonts w:hint="eastAsia" w:ascii="宋体" w:hAnsi="宋体"/>
          <w:color w:val="auto"/>
          <w:sz w:val="24"/>
          <w:szCs w:val="24"/>
          <w:highlight w:val="none"/>
          <w:u w:val="single"/>
          <w:lang w:val="en-US" w:eastAsia="zh-CN"/>
        </w:rPr>
        <w:t>，密封袋不得标注</w:t>
      </w:r>
      <w:r>
        <w:rPr>
          <w:rFonts w:hint="eastAsia" w:ascii="宋体" w:hAnsi="宋体" w:eastAsia="宋体" w:cs="Times New Roman"/>
          <w:color w:val="auto"/>
          <w:sz w:val="24"/>
          <w:szCs w:val="24"/>
          <w:highlight w:val="none"/>
          <w:u w:val="single"/>
          <w:lang w:eastAsia="zh-CN"/>
        </w:rPr>
        <w:t>或做任何可以辨认投标人及专业技术人员身份的名称、印章、商标、图形等记认符号。</w:t>
      </w:r>
      <w:r>
        <w:rPr>
          <w:rFonts w:hint="eastAsia" w:ascii="宋体" w:hAnsi="宋体" w:eastAsia="宋体"/>
          <w:color w:val="auto"/>
          <w:sz w:val="24"/>
          <w:szCs w:val="24"/>
          <w:highlight w:val="none"/>
          <w:u w:val="single"/>
          <w:lang w:eastAsia="zh-CN"/>
        </w:rPr>
        <w:t>备用光盘无法读取或导入的，则视为未提交投标文件光盘（备用）。</w:t>
      </w:r>
    </w:p>
    <w:p w14:paraId="4DEC5F69">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（2）按招标公告要求需要提交投标文件光盘（备用），备用光盘不得加密。如使用投标文件光盘（备用）时无法读取或导入的，则视为未提交投标文件。</w:t>
      </w:r>
    </w:p>
    <w:p w14:paraId="6FEDFC06">
      <w:pPr>
        <w:pStyle w:val="4"/>
        <w:spacing w:line="360" w:lineRule="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4、接收投标文件</w:t>
      </w:r>
      <w:r>
        <w:rPr>
          <w:rFonts w:hint="eastAsia" w:ascii="宋体" w:hAnsi="宋体" w:cs="Times New Roman"/>
          <w:color w:val="auto"/>
          <w:sz w:val="24"/>
          <w:szCs w:val="24"/>
          <w:highlight w:val="none"/>
          <w:lang w:eastAsia="zh-CN"/>
        </w:rPr>
        <w:t>（</w:t>
      </w:r>
      <w:r>
        <w:rPr>
          <w:rFonts w:hint="eastAsia" w:ascii="宋体" w:hAnsi="宋体" w:eastAsia="宋体"/>
          <w:b/>
          <w:bCs/>
          <w:color w:val="auto"/>
          <w:sz w:val="24"/>
          <w:szCs w:val="24"/>
          <w:highlight w:val="none"/>
          <w:lang w:eastAsia="zh-CN"/>
        </w:rPr>
        <w:t>技术文件（含设计方案部分</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备用光盘时，如果包封上没有按规定密封并加写</w:t>
      </w:r>
      <w:r>
        <w:rPr>
          <w:rFonts w:hint="eastAsia" w:ascii="宋体" w:hAnsi="宋体" w:cs="Times New Roman"/>
          <w:color w:val="auto"/>
          <w:sz w:val="24"/>
          <w:szCs w:val="24"/>
          <w:highlight w:val="none"/>
          <w:lang w:eastAsia="zh-CN"/>
        </w:rPr>
        <w:t>“</w:t>
      </w:r>
      <w:r>
        <w:rPr>
          <w:rFonts w:hint="eastAsia" w:ascii="宋体" w:hAnsi="宋体" w:eastAsia="宋体"/>
          <w:b/>
          <w:bCs/>
          <w:color w:val="auto"/>
          <w:sz w:val="24"/>
          <w:szCs w:val="24"/>
          <w:highlight w:val="none"/>
          <w:lang w:eastAsia="zh-CN"/>
        </w:rPr>
        <w:t>技术文件（含设计方案部分</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lang w:eastAsia="zh-CN"/>
        </w:rPr>
        <w:t>，招标人将不承担投标文件错放或提前开封的责任，由此造成的提前开封的投标文件，招标人予以拒绝，并退还给投标人。</w:t>
      </w:r>
    </w:p>
    <w:p w14:paraId="710CE5DF">
      <w:pPr>
        <w:pStyle w:val="4"/>
        <w:spacing w:line="360" w:lineRule="auto"/>
        <w:rPr>
          <w:color w:val="auto"/>
          <w:sz w:val="24"/>
          <w:szCs w:val="24"/>
          <w:highlight w:val="none"/>
          <w:lang w:eastAsia="zh-CN"/>
        </w:rPr>
      </w:pPr>
      <w:r>
        <w:rPr>
          <w:rFonts w:hint="eastAsia" w:ascii="宋体" w:hAnsi="宋体" w:eastAsia="宋体" w:cs="宋体"/>
          <w:color w:val="auto"/>
          <w:sz w:val="24"/>
          <w:szCs w:val="24"/>
          <w:highlight w:val="none"/>
          <w:lang w:eastAsia="zh-CN"/>
        </w:rPr>
        <w:t>5、</w:t>
      </w:r>
      <w:r>
        <w:rPr>
          <w:rFonts w:hint="eastAsia" w:ascii="宋体" w:hAnsi="宋体" w:eastAsia="宋体"/>
          <w:color w:val="auto"/>
          <w:sz w:val="24"/>
          <w:szCs w:val="24"/>
          <w:highlight w:val="none"/>
          <w:lang w:eastAsia="zh-CN"/>
        </w:rPr>
        <w:t>深度要求</w:t>
      </w:r>
    </w:p>
    <w:p w14:paraId="589FA48E">
      <w:pPr>
        <w:spacing w:line="360" w:lineRule="auto"/>
        <w:ind w:firstLine="482" w:firstLineChars="200"/>
        <w:rPr>
          <w:rFonts w:hint="eastAsia" w:ascii="宋体" w:hAnsi="宋体" w:eastAsia="宋体" w:cs="Times New Roman"/>
          <w:b/>
          <w:bCs/>
          <w:color w:val="auto"/>
          <w:sz w:val="24"/>
          <w:szCs w:val="24"/>
          <w:highlight w:val="none"/>
          <w:lang w:eastAsia="zh-CN"/>
        </w:rPr>
      </w:pPr>
      <w:r>
        <w:rPr>
          <w:rFonts w:hint="eastAsia" w:ascii="宋体" w:hAnsi="宋体" w:eastAsia="宋体" w:cs="Times New Roman"/>
          <w:b/>
          <w:bCs/>
          <w:color w:val="auto"/>
          <w:sz w:val="24"/>
          <w:szCs w:val="24"/>
          <w:highlight w:val="none"/>
          <w:lang w:eastAsia="zh-CN"/>
        </w:rPr>
        <w:t>（a）建筑工程设计投标文件宜达到建设部《建筑工程设计文件编制深度规定》（2016年版）相应设计阶段的要求。</w:t>
      </w:r>
    </w:p>
    <w:p w14:paraId="419415DD">
      <w:pPr>
        <w:spacing w:line="360" w:lineRule="auto"/>
        <w:ind w:firstLine="482" w:firstLineChars="200"/>
        <w:rPr>
          <w:rFonts w:ascii="宋体"/>
          <w:color w:val="auto"/>
          <w:sz w:val="24"/>
          <w:highlight w:val="none"/>
        </w:rPr>
      </w:pPr>
      <w:r>
        <w:rPr>
          <w:rFonts w:hint="eastAsia" w:ascii="宋体" w:hAnsi="宋体" w:eastAsia="宋体" w:cs="Times New Roman"/>
          <w:b/>
          <w:bCs/>
          <w:color w:val="auto"/>
          <w:sz w:val="24"/>
          <w:szCs w:val="24"/>
          <w:highlight w:val="none"/>
          <w:lang w:eastAsia="zh-CN"/>
        </w:rPr>
        <w:t>（b）设计独特具有独创性的节点位置，应该提供示意图。</w:t>
      </w:r>
    </w:p>
    <w:p w14:paraId="70CED010">
      <w:pPr>
        <w:pStyle w:val="9"/>
        <w:rPr>
          <w:color w:val="auto"/>
          <w:highlight w:val="none"/>
          <w:lang w:eastAsia="zh-CN"/>
        </w:rPr>
      </w:pPr>
    </w:p>
    <w:p w14:paraId="12552BE6">
      <w:pPr>
        <w:autoSpaceDE w:val="0"/>
        <w:autoSpaceDN w:val="0"/>
        <w:adjustRightInd w:val="0"/>
        <w:spacing w:line="340" w:lineRule="exact"/>
        <w:ind w:right="-20"/>
        <w:outlineLvl w:val="0"/>
        <w:rPr>
          <w:rFonts w:ascii="宋体" w:hAnsi="宋体" w:cs="宋体"/>
          <w:color w:val="auto"/>
          <w:sz w:val="20"/>
          <w:szCs w:val="20"/>
          <w:highlight w:val="none"/>
        </w:rPr>
      </w:pPr>
      <w:r>
        <w:rPr>
          <w:rFonts w:ascii="宋体" w:hAnsi="宋体"/>
          <w:color w:val="auto"/>
          <w:highlight w:val="none"/>
        </w:rPr>
        <w:br w:type="page"/>
      </w:r>
      <w:bookmarkStart w:id="30" w:name="_Toc22122"/>
      <w:r>
        <w:rPr>
          <w:rFonts w:hint="eastAsia" w:ascii="宋体" w:hAnsi="宋体" w:cs="宋体"/>
          <w:color w:val="auto"/>
          <w:spacing w:val="2"/>
          <w:position w:val="-1"/>
          <w:sz w:val="32"/>
          <w:szCs w:val="32"/>
          <w:highlight w:val="none"/>
        </w:rPr>
        <w:t>格式一：投标书</w:t>
      </w:r>
      <w:bookmarkEnd w:id="30"/>
    </w:p>
    <w:p w14:paraId="340B24A6">
      <w:pPr>
        <w:spacing w:line="340" w:lineRule="exact"/>
        <w:jc w:val="center"/>
        <w:rPr>
          <w:rFonts w:ascii="宋体" w:hAnsi="宋体" w:cs="宋体"/>
          <w:bCs/>
          <w:color w:val="auto"/>
          <w:sz w:val="32"/>
          <w:szCs w:val="32"/>
          <w:highlight w:val="none"/>
        </w:rPr>
      </w:pPr>
      <w:r>
        <w:rPr>
          <w:rFonts w:hint="eastAsia" w:ascii="宋体" w:hAnsi="宋体" w:cs="宋体"/>
          <w:bCs/>
          <w:color w:val="auto"/>
          <w:sz w:val="32"/>
          <w:szCs w:val="32"/>
          <w:highlight w:val="none"/>
        </w:rPr>
        <w:t>投标书</w:t>
      </w:r>
    </w:p>
    <w:p w14:paraId="2FC8AB24">
      <w:pPr>
        <w:spacing w:line="340" w:lineRule="exact"/>
        <w:rPr>
          <w:rFonts w:ascii="宋体" w:hAnsi="宋体" w:cs="宋体"/>
          <w:color w:val="auto"/>
          <w:szCs w:val="21"/>
          <w:highlight w:val="none"/>
        </w:rPr>
      </w:pPr>
      <w:r>
        <w:rPr>
          <w:rFonts w:hint="eastAsia" w:ascii="宋体" w:hAnsi="宋体" w:cs="宋体"/>
          <w:color w:val="auto"/>
          <w:highlight w:val="none"/>
        </w:rPr>
        <w:t xml:space="preserve"> </w:t>
      </w:r>
    </w:p>
    <w:p w14:paraId="499E359F">
      <w:pPr>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项目名称：</w:t>
      </w:r>
    </w:p>
    <w:p w14:paraId="43D6BED0">
      <w:pPr>
        <w:pStyle w:val="12"/>
        <w:rPr>
          <w:rFonts w:hAnsi="宋体"/>
          <w:color w:val="auto"/>
          <w:sz w:val="24"/>
          <w:szCs w:val="24"/>
          <w:highlight w:val="none"/>
          <w:lang w:eastAsia="zh-CN"/>
        </w:rPr>
      </w:pPr>
      <w:r>
        <w:rPr>
          <w:rFonts w:hint="eastAsia" w:hAnsi="宋体"/>
          <w:color w:val="auto"/>
          <w:sz w:val="24"/>
          <w:szCs w:val="24"/>
          <w:highlight w:val="none"/>
          <w:lang w:eastAsia="zh-CN"/>
        </w:rPr>
        <w:t>致：（招标人名称）</w:t>
      </w:r>
    </w:p>
    <w:p w14:paraId="749F64A9">
      <w:pPr>
        <w:ind w:firstLine="480" w:firstLineChars="200"/>
        <w:rPr>
          <w:rFonts w:ascii="宋体" w:hAnsi="宋体" w:eastAsia="宋体"/>
          <w:color w:val="auto"/>
          <w:sz w:val="24"/>
          <w:szCs w:val="24"/>
          <w:highlight w:val="none"/>
          <w:lang w:eastAsia="zh-CN"/>
        </w:rPr>
      </w:pPr>
    </w:p>
    <w:p w14:paraId="13D328FF">
      <w:pPr>
        <w:pStyle w:val="12"/>
        <w:ind w:firstLine="480" w:firstLineChars="200"/>
        <w:rPr>
          <w:rFonts w:hAnsi="宋体"/>
          <w:color w:val="auto"/>
          <w:sz w:val="24"/>
          <w:szCs w:val="24"/>
          <w:highlight w:val="none"/>
          <w:lang w:eastAsia="zh-CN"/>
        </w:rPr>
      </w:pPr>
      <w:r>
        <w:rPr>
          <w:rFonts w:hint="eastAsia" w:hAnsi="宋体"/>
          <w:color w:val="auto"/>
          <w:sz w:val="24"/>
          <w:szCs w:val="24"/>
          <w:highlight w:val="none"/>
          <w:lang w:eastAsia="zh-CN"/>
        </w:rPr>
        <w:t>我方</w:t>
      </w:r>
      <w:r>
        <w:rPr>
          <w:rFonts w:hint="eastAsia" w:hAnsi="宋体"/>
          <w:color w:val="auto"/>
          <w:sz w:val="24"/>
          <w:szCs w:val="24"/>
          <w:highlight w:val="none"/>
          <w:u w:val="single"/>
          <w:lang w:eastAsia="zh-CN"/>
        </w:rPr>
        <w:t xml:space="preserve">  （投标人名称）  </w:t>
      </w:r>
      <w:r>
        <w:rPr>
          <w:rFonts w:hint="eastAsia" w:hAnsi="宋体"/>
          <w:color w:val="auto"/>
          <w:sz w:val="24"/>
          <w:szCs w:val="24"/>
          <w:highlight w:val="none"/>
          <w:lang w:eastAsia="zh-CN"/>
        </w:rPr>
        <w:t>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w:t>
      </w:r>
      <w:r>
        <w:rPr>
          <w:rFonts w:hint="eastAsia" w:hAnsi="宋体"/>
          <w:color w:val="auto"/>
          <w:sz w:val="24"/>
          <w:szCs w:val="24"/>
          <w:highlight w:val="none"/>
          <w:lang w:val="en-US" w:eastAsia="zh-CN"/>
        </w:rPr>
        <w:t>工程</w:t>
      </w:r>
      <w:r>
        <w:rPr>
          <w:rFonts w:hint="eastAsia" w:hAnsi="宋体"/>
          <w:color w:val="auto"/>
          <w:sz w:val="24"/>
          <w:szCs w:val="24"/>
          <w:highlight w:val="none"/>
          <w:lang w:eastAsia="zh-CN"/>
        </w:rPr>
        <w:t>设计费报价汇总表》的投标总报价，承包本次招标所包含的工作，并承担质量缺陷责任。我方项目负责人是。如我司成为本项目中标候选人，我司同意并授权招标人将我司投标文件资信业绩部分的人员、业绩、奖项等资料进行公开。</w:t>
      </w:r>
    </w:p>
    <w:p w14:paraId="71FA1A12">
      <w:pPr>
        <w:pStyle w:val="12"/>
        <w:ind w:firstLine="480" w:firstLineChars="200"/>
        <w:rPr>
          <w:rFonts w:hAnsi="宋体"/>
          <w:color w:val="auto"/>
          <w:sz w:val="24"/>
          <w:szCs w:val="24"/>
          <w:highlight w:val="none"/>
          <w:lang w:eastAsia="zh-CN"/>
        </w:rPr>
      </w:pPr>
      <w:r>
        <w:rPr>
          <w:rFonts w:hint="eastAsia" w:hAnsi="宋体"/>
          <w:color w:val="auto"/>
          <w:sz w:val="24"/>
          <w:szCs w:val="24"/>
          <w:highlight w:val="none"/>
          <w:lang w:eastAsia="zh-CN"/>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3F0A4A5A">
      <w:pPr>
        <w:pStyle w:val="12"/>
        <w:ind w:firstLine="480" w:firstLineChars="200"/>
        <w:rPr>
          <w:rFonts w:hAnsi="宋体"/>
          <w:color w:val="auto"/>
          <w:sz w:val="24"/>
          <w:szCs w:val="24"/>
          <w:highlight w:val="none"/>
          <w:lang w:eastAsia="zh-CN"/>
        </w:rPr>
      </w:pPr>
      <w:r>
        <w:rPr>
          <w:rFonts w:hint="eastAsia" w:hAnsi="宋体"/>
          <w:color w:val="auto"/>
          <w:sz w:val="24"/>
          <w:szCs w:val="24"/>
          <w:highlight w:val="none"/>
          <w:lang w:eastAsia="zh-CN"/>
        </w:rPr>
        <w:t>我方认同招标文件规定的评审规则，遵守评标委员会的裁决结果，并且不会采取妨碍项目进展的行为。我方理解你方没有必须接受你方可能收到的最低标或任何投标的义务。</w:t>
      </w:r>
    </w:p>
    <w:p w14:paraId="178024F2">
      <w:pPr>
        <w:pStyle w:val="12"/>
        <w:ind w:firstLine="480" w:firstLineChars="200"/>
        <w:rPr>
          <w:rFonts w:hAnsi="宋体"/>
          <w:color w:val="auto"/>
          <w:sz w:val="24"/>
          <w:szCs w:val="24"/>
          <w:highlight w:val="none"/>
          <w:lang w:eastAsia="zh-CN"/>
        </w:rPr>
      </w:pPr>
      <w:r>
        <w:rPr>
          <w:rFonts w:hint="eastAsia" w:hAnsi="宋体"/>
          <w:color w:val="auto"/>
          <w:sz w:val="24"/>
          <w:szCs w:val="24"/>
          <w:highlight w:val="none"/>
          <w:lang w:eastAsia="zh-CN"/>
        </w:rPr>
        <w:t>如果我方中标，我方将提供规定的履约担保，将在合同规定的日期开工，并在竣工时间内，按照上述文件完成项目。</w:t>
      </w:r>
    </w:p>
    <w:p w14:paraId="2DAAF16B">
      <w:pPr>
        <w:pStyle w:val="12"/>
        <w:ind w:firstLine="480" w:firstLineChars="200"/>
        <w:rPr>
          <w:rFonts w:hAnsi="宋体"/>
          <w:color w:val="auto"/>
          <w:sz w:val="24"/>
          <w:szCs w:val="24"/>
          <w:highlight w:val="none"/>
          <w:lang w:eastAsia="zh-CN"/>
        </w:rPr>
      </w:pPr>
      <w:r>
        <w:rPr>
          <w:rFonts w:hint="eastAsia" w:hAnsi="宋体"/>
          <w:color w:val="auto"/>
          <w:sz w:val="24"/>
          <w:szCs w:val="24"/>
          <w:highlight w:val="none"/>
          <w:lang w:eastAsia="zh-CN"/>
        </w:rPr>
        <w:t>除非制订正式合同协议书并生效，本投标书以及你方中标通知书，应构成你我双方间具有约束力的合同。</w:t>
      </w:r>
    </w:p>
    <w:p w14:paraId="25D2456B">
      <w:pPr>
        <w:ind w:firstLine="480" w:firstLineChars="200"/>
        <w:rPr>
          <w:rFonts w:ascii="宋体" w:hAnsi="宋体" w:eastAsia="宋体"/>
          <w:color w:val="auto"/>
          <w:sz w:val="24"/>
          <w:szCs w:val="24"/>
          <w:highlight w:val="none"/>
          <w:lang w:eastAsia="zh-CN"/>
        </w:rPr>
      </w:pPr>
    </w:p>
    <w:p w14:paraId="15F7123C">
      <w:pPr>
        <w:pStyle w:val="12"/>
        <w:ind w:firstLine="480" w:firstLineChars="200"/>
        <w:rPr>
          <w:rFonts w:hAnsi="宋体"/>
          <w:color w:val="auto"/>
          <w:sz w:val="24"/>
          <w:szCs w:val="24"/>
          <w:highlight w:val="none"/>
          <w:lang w:eastAsia="zh-CN"/>
        </w:rPr>
      </w:pPr>
      <w:r>
        <w:rPr>
          <w:rFonts w:hint="eastAsia" w:hAnsi="宋体"/>
          <w:color w:val="auto"/>
          <w:sz w:val="24"/>
          <w:szCs w:val="24"/>
          <w:highlight w:val="none"/>
          <w:lang w:eastAsia="zh-CN"/>
        </w:rPr>
        <w:t>投标人：</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lang w:eastAsia="zh-CN"/>
        </w:rPr>
        <w:t>（盖章）</w:t>
      </w:r>
    </w:p>
    <w:p w14:paraId="78679AC4">
      <w:pPr>
        <w:pStyle w:val="12"/>
        <w:ind w:firstLine="480" w:firstLineChars="200"/>
        <w:rPr>
          <w:rFonts w:hAnsi="宋体"/>
          <w:color w:val="auto"/>
          <w:sz w:val="24"/>
          <w:szCs w:val="24"/>
          <w:highlight w:val="none"/>
          <w:lang w:eastAsia="zh-CN"/>
        </w:rPr>
      </w:pPr>
      <w:r>
        <w:rPr>
          <w:rFonts w:hint="eastAsia" w:hAnsi="宋体"/>
          <w:color w:val="auto"/>
          <w:sz w:val="24"/>
          <w:szCs w:val="24"/>
          <w:highlight w:val="none"/>
          <w:lang w:eastAsia="zh-CN"/>
        </w:rPr>
        <w:t>法定代表人：</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lang w:eastAsia="zh-CN"/>
        </w:rPr>
        <w:t>（签字或盖章）</w:t>
      </w:r>
    </w:p>
    <w:p w14:paraId="4918C622">
      <w:pPr>
        <w:pStyle w:val="12"/>
        <w:ind w:firstLine="480" w:firstLineChars="200"/>
        <w:rPr>
          <w:rFonts w:hAnsi="宋体"/>
          <w:color w:val="auto"/>
          <w:sz w:val="24"/>
          <w:szCs w:val="24"/>
          <w:highlight w:val="none"/>
          <w:lang w:eastAsia="zh-CN"/>
        </w:rPr>
      </w:pPr>
      <w:r>
        <w:rPr>
          <w:rFonts w:hint="eastAsia" w:hAnsi="宋体"/>
          <w:color w:val="auto"/>
          <w:sz w:val="24"/>
          <w:szCs w:val="24"/>
          <w:highlight w:val="none"/>
          <w:lang w:eastAsia="zh-CN"/>
        </w:rPr>
        <w:t>委托代理人：</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lang w:eastAsia="zh-CN"/>
        </w:rPr>
        <w:t>（签字或盖章）</w:t>
      </w:r>
    </w:p>
    <w:p w14:paraId="5E3712E4">
      <w:pPr>
        <w:pStyle w:val="12"/>
        <w:ind w:firstLine="480" w:firstLineChars="200"/>
        <w:rPr>
          <w:rFonts w:hAnsi="宋体"/>
          <w:color w:val="auto"/>
          <w:sz w:val="24"/>
          <w:szCs w:val="24"/>
          <w:highlight w:val="none"/>
          <w:lang w:eastAsia="zh-CN"/>
        </w:rPr>
      </w:pPr>
      <w:r>
        <w:rPr>
          <w:rFonts w:hint="eastAsia" w:hAnsi="宋体"/>
          <w:color w:val="auto"/>
          <w:sz w:val="24"/>
          <w:szCs w:val="24"/>
          <w:highlight w:val="none"/>
          <w:lang w:eastAsia="zh-CN"/>
        </w:rPr>
        <w:t>地址：</w:t>
      </w:r>
    </w:p>
    <w:p w14:paraId="6A8C84A4">
      <w:pPr>
        <w:pStyle w:val="12"/>
        <w:ind w:firstLine="480" w:firstLineChars="200"/>
        <w:rPr>
          <w:rFonts w:hAnsi="宋体"/>
          <w:color w:val="auto"/>
          <w:sz w:val="24"/>
          <w:szCs w:val="24"/>
          <w:highlight w:val="none"/>
          <w:lang w:eastAsia="zh-CN"/>
        </w:rPr>
      </w:pPr>
      <w:r>
        <w:rPr>
          <w:rFonts w:hint="eastAsia" w:hAnsi="宋体"/>
          <w:color w:val="auto"/>
          <w:sz w:val="24"/>
          <w:szCs w:val="24"/>
          <w:highlight w:val="none"/>
          <w:lang w:eastAsia="zh-CN"/>
        </w:rPr>
        <w:t>邮政编码：</w:t>
      </w:r>
    </w:p>
    <w:p w14:paraId="3D0C8FDD">
      <w:pPr>
        <w:pStyle w:val="12"/>
        <w:ind w:firstLine="480" w:firstLineChars="200"/>
        <w:rPr>
          <w:rFonts w:hAnsi="宋体"/>
          <w:color w:val="auto"/>
          <w:sz w:val="24"/>
          <w:szCs w:val="24"/>
          <w:highlight w:val="none"/>
          <w:lang w:eastAsia="zh-CN"/>
        </w:rPr>
      </w:pPr>
      <w:r>
        <w:rPr>
          <w:rFonts w:hint="eastAsia" w:hAnsi="宋体"/>
          <w:color w:val="auto"/>
          <w:sz w:val="24"/>
          <w:szCs w:val="24"/>
          <w:highlight w:val="none"/>
          <w:lang w:eastAsia="zh-CN"/>
        </w:rPr>
        <w:t>电话/传真：</w:t>
      </w:r>
      <w:r>
        <w:rPr>
          <w:rFonts w:hint="eastAsia" w:hAnsi="宋体"/>
          <w:color w:val="auto"/>
          <w:sz w:val="24"/>
          <w:szCs w:val="24"/>
          <w:highlight w:val="none"/>
          <w:u w:val="single"/>
          <w:lang w:eastAsia="zh-CN"/>
        </w:rPr>
        <w:t xml:space="preserve">                    /FAX              </w:t>
      </w:r>
    </w:p>
    <w:p w14:paraId="794CB5BD">
      <w:pPr>
        <w:pStyle w:val="12"/>
        <w:ind w:firstLine="480" w:firstLineChars="200"/>
        <w:rPr>
          <w:rFonts w:hAnsi="宋体"/>
          <w:color w:val="auto"/>
          <w:sz w:val="24"/>
          <w:szCs w:val="24"/>
          <w:highlight w:val="none"/>
          <w:lang w:eastAsia="zh-CN"/>
        </w:rPr>
      </w:pPr>
      <w:r>
        <w:rPr>
          <w:rFonts w:hint="eastAsia" w:hAnsi="宋体"/>
          <w:color w:val="auto"/>
          <w:sz w:val="24"/>
          <w:szCs w:val="24"/>
          <w:highlight w:val="none"/>
          <w:lang w:eastAsia="zh-CN"/>
        </w:rPr>
        <w:t>电子邮箱：</w:t>
      </w:r>
    </w:p>
    <w:p w14:paraId="257C5E98">
      <w:pPr>
        <w:pStyle w:val="12"/>
        <w:ind w:firstLine="480" w:firstLineChars="200"/>
        <w:rPr>
          <w:rFonts w:hAnsi="宋体"/>
          <w:color w:val="auto"/>
          <w:sz w:val="24"/>
          <w:szCs w:val="24"/>
          <w:highlight w:val="none"/>
          <w:lang w:eastAsia="zh-CN"/>
        </w:rPr>
      </w:pPr>
      <w:r>
        <w:rPr>
          <w:rFonts w:hint="eastAsia" w:hAnsi="宋体"/>
          <w:color w:val="auto"/>
          <w:sz w:val="24"/>
          <w:szCs w:val="24"/>
          <w:highlight w:val="none"/>
          <w:lang w:eastAsia="zh-CN"/>
        </w:rPr>
        <w:t>开户银行名称、帐号：</w:t>
      </w:r>
    </w:p>
    <w:p w14:paraId="39FCE1FF">
      <w:pPr>
        <w:pStyle w:val="12"/>
        <w:ind w:firstLine="480" w:firstLineChars="200"/>
        <w:rPr>
          <w:rFonts w:hAnsi="宋体"/>
          <w:color w:val="auto"/>
          <w:sz w:val="24"/>
          <w:szCs w:val="24"/>
          <w:highlight w:val="none"/>
          <w:lang w:eastAsia="zh-CN"/>
        </w:rPr>
      </w:pPr>
      <w:r>
        <w:rPr>
          <w:rFonts w:hint="eastAsia" w:hAnsi="宋体"/>
          <w:color w:val="auto"/>
          <w:sz w:val="24"/>
          <w:szCs w:val="24"/>
          <w:highlight w:val="none"/>
          <w:lang w:eastAsia="zh-CN"/>
        </w:rPr>
        <w:t>开户行地址/电话：</w:t>
      </w:r>
    </w:p>
    <w:p w14:paraId="74AD1102">
      <w:pPr>
        <w:pStyle w:val="12"/>
        <w:ind w:firstLine="480" w:firstLineChars="200"/>
        <w:rPr>
          <w:rFonts w:hAnsi="宋体"/>
          <w:color w:val="auto"/>
          <w:sz w:val="24"/>
          <w:szCs w:val="24"/>
          <w:highlight w:val="none"/>
          <w:lang w:eastAsia="zh-CN"/>
        </w:rPr>
      </w:pPr>
    </w:p>
    <w:p w14:paraId="06C00ECF">
      <w:pPr>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 xml:space="preserve">                                     日期：       年    月    日</w:t>
      </w:r>
    </w:p>
    <w:p w14:paraId="23D51FA9">
      <w:pPr>
        <w:rPr>
          <w:rFonts w:hint="eastAsia" w:ascii="宋体" w:hAnsi="宋体" w:cs="宋体"/>
          <w:color w:val="auto"/>
          <w:sz w:val="24"/>
          <w:szCs w:val="24"/>
          <w:highlight w:val="none"/>
          <w:u w:val="single"/>
        </w:rPr>
      </w:pPr>
    </w:p>
    <w:p w14:paraId="686308B0">
      <w:pPr>
        <w:rPr>
          <w:rFonts w:hint="eastAsia" w:ascii="宋体" w:hAnsi="宋体" w:cs="宋体"/>
          <w:color w:val="auto"/>
          <w:sz w:val="24"/>
          <w:szCs w:val="24"/>
          <w:highlight w:val="none"/>
          <w:u w:val="single"/>
        </w:rPr>
      </w:pPr>
    </w:p>
    <w:p w14:paraId="2F673F9D">
      <w:pPr>
        <w:jc w:val="center"/>
        <w:rPr>
          <w:rFonts w:ascii="宋体" w:hAnsi="宋体"/>
          <w:bCs/>
          <w:color w:val="auto"/>
          <w:sz w:val="32"/>
          <w:szCs w:val="32"/>
          <w:highlight w:val="none"/>
        </w:rPr>
      </w:pPr>
      <w:r>
        <w:rPr>
          <w:rFonts w:hint="eastAsia" w:ascii="宋体" w:hAnsi="宋体"/>
          <w:color w:val="auto"/>
          <w:highlight w:val="none"/>
        </w:rPr>
        <w:br w:type="page"/>
      </w:r>
      <w:r>
        <w:rPr>
          <w:rFonts w:hint="eastAsia" w:ascii="宋体" w:hAnsi="宋体"/>
          <w:bCs/>
          <w:color w:val="auto"/>
          <w:sz w:val="32"/>
          <w:szCs w:val="32"/>
          <w:highlight w:val="none"/>
        </w:rPr>
        <w:t>投标书附录</w:t>
      </w:r>
    </w:p>
    <w:p w14:paraId="379BFE31">
      <w:pPr>
        <w:rPr>
          <w:rFonts w:ascii="宋体" w:hAnsi="宋体"/>
          <w:color w:val="auto"/>
          <w:highlight w:val="none"/>
        </w:rPr>
      </w:pPr>
    </w:p>
    <w:p w14:paraId="7ED25CA8">
      <w:pPr>
        <w:rPr>
          <w:rFonts w:ascii="宋体" w:hAnsi="宋体"/>
          <w:color w:val="auto"/>
          <w:sz w:val="23"/>
          <w:szCs w:val="23"/>
          <w:highlight w:val="none"/>
        </w:rPr>
      </w:pPr>
      <w:r>
        <w:rPr>
          <w:rFonts w:ascii="宋体" w:hAnsi="宋体"/>
          <w:color w:val="auto"/>
          <w:sz w:val="23"/>
          <w:szCs w:val="23"/>
          <w:highlight w:val="none"/>
        </w:rPr>
        <w:t xml:space="preserve"> </w:t>
      </w:r>
    </w:p>
    <w:tbl>
      <w:tblPr>
        <w:tblStyle w:val="23"/>
        <w:tblW w:w="8810" w:type="dxa"/>
        <w:jc w:val="center"/>
        <w:tblLayout w:type="fixed"/>
        <w:tblCellMar>
          <w:top w:w="0" w:type="dxa"/>
          <w:left w:w="0" w:type="dxa"/>
          <w:bottom w:w="0" w:type="dxa"/>
          <w:right w:w="0" w:type="dxa"/>
        </w:tblCellMar>
      </w:tblPr>
      <w:tblGrid>
        <w:gridCol w:w="1271"/>
        <w:gridCol w:w="2883"/>
        <w:gridCol w:w="2793"/>
        <w:gridCol w:w="1863"/>
      </w:tblGrid>
      <w:tr w14:paraId="266A32BC">
        <w:tblPrEx>
          <w:tblCellMar>
            <w:top w:w="0" w:type="dxa"/>
            <w:left w:w="0" w:type="dxa"/>
            <w:bottom w:w="0" w:type="dxa"/>
            <w:right w:w="0" w:type="dxa"/>
          </w:tblCellMar>
        </w:tblPrEx>
        <w:trPr>
          <w:trHeight w:val="538" w:hRule="atLeast"/>
          <w:jc w:val="center"/>
        </w:trPr>
        <w:tc>
          <w:tcPr>
            <w:tcW w:w="1271" w:type="dxa"/>
            <w:tcBorders>
              <w:top w:val="single" w:color="000000" w:sz="4" w:space="0"/>
              <w:left w:val="single" w:color="000000" w:sz="4" w:space="0"/>
              <w:bottom w:val="single" w:color="000000" w:sz="4" w:space="0"/>
              <w:right w:val="single" w:color="000000" w:sz="4" w:space="0"/>
            </w:tcBorders>
          </w:tcPr>
          <w:p w14:paraId="7128A0A3">
            <w:pPr>
              <w:pStyle w:val="34"/>
              <w:kinsoku w:val="0"/>
              <w:overflowPunct w:val="0"/>
              <w:spacing w:before="92"/>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2883" w:type="dxa"/>
            <w:tcBorders>
              <w:top w:val="single" w:color="000000" w:sz="4" w:space="0"/>
              <w:left w:val="nil"/>
              <w:bottom w:val="single" w:color="000000" w:sz="4" w:space="0"/>
              <w:right w:val="single" w:color="000000" w:sz="4" w:space="0"/>
            </w:tcBorders>
          </w:tcPr>
          <w:p w14:paraId="5DCA81DF">
            <w:pPr>
              <w:pStyle w:val="34"/>
              <w:kinsoku w:val="0"/>
              <w:overflowPunct w:val="0"/>
              <w:spacing w:before="92"/>
              <w:ind w:left="651"/>
              <w:rPr>
                <w:rFonts w:ascii="宋体" w:hAnsi="宋体" w:eastAsia="宋体"/>
                <w:color w:val="auto"/>
                <w:sz w:val="24"/>
                <w:szCs w:val="24"/>
                <w:highlight w:val="none"/>
              </w:rPr>
            </w:pPr>
            <w:r>
              <w:rPr>
                <w:rFonts w:hint="eastAsia" w:ascii="宋体" w:hAnsi="宋体" w:eastAsia="宋体"/>
                <w:color w:val="auto"/>
                <w:sz w:val="24"/>
                <w:szCs w:val="24"/>
                <w:highlight w:val="none"/>
              </w:rPr>
              <w:t>条款名称</w:t>
            </w:r>
          </w:p>
        </w:tc>
        <w:tc>
          <w:tcPr>
            <w:tcW w:w="2793" w:type="dxa"/>
            <w:tcBorders>
              <w:top w:val="single" w:color="000000" w:sz="4" w:space="0"/>
              <w:left w:val="nil"/>
              <w:bottom w:val="single" w:color="000000" w:sz="4" w:space="0"/>
              <w:right w:val="single" w:color="000000" w:sz="4" w:space="0"/>
            </w:tcBorders>
          </w:tcPr>
          <w:p w14:paraId="12BB2A63">
            <w:pPr>
              <w:pStyle w:val="34"/>
              <w:kinsoku w:val="0"/>
              <w:overflowPunct w:val="0"/>
              <w:spacing w:before="92"/>
              <w:ind w:left="707"/>
              <w:rPr>
                <w:rFonts w:ascii="宋体" w:hAnsi="宋体" w:eastAsia="宋体"/>
                <w:color w:val="auto"/>
                <w:sz w:val="24"/>
                <w:szCs w:val="24"/>
                <w:highlight w:val="none"/>
              </w:rPr>
            </w:pPr>
            <w:r>
              <w:rPr>
                <w:rFonts w:hint="eastAsia" w:ascii="宋体" w:hAnsi="宋体" w:eastAsia="宋体"/>
                <w:color w:val="auto"/>
                <w:sz w:val="24"/>
                <w:szCs w:val="24"/>
                <w:highlight w:val="none"/>
              </w:rPr>
              <w:t>约定内容</w:t>
            </w:r>
          </w:p>
        </w:tc>
        <w:tc>
          <w:tcPr>
            <w:tcW w:w="1863" w:type="dxa"/>
            <w:tcBorders>
              <w:top w:val="single" w:color="000000" w:sz="4" w:space="0"/>
              <w:left w:val="nil"/>
              <w:bottom w:val="single" w:color="000000" w:sz="4" w:space="0"/>
              <w:right w:val="single" w:color="000000" w:sz="4" w:space="0"/>
            </w:tcBorders>
          </w:tcPr>
          <w:p w14:paraId="133D01F5">
            <w:pPr>
              <w:pStyle w:val="34"/>
              <w:kinsoku w:val="0"/>
              <w:overflowPunct w:val="0"/>
              <w:spacing w:before="92"/>
              <w:ind w:right="3"/>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备注</w:t>
            </w:r>
          </w:p>
        </w:tc>
      </w:tr>
      <w:tr w14:paraId="39160C63">
        <w:tblPrEx>
          <w:tblCellMar>
            <w:top w:w="0" w:type="dxa"/>
            <w:left w:w="0" w:type="dxa"/>
            <w:bottom w:w="0" w:type="dxa"/>
            <w:right w:w="0" w:type="dxa"/>
          </w:tblCellMar>
        </w:tblPrEx>
        <w:trPr>
          <w:trHeight w:val="451" w:hRule="atLeast"/>
          <w:jc w:val="center"/>
        </w:trPr>
        <w:tc>
          <w:tcPr>
            <w:tcW w:w="1271" w:type="dxa"/>
            <w:tcBorders>
              <w:top w:val="single" w:color="000000" w:sz="4" w:space="0"/>
              <w:left w:val="single" w:color="000000" w:sz="4" w:space="0"/>
              <w:bottom w:val="single" w:color="000000" w:sz="4" w:space="0"/>
              <w:right w:val="single" w:color="000000" w:sz="4" w:space="0"/>
            </w:tcBorders>
            <w:vAlign w:val="center"/>
          </w:tcPr>
          <w:p w14:paraId="0B39951A">
            <w:pPr>
              <w:pStyle w:val="34"/>
              <w:kinsoku w:val="0"/>
              <w:overflowPunct w:val="0"/>
              <w:spacing w:before="93"/>
              <w:jc w:val="center"/>
              <w:rPr>
                <w:rFonts w:ascii="宋体" w:hAnsi="宋体" w:eastAsia="宋体"/>
                <w:color w:val="auto"/>
                <w:sz w:val="24"/>
                <w:szCs w:val="24"/>
                <w:highlight w:val="none"/>
              </w:rPr>
            </w:pPr>
            <w:r>
              <w:rPr>
                <w:rFonts w:ascii="宋体" w:hAnsi="宋体" w:eastAsia="宋体"/>
                <w:color w:val="auto"/>
                <w:sz w:val="24"/>
                <w:szCs w:val="24"/>
                <w:highlight w:val="none"/>
              </w:rPr>
              <w:t>1</w:t>
            </w:r>
          </w:p>
        </w:tc>
        <w:tc>
          <w:tcPr>
            <w:tcW w:w="2883" w:type="dxa"/>
            <w:tcBorders>
              <w:top w:val="single" w:color="000000" w:sz="4" w:space="0"/>
              <w:left w:val="nil"/>
              <w:bottom w:val="single" w:color="000000" w:sz="4" w:space="0"/>
              <w:right w:val="single" w:color="000000" w:sz="4" w:space="0"/>
            </w:tcBorders>
            <w:vAlign w:val="center"/>
          </w:tcPr>
          <w:p w14:paraId="2304473F">
            <w:pPr>
              <w:pStyle w:val="34"/>
              <w:kinsoku w:val="0"/>
              <w:overflowPunct w:val="0"/>
              <w:spacing w:before="106"/>
              <w:jc w:val="center"/>
              <w:rPr>
                <w:rFonts w:ascii="宋体" w:hAnsi="宋体" w:eastAsia="宋体"/>
                <w:color w:val="auto"/>
                <w:sz w:val="24"/>
                <w:szCs w:val="24"/>
                <w:highlight w:val="none"/>
              </w:rPr>
            </w:pPr>
            <w:r>
              <w:rPr>
                <w:rFonts w:hint="eastAsia" w:ascii="宋体" w:hAnsi="宋体" w:eastAsia="宋体"/>
                <w:color w:val="auto"/>
                <w:spacing w:val="-1"/>
                <w:sz w:val="24"/>
                <w:szCs w:val="24"/>
                <w:highlight w:val="none"/>
              </w:rPr>
              <w:t>项目负责人</w:t>
            </w:r>
          </w:p>
        </w:tc>
        <w:tc>
          <w:tcPr>
            <w:tcW w:w="2793" w:type="dxa"/>
            <w:tcBorders>
              <w:top w:val="single" w:color="000000" w:sz="4" w:space="0"/>
              <w:left w:val="nil"/>
              <w:bottom w:val="single" w:color="000000" w:sz="4" w:space="0"/>
              <w:right w:val="single" w:color="000000" w:sz="4" w:space="0"/>
            </w:tcBorders>
            <w:vAlign w:val="center"/>
          </w:tcPr>
          <w:p w14:paraId="5C21EA0B">
            <w:pPr>
              <w:pStyle w:val="34"/>
              <w:kinsoku w:val="0"/>
              <w:overflowPunct w:val="0"/>
              <w:spacing w:before="94"/>
              <w:ind w:left="0" w:firstLine="240" w:firstLineChars="100"/>
              <w:rPr>
                <w:rFonts w:ascii="宋体" w:hAnsi="宋体" w:eastAsia="宋体"/>
                <w:color w:val="auto"/>
                <w:sz w:val="24"/>
                <w:szCs w:val="24"/>
                <w:highlight w:val="none"/>
              </w:rPr>
            </w:pPr>
            <w:r>
              <w:rPr>
                <w:rFonts w:hint="eastAsia" w:ascii="宋体" w:hAnsi="宋体" w:eastAsia="宋体"/>
                <w:color w:val="auto"/>
                <w:sz w:val="24"/>
                <w:szCs w:val="24"/>
                <w:highlight w:val="none"/>
              </w:rPr>
              <w:t>姓名：</w:t>
            </w:r>
          </w:p>
        </w:tc>
        <w:tc>
          <w:tcPr>
            <w:tcW w:w="1863" w:type="dxa"/>
            <w:tcBorders>
              <w:top w:val="single" w:color="000000" w:sz="4" w:space="0"/>
              <w:left w:val="nil"/>
              <w:bottom w:val="single" w:color="000000" w:sz="4" w:space="0"/>
              <w:right w:val="single" w:color="000000" w:sz="4" w:space="0"/>
            </w:tcBorders>
          </w:tcPr>
          <w:p w14:paraId="18C219ED">
            <w:pPr>
              <w:rPr>
                <w:rFonts w:ascii="宋体" w:hAnsi="宋体" w:cs="Calibri"/>
                <w:color w:val="auto"/>
                <w:sz w:val="24"/>
                <w:szCs w:val="24"/>
                <w:highlight w:val="none"/>
              </w:rPr>
            </w:pPr>
          </w:p>
        </w:tc>
      </w:tr>
      <w:tr w14:paraId="0AF6CBD1">
        <w:tblPrEx>
          <w:tblCellMar>
            <w:top w:w="0" w:type="dxa"/>
            <w:left w:w="0" w:type="dxa"/>
            <w:bottom w:w="0" w:type="dxa"/>
            <w:right w:w="0" w:type="dxa"/>
          </w:tblCellMar>
        </w:tblPrEx>
        <w:trPr>
          <w:trHeight w:val="449" w:hRule="atLeast"/>
          <w:jc w:val="center"/>
        </w:trPr>
        <w:tc>
          <w:tcPr>
            <w:tcW w:w="1271" w:type="dxa"/>
            <w:tcBorders>
              <w:top w:val="single" w:color="000000" w:sz="4" w:space="0"/>
              <w:left w:val="single" w:color="000000" w:sz="4" w:space="0"/>
              <w:bottom w:val="single" w:color="000000" w:sz="4" w:space="0"/>
              <w:right w:val="single" w:color="000000" w:sz="4" w:space="0"/>
            </w:tcBorders>
            <w:vAlign w:val="center"/>
          </w:tcPr>
          <w:p w14:paraId="3CD51ABC">
            <w:pPr>
              <w:pStyle w:val="34"/>
              <w:kinsoku w:val="0"/>
              <w:overflowPunct w:val="0"/>
              <w:spacing w:before="91"/>
              <w:jc w:val="center"/>
              <w:rPr>
                <w:rFonts w:ascii="宋体" w:hAnsi="宋体" w:eastAsia="宋体"/>
                <w:color w:val="auto"/>
                <w:sz w:val="24"/>
                <w:szCs w:val="24"/>
                <w:highlight w:val="none"/>
              </w:rPr>
            </w:pPr>
            <w:r>
              <w:rPr>
                <w:rFonts w:ascii="宋体" w:hAnsi="宋体" w:eastAsia="宋体"/>
                <w:color w:val="auto"/>
                <w:sz w:val="24"/>
                <w:szCs w:val="24"/>
                <w:highlight w:val="none"/>
              </w:rPr>
              <w:t>2</w:t>
            </w:r>
          </w:p>
        </w:tc>
        <w:tc>
          <w:tcPr>
            <w:tcW w:w="2883" w:type="dxa"/>
            <w:tcBorders>
              <w:top w:val="single" w:color="000000" w:sz="4" w:space="0"/>
              <w:left w:val="nil"/>
              <w:bottom w:val="single" w:color="000000" w:sz="4" w:space="0"/>
              <w:right w:val="single" w:color="000000" w:sz="4" w:space="0"/>
            </w:tcBorders>
            <w:vAlign w:val="center"/>
          </w:tcPr>
          <w:p w14:paraId="58740116">
            <w:pPr>
              <w:pStyle w:val="34"/>
              <w:kinsoku w:val="0"/>
              <w:overflowPunct w:val="0"/>
              <w:spacing w:before="106"/>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rPr>
              <w:t>投标内容</w:t>
            </w:r>
          </w:p>
        </w:tc>
        <w:tc>
          <w:tcPr>
            <w:tcW w:w="2793" w:type="dxa"/>
            <w:tcBorders>
              <w:top w:val="single" w:color="000000" w:sz="4" w:space="0"/>
              <w:left w:val="nil"/>
              <w:bottom w:val="single" w:color="000000" w:sz="4" w:space="0"/>
              <w:right w:val="single" w:color="000000" w:sz="4" w:space="0"/>
            </w:tcBorders>
            <w:vAlign w:val="center"/>
          </w:tcPr>
          <w:p w14:paraId="6632142E">
            <w:pPr>
              <w:ind w:left="-6" w:leftChars="-3" w:firstLine="183" w:firstLineChars="77"/>
              <w:jc w:val="left"/>
              <w:rPr>
                <w:rFonts w:ascii="宋体" w:hAnsi="宋体"/>
                <w:color w:val="auto"/>
                <w:spacing w:val="-1"/>
                <w:sz w:val="24"/>
                <w:szCs w:val="24"/>
                <w:highlight w:val="none"/>
              </w:rPr>
            </w:pPr>
            <w:r>
              <w:rPr>
                <w:rFonts w:hint="eastAsia" w:ascii="宋体" w:hAnsi="宋体"/>
                <w:color w:val="auto"/>
                <w:spacing w:val="-1"/>
                <w:sz w:val="24"/>
                <w:szCs w:val="24"/>
                <w:highlight w:val="none"/>
              </w:rPr>
              <w:t>按招标文件要求</w:t>
            </w:r>
          </w:p>
        </w:tc>
        <w:tc>
          <w:tcPr>
            <w:tcW w:w="1863" w:type="dxa"/>
            <w:tcBorders>
              <w:top w:val="single" w:color="000000" w:sz="4" w:space="0"/>
              <w:left w:val="nil"/>
              <w:bottom w:val="single" w:color="000000" w:sz="4" w:space="0"/>
              <w:right w:val="single" w:color="000000" w:sz="4" w:space="0"/>
            </w:tcBorders>
          </w:tcPr>
          <w:p w14:paraId="11E3F58A">
            <w:pPr>
              <w:rPr>
                <w:rFonts w:ascii="宋体" w:hAnsi="宋体" w:cs="Calibri"/>
                <w:color w:val="auto"/>
                <w:sz w:val="24"/>
                <w:szCs w:val="24"/>
                <w:highlight w:val="none"/>
              </w:rPr>
            </w:pPr>
          </w:p>
        </w:tc>
      </w:tr>
      <w:tr w14:paraId="6D23FB5C">
        <w:tblPrEx>
          <w:tblCellMar>
            <w:top w:w="0" w:type="dxa"/>
            <w:left w:w="0" w:type="dxa"/>
            <w:bottom w:w="0" w:type="dxa"/>
            <w:right w:w="0" w:type="dxa"/>
          </w:tblCellMar>
        </w:tblPrEx>
        <w:trPr>
          <w:trHeight w:val="451" w:hRule="atLeast"/>
          <w:jc w:val="center"/>
        </w:trPr>
        <w:tc>
          <w:tcPr>
            <w:tcW w:w="1271" w:type="dxa"/>
            <w:tcBorders>
              <w:top w:val="single" w:color="000000" w:sz="4" w:space="0"/>
              <w:left w:val="single" w:color="000000" w:sz="4" w:space="0"/>
              <w:bottom w:val="single" w:color="000000" w:sz="4" w:space="0"/>
              <w:right w:val="single" w:color="000000" w:sz="4" w:space="0"/>
            </w:tcBorders>
            <w:vAlign w:val="center"/>
          </w:tcPr>
          <w:p w14:paraId="182A1917">
            <w:pPr>
              <w:pStyle w:val="34"/>
              <w:kinsoku w:val="0"/>
              <w:overflowPunct w:val="0"/>
              <w:spacing w:before="93"/>
              <w:jc w:val="center"/>
              <w:rPr>
                <w:rFonts w:ascii="宋体" w:hAnsi="宋体" w:eastAsia="宋体"/>
                <w:color w:val="auto"/>
                <w:sz w:val="24"/>
                <w:szCs w:val="24"/>
                <w:highlight w:val="none"/>
              </w:rPr>
            </w:pPr>
            <w:r>
              <w:rPr>
                <w:rFonts w:ascii="宋体" w:hAnsi="宋体" w:eastAsia="宋体"/>
                <w:color w:val="auto"/>
                <w:sz w:val="24"/>
                <w:szCs w:val="24"/>
                <w:highlight w:val="none"/>
              </w:rPr>
              <w:t>3</w:t>
            </w:r>
          </w:p>
        </w:tc>
        <w:tc>
          <w:tcPr>
            <w:tcW w:w="2883" w:type="dxa"/>
            <w:tcBorders>
              <w:top w:val="single" w:color="000000" w:sz="4" w:space="0"/>
              <w:left w:val="nil"/>
              <w:bottom w:val="single" w:color="000000" w:sz="4" w:space="0"/>
              <w:right w:val="single" w:color="000000" w:sz="4" w:space="0"/>
            </w:tcBorders>
            <w:vAlign w:val="center"/>
          </w:tcPr>
          <w:p w14:paraId="2CA235AA">
            <w:pPr>
              <w:pStyle w:val="34"/>
              <w:kinsoku w:val="0"/>
              <w:overflowPunct w:val="0"/>
              <w:spacing w:before="106"/>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lang w:eastAsia="zh-CN"/>
              </w:rPr>
              <w:t>设计</w:t>
            </w:r>
            <w:r>
              <w:rPr>
                <w:rFonts w:hint="eastAsia" w:ascii="宋体" w:hAnsi="宋体" w:eastAsia="宋体"/>
                <w:color w:val="auto"/>
                <w:spacing w:val="-1"/>
                <w:sz w:val="24"/>
                <w:szCs w:val="24"/>
                <w:highlight w:val="none"/>
              </w:rPr>
              <w:t>服务期限</w:t>
            </w:r>
          </w:p>
        </w:tc>
        <w:tc>
          <w:tcPr>
            <w:tcW w:w="2793" w:type="dxa"/>
            <w:tcBorders>
              <w:top w:val="single" w:color="000000" w:sz="4" w:space="0"/>
              <w:left w:val="nil"/>
              <w:bottom w:val="single" w:color="000000" w:sz="4" w:space="0"/>
              <w:right w:val="single" w:color="000000" w:sz="4" w:space="0"/>
            </w:tcBorders>
            <w:vAlign w:val="center"/>
          </w:tcPr>
          <w:p w14:paraId="07114CAD">
            <w:pPr>
              <w:ind w:left="-6" w:leftChars="-3" w:firstLine="183" w:firstLineChars="77"/>
              <w:jc w:val="left"/>
              <w:rPr>
                <w:rFonts w:ascii="宋体" w:hAnsi="宋体" w:cs="Calibri"/>
                <w:color w:val="auto"/>
                <w:spacing w:val="-1"/>
                <w:sz w:val="24"/>
                <w:szCs w:val="24"/>
                <w:highlight w:val="none"/>
              </w:rPr>
            </w:pPr>
            <w:r>
              <w:rPr>
                <w:rFonts w:hint="eastAsia" w:ascii="宋体" w:hAnsi="宋体"/>
                <w:color w:val="auto"/>
                <w:spacing w:val="-1"/>
                <w:sz w:val="24"/>
                <w:szCs w:val="24"/>
                <w:highlight w:val="none"/>
              </w:rPr>
              <w:t>按招标文件要求</w:t>
            </w:r>
          </w:p>
        </w:tc>
        <w:tc>
          <w:tcPr>
            <w:tcW w:w="1863" w:type="dxa"/>
            <w:tcBorders>
              <w:top w:val="single" w:color="000000" w:sz="4" w:space="0"/>
              <w:left w:val="nil"/>
              <w:bottom w:val="single" w:color="000000" w:sz="4" w:space="0"/>
              <w:right w:val="single" w:color="000000" w:sz="4" w:space="0"/>
            </w:tcBorders>
          </w:tcPr>
          <w:p w14:paraId="20820D19">
            <w:pPr>
              <w:rPr>
                <w:rFonts w:ascii="宋体" w:hAnsi="宋体" w:cs="Calibri"/>
                <w:color w:val="auto"/>
                <w:sz w:val="24"/>
                <w:szCs w:val="24"/>
                <w:highlight w:val="none"/>
              </w:rPr>
            </w:pPr>
          </w:p>
        </w:tc>
      </w:tr>
      <w:tr w14:paraId="07495E1D">
        <w:tblPrEx>
          <w:tblCellMar>
            <w:top w:w="0" w:type="dxa"/>
            <w:left w:w="0" w:type="dxa"/>
            <w:bottom w:w="0" w:type="dxa"/>
            <w:right w:w="0" w:type="dxa"/>
          </w:tblCellMar>
        </w:tblPrEx>
        <w:trPr>
          <w:trHeight w:val="603" w:hRule="atLeast"/>
          <w:jc w:val="center"/>
        </w:trPr>
        <w:tc>
          <w:tcPr>
            <w:tcW w:w="1271" w:type="dxa"/>
            <w:tcBorders>
              <w:top w:val="single" w:color="000000" w:sz="4" w:space="0"/>
              <w:left w:val="single" w:color="000000" w:sz="4" w:space="0"/>
              <w:bottom w:val="single" w:color="000000" w:sz="4" w:space="0"/>
              <w:right w:val="single" w:color="000000" w:sz="4" w:space="0"/>
            </w:tcBorders>
            <w:vAlign w:val="center"/>
          </w:tcPr>
          <w:p w14:paraId="135E6F51">
            <w:pPr>
              <w:pStyle w:val="34"/>
              <w:kinsoku w:val="0"/>
              <w:overflowPunct w:val="0"/>
              <w:spacing w:line="234"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4</w:t>
            </w:r>
          </w:p>
        </w:tc>
        <w:tc>
          <w:tcPr>
            <w:tcW w:w="2883" w:type="dxa"/>
            <w:tcBorders>
              <w:top w:val="single" w:color="000000" w:sz="4" w:space="0"/>
              <w:left w:val="nil"/>
              <w:bottom w:val="single" w:color="000000" w:sz="4" w:space="0"/>
              <w:right w:val="single" w:color="000000" w:sz="4" w:space="0"/>
            </w:tcBorders>
            <w:vAlign w:val="center"/>
          </w:tcPr>
          <w:p w14:paraId="58C58BFD">
            <w:pPr>
              <w:pStyle w:val="34"/>
              <w:kinsoku w:val="0"/>
              <w:overflowPunct w:val="0"/>
              <w:spacing w:line="240" w:lineRule="auto"/>
              <w:jc w:val="center"/>
              <w:rPr>
                <w:rFonts w:ascii="宋体" w:hAnsi="宋体" w:eastAsia="宋体"/>
                <w:color w:val="auto"/>
                <w:spacing w:val="-1"/>
                <w:sz w:val="24"/>
                <w:szCs w:val="24"/>
                <w:highlight w:val="none"/>
              </w:rPr>
            </w:pPr>
            <w:r>
              <w:rPr>
                <w:rFonts w:hint="eastAsia" w:ascii="宋体" w:hAnsi="宋体" w:eastAsia="宋体"/>
                <w:color w:val="auto"/>
                <w:spacing w:val="-1"/>
                <w:sz w:val="24"/>
                <w:szCs w:val="24"/>
                <w:highlight w:val="none"/>
                <w:lang w:eastAsia="zh-CN"/>
              </w:rPr>
              <w:t>质量标准</w:t>
            </w:r>
          </w:p>
        </w:tc>
        <w:tc>
          <w:tcPr>
            <w:tcW w:w="2793" w:type="dxa"/>
            <w:tcBorders>
              <w:top w:val="single" w:color="000000" w:sz="4" w:space="0"/>
              <w:left w:val="nil"/>
              <w:bottom w:val="single" w:color="000000" w:sz="4" w:space="0"/>
              <w:right w:val="single" w:color="000000" w:sz="4" w:space="0"/>
            </w:tcBorders>
            <w:vAlign w:val="center"/>
          </w:tcPr>
          <w:p w14:paraId="4CF3D819">
            <w:pPr>
              <w:ind w:left="-6" w:leftChars="-3" w:firstLine="183" w:firstLineChars="77"/>
              <w:jc w:val="left"/>
              <w:rPr>
                <w:rFonts w:ascii="宋体" w:hAnsi="宋体" w:cs="Calibri"/>
                <w:color w:val="auto"/>
                <w:spacing w:val="-1"/>
                <w:sz w:val="24"/>
                <w:szCs w:val="24"/>
                <w:highlight w:val="none"/>
              </w:rPr>
            </w:pPr>
            <w:r>
              <w:rPr>
                <w:rFonts w:hint="eastAsia" w:ascii="宋体" w:hAnsi="宋体"/>
                <w:color w:val="auto"/>
                <w:spacing w:val="-1"/>
                <w:sz w:val="24"/>
                <w:szCs w:val="24"/>
                <w:highlight w:val="none"/>
              </w:rPr>
              <w:t>按招标文件要求</w:t>
            </w:r>
          </w:p>
        </w:tc>
        <w:tc>
          <w:tcPr>
            <w:tcW w:w="1863" w:type="dxa"/>
            <w:tcBorders>
              <w:top w:val="single" w:color="000000" w:sz="4" w:space="0"/>
              <w:left w:val="nil"/>
              <w:bottom w:val="single" w:color="000000" w:sz="4" w:space="0"/>
              <w:right w:val="single" w:color="000000" w:sz="4" w:space="0"/>
            </w:tcBorders>
          </w:tcPr>
          <w:p w14:paraId="6AAF1E48">
            <w:pPr>
              <w:spacing w:before="106"/>
              <w:ind w:left="548"/>
              <w:rPr>
                <w:rFonts w:ascii="宋体" w:hAnsi="宋体" w:cs="Calibri"/>
                <w:color w:val="auto"/>
                <w:sz w:val="24"/>
                <w:szCs w:val="24"/>
                <w:highlight w:val="none"/>
              </w:rPr>
            </w:pPr>
          </w:p>
        </w:tc>
      </w:tr>
      <w:tr w14:paraId="6208174B">
        <w:tblPrEx>
          <w:tblCellMar>
            <w:top w:w="0" w:type="dxa"/>
            <w:left w:w="0" w:type="dxa"/>
            <w:bottom w:w="0" w:type="dxa"/>
            <w:right w:w="0" w:type="dxa"/>
          </w:tblCellMar>
        </w:tblPrEx>
        <w:trPr>
          <w:trHeight w:val="646" w:hRule="atLeast"/>
          <w:jc w:val="center"/>
        </w:trPr>
        <w:tc>
          <w:tcPr>
            <w:tcW w:w="1271" w:type="dxa"/>
            <w:tcBorders>
              <w:top w:val="single" w:color="000000" w:sz="4" w:space="0"/>
              <w:left w:val="single" w:color="000000" w:sz="4" w:space="0"/>
              <w:bottom w:val="single" w:color="000000" w:sz="4" w:space="0"/>
              <w:right w:val="single" w:color="000000" w:sz="4" w:space="0"/>
            </w:tcBorders>
            <w:vAlign w:val="center"/>
          </w:tcPr>
          <w:p w14:paraId="5956503A">
            <w:pPr>
              <w:pStyle w:val="34"/>
              <w:kinsoku w:val="0"/>
              <w:overflowPunct w:val="0"/>
              <w:spacing w:line="234" w:lineRule="exact"/>
              <w:jc w:val="center"/>
              <w:rPr>
                <w:rFonts w:ascii="宋体" w:hAnsi="宋体" w:eastAsia="宋体"/>
                <w:color w:val="auto"/>
                <w:sz w:val="24"/>
                <w:szCs w:val="24"/>
                <w:highlight w:val="none"/>
                <w:u w:val="none"/>
              </w:rPr>
            </w:pPr>
            <w:r>
              <w:rPr>
                <w:rFonts w:hint="eastAsia" w:ascii="宋体" w:hAnsi="宋体" w:eastAsia="宋体"/>
                <w:color w:val="auto"/>
                <w:sz w:val="24"/>
                <w:szCs w:val="24"/>
                <w:highlight w:val="none"/>
                <w:u w:val="none"/>
              </w:rPr>
              <w:t>5</w:t>
            </w:r>
          </w:p>
        </w:tc>
        <w:tc>
          <w:tcPr>
            <w:tcW w:w="2883" w:type="dxa"/>
            <w:tcBorders>
              <w:top w:val="single" w:color="000000" w:sz="4" w:space="0"/>
              <w:left w:val="single" w:color="000000" w:sz="4" w:space="0"/>
              <w:bottom w:val="single" w:color="000000" w:sz="4" w:space="0"/>
              <w:right w:val="single" w:color="000000" w:sz="4" w:space="0"/>
            </w:tcBorders>
            <w:vAlign w:val="center"/>
          </w:tcPr>
          <w:p w14:paraId="65E553F1">
            <w:pPr>
              <w:pStyle w:val="34"/>
              <w:kinsoku w:val="0"/>
              <w:overflowPunct w:val="0"/>
              <w:spacing w:before="106"/>
              <w:jc w:val="center"/>
              <w:rPr>
                <w:rFonts w:ascii="宋体" w:hAnsi="宋体" w:eastAsia="宋体"/>
                <w:color w:val="auto"/>
                <w:spacing w:val="-1"/>
                <w:sz w:val="24"/>
                <w:szCs w:val="24"/>
                <w:highlight w:val="none"/>
                <w:u w:val="none"/>
              </w:rPr>
            </w:pPr>
            <w:r>
              <w:rPr>
                <w:rFonts w:hint="eastAsia" w:ascii="宋体" w:hAnsi="宋体" w:eastAsia="宋体"/>
                <w:color w:val="auto"/>
                <w:spacing w:val="-1"/>
                <w:sz w:val="24"/>
                <w:szCs w:val="24"/>
                <w:highlight w:val="none"/>
                <w:u w:val="none"/>
              </w:rPr>
              <w:t>投标有效期</w:t>
            </w:r>
          </w:p>
        </w:tc>
        <w:tc>
          <w:tcPr>
            <w:tcW w:w="2793" w:type="dxa"/>
            <w:tcBorders>
              <w:top w:val="single" w:color="000000" w:sz="4" w:space="0"/>
              <w:left w:val="single" w:color="000000" w:sz="4" w:space="0"/>
              <w:bottom w:val="single" w:color="000000" w:sz="4" w:space="0"/>
              <w:right w:val="single" w:color="000000" w:sz="4" w:space="0"/>
            </w:tcBorders>
            <w:vAlign w:val="center"/>
          </w:tcPr>
          <w:p w14:paraId="7AFDE28A">
            <w:pPr>
              <w:ind w:left="-6" w:leftChars="-3" w:firstLine="183" w:firstLineChars="77"/>
              <w:jc w:val="left"/>
              <w:rPr>
                <w:rFonts w:ascii="宋体" w:hAnsi="宋体" w:cs="Calibri"/>
                <w:color w:val="auto"/>
                <w:spacing w:val="-1"/>
                <w:sz w:val="24"/>
                <w:szCs w:val="24"/>
                <w:highlight w:val="none"/>
                <w:u w:val="none"/>
              </w:rPr>
            </w:pPr>
            <w:r>
              <w:rPr>
                <w:rFonts w:hint="eastAsia" w:ascii="宋体" w:hAnsi="宋体"/>
                <w:color w:val="auto"/>
                <w:spacing w:val="-1"/>
                <w:sz w:val="24"/>
                <w:szCs w:val="24"/>
                <w:highlight w:val="none"/>
                <w:u w:val="none"/>
              </w:rPr>
              <w:t>按招标文件要求</w:t>
            </w:r>
          </w:p>
        </w:tc>
        <w:tc>
          <w:tcPr>
            <w:tcW w:w="1863" w:type="dxa"/>
            <w:tcBorders>
              <w:top w:val="single" w:color="000000" w:sz="4" w:space="0"/>
              <w:left w:val="single" w:color="000000" w:sz="4" w:space="0"/>
              <w:bottom w:val="single" w:color="000000" w:sz="4" w:space="0"/>
              <w:right w:val="single" w:color="000000" w:sz="4" w:space="0"/>
            </w:tcBorders>
          </w:tcPr>
          <w:p w14:paraId="6D1DEF9B">
            <w:pPr>
              <w:rPr>
                <w:rFonts w:ascii="宋体" w:hAnsi="宋体" w:cs="Calibri"/>
                <w:color w:val="auto"/>
                <w:sz w:val="24"/>
                <w:szCs w:val="24"/>
                <w:highlight w:val="none"/>
                <w:u w:val="none"/>
              </w:rPr>
            </w:pPr>
          </w:p>
        </w:tc>
      </w:tr>
    </w:tbl>
    <w:p w14:paraId="03449717">
      <w:pPr>
        <w:pStyle w:val="9"/>
        <w:pBdr>
          <w:top w:val="single" w:color="auto" w:sz="4" w:space="0"/>
        </w:pBdr>
        <w:kinsoku w:val="0"/>
        <w:overflowPunct w:val="0"/>
        <w:spacing w:before="6"/>
        <w:rPr>
          <w:rFonts w:cs="Calibri"/>
          <w:color w:val="auto"/>
          <w:sz w:val="20"/>
          <w:szCs w:val="20"/>
          <w:highlight w:val="none"/>
        </w:rPr>
      </w:pPr>
    </w:p>
    <w:p w14:paraId="50449CD6">
      <w:pPr>
        <w:pStyle w:val="9"/>
        <w:pBdr>
          <w:top w:val="single" w:color="auto" w:sz="4" w:space="0"/>
        </w:pBdr>
        <w:kinsoku w:val="0"/>
        <w:overflowPunct w:val="0"/>
        <w:spacing w:before="6"/>
        <w:rPr>
          <w:rFonts w:cs="Calibri"/>
          <w:color w:val="auto"/>
          <w:sz w:val="20"/>
          <w:szCs w:val="20"/>
          <w:highlight w:val="none"/>
        </w:rPr>
      </w:pPr>
    </w:p>
    <w:p w14:paraId="3DC9653F">
      <w:pPr>
        <w:pStyle w:val="9"/>
        <w:pBdr>
          <w:top w:val="single" w:color="auto" w:sz="4" w:space="0"/>
        </w:pBdr>
        <w:kinsoku w:val="0"/>
        <w:overflowPunct w:val="0"/>
        <w:spacing w:before="6"/>
        <w:rPr>
          <w:color w:val="auto"/>
          <w:spacing w:val="-1"/>
          <w:sz w:val="24"/>
          <w:szCs w:val="24"/>
          <w:highlight w:val="none"/>
        </w:rPr>
      </w:pPr>
      <w:r>
        <w:rPr>
          <w:rFonts w:hint="eastAsia"/>
          <w:color w:val="auto"/>
          <w:sz w:val="24"/>
          <w:szCs w:val="24"/>
          <w:highlight w:val="none"/>
        </w:rPr>
        <w:t>投</w:t>
      </w:r>
      <w:r>
        <w:rPr>
          <w:color w:val="auto"/>
          <w:sz w:val="24"/>
          <w:szCs w:val="24"/>
          <w:highlight w:val="none"/>
        </w:rPr>
        <w:t xml:space="preserve"> </w:t>
      </w:r>
      <w:r>
        <w:rPr>
          <w:rFonts w:hint="eastAsia"/>
          <w:color w:val="auto"/>
          <w:sz w:val="24"/>
          <w:szCs w:val="24"/>
          <w:highlight w:val="none"/>
        </w:rPr>
        <w:t>标</w:t>
      </w:r>
      <w:r>
        <w:rPr>
          <w:color w:val="auto"/>
          <w:spacing w:val="-2"/>
          <w:sz w:val="24"/>
          <w:szCs w:val="24"/>
          <w:highlight w:val="none"/>
        </w:rPr>
        <w:t xml:space="preserve"> </w:t>
      </w:r>
      <w:r>
        <w:rPr>
          <w:rFonts w:hint="eastAsia"/>
          <w:color w:val="auto"/>
          <w:spacing w:val="-2"/>
          <w:sz w:val="24"/>
          <w:szCs w:val="24"/>
          <w:highlight w:val="none"/>
        </w:rPr>
        <w:t>人：</w:t>
      </w:r>
      <w:r>
        <w:rPr>
          <w:rFonts w:hint="eastAsia"/>
          <w:color w:val="auto"/>
          <w:spacing w:val="-2"/>
          <w:sz w:val="24"/>
          <w:szCs w:val="24"/>
          <w:highlight w:val="none"/>
          <w:u w:val="single"/>
        </w:rPr>
        <w:t xml:space="preserve"> </w:t>
      </w:r>
      <w:r>
        <w:rPr>
          <w:color w:val="auto"/>
          <w:spacing w:val="-2"/>
          <w:sz w:val="24"/>
          <w:szCs w:val="24"/>
          <w:highlight w:val="none"/>
          <w:u w:val="single"/>
        </w:rPr>
        <w:t xml:space="preserve">      </w:t>
      </w:r>
      <w:r>
        <w:rPr>
          <w:color w:val="auto"/>
          <w:spacing w:val="-2"/>
          <w:sz w:val="24"/>
          <w:szCs w:val="24"/>
          <w:highlight w:val="none"/>
          <w:u w:val="single"/>
        </w:rPr>
        <w:tab/>
      </w:r>
    </w:p>
    <w:p w14:paraId="5D162E0C">
      <w:pPr>
        <w:pStyle w:val="9"/>
        <w:pBdr>
          <w:top w:val="single" w:color="auto" w:sz="4" w:space="0"/>
        </w:pBdr>
        <w:kinsoku w:val="0"/>
        <w:overflowPunct w:val="0"/>
        <w:spacing w:before="6"/>
        <w:rPr>
          <w:color w:val="auto"/>
          <w:sz w:val="24"/>
          <w:szCs w:val="24"/>
          <w:highlight w:val="none"/>
        </w:rPr>
      </w:pPr>
    </w:p>
    <w:p w14:paraId="438AB949">
      <w:pPr>
        <w:spacing w:line="360" w:lineRule="auto"/>
        <w:rPr>
          <w:rFonts w:ascii="宋体" w:hAnsi="宋体"/>
          <w:color w:val="auto"/>
          <w:highlight w:val="none"/>
        </w:rPr>
      </w:pPr>
    </w:p>
    <w:p w14:paraId="4F25E0A2">
      <w:pPr>
        <w:spacing w:line="360" w:lineRule="auto"/>
        <w:rPr>
          <w:rFonts w:ascii="宋体" w:hAnsi="宋体"/>
          <w:color w:val="auto"/>
          <w:highlight w:val="none"/>
        </w:rPr>
      </w:pPr>
    </w:p>
    <w:p w14:paraId="0C28104F">
      <w:pPr>
        <w:spacing w:line="360" w:lineRule="auto"/>
        <w:rPr>
          <w:rFonts w:ascii="宋体" w:hAnsi="宋体"/>
          <w:color w:val="auto"/>
          <w:highlight w:val="none"/>
        </w:rPr>
      </w:pPr>
    </w:p>
    <w:p w14:paraId="301477E5">
      <w:pPr>
        <w:spacing w:line="360" w:lineRule="auto"/>
        <w:rPr>
          <w:rFonts w:ascii="宋体"/>
          <w:color w:val="auto"/>
          <w:highlight w:val="none"/>
        </w:rPr>
      </w:pPr>
      <w:r>
        <w:rPr>
          <w:rFonts w:ascii="宋体" w:hAnsi="宋体"/>
          <w:color w:val="auto"/>
          <w:highlight w:val="none"/>
        </w:rPr>
        <w:t xml:space="preserve"> </w:t>
      </w:r>
    </w:p>
    <w:p w14:paraId="533C3E45">
      <w:pPr>
        <w:autoSpaceDE w:val="0"/>
        <w:autoSpaceDN w:val="0"/>
        <w:adjustRightInd w:val="0"/>
        <w:spacing w:line="466" w:lineRule="exact"/>
        <w:ind w:right="-20"/>
        <w:outlineLvl w:val="0"/>
        <w:rPr>
          <w:rFonts w:ascii="宋体" w:hAnsi="宋体"/>
          <w:color w:val="auto"/>
          <w:position w:val="-1"/>
          <w:sz w:val="32"/>
          <w:szCs w:val="32"/>
          <w:highlight w:val="none"/>
        </w:rPr>
      </w:pPr>
      <w:r>
        <w:rPr>
          <w:rFonts w:ascii="宋体" w:hAnsi="宋体"/>
          <w:color w:val="auto"/>
          <w:highlight w:val="none"/>
        </w:rPr>
        <w:br w:type="page"/>
      </w:r>
      <w:bookmarkStart w:id="31" w:name="_Toc8458"/>
      <w:r>
        <w:rPr>
          <w:rFonts w:hint="eastAsia" w:ascii="宋体" w:hAnsi="宋体"/>
          <w:color w:val="auto"/>
          <w:spacing w:val="2"/>
          <w:position w:val="-1"/>
          <w:sz w:val="32"/>
          <w:szCs w:val="32"/>
          <w:highlight w:val="none"/>
        </w:rPr>
        <w:t>格式二：法定代表人身份证明及授权委托书</w:t>
      </w:r>
      <w:bookmarkEnd w:id="31"/>
    </w:p>
    <w:p w14:paraId="135CF944">
      <w:pPr>
        <w:spacing w:line="360" w:lineRule="auto"/>
        <w:jc w:val="center"/>
        <w:rPr>
          <w:rFonts w:ascii="宋体" w:hAnsi="宋体" w:cs="宋体"/>
          <w:color w:val="auto"/>
          <w:kern w:val="1"/>
          <w:sz w:val="28"/>
          <w:highlight w:val="none"/>
        </w:rPr>
      </w:pPr>
      <w:r>
        <w:rPr>
          <w:rFonts w:hint="eastAsia" w:ascii="宋体" w:hAnsi="宋体" w:cs="宋体"/>
          <w:color w:val="auto"/>
          <w:kern w:val="1"/>
          <w:sz w:val="28"/>
          <w:highlight w:val="none"/>
        </w:rPr>
        <w:t>法定代表人身份证明书</w:t>
      </w:r>
    </w:p>
    <w:p w14:paraId="589A9953">
      <w:pPr>
        <w:spacing w:line="360" w:lineRule="auto"/>
        <w:jc w:val="right"/>
        <w:rPr>
          <w:rFonts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23"/>
        <w:tblW w:w="9455" w:type="dxa"/>
        <w:tblInd w:w="0" w:type="dxa"/>
        <w:tblLayout w:type="fixed"/>
        <w:tblCellMar>
          <w:top w:w="0" w:type="dxa"/>
          <w:left w:w="108" w:type="dxa"/>
          <w:bottom w:w="0" w:type="dxa"/>
          <w:right w:w="108" w:type="dxa"/>
        </w:tblCellMar>
      </w:tblPr>
      <w:tblGrid>
        <w:gridCol w:w="9455"/>
      </w:tblGrid>
      <w:tr w14:paraId="7C05DC04">
        <w:tblPrEx>
          <w:tblCellMar>
            <w:top w:w="0" w:type="dxa"/>
            <w:left w:w="108" w:type="dxa"/>
            <w:bottom w:w="0" w:type="dxa"/>
            <w:right w:w="108" w:type="dxa"/>
          </w:tblCellMar>
        </w:tblPrEx>
        <w:tc>
          <w:tcPr>
            <w:tcW w:w="9455" w:type="dxa"/>
            <w:tcBorders>
              <w:top w:val="single" w:color="000000" w:sz="4" w:space="0"/>
              <w:left w:val="single" w:color="000000" w:sz="4" w:space="0"/>
              <w:bottom w:val="single" w:color="000000" w:sz="4" w:space="0"/>
              <w:right w:val="single" w:color="000000" w:sz="4" w:space="0"/>
            </w:tcBorders>
          </w:tcPr>
          <w:p w14:paraId="146B0307">
            <w:pPr>
              <w:spacing w:line="360" w:lineRule="auto"/>
              <w:rPr>
                <w:rFonts w:ascii="宋体" w:hAnsi="宋体" w:cs="宋体"/>
                <w:color w:val="auto"/>
                <w:kern w:val="1"/>
                <w:sz w:val="24"/>
                <w:szCs w:val="24"/>
                <w:highlight w:val="none"/>
                <w:u w:val="single"/>
              </w:rPr>
            </w:pPr>
          </w:p>
          <w:p w14:paraId="5AB2BFA9">
            <w:pPr>
              <w:spacing w:line="360" w:lineRule="auto"/>
              <w:rPr>
                <w:rFonts w:ascii="宋体" w:hAnsi="宋体" w:cs="宋体"/>
                <w:color w:val="auto"/>
                <w:kern w:val="1"/>
                <w:sz w:val="24"/>
                <w:szCs w:val="24"/>
                <w:highlight w:val="none"/>
              </w:rPr>
            </w:pPr>
            <w:r>
              <w:rPr>
                <w:rFonts w:hint="eastAsia" w:ascii="宋体" w:hAnsi="宋体" w:cs="宋体"/>
                <w:color w:val="auto"/>
                <w:kern w:val="1"/>
                <w:sz w:val="24"/>
                <w:szCs w:val="24"/>
                <w:highlight w:val="none"/>
              </w:rPr>
              <w:t xml:space="preserve"> 　　</w:t>
            </w: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现任我单位</w:t>
            </w: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职务，为法定代表人（负责人），特此证明。</w:t>
            </w:r>
          </w:p>
          <w:p w14:paraId="371E6F1F">
            <w:pPr>
              <w:spacing w:line="360" w:lineRule="auto"/>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rPr>
              <w:t xml:space="preserve">有效期限： </w:t>
            </w:r>
            <w:r>
              <w:rPr>
                <w:rFonts w:hint="eastAsia" w:ascii="宋体" w:hAnsi="宋体" w:cs="宋体"/>
                <w:color w:val="auto"/>
                <w:kern w:val="1"/>
                <w:sz w:val="24"/>
                <w:szCs w:val="24"/>
                <w:highlight w:val="none"/>
                <w:u w:val="single"/>
              </w:rPr>
              <w:t>　　　　　　　　　　</w:t>
            </w:r>
          </w:p>
          <w:p w14:paraId="4AD38C33">
            <w:pPr>
              <w:spacing w:line="360" w:lineRule="auto"/>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rPr>
              <w:t>附：法定代表人（负责人）性别：</w:t>
            </w: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年龄：</w:t>
            </w: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身份证号码：</w:t>
            </w:r>
            <w:r>
              <w:rPr>
                <w:rFonts w:hint="eastAsia" w:ascii="宋体" w:hAnsi="宋体" w:cs="宋体"/>
                <w:color w:val="auto"/>
                <w:kern w:val="1"/>
                <w:sz w:val="24"/>
                <w:szCs w:val="24"/>
                <w:highlight w:val="none"/>
                <w:u w:val="single"/>
              </w:rPr>
              <w:t>　　　　　　　　　　</w:t>
            </w:r>
          </w:p>
          <w:p w14:paraId="23D159F1">
            <w:pPr>
              <w:spacing w:line="360" w:lineRule="auto"/>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lang w:val="en-US" w:eastAsia="zh-CN"/>
              </w:rPr>
              <w:t>统一社会信用代</w:t>
            </w:r>
            <w:r>
              <w:rPr>
                <w:rFonts w:hint="eastAsia" w:ascii="宋体" w:hAnsi="宋体" w:cs="宋体"/>
                <w:color w:val="auto"/>
                <w:kern w:val="1"/>
                <w:sz w:val="24"/>
                <w:szCs w:val="24"/>
                <w:highlight w:val="none"/>
              </w:rPr>
              <w:t>码：</w:t>
            </w: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企业类型：</w:t>
            </w:r>
            <w:r>
              <w:rPr>
                <w:rFonts w:hint="eastAsia" w:ascii="宋体" w:hAnsi="宋体" w:cs="宋体"/>
                <w:color w:val="auto"/>
                <w:kern w:val="1"/>
                <w:sz w:val="24"/>
                <w:szCs w:val="24"/>
                <w:highlight w:val="none"/>
                <w:u w:val="single"/>
              </w:rPr>
              <w:t>　　　　　　　　　　</w:t>
            </w:r>
          </w:p>
          <w:p w14:paraId="6867D378">
            <w:pPr>
              <w:spacing w:line="360" w:lineRule="auto"/>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rPr>
              <w:t>经营范围：</w:t>
            </w:r>
            <w:r>
              <w:rPr>
                <w:rFonts w:hint="eastAsia" w:ascii="宋体" w:hAnsi="宋体" w:cs="宋体"/>
                <w:color w:val="auto"/>
                <w:kern w:val="1"/>
                <w:sz w:val="24"/>
                <w:szCs w:val="24"/>
                <w:highlight w:val="none"/>
                <w:u w:val="single"/>
              </w:rPr>
              <w:t xml:space="preserve">　　　　　　　　　　                                                 </w:t>
            </w:r>
          </w:p>
          <w:p w14:paraId="2249BE7A">
            <w:pPr>
              <w:spacing w:line="360" w:lineRule="auto"/>
              <w:rPr>
                <w:rFonts w:ascii="宋体" w:hAnsi="宋体" w:cs="宋体"/>
                <w:color w:val="auto"/>
                <w:kern w:val="1"/>
                <w:sz w:val="24"/>
                <w:szCs w:val="24"/>
                <w:highlight w:val="none"/>
              </w:rPr>
            </w:pP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单位：</w:t>
            </w: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（盖章）</w:t>
            </w:r>
          </w:p>
          <w:p w14:paraId="601FAFED">
            <w:pPr>
              <w:spacing w:line="360" w:lineRule="auto"/>
              <w:rPr>
                <w:rFonts w:ascii="宋体" w:hAnsi="宋体" w:cs="宋体"/>
                <w:color w:val="auto"/>
                <w:kern w:val="1"/>
                <w:szCs w:val="21"/>
                <w:highlight w:val="none"/>
                <w:u w:val="single"/>
              </w:rPr>
            </w:pP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　　　　　    年　月　　日</w:t>
            </w:r>
          </w:p>
        </w:tc>
      </w:tr>
    </w:tbl>
    <w:p w14:paraId="7C5BD6C1">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注：1、法定代表人证明书也可以采用工商行政管理局统一印制的格式。</w:t>
      </w:r>
    </w:p>
    <w:p w14:paraId="706FEBAC">
      <w:pPr>
        <w:numPr>
          <w:ilvl w:val="-1"/>
          <w:numId w:val="0"/>
        </w:numPr>
        <w:spacing w:line="360" w:lineRule="auto"/>
        <w:ind w:firstLine="420" w:firstLineChars="200"/>
        <w:rPr>
          <w:rFonts w:eastAsia="宋体"/>
          <w:color w:val="auto"/>
          <w:highlight w:val="none"/>
          <w:lang w:eastAsia="zh-CN"/>
        </w:rPr>
      </w:pPr>
      <w:r>
        <w:rPr>
          <w:rFonts w:hint="eastAsia" w:ascii="宋体" w:hAnsi="宋体" w:cs="宋体"/>
          <w:color w:val="auto"/>
          <w:kern w:val="1"/>
          <w:szCs w:val="21"/>
          <w:highlight w:val="none"/>
          <w:lang w:val="en-US" w:eastAsia="zh-CN"/>
        </w:rPr>
        <w:t>2、</w:t>
      </w:r>
      <w:r>
        <w:rPr>
          <w:rFonts w:hint="eastAsia" w:ascii="宋体" w:hAnsi="宋体" w:cs="宋体"/>
          <w:color w:val="auto"/>
          <w:kern w:val="1"/>
          <w:szCs w:val="21"/>
          <w:highlight w:val="none"/>
        </w:rPr>
        <w:t>附法定代表人身份证扫描件（加盖电子印章）。</w:t>
      </w:r>
    </w:p>
    <w:p w14:paraId="12E377E4">
      <w:pPr>
        <w:pStyle w:val="6"/>
        <w:ind w:firstLine="440"/>
        <w:rPr>
          <w:color w:val="auto"/>
          <w:highlight w:val="none"/>
          <w:lang w:eastAsia="zh-CN"/>
        </w:rPr>
      </w:pPr>
    </w:p>
    <w:p w14:paraId="4185428B">
      <w:pPr>
        <w:spacing w:line="360" w:lineRule="auto"/>
        <w:jc w:val="center"/>
        <w:rPr>
          <w:rFonts w:ascii="宋体" w:hAnsi="宋体" w:cs="宋体"/>
          <w:color w:val="auto"/>
          <w:kern w:val="1"/>
          <w:sz w:val="24"/>
          <w:highlight w:val="none"/>
        </w:rPr>
      </w:pPr>
      <w:r>
        <w:rPr>
          <w:rFonts w:hint="eastAsia" w:ascii="宋体" w:hAnsi="宋体" w:cs="宋体"/>
          <w:color w:val="auto"/>
          <w:kern w:val="1"/>
          <w:sz w:val="24"/>
          <w:highlight w:val="none"/>
        </w:rPr>
        <w:t>法定代表人授权委托书</w:t>
      </w:r>
    </w:p>
    <w:p w14:paraId="10F1F98E">
      <w:pPr>
        <w:spacing w:line="360" w:lineRule="auto"/>
        <w:jc w:val="right"/>
        <w:rPr>
          <w:rFonts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23"/>
        <w:tblW w:w="9243" w:type="dxa"/>
        <w:tblInd w:w="0" w:type="dxa"/>
        <w:tblLayout w:type="fixed"/>
        <w:tblCellMar>
          <w:top w:w="0" w:type="dxa"/>
          <w:left w:w="108" w:type="dxa"/>
          <w:bottom w:w="0" w:type="dxa"/>
          <w:right w:w="108" w:type="dxa"/>
        </w:tblCellMar>
      </w:tblPr>
      <w:tblGrid>
        <w:gridCol w:w="9243"/>
      </w:tblGrid>
      <w:tr w14:paraId="203811F6">
        <w:tblPrEx>
          <w:tblCellMar>
            <w:top w:w="0" w:type="dxa"/>
            <w:left w:w="108" w:type="dxa"/>
            <w:bottom w:w="0" w:type="dxa"/>
            <w:right w:w="108" w:type="dxa"/>
          </w:tblCellMar>
        </w:tblPrEx>
        <w:tc>
          <w:tcPr>
            <w:tcW w:w="9243" w:type="dxa"/>
            <w:tcBorders>
              <w:top w:val="single" w:color="000000" w:sz="4" w:space="0"/>
              <w:left w:val="single" w:color="000000" w:sz="4" w:space="0"/>
              <w:bottom w:val="single" w:color="000000" w:sz="4" w:space="0"/>
              <w:right w:val="single" w:color="000000" w:sz="4" w:space="0"/>
            </w:tcBorders>
          </w:tcPr>
          <w:p w14:paraId="5612A3AB">
            <w:pPr>
              <w:spacing w:line="360" w:lineRule="auto"/>
              <w:ind w:firstLine="480"/>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rPr>
              <w:t>兹授权</w:t>
            </w:r>
            <w:r>
              <w:rPr>
                <w:rFonts w:hint="eastAsia" w:ascii="宋体" w:hAnsi="宋体" w:cs="宋体"/>
                <w:color w:val="auto"/>
                <w:kern w:val="1"/>
                <w:sz w:val="24"/>
                <w:szCs w:val="24"/>
                <w:highlight w:val="none"/>
                <w:u w:val="single"/>
              </w:rPr>
              <w:t xml:space="preserve">        </w:t>
            </w:r>
            <w:r>
              <w:rPr>
                <w:rFonts w:hint="eastAsia" w:ascii="宋体" w:hAnsi="宋体" w:cs="宋体"/>
                <w:color w:val="auto"/>
                <w:kern w:val="1"/>
                <w:sz w:val="24"/>
                <w:szCs w:val="24"/>
                <w:highlight w:val="none"/>
              </w:rPr>
              <w:t>为我方委托代理人，其权限是：</w:t>
            </w:r>
            <w:r>
              <w:rPr>
                <w:rFonts w:hint="eastAsia" w:ascii="宋体" w:hAnsi="宋体" w:cs="宋体"/>
                <w:color w:val="auto"/>
                <w:kern w:val="1"/>
                <w:sz w:val="24"/>
                <w:szCs w:val="24"/>
                <w:highlight w:val="none"/>
                <w:u w:val="single"/>
              </w:rPr>
              <w:t>　　　　                        　　　　　　</w:t>
            </w:r>
          </w:p>
          <w:p w14:paraId="5FF9F46B">
            <w:pPr>
              <w:spacing w:line="360" w:lineRule="auto"/>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u w:val="single"/>
              </w:rPr>
              <w:t>　　　　　　　                                                               　　　</w:t>
            </w:r>
          </w:p>
          <w:p w14:paraId="282EE05B">
            <w:pPr>
              <w:spacing w:line="360" w:lineRule="auto"/>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rPr>
              <w:t>有效期限：</w:t>
            </w:r>
            <w:r>
              <w:rPr>
                <w:rFonts w:hint="eastAsia" w:ascii="宋体" w:hAnsi="宋体" w:cs="宋体"/>
                <w:color w:val="auto"/>
                <w:kern w:val="1"/>
                <w:sz w:val="24"/>
                <w:szCs w:val="24"/>
                <w:highlight w:val="none"/>
                <w:u w:val="single"/>
              </w:rPr>
              <w:t>　　　　　　　　　　</w:t>
            </w:r>
          </w:p>
          <w:p w14:paraId="35F2F042">
            <w:pPr>
              <w:spacing w:line="360" w:lineRule="auto"/>
              <w:rPr>
                <w:rFonts w:ascii="宋体" w:hAnsi="宋体" w:cs="宋体"/>
                <w:color w:val="auto"/>
                <w:kern w:val="1"/>
                <w:sz w:val="24"/>
                <w:szCs w:val="24"/>
                <w:highlight w:val="none"/>
              </w:rPr>
            </w:pPr>
            <w:r>
              <w:rPr>
                <w:rFonts w:hint="eastAsia" w:ascii="宋体" w:hAnsi="宋体" w:cs="宋体"/>
                <w:color w:val="auto"/>
                <w:kern w:val="1"/>
                <w:sz w:val="24"/>
                <w:szCs w:val="24"/>
                <w:highlight w:val="none"/>
              </w:rPr>
              <w:t>附：代理人性别：</w:t>
            </w:r>
            <w:r>
              <w:rPr>
                <w:rFonts w:hint="eastAsia" w:ascii="宋体" w:hAnsi="宋体" w:cs="宋体"/>
                <w:color w:val="auto"/>
                <w:kern w:val="1"/>
                <w:sz w:val="24"/>
                <w:szCs w:val="24"/>
                <w:highlight w:val="none"/>
                <w:u w:val="single"/>
              </w:rPr>
              <w:t xml:space="preserve">           </w:t>
            </w:r>
            <w:r>
              <w:rPr>
                <w:rFonts w:hint="eastAsia" w:ascii="宋体" w:hAnsi="宋体" w:cs="宋体"/>
                <w:color w:val="auto"/>
                <w:kern w:val="1"/>
                <w:sz w:val="24"/>
                <w:szCs w:val="24"/>
                <w:highlight w:val="none"/>
              </w:rPr>
              <w:t>年龄：</w:t>
            </w:r>
            <w:r>
              <w:rPr>
                <w:rFonts w:hint="eastAsia" w:ascii="宋体" w:hAnsi="宋体" w:cs="宋体"/>
                <w:color w:val="auto"/>
                <w:kern w:val="1"/>
                <w:sz w:val="24"/>
                <w:szCs w:val="24"/>
                <w:highlight w:val="none"/>
                <w:u w:val="single"/>
              </w:rPr>
              <w:t xml:space="preserve">          </w:t>
            </w:r>
            <w:r>
              <w:rPr>
                <w:rFonts w:hint="eastAsia" w:ascii="宋体" w:hAnsi="宋体" w:cs="宋体"/>
                <w:color w:val="auto"/>
                <w:kern w:val="1"/>
                <w:sz w:val="24"/>
                <w:szCs w:val="24"/>
                <w:highlight w:val="none"/>
              </w:rPr>
              <w:t xml:space="preserve"> 身份证号码：</w:t>
            </w:r>
            <w:r>
              <w:rPr>
                <w:rFonts w:hint="eastAsia" w:ascii="宋体" w:hAnsi="宋体" w:cs="宋体"/>
                <w:color w:val="auto"/>
                <w:kern w:val="1"/>
                <w:sz w:val="24"/>
                <w:szCs w:val="24"/>
                <w:highlight w:val="none"/>
                <w:u w:val="single"/>
              </w:rPr>
              <w:t>　　　　　　　　　　</w:t>
            </w:r>
          </w:p>
          <w:p w14:paraId="6A4E4581">
            <w:pPr>
              <w:spacing w:line="360" w:lineRule="auto"/>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lang w:val="en-US" w:eastAsia="zh-CN"/>
              </w:rPr>
              <w:t>统一社会信用代</w:t>
            </w:r>
            <w:r>
              <w:rPr>
                <w:rFonts w:hint="eastAsia" w:ascii="宋体" w:hAnsi="宋体" w:cs="宋体"/>
                <w:color w:val="auto"/>
                <w:kern w:val="1"/>
                <w:sz w:val="24"/>
                <w:szCs w:val="24"/>
                <w:highlight w:val="none"/>
              </w:rPr>
              <w:t xml:space="preserve">码： </w:t>
            </w: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 xml:space="preserve">  企业类型：</w:t>
            </w:r>
            <w:r>
              <w:rPr>
                <w:rFonts w:hint="eastAsia" w:ascii="宋体" w:hAnsi="宋体" w:cs="宋体"/>
                <w:color w:val="auto"/>
                <w:kern w:val="1"/>
                <w:sz w:val="24"/>
                <w:szCs w:val="24"/>
                <w:highlight w:val="none"/>
                <w:u w:val="single"/>
              </w:rPr>
              <w:t>　　　　　　　　　　</w:t>
            </w:r>
          </w:p>
          <w:p w14:paraId="71E725EC">
            <w:pPr>
              <w:spacing w:line="360" w:lineRule="auto"/>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rPr>
              <w:t>经营范围：</w:t>
            </w:r>
            <w:r>
              <w:rPr>
                <w:rFonts w:hint="eastAsia" w:ascii="宋体" w:hAnsi="宋体" w:cs="宋体"/>
                <w:color w:val="auto"/>
                <w:kern w:val="1"/>
                <w:sz w:val="24"/>
                <w:szCs w:val="24"/>
                <w:highlight w:val="none"/>
                <w:u w:val="single"/>
              </w:rPr>
              <w:t>　　　　　　　　                                        　　</w:t>
            </w:r>
          </w:p>
          <w:p w14:paraId="6930A1D2">
            <w:pPr>
              <w:spacing w:line="360" w:lineRule="auto"/>
              <w:rPr>
                <w:rFonts w:ascii="宋体" w:hAnsi="宋体" w:cs="宋体"/>
                <w:color w:val="auto"/>
                <w:kern w:val="1"/>
                <w:sz w:val="24"/>
                <w:szCs w:val="24"/>
                <w:highlight w:val="none"/>
              </w:rPr>
            </w:pPr>
            <w:r>
              <w:rPr>
                <w:rFonts w:hint="eastAsia" w:ascii="宋体" w:hAnsi="宋体" w:cs="宋体"/>
                <w:color w:val="auto"/>
                <w:kern w:val="1"/>
                <w:sz w:val="24"/>
                <w:szCs w:val="24"/>
                <w:highlight w:val="none"/>
              </w:rPr>
              <w:t>法定代表人（负责人）：</w:t>
            </w: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（签名或盖章）</w:t>
            </w:r>
          </w:p>
          <w:p w14:paraId="21C20BC7">
            <w:pPr>
              <w:spacing w:line="360" w:lineRule="auto"/>
              <w:rPr>
                <w:rFonts w:ascii="宋体" w:hAnsi="宋体" w:cs="宋体"/>
                <w:color w:val="auto"/>
                <w:kern w:val="1"/>
                <w:sz w:val="24"/>
                <w:szCs w:val="24"/>
                <w:highlight w:val="none"/>
              </w:rPr>
            </w:pPr>
            <w:r>
              <w:rPr>
                <w:rFonts w:hint="eastAsia" w:ascii="宋体" w:hAnsi="宋体" w:cs="宋体"/>
                <w:color w:val="auto"/>
                <w:kern w:val="1"/>
                <w:sz w:val="24"/>
                <w:szCs w:val="24"/>
                <w:highlight w:val="none"/>
              </w:rPr>
              <w:t>授权单位：</w:t>
            </w: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（盖章）</w:t>
            </w:r>
          </w:p>
          <w:p w14:paraId="29474387">
            <w:pPr>
              <w:spacing w:line="360" w:lineRule="auto"/>
              <w:rPr>
                <w:rFonts w:ascii="宋体" w:hAnsi="宋体" w:cs="宋体"/>
                <w:color w:val="auto"/>
                <w:kern w:val="1"/>
                <w:szCs w:val="21"/>
                <w:highlight w:val="none"/>
              </w:rPr>
            </w:pPr>
            <w:r>
              <w:rPr>
                <w:rFonts w:hint="eastAsia" w:ascii="宋体" w:hAnsi="宋体" w:cs="宋体"/>
                <w:color w:val="auto"/>
                <w:kern w:val="1"/>
                <w:sz w:val="24"/>
                <w:szCs w:val="24"/>
                <w:highlight w:val="none"/>
              </w:rPr>
              <w:t xml:space="preserve">         年  月   日</w:t>
            </w:r>
          </w:p>
        </w:tc>
      </w:tr>
    </w:tbl>
    <w:p w14:paraId="7E8B7DB7">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注：1、法定代表人授权委托书也可以采用工商行政管理局统一印制的格式。</w:t>
      </w:r>
    </w:p>
    <w:p w14:paraId="63F544CB">
      <w:pPr>
        <w:numPr>
          <w:ilvl w:val="0"/>
          <w:numId w:val="0"/>
        </w:numPr>
        <w:spacing w:line="360" w:lineRule="auto"/>
        <w:ind w:firstLine="420" w:firstLineChars="200"/>
        <w:rPr>
          <w:rFonts w:ascii="宋体" w:hAnsi="宋体" w:cs="宋体"/>
          <w:color w:val="auto"/>
          <w:kern w:val="1"/>
          <w:szCs w:val="21"/>
          <w:highlight w:val="none"/>
        </w:rPr>
      </w:pPr>
      <w:r>
        <w:rPr>
          <w:rFonts w:ascii="宋体" w:hAnsi="宋体" w:eastAsia="宋体" w:cs="宋体"/>
          <w:color w:val="auto"/>
          <w:kern w:val="1"/>
          <w:sz w:val="21"/>
          <w:szCs w:val="21"/>
          <w:highlight w:val="none"/>
          <w:lang w:val="en-US" w:eastAsia="zh-CN" w:bidi="ar-SA"/>
        </w:rPr>
        <w:t>2、</w:t>
      </w:r>
      <w:r>
        <w:rPr>
          <w:rFonts w:hint="eastAsia" w:ascii="宋体" w:hAnsi="宋体" w:cs="宋体"/>
          <w:color w:val="auto"/>
          <w:kern w:val="1"/>
          <w:szCs w:val="21"/>
          <w:highlight w:val="none"/>
        </w:rPr>
        <w:t>附委托代理人身份证扫描件（加盖电子印章）。</w:t>
      </w:r>
    </w:p>
    <w:p w14:paraId="753C106A">
      <w:pPr>
        <w:numPr>
          <w:ilvl w:val="0"/>
          <w:numId w:val="0"/>
        </w:numPr>
        <w:spacing w:line="360" w:lineRule="auto"/>
        <w:ind w:firstLine="480"/>
        <w:rPr>
          <w:rFonts w:ascii="宋体" w:hAnsi="宋体" w:cs="宋体"/>
          <w:color w:val="auto"/>
          <w:kern w:val="1"/>
          <w:szCs w:val="21"/>
          <w:highlight w:val="none"/>
        </w:rPr>
      </w:pPr>
    </w:p>
    <w:p w14:paraId="76B48EEA">
      <w:pPr>
        <w:numPr>
          <w:ilvl w:val="-1"/>
          <w:numId w:val="0"/>
        </w:numPr>
        <w:spacing w:line="360" w:lineRule="auto"/>
        <w:ind w:firstLine="0"/>
        <w:rPr>
          <w:rFonts w:ascii="宋体" w:hAnsi="宋体" w:cs="宋体"/>
          <w:color w:val="auto"/>
          <w:kern w:val="1"/>
          <w:szCs w:val="21"/>
          <w:highlight w:val="none"/>
        </w:rPr>
      </w:pPr>
    </w:p>
    <w:p w14:paraId="5F6CB85A">
      <w:pPr>
        <w:autoSpaceDE w:val="0"/>
        <w:autoSpaceDN w:val="0"/>
        <w:adjustRightInd w:val="0"/>
        <w:spacing w:line="466" w:lineRule="exact"/>
        <w:ind w:right="-20"/>
        <w:outlineLvl w:val="0"/>
        <w:rPr>
          <w:rFonts w:ascii="宋体" w:hAnsi="宋体" w:cs="宋体"/>
          <w:color w:val="auto"/>
          <w:spacing w:val="2"/>
          <w:position w:val="-1"/>
          <w:sz w:val="32"/>
          <w:szCs w:val="32"/>
          <w:highlight w:val="none"/>
        </w:rPr>
      </w:pPr>
      <w:bookmarkStart w:id="32" w:name="_Toc17661"/>
      <w:r>
        <w:rPr>
          <w:rFonts w:hint="eastAsia" w:ascii="宋体" w:hAnsi="宋体"/>
          <w:color w:val="auto"/>
          <w:spacing w:val="2"/>
          <w:position w:val="-1"/>
          <w:sz w:val="32"/>
          <w:szCs w:val="32"/>
          <w:highlight w:val="none"/>
        </w:rPr>
        <w:t>格式三：合作设计协议书（</w:t>
      </w:r>
      <w:r>
        <w:rPr>
          <w:rFonts w:hint="eastAsia" w:ascii="宋体" w:hAnsi="宋体" w:cs="宋体"/>
          <w:color w:val="auto"/>
          <w:kern w:val="21"/>
          <w:sz w:val="24"/>
          <w:szCs w:val="24"/>
          <w:highlight w:val="none"/>
        </w:rPr>
        <w:t>格式仅供参考）</w:t>
      </w:r>
    </w:p>
    <w:p w14:paraId="59DFD445">
      <w:pPr>
        <w:jc w:val="center"/>
        <w:rPr>
          <w:rFonts w:ascii="宋体" w:hAnsi="宋体" w:cs="宋体"/>
          <w:bCs/>
          <w:color w:val="auto"/>
          <w:sz w:val="32"/>
          <w:szCs w:val="32"/>
          <w:highlight w:val="none"/>
        </w:rPr>
      </w:pPr>
    </w:p>
    <w:p w14:paraId="6F12D2EB">
      <w:pPr>
        <w:jc w:val="center"/>
        <w:rPr>
          <w:rFonts w:ascii="宋体" w:hAnsi="宋体" w:cs="宋体"/>
          <w:bCs/>
          <w:color w:val="auto"/>
          <w:sz w:val="32"/>
          <w:szCs w:val="32"/>
          <w:highlight w:val="none"/>
        </w:rPr>
      </w:pPr>
      <w:r>
        <w:rPr>
          <w:rFonts w:hint="eastAsia" w:ascii="宋体" w:hAnsi="宋体" w:cs="宋体"/>
          <w:bCs/>
          <w:color w:val="auto"/>
          <w:sz w:val="32"/>
          <w:szCs w:val="32"/>
          <w:highlight w:val="none"/>
        </w:rPr>
        <w:t>合作设计协议书</w:t>
      </w:r>
    </w:p>
    <w:p w14:paraId="30B0EC25">
      <w:pPr>
        <w:rPr>
          <w:rFonts w:ascii="宋体" w:hAnsi="宋体" w:cs="宋体"/>
          <w:bCs/>
          <w:color w:val="auto"/>
          <w:szCs w:val="21"/>
          <w:highlight w:val="none"/>
        </w:rPr>
      </w:pPr>
      <w:r>
        <w:rPr>
          <w:rFonts w:hint="eastAsia" w:ascii="宋体" w:hAnsi="宋体" w:cs="宋体"/>
          <w:color w:val="auto"/>
          <w:highlight w:val="none"/>
        </w:rPr>
        <w:t xml:space="preserve">                             </w:t>
      </w:r>
    </w:p>
    <w:p w14:paraId="09B7A5F1">
      <w:pPr>
        <w:rPr>
          <w:rFonts w:ascii="宋体" w:hAnsi="宋体" w:cs="宋体"/>
          <w:color w:val="auto"/>
          <w:sz w:val="24"/>
          <w:highlight w:val="none"/>
        </w:rPr>
      </w:pPr>
      <w:r>
        <w:rPr>
          <w:rFonts w:hint="eastAsia" w:ascii="宋体" w:hAnsi="宋体" w:cs="宋体"/>
          <w:color w:val="auto"/>
          <w:sz w:val="24"/>
          <w:highlight w:val="none"/>
        </w:rPr>
        <w:t xml:space="preserve"> </w:t>
      </w:r>
    </w:p>
    <w:p w14:paraId="68352671">
      <w:pPr>
        <w:rPr>
          <w:rFonts w:ascii="宋体" w:hAnsi="宋体" w:cs="宋体"/>
          <w:color w:val="auto"/>
          <w:sz w:val="24"/>
          <w:szCs w:val="24"/>
          <w:highlight w:val="none"/>
        </w:rPr>
      </w:pPr>
      <w:r>
        <w:rPr>
          <w:rFonts w:hint="eastAsia" w:ascii="宋体" w:hAnsi="宋体" w:cs="宋体"/>
          <w:color w:val="auto"/>
          <w:sz w:val="24"/>
          <w:szCs w:val="24"/>
          <w:highlight w:val="none"/>
        </w:rPr>
        <w:t>投标项目名称：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6FD8767">
      <w:pPr>
        <w:pStyle w:val="12"/>
        <w:ind w:left="5500"/>
        <w:rPr>
          <w:rFonts w:hAnsi="宋体" w:cs="宋体"/>
          <w:color w:val="auto"/>
          <w:sz w:val="24"/>
          <w:szCs w:val="24"/>
          <w:highlight w:val="none"/>
          <w:lang w:eastAsia="zh-CN"/>
        </w:rPr>
      </w:pPr>
      <w:r>
        <w:rPr>
          <w:rFonts w:hint="eastAsia" w:hAnsi="宋体" w:cs="宋体"/>
          <w:color w:val="auto"/>
          <w:sz w:val="24"/>
          <w:szCs w:val="24"/>
          <w:highlight w:val="none"/>
          <w:lang w:eastAsia="zh-CN"/>
        </w:rPr>
        <w:t xml:space="preserve"> </w:t>
      </w:r>
    </w:p>
    <w:p w14:paraId="59402FDE">
      <w:pPr>
        <w:pStyle w:val="12"/>
        <w:rPr>
          <w:rFonts w:hAnsi="宋体" w:cs="宋体"/>
          <w:color w:val="auto"/>
          <w:sz w:val="24"/>
          <w:szCs w:val="24"/>
          <w:highlight w:val="none"/>
          <w:lang w:eastAsia="zh-CN"/>
        </w:rPr>
      </w:pPr>
      <w:r>
        <w:rPr>
          <w:rFonts w:hint="eastAsia" w:hAnsi="宋体" w:cs="宋体"/>
          <w:color w:val="auto"/>
          <w:sz w:val="24"/>
          <w:szCs w:val="24"/>
          <w:highlight w:val="none"/>
          <w:lang w:eastAsia="zh-CN"/>
        </w:rPr>
        <w:t>致：</w:t>
      </w:r>
      <w:r>
        <w:rPr>
          <w:rFonts w:hint="eastAsia" w:hAnsi="宋体" w:cs="宋体"/>
          <w:color w:val="auto"/>
          <w:sz w:val="24"/>
          <w:szCs w:val="24"/>
          <w:highlight w:val="none"/>
          <w:u w:val="single"/>
          <w:lang w:eastAsia="zh-CN"/>
        </w:rPr>
        <w:t xml:space="preserve">                                    </w:t>
      </w:r>
      <w:r>
        <w:rPr>
          <w:rFonts w:hint="eastAsia" w:hAnsi="宋体" w:cs="宋体"/>
          <w:color w:val="auto"/>
          <w:sz w:val="24"/>
          <w:szCs w:val="24"/>
          <w:highlight w:val="none"/>
          <w:lang w:eastAsia="zh-CN"/>
        </w:rPr>
        <w:t>（招标人）</w:t>
      </w:r>
    </w:p>
    <w:p w14:paraId="51C02828">
      <w:pP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EB69D8B">
      <w:pPr>
        <w:pStyle w:val="12"/>
        <w:spacing w:line="360" w:lineRule="auto"/>
        <w:ind w:firstLine="420"/>
        <w:rPr>
          <w:rFonts w:hAnsi="宋体" w:cs="宋体"/>
          <w:color w:val="auto"/>
          <w:sz w:val="24"/>
          <w:szCs w:val="24"/>
          <w:highlight w:val="none"/>
          <w:lang w:eastAsia="zh-CN"/>
        </w:rPr>
      </w:pPr>
      <w:r>
        <w:rPr>
          <w:rFonts w:hint="eastAsia" w:hAnsi="宋体" w:cs="宋体"/>
          <w:color w:val="auto"/>
          <w:sz w:val="24"/>
          <w:szCs w:val="24"/>
          <w:highlight w:val="none"/>
          <w:lang w:eastAsia="zh-CN"/>
        </w:rPr>
        <w:t>按照招标公告的规定，</w:t>
      </w:r>
      <w:r>
        <w:rPr>
          <w:rFonts w:hint="eastAsia" w:hAnsi="宋体" w:cs="宋体"/>
          <w:color w:val="auto"/>
          <w:sz w:val="24"/>
          <w:szCs w:val="24"/>
          <w:highlight w:val="none"/>
          <w:u w:val="single"/>
          <w:lang w:eastAsia="zh-CN"/>
        </w:rPr>
        <w:t xml:space="preserve">                         </w:t>
      </w:r>
      <w:r>
        <w:rPr>
          <w:rFonts w:hint="eastAsia" w:hAnsi="宋体" w:cs="宋体"/>
          <w:color w:val="auto"/>
          <w:sz w:val="24"/>
          <w:szCs w:val="24"/>
          <w:highlight w:val="none"/>
          <w:lang w:eastAsia="zh-CN"/>
        </w:rPr>
        <w:t>（</w:t>
      </w:r>
      <w:r>
        <w:rPr>
          <w:rFonts w:hint="eastAsia" w:hAnsi="宋体" w:cs="宋体"/>
          <w:color w:val="auto"/>
          <w:sz w:val="24"/>
          <w:szCs w:val="24"/>
          <w:highlight w:val="none"/>
          <w:shd w:val="clear" w:color="auto" w:fill="FFFFFF"/>
          <w:lang w:eastAsia="zh-CN"/>
        </w:rPr>
        <w:t>外国或澳门、台湾的设计企业</w:t>
      </w:r>
      <w:r>
        <w:rPr>
          <w:rFonts w:hint="eastAsia" w:hAnsi="宋体" w:cs="宋体"/>
          <w:color w:val="auto"/>
          <w:sz w:val="24"/>
          <w:szCs w:val="24"/>
          <w:highlight w:val="none"/>
          <w:u w:val="single"/>
          <w:shd w:val="clear" w:color="auto" w:fill="FFFFFF"/>
          <w:lang w:eastAsia="zh-CN"/>
        </w:rPr>
        <w:t>和香港不单独参加投标的设计企业</w:t>
      </w:r>
      <w:r>
        <w:rPr>
          <w:rFonts w:hint="eastAsia" w:hAnsi="宋体" w:cs="宋体"/>
          <w:color w:val="auto"/>
          <w:sz w:val="24"/>
          <w:szCs w:val="24"/>
          <w:highlight w:val="none"/>
          <w:lang w:eastAsia="zh-CN"/>
        </w:rPr>
        <w:t>）作为投标人（即“申请人”，下同）</w:t>
      </w:r>
      <w:r>
        <w:rPr>
          <w:rFonts w:hint="eastAsia" w:hAnsi="宋体" w:cs="宋体"/>
          <w:color w:val="auto"/>
          <w:sz w:val="24"/>
          <w:szCs w:val="24"/>
          <w:highlight w:val="none"/>
          <w:u w:val="single"/>
          <w:lang w:eastAsia="zh-CN"/>
        </w:rPr>
        <w:t xml:space="preserve">         </w:t>
      </w:r>
      <w:r>
        <w:rPr>
          <w:rFonts w:hint="eastAsia" w:hAnsi="宋体" w:cs="宋体"/>
          <w:color w:val="auto"/>
          <w:sz w:val="24"/>
          <w:szCs w:val="24"/>
          <w:highlight w:val="none"/>
          <w:lang w:eastAsia="zh-CN"/>
        </w:rPr>
        <w:t>（符合招标公告第3.1条、第3.2条要求的国内投标人）的合作设计方，参与本项目进行合作设计。若中标，各成员向招标人承担连带责任。合作设计方授权委托</w:t>
      </w:r>
      <w:r>
        <w:rPr>
          <w:rFonts w:hint="eastAsia" w:hAnsi="宋体" w:cs="宋体"/>
          <w:color w:val="auto"/>
          <w:sz w:val="24"/>
          <w:szCs w:val="24"/>
          <w:highlight w:val="none"/>
          <w:u w:val="single"/>
          <w:lang w:eastAsia="zh-CN"/>
        </w:rPr>
        <w:t xml:space="preserve">                   </w:t>
      </w:r>
      <w:r>
        <w:rPr>
          <w:rFonts w:hint="eastAsia" w:hAnsi="宋体" w:cs="宋体"/>
          <w:color w:val="auto"/>
          <w:sz w:val="24"/>
          <w:szCs w:val="24"/>
          <w:highlight w:val="none"/>
          <w:lang w:eastAsia="zh-CN"/>
        </w:rPr>
        <w:t>（符合招标公告第3.1条、第3.2条要求的国内投标人）代表所有合作成员参加投标、提交投标文件，以及与招标人签订合同，负责整个合同实施阶段的协调工作。</w:t>
      </w:r>
    </w:p>
    <w:p w14:paraId="14A219EA">
      <w:pP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33B29C3">
      <w:pPr>
        <w:pStyle w:val="12"/>
        <w:ind w:left="5500"/>
        <w:rPr>
          <w:rFonts w:hAnsi="宋体" w:cs="宋体"/>
          <w:color w:val="auto"/>
          <w:sz w:val="24"/>
          <w:szCs w:val="24"/>
          <w:highlight w:val="none"/>
          <w:lang w:eastAsia="zh-CN"/>
        </w:rPr>
      </w:pPr>
      <w:r>
        <w:rPr>
          <w:rFonts w:hint="eastAsia" w:hAnsi="宋体" w:cs="宋体"/>
          <w:color w:val="auto"/>
          <w:sz w:val="24"/>
          <w:szCs w:val="24"/>
          <w:highlight w:val="none"/>
          <w:lang w:eastAsia="zh-CN"/>
        </w:rPr>
        <w:t xml:space="preserve"> </w:t>
      </w:r>
    </w:p>
    <w:p w14:paraId="0A339FF4">
      <w:pPr>
        <w:pStyle w:val="12"/>
        <w:spacing w:line="360" w:lineRule="auto"/>
        <w:ind w:left="142"/>
        <w:rPr>
          <w:rFonts w:hAnsi="宋体" w:cs="宋体"/>
          <w:color w:val="auto"/>
          <w:sz w:val="24"/>
          <w:szCs w:val="24"/>
          <w:highlight w:val="none"/>
          <w:lang w:eastAsia="zh-CN"/>
        </w:rPr>
      </w:pPr>
      <w:r>
        <w:rPr>
          <w:rFonts w:hint="eastAsia" w:hAnsi="宋体" w:cs="宋体"/>
          <w:color w:val="auto"/>
          <w:sz w:val="24"/>
          <w:szCs w:val="24"/>
          <w:highlight w:val="none"/>
          <w:lang w:eastAsia="zh-CN"/>
        </w:rPr>
        <w:t>合作设计方：</w:t>
      </w:r>
      <w:r>
        <w:rPr>
          <w:rFonts w:hint="eastAsia" w:cs="宋体"/>
          <w:color w:val="auto"/>
          <w:spacing w:val="-1"/>
          <w:sz w:val="24"/>
          <w:szCs w:val="24"/>
          <w:highlight w:val="none"/>
          <w:lang w:eastAsia="zh-CN"/>
        </w:rPr>
        <w:t>（盖单位公章）</w:t>
      </w:r>
      <w:r>
        <w:rPr>
          <w:rFonts w:hint="eastAsia" w:hAnsi="宋体" w:cs="宋体"/>
          <w:color w:val="auto"/>
          <w:sz w:val="24"/>
          <w:szCs w:val="24"/>
          <w:highlight w:val="none"/>
          <w:u w:val="single"/>
          <w:lang w:eastAsia="zh-CN"/>
        </w:rPr>
        <w:t xml:space="preserve">                                         </w:t>
      </w:r>
    </w:p>
    <w:p w14:paraId="4F413862">
      <w:pPr>
        <w:pStyle w:val="12"/>
        <w:spacing w:line="360" w:lineRule="auto"/>
        <w:ind w:left="142"/>
        <w:rPr>
          <w:rFonts w:hAnsi="宋体" w:cs="宋体"/>
          <w:color w:val="auto"/>
          <w:sz w:val="24"/>
          <w:szCs w:val="24"/>
          <w:highlight w:val="none"/>
          <w:u w:val="single"/>
          <w:lang w:eastAsia="zh-CN"/>
        </w:rPr>
      </w:pPr>
      <w:r>
        <w:rPr>
          <w:rFonts w:hint="eastAsia" w:hAnsi="宋体" w:cs="宋体"/>
          <w:color w:val="auto"/>
          <w:sz w:val="24"/>
          <w:szCs w:val="24"/>
          <w:highlight w:val="none"/>
          <w:lang w:eastAsia="zh-CN"/>
        </w:rPr>
        <w:t>代表人：（签名或盖章）</w:t>
      </w:r>
      <w:r>
        <w:rPr>
          <w:rFonts w:hint="eastAsia" w:hAnsi="宋体" w:cs="宋体"/>
          <w:color w:val="auto"/>
          <w:sz w:val="24"/>
          <w:szCs w:val="24"/>
          <w:highlight w:val="none"/>
          <w:u w:val="single"/>
          <w:lang w:eastAsia="zh-CN"/>
        </w:rPr>
        <w:t xml:space="preserve">                                       </w:t>
      </w:r>
    </w:p>
    <w:p w14:paraId="5555B692">
      <w:pPr>
        <w:pStyle w:val="12"/>
        <w:spacing w:line="360" w:lineRule="auto"/>
        <w:ind w:left="142"/>
        <w:rPr>
          <w:rFonts w:hAnsi="宋体" w:cs="宋体"/>
          <w:color w:val="auto"/>
          <w:sz w:val="24"/>
          <w:szCs w:val="24"/>
          <w:highlight w:val="none"/>
          <w:lang w:eastAsia="zh-CN"/>
        </w:rPr>
      </w:pPr>
      <w:r>
        <w:rPr>
          <w:rFonts w:hint="eastAsia" w:hAnsi="宋体" w:cs="宋体"/>
          <w:color w:val="auto"/>
          <w:sz w:val="24"/>
          <w:szCs w:val="24"/>
          <w:highlight w:val="none"/>
          <w:lang w:eastAsia="zh-CN"/>
        </w:rPr>
        <w:t>分工内容：</w:t>
      </w:r>
      <w:r>
        <w:rPr>
          <w:rFonts w:hint="eastAsia" w:hAnsi="宋体" w:cs="宋体"/>
          <w:color w:val="auto"/>
          <w:sz w:val="24"/>
          <w:szCs w:val="24"/>
          <w:highlight w:val="none"/>
          <w:u w:val="single"/>
          <w:lang w:eastAsia="zh-CN"/>
        </w:rPr>
        <w:t xml:space="preserve">                                                  </w:t>
      </w:r>
    </w:p>
    <w:p w14:paraId="1C5575FA">
      <w:pPr>
        <w:pStyle w:val="12"/>
        <w:spacing w:line="360" w:lineRule="auto"/>
        <w:ind w:left="5500"/>
        <w:rPr>
          <w:rFonts w:hAnsi="宋体" w:cs="宋体"/>
          <w:color w:val="auto"/>
          <w:sz w:val="24"/>
          <w:szCs w:val="24"/>
          <w:highlight w:val="none"/>
          <w:lang w:eastAsia="zh-CN"/>
        </w:rPr>
      </w:pPr>
      <w:r>
        <w:rPr>
          <w:rFonts w:hint="eastAsia" w:hAnsi="宋体" w:cs="宋体"/>
          <w:color w:val="auto"/>
          <w:sz w:val="24"/>
          <w:szCs w:val="24"/>
          <w:highlight w:val="none"/>
          <w:lang w:eastAsia="zh-CN"/>
        </w:rPr>
        <w:t xml:space="preserve"> </w:t>
      </w:r>
    </w:p>
    <w:p w14:paraId="78CD47B9">
      <w:pPr>
        <w:pStyle w:val="12"/>
        <w:spacing w:line="360" w:lineRule="auto"/>
        <w:ind w:left="142"/>
        <w:rPr>
          <w:rFonts w:hAnsi="宋体" w:cs="宋体"/>
          <w:color w:val="auto"/>
          <w:sz w:val="24"/>
          <w:szCs w:val="24"/>
          <w:highlight w:val="none"/>
          <w:lang w:eastAsia="zh-CN"/>
        </w:rPr>
      </w:pPr>
      <w:r>
        <w:rPr>
          <w:rFonts w:hint="eastAsia" w:hAnsi="宋体" w:cs="宋体"/>
          <w:color w:val="auto"/>
          <w:sz w:val="24"/>
          <w:szCs w:val="24"/>
          <w:highlight w:val="none"/>
          <w:lang w:eastAsia="zh-CN"/>
        </w:rPr>
        <w:t>投标人：</w:t>
      </w:r>
      <w:r>
        <w:rPr>
          <w:rFonts w:hint="eastAsia" w:cs="宋体"/>
          <w:color w:val="auto"/>
          <w:spacing w:val="-1"/>
          <w:sz w:val="24"/>
          <w:szCs w:val="24"/>
          <w:highlight w:val="none"/>
          <w:lang w:eastAsia="zh-CN"/>
        </w:rPr>
        <w:t>（盖单位公章）</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lang w:eastAsia="zh-CN"/>
        </w:rPr>
        <w:t xml:space="preserve">                                           </w:t>
      </w:r>
    </w:p>
    <w:p w14:paraId="3D6DFC25">
      <w:pPr>
        <w:pStyle w:val="12"/>
        <w:spacing w:line="360" w:lineRule="auto"/>
        <w:ind w:left="142"/>
        <w:rPr>
          <w:rFonts w:hAnsi="宋体" w:cs="宋体"/>
          <w:color w:val="auto"/>
          <w:sz w:val="24"/>
          <w:szCs w:val="24"/>
          <w:highlight w:val="none"/>
          <w:lang w:eastAsia="zh-CN"/>
        </w:rPr>
      </w:pPr>
      <w:r>
        <w:rPr>
          <w:rFonts w:hint="eastAsia" w:hAnsi="宋体" w:cs="宋体"/>
          <w:color w:val="auto"/>
          <w:sz w:val="24"/>
          <w:szCs w:val="24"/>
          <w:highlight w:val="none"/>
          <w:lang w:eastAsia="zh-CN"/>
        </w:rPr>
        <w:t xml:space="preserve">法定代表人：（签名或盖章）  </w:t>
      </w:r>
      <w:r>
        <w:rPr>
          <w:rFonts w:hint="eastAsia" w:hAnsi="宋体" w:cs="宋体"/>
          <w:color w:val="auto"/>
          <w:sz w:val="24"/>
          <w:szCs w:val="24"/>
          <w:highlight w:val="none"/>
          <w:u w:val="single"/>
          <w:lang w:eastAsia="zh-CN"/>
        </w:rPr>
        <w:t xml:space="preserve">                                      </w:t>
      </w:r>
      <w:r>
        <w:rPr>
          <w:rFonts w:hint="eastAsia" w:hAnsi="宋体" w:cs="宋体"/>
          <w:color w:val="auto"/>
          <w:sz w:val="24"/>
          <w:szCs w:val="24"/>
          <w:highlight w:val="none"/>
          <w:lang w:eastAsia="zh-CN"/>
        </w:rPr>
        <w:t xml:space="preserve"> </w:t>
      </w:r>
    </w:p>
    <w:p w14:paraId="28E76BC9">
      <w:pPr>
        <w:pStyle w:val="12"/>
        <w:spacing w:line="360" w:lineRule="auto"/>
        <w:ind w:left="142"/>
        <w:rPr>
          <w:rFonts w:hAnsi="宋体" w:cs="宋体"/>
          <w:color w:val="auto"/>
          <w:sz w:val="24"/>
          <w:szCs w:val="24"/>
          <w:highlight w:val="none"/>
          <w:lang w:eastAsia="zh-CN"/>
        </w:rPr>
      </w:pPr>
      <w:r>
        <w:rPr>
          <w:rFonts w:hint="eastAsia" w:hAnsi="宋体" w:cs="宋体"/>
          <w:color w:val="auto"/>
          <w:sz w:val="24"/>
          <w:szCs w:val="24"/>
          <w:highlight w:val="none"/>
          <w:lang w:eastAsia="zh-CN"/>
        </w:rPr>
        <w:t>分工内容：</w:t>
      </w:r>
      <w:r>
        <w:rPr>
          <w:rFonts w:hint="eastAsia" w:hAnsi="宋体" w:cs="宋体"/>
          <w:color w:val="auto"/>
          <w:sz w:val="24"/>
          <w:szCs w:val="24"/>
          <w:highlight w:val="none"/>
          <w:u w:val="single"/>
          <w:lang w:eastAsia="zh-CN"/>
        </w:rPr>
        <w:t xml:space="preserve">                                                   </w:t>
      </w:r>
    </w:p>
    <w:p w14:paraId="658044F7">
      <w:pPr>
        <w:tabs>
          <w:tab w:val="left" w:pos="4120"/>
        </w:tabs>
        <w:spacing w:line="360" w:lineRule="auto"/>
        <w:ind w:firstLine="420" w:firstLineChars="200"/>
        <w:jc w:val="right"/>
        <w:rPr>
          <w:rFonts w:ascii="宋体" w:hAnsi="宋体" w:cs="宋体"/>
          <w:color w:val="auto"/>
          <w:highlight w:val="none"/>
        </w:rPr>
      </w:pPr>
    </w:p>
    <w:p w14:paraId="56E9DE45">
      <w:pPr>
        <w:pStyle w:val="41"/>
        <w:rPr>
          <w:rFonts w:hAnsi="宋体"/>
          <w:color w:val="auto"/>
          <w:highlight w:val="none"/>
        </w:rPr>
      </w:pPr>
    </w:p>
    <w:p w14:paraId="14071A69">
      <w:pPr>
        <w:autoSpaceDE w:val="0"/>
        <w:autoSpaceDN w:val="0"/>
        <w:adjustRightInd w:val="0"/>
        <w:spacing w:line="360" w:lineRule="auto"/>
        <w:ind w:right="-20"/>
        <w:jc w:val="left"/>
        <w:rPr>
          <w:rFonts w:ascii="宋体" w:hAnsi="宋体" w:cs="宋体"/>
          <w:color w:val="auto"/>
          <w:kern w:val="21"/>
          <w:sz w:val="24"/>
          <w:szCs w:val="24"/>
          <w:highlight w:val="none"/>
        </w:rPr>
      </w:pPr>
      <w:r>
        <w:rPr>
          <w:rFonts w:hint="eastAsia" w:ascii="宋体" w:hAnsi="宋体" w:cs="宋体"/>
          <w:color w:val="auto"/>
          <w:kern w:val="21"/>
          <w:sz w:val="24"/>
          <w:szCs w:val="24"/>
          <w:highlight w:val="none"/>
        </w:rPr>
        <w:t>注：格式仅供参考，适用于合作设计，否则可不提供。</w:t>
      </w:r>
    </w:p>
    <w:p w14:paraId="7E0B4FA9">
      <w:pPr>
        <w:rPr>
          <w:rFonts w:ascii="宋体" w:hAnsi="宋体"/>
          <w:color w:val="auto"/>
          <w:highlight w:val="none"/>
        </w:rPr>
      </w:pPr>
      <w:r>
        <w:rPr>
          <w:rFonts w:hint="eastAsia" w:ascii="宋体" w:hAnsi="宋体" w:cs="宋体"/>
          <w:color w:val="auto"/>
          <w:kern w:val="0"/>
          <w:sz w:val="24"/>
          <w:szCs w:val="24"/>
          <w:highlight w:val="none"/>
        </w:rPr>
        <w:br w:type="page"/>
      </w:r>
      <w:bookmarkEnd w:id="32"/>
    </w:p>
    <w:p w14:paraId="6EE11AD4">
      <w:pPr>
        <w:autoSpaceDE w:val="0"/>
        <w:autoSpaceDN w:val="0"/>
        <w:adjustRightInd w:val="0"/>
        <w:spacing w:line="466" w:lineRule="exact"/>
        <w:ind w:right="-20"/>
        <w:outlineLvl w:val="0"/>
        <w:rPr>
          <w:rFonts w:ascii="宋体" w:hAnsi="宋体"/>
          <w:color w:val="auto"/>
          <w:spacing w:val="2"/>
          <w:position w:val="-1"/>
          <w:sz w:val="32"/>
          <w:szCs w:val="32"/>
          <w:highlight w:val="none"/>
        </w:rPr>
      </w:pPr>
      <w:bookmarkStart w:id="33" w:name="_Toc8223"/>
      <w:r>
        <w:rPr>
          <w:rFonts w:hint="eastAsia" w:ascii="宋体" w:hAnsi="宋体"/>
          <w:color w:val="auto"/>
          <w:spacing w:val="2"/>
          <w:position w:val="-1"/>
          <w:sz w:val="32"/>
          <w:szCs w:val="32"/>
          <w:highlight w:val="none"/>
        </w:rPr>
        <w:t>格式四：</w:t>
      </w:r>
      <w:r>
        <w:rPr>
          <w:rFonts w:hint="eastAsia" w:ascii="宋体" w:hAnsi="宋体" w:eastAsia="宋体" w:cs="Times New Roman"/>
          <w:color w:val="auto"/>
          <w:spacing w:val="2"/>
          <w:position w:val="-1"/>
          <w:sz w:val="32"/>
          <w:szCs w:val="32"/>
          <w:highlight w:val="none"/>
        </w:rPr>
        <w:t>投标</w:t>
      </w:r>
      <w:r>
        <w:rPr>
          <w:rFonts w:hint="eastAsia" w:ascii="宋体" w:hAnsi="宋体"/>
          <w:color w:val="auto"/>
          <w:spacing w:val="2"/>
          <w:position w:val="-1"/>
          <w:sz w:val="32"/>
          <w:szCs w:val="32"/>
          <w:highlight w:val="none"/>
        </w:rPr>
        <w:t>人声明</w:t>
      </w:r>
      <w:bookmarkEnd w:id="33"/>
    </w:p>
    <w:p w14:paraId="51A59E0A">
      <w:pPr>
        <w:autoSpaceDE w:val="0"/>
        <w:autoSpaceDN w:val="0"/>
        <w:adjustRightInd w:val="0"/>
        <w:spacing w:line="200" w:lineRule="exact"/>
        <w:rPr>
          <w:rFonts w:ascii="宋体" w:hAnsi="宋体"/>
          <w:color w:val="auto"/>
          <w:sz w:val="20"/>
          <w:szCs w:val="20"/>
          <w:highlight w:val="none"/>
        </w:rPr>
      </w:pPr>
      <w:r>
        <w:rPr>
          <w:rFonts w:hint="eastAsia" w:ascii="宋体" w:hAnsi="宋体"/>
          <w:color w:val="auto"/>
          <w:sz w:val="20"/>
          <w:szCs w:val="20"/>
          <w:highlight w:val="none"/>
        </w:rPr>
        <w:t xml:space="preserve"> </w:t>
      </w:r>
    </w:p>
    <w:p w14:paraId="63667294">
      <w:pPr>
        <w:autoSpaceDE w:val="0"/>
        <w:autoSpaceDN w:val="0"/>
        <w:adjustRightInd w:val="0"/>
        <w:spacing w:line="200" w:lineRule="exact"/>
        <w:rPr>
          <w:rFonts w:ascii="宋体" w:hAnsi="宋体"/>
          <w:color w:val="auto"/>
          <w:sz w:val="20"/>
          <w:szCs w:val="20"/>
          <w:highlight w:val="none"/>
        </w:rPr>
      </w:pPr>
      <w:r>
        <w:rPr>
          <w:rFonts w:hint="eastAsia" w:ascii="宋体" w:hAnsi="宋体"/>
          <w:color w:val="auto"/>
          <w:sz w:val="20"/>
          <w:szCs w:val="20"/>
          <w:highlight w:val="none"/>
        </w:rPr>
        <w:t xml:space="preserve"> </w:t>
      </w:r>
    </w:p>
    <w:p w14:paraId="567F10BF">
      <w:pPr>
        <w:jc w:val="center"/>
        <w:rPr>
          <w:rFonts w:ascii="宋体" w:hAnsi="宋体"/>
          <w:bCs/>
          <w:color w:val="auto"/>
          <w:sz w:val="32"/>
          <w:szCs w:val="32"/>
          <w:highlight w:val="none"/>
        </w:rPr>
      </w:pPr>
      <w:r>
        <w:rPr>
          <w:rFonts w:hint="eastAsia" w:ascii="宋体" w:hAnsi="宋体"/>
          <w:bCs/>
          <w:color w:val="auto"/>
          <w:sz w:val="32"/>
          <w:szCs w:val="32"/>
          <w:highlight w:val="none"/>
        </w:rPr>
        <w:t>投标人声明</w:t>
      </w:r>
    </w:p>
    <w:p w14:paraId="07C75496">
      <w:pPr>
        <w:pStyle w:val="36"/>
        <w:spacing w:line="40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704D763C">
      <w:pPr>
        <w:pStyle w:val="36"/>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广州市住房和城乡建设局、本招标项目招标人及招标监管机构：</w:t>
      </w:r>
    </w:p>
    <w:p w14:paraId="1E384714">
      <w:pPr>
        <w:pStyle w:val="3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（项目名称）        </w:t>
      </w:r>
      <w:r>
        <w:rPr>
          <w:rFonts w:hint="eastAsia" w:ascii="宋体" w:hAnsi="宋体" w:eastAsia="宋体"/>
          <w:color w:val="auto"/>
          <w:sz w:val="24"/>
          <w:szCs w:val="24"/>
          <w:highlight w:val="none"/>
        </w:rPr>
        <w:t>投标工作，作出郑重声明：</w:t>
      </w:r>
    </w:p>
    <w:p w14:paraId="168B45BC">
      <w:pPr>
        <w:pStyle w:val="3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一、本公司保证投标文件及其后提供的一切材料都是真实的。如我司成为本项目中标候选人，我司同意并授权招标人将我司投标文件商务部分文件的人员、业绩、奖项等资料进行公开。</w:t>
      </w:r>
    </w:p>
    <w:p w14:paraId="1008050D">
      <w:pPr>
        <w:pStyle w:val="3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二、本公司保证不与其他单位围标、串标，不出让投标资格，不向招标人或评标委员会成员行贿。</w:t>
      </w:r>
    </w:p>
    <w:p w14:paraId="5F00DCBC">
      <w:pPr>
        <w:pStyle w:val="3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三、本公司不存在招标文件第二章投标人须知第</w:t>
      </w:r>
      <w:r>
        <w:rPr>
          <w:rFonts w:ascii="宋体" w:hAnsi="宋体" w:eastAsia="宋体"/>
          <w:color w:val="auto"/>
          <w:sz w:val="24"/>
          <w:szCs w:val="24"/>
          <w:highlight w:val="none"/>
        </w:rPr>
        <w:t>1.4.3</w:t>
      </w:r>
      <w:r>
        <w:rPr>
          <w:rFonts w:hint="eastAsia" w:ascii="宋体" w:hAnsi="宋体" w:eastAsia="宋体"/>
          <w:color w:val="auto"/>
          <w:sz w:val="24"/>
          <w:szCs w:val="24"/>
          <w:highlight w:val="none"/>
        </w:rPr>
        <w:t>项所规定的任何一种情形。没有处于被本地建设行政主管部门取消投标资格的处罚期内。与招标人过去</w:t>
      </w:r>
      <w:r>
        <w:rPr>
          <w:rFonts w:ascii="宋体" w:hAnsi="宋体" w:eastAsia="宋体"/>
          <w:color w:val="auto"/>
          <w:sz w:val="24"/>
          <w:szCs w:val="24"/>
          <w:highlight w:val="none"/>
        </w:rPr>
        <w:t>3</w:t>
      </w:r>
      <w:r>
        <w:rPr>
          <w:rFonts w:hint="eastAsia" w:ascii="宋体" w:hAnsi="宋体" w:eastAsia="宋体"/>
          <w:color w:val="auto"/>
          <w:sz w:val="24"/>
          <w:szCs w:val="24"/>
          <w:highlight w:val="none"/>
        </w:rPr>
        <w:t>年内无合同履约纠纷。</w:t>
      </w:r>
    </w:p>
    <w:p w14:paraId="43812A83">
      <w:pPr>
        <w:pStyle w:val="3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四、本公司及其有隶属关系的机构，没有参加本项目招标文件的编写工作；本公司与本次招标的招标代理机构没有隶属关系或其他利害关系；</w:t>
      </w:r>
    </w:p>
    <w:p w14:paraId="0D210FDF">
      <w:pPr>
        <w:pStyle w:val="3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五、本公司承诺，中标后严格执行安全生产相关管理规定。我单位已充分了解本项目的投资规模、建设内容、建设标准及相关风险，如中标，我单位保证按照招标文件规定的投资控制要求、质量要求、工期要求完成设计项目。</w:t>
      </w:r>
    </w:p>
    <w:p w14:paraId="58CBEB1B">
      <w:pPr>
        <w:pStyle w:val="36"/>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六、与本公司单位负责人为同一人或者与本公司存在控股、管理关系的其他单位包括：</w:t>
      </w:r>
      <w:r>
        <w:rPr>
          <w:rFonts w:hint="eastAsia" w:ascii="宋体" w:hAnsi="宋体" w:eastAsia="宋体"/>
          <w:b/>
          <w:color w:val="auto"/>
          <w:sz w:val="24"/>
          <w:szCs w:val="24"/>
          <w:highlight w:val="none"/>
          <w:u w:val="single"/>
          <w:lang w:val="en-US" w:eastAsia="zh-CN"/>
        </w:rPr>
        <w:t xml:space="preserve">       </w:t>
      </w:r>
      <w:r>
        <w:rPr>
          <w:rFonts w:hint="eastAsia" w:ascii="宋体" w:hAnsi="宋体" w:eastAsia="宋体"/>
          <w:b/>
          <w:color w:val="auto"/>
          <w:sz w:val="24"/>
          <w:szCs w:val="24"/>
          <w:highlight w:val="none"/>
        </w:rPr>
        <w:t>。（注：本条由投标人如实填写，如有，应列出全部满足招标公告资质要求的相关单位的名称；如无，则填写</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无</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w:t>
      </w:r>
    </w:p>
    <w:p w14:paraId="256B75BB">
      <w:pPr>
        <w:pStyle w:val="3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w:t>
      </w:r>
      <w:r>
        <w:rPr>
          <w:rFonts w:ascii="宋体" w:hAnsi="宋体" w:eastAsia="宋体"/>
          <w:color w:val="auto"/>
          <w:sz w:val="24"/>
          <w:szCs w:val="24"/>
          <w:highlight w:val="none"/>
        </w:rPr>
        <w:t>“</w:t>
      </w:r>
      <w:r>
        <w:rPr>
          <w:rFonts w:hint="eastAsia" w:ascii="宋体" w:hAnsi="宋体" w:eastAsia="宋体"/>
          <w:color w:val="auto"/>
          <w:sz w:val="24"/>
          <w:szCs w:val="24"/>
          <w:highlight w:val="none"/>
        </w:rPr>
        <w:t>挂证</w:t>
      </w:r>
      <w:r>
        <w:rPr>
          <w:rFonts w:ascii="宋体" w:hAnsi="宋体" w:eastAsia="宋体"/>
          <w:color w:val="auto"/>
          <w:sz w:val="24"/>
          <w:szCs w:val="24"/>
          <w:highlight w:val="none"/>
        </w:rPr>
        <w:t>”</w:t>
      </w:r>
      <w:r>
        <w:rPr>
          <w:rFonts w:hint="eastAsia" w:ascii="宋体" w:hAnsi="宋体" w:eastAsia="宋体"/>
          <w:color w:val="auto"/>
          <w:sz w:val="24"/>
          <w:szCs w:val="24"/>
          <w:highlight w:val="none"/>
        </w:rPr>
        <w:t>违法违规行为。</w:t>
      </w:r>
    </w:p>
    <w:p w14:paraId="7DFDBC70">
      <w:pPr>
        <w:pStyle w:val="3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八、本公司违反上述保证，或本声明陈述与事实不符，经查实，本公司愿意接受公开通报，记录不良行为，承担由此带来的法律后果。其中，本声明陈述与事实不符的，属于弄虚作假骗取中标，将依法接受监管部门的处罚。</w:t>
      </w:r>
    </w:p>
    <w:p w14:paraId="35CE343C">
      <w:pPr>
        <w:spacing w:line="360" w:lineRule="auto"/>
        <w:rPr>
          <w:rFonts w:ascii="宋体" w:hAnsi="宋体" w:eastAsia="宋体"/>
          <w:color w:val="auto"/>
          <w:sz w:val="24"/>
          <w:szCs w:val="24"/>
          <w:highlight w:val="none"/>
          <w:lang w:eastAsia="zh-CN"/>
        </w:rPr>
      </w:pPr>
    </w:p>
    <w:p w14:paraId="0D60A337">
      <w:pPr>
        <w:pStyle w:val="36"/>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45C5A4C7">
      <w:pPr>
        <w:pStyle w:val="36"/>
        <w:ind w:firstLine="0"/>
        <w:rPr>
          <w:rFonts w:ascii="宋体" w:hAnsi="宋体" w:eastAsia="宋体"/>
          <w:color w:val="auto"/>
          <w:sz w:val="24"/>
          <w:szCs w:val="24"/>
          <w:highlight w:val="none"/>
        </w:rPr>
      </w:pPr>
    </w:p>
    <w:p w14:paraId="58E2062A">
      <w:pPr>
        <w:pStyle w:val="9"/>
        <w:kinsoku w:val="0"/>
        <w:overflowPunct w:val="0"/>
        <w:spacing w:line="360" w:lineRule="auto"/>
        <w:ind w:left="0" w:firstLine="2891" w:firstLineChars="1200"/>
        <w:rPr>
          <w:b/>
          <w:color w:val="auto"/>
          <w:sz w:val="24"/>
          <w:szCs w:val="24"/>
          <w:highlight w:val="none"/>
          <w:lang w:eastAsia="zh-CN"/>
        </w:rPr>
      </w:pPr>
      <w:r>
        <w:rPr>
          <w:rFonts w:hint="eastAsia"/>
          <w:b/>
          <w:color w:val="auto"/>
          <w:sz w:val="24"/>
          <w:szCs w:val="24"/>
          <w:highlight w:val="none"/>
          <w:lang w:eastAsia="zh-CN"/>
        </w:rPr>
        <w:t>投标</w:t>
      </w:r>
      <w:r>
        <w:rPr>
          <w:rFonts w:hint="eastAsia"/>
          <w:b/>
          <w:color w:val="auto"/>
          <w:spacing w:val="-2"/>
          <w:sz w:val="24"/>
          <w:szCs w:val="24"/>
          <w:highlight w:val="none"/>
          <w:lang w:eastAsia="zh-CN"/>
        </w:rPr>
        <w:t>人：</w:t>
      </w:r>
      <w:r>
        <w:rPr>
          <w:rFonts w:hint="eastAsia"/>
          <w:b/>
          <w:color w:val="auto"/>
          <w:spacing w:val="-1"/>
          <w:sz w:val="24"/>
          <w:szCs w:val="24"/>
          <w:highlight w:val="none"/>
          <w:lang w:eastAsia="zh-CN"/>
        </w:rPr>
        <w:t>（盖单位章）</w:t>
      </w:r>
    </w:p>
    <w:p w14:paraId="57CCD74B">
      <w:pPr>
        <w:spacing w:line="360" w:lineRule="auto"/>
        <w:ind w:firstLine="2891" w:firstLineChars="1200"/>
        <w:rPr>
          <w:rFonts w:ascii="宋体" w:hAnsi="宋体" w:eastAsia="宋体"/>
          <w:b/>
          <w:bCs/>
          <w:color w:val="auto"/>
          <w:sz w:val="24"/>
          <w:szCs w:val="24"/>
          <w:highlight w:val="none"/>
          <w:lang w:eastAsia="zh-CN"/>
        </w:rPr>
      </w:pPr>
      <w:r>
        <w:rPr>
          <w:rFonts w:hint="eastAsia" w:ascii="宋体" w:hAnsi="宋体" w:eastAsia="宋体"/>
          <w:b/>
          <w:bCs/>
          <w:color w:val="auto"/>
          <w:sz w:val="24"/>
          <w:szCs w:val="24"/>
          <w:highlight w:val="none"/>
          <w:lang w:eastAsia="zh-CN"/>
        </w:rPr>
        <w:t>法定代表人或其委托代理人：（签字或盖章）</w:t>
      </w:r>
    </w:p>
    <w:p w14:paraId="4E87EF40">
      <w:pPr>
        <w:pStyle w:val="36"/>
        <w:ind w:firstLine="6023" w:firstLineChars="2500"/>
        <w:jc w:val="left"/>
        <w:rPr>
          <w:rFonts w:ascii="宋体" w:hAnsi="宋体" w:eastAsia="宋体"/>
          <w:color w:val="auto"/>
          <w:sz w:val="24"/>
          <w:szCs w:val="24"/>
          <w:highlight w:val="none"/>
        </w:rPr>
      </w:pPr>
      <w:r>
        <w:rPr>
          <w:rFonts w:hint="eastAsia" w:ascii="宋体" w:hAnsi="宋体" w:eastAsia="宋体"/>
          <w:b/>
          <w:color w:val="auto"/>
          <w:sz w:val="24"/>
          <w:szCs w:val="24"/>
          <w:highlight w:val="none"/>
        </w:rPr>
        <w:t>年</w:t>
      </w:r>
      <w:r>
        <w:rPr>
          <w:rFonts w:ascii="宋体" w:hAnsi="宋体" w:eastAsia="宋体"/>
          <w:b/>
          <w:color w:val="auto"/>
          <w:sz w:val="24"/>
          <w:szCs w:val="24"/>
          <w:highlight w:val="none"/>
          <w:u w:val="single"/>
        </w:rPr>
        <w:tab/>
      </w:r>
      <w:r>
        <w:rPr>
          <w:rFonts w:hint="eastAsia" w:ascii="宋体" w:hAnsi="宋体" w:eastAsia="宋体"/>
          <w:b/>
          <w:color w:val="auto"/>
          <w:sz w:val="24"/>
          <w:szCs w:val="24"/>
          <w:highlight w:val="none"/>
        </w:rPr>
        <w:t>月</w:t>
      </w:r>
      <w:r>
        <w:rPr>
          <w:rFonts w:ascii="宋体" w:hAnsi="宋体" w:eastAsia="宋体"/>
          <w:b/>
          <w:color w:val="auto"/>
          <w:sz w:val="24"/>
          <w:szCs w:val="24"/>
          <w:highlight w:val="none"/>
          <w:u w:val="single"/>
        </w:rPr>
        <w:tab/>
      </w:r>
      <w:r>
        <w:rPr>
          <w:rFonts w:hint="eastAsia" w:ascii="宋体" w:hAnsi="宋体" w:eastAsia="宋体"/>
          <w:b/>
          <w:color w:val="auto"/>
          <w:sz w:val="24"/>
          <w:szCs w:val="24"/>
          <w:highlight w:val="none"/>
        </w:rPr>
        <w:t>日</w:t>
      </w:r>
    </w:p>
    <w:p w14:paraId="300EF69C">
      <w:pPr>
        <w:spacing w:line="360" w:lineRule="auto"/>
        <w:rPr>
          <w:rFonts w:ascii="宋体" w:hAnsi="宋体"/>
          <w:b/>
          <w:color w:val="auto"/>
          <w:sz w:val="24"/>
          <w:highlight w:val="none"/>
          <w:u w:val="single"/>
          <w:lang w:eastAsia="zh-CN"/>
        </w:rPr>
      </w:pPr>
    </w:p>
    <w:p w14:paraId="7CADBF34">
      <w:pPr>
        <w:spacing w:line="360" w:lineRule="auto"/>
        <w:rPr>
          <w:rFonts w:ascii="宋体" w:hAnsi="宋体"/>
          <w:b/>
          <w:color w:val="auto"/>
          <w:sz w:val="24"/>
          <w:highlight w:val="none"/>
          <w:u w:val="single"/>
          <w:lang w:eastAsia="zh-CN"/>
        </w:rPr>
      </w:pPr>
    </w:p>
    <w:p w14:paraId="48ACC882">
      <w:pPr>
        <w:autoSpaceDE w:val="0"/>
        <w:autoSpaceDN w:val="0"/>
        <w:adjustRightInd w:val="0"/>
        <w:spacing w:line="466" w:lineRule="exact"/>
        <w:ind w:right="-20"/>
        <w:outlineLvl w:val="0"/>
        <w:rPr>
          <w:rFonts w:hint="eastAsia" w:ascii="宋体" w:hAnsi="宋体" w:eastAsia="宋体" w:cs="Times New Roman"/>
          <w:color w:val="auto"/>
          <w:spacing w:val="2"/>
          <w:position w:val="-1"/>
          <w:sz w:val="32"/>
          <w:szCs w:val="32"/>
          <w:highlight w:val="none"/>
        </w:rPr>
      </w:pPr>
      <w:r>
        <w:rPr>
          <w:rFonts w:hint="eastAsia" w:ascii="宋体" w:hAnsi="宋体"/>
          <w:color w:val="auto"/>
          <w:highlight w:val="none"/>
        </w:rPr>
        <w:br w:type="page"/>
      </w:r>
      <w:bookmarkStart w:id="34" w:name="_Toc633"/>
      <w:r>
        <w:rPr>
          <w:rFonts w:hint="eastAsia" w:ascii="宋体" w:hAnsi="宋体" w:eastAsia="宋体" w:cs="Times New Roman"/>
          <w:color w:val="auto"/>
          <w:spacing w:val="2"/>
          <w:position w:val="-1"/>
          <w:sz w:val="32"/>
          <w:szCs w:val="32"/>
          <w:highlight w:val="none"/>
        </w:rPr>
        <w:t>格式五：设计费计算表</w:t>
      </w:r>
      <w:bookmarkEnd w:id="34"/>
    </w:p>
    <w:p w14:paraId="1F2B1461">
      <w:pPr>
        <w:autoSpaceDE w:val="0"/>
        <w:autoSpaceDN w:val="0"/>
        <w:adjustRightInd w:val="0"/>
        <w:spacing w:before="7" w:line="110" w:lineRule="exact"/>
        <w:rPr>
          <w:rFonts w:ascii="宋体" w:hAnsi="宋体"/>
          <w:color w:val="auto"/>
          <w:sz w:val="11"/>
          <w:szCs w:val="11"/>
          <w:highlight w:val="none"/>
        </w:rPr>
      </w:pPr>
    </w:p>
    <w:p w14:paraId="02117703">
      <w:pPr>
        <w:autoSpaceDE w:val="0"/>
        <w:autoSpaceDN w:val="0"/>
        <w:adjustRightInd w:val="0"/>
        <w:spacing w:line="200" w:lineRule="exact"/>
        <w:rPr>
          <w:rFonts w:ascii="宋体" w:hAnsi="宋体"/>
          <w:color w:val="auto"/>
          <w:sz w:val="20"/>
          <w:szCs w:val="20"/>
          <w:highlight w:val="none"/>
        </w:rPr>
      </w:pPr>
      <w:r>
        <w:rPr>
          <w:rFonts w:hint="eastAsia" w:ascii="宋体" w:hAnsi="宋体"/>
          <w:color w:val="auto"/>
          <w:sz w:val="20"/>
          <w:szCs w:val="20"/>
          <w:highlight w:val="none"/>
        </w:rPr>
        <w:t xml:space="preserve"> </w:t>
      </w:r>
    </w:p>
    <w:p w14:paraId="0558FAF3">
      <w:pPr>
        <w:jc w:val="center"/>
        <w:rPr>
          <w:rFonts w:ascii="宋体" w:hAnsi="宋体"/>
          <w:bCs/>
          <w:color w:val="auto"/>
          <w:sz w:val="32"/>
          <w:szCs w:val="32"/>
          <w:highlight w:val="none"/>
        </w:rPr>
      </w:pPr>
      <w:r>
        <w:rPr>
          <w:rFonts w:hint="eastAsia" w:ascii="宋体" w:hAnsi="宋体"/>
          <w:color w:val="auto"/>
          <w:spacing w:val="2"/>
          <w:position w:val="-1"/>
          <w:sz w:val="32"/>
          <w:szCs w:val="32"/>
          <w:highlight w:val="none"/>
        </w:rPr>
        <w:t xml:space="preserve">  </w:t>
      </w:r>
      <w:r>
        <w:rPr>
          <w:rFonts w:hint="eastAsia" w:ascii="宋体" w:hAnsi="宋体"/>
          <w:bCs/>
          <w:color w:val="auto"/>
          <w:sz w:val="32"/>
          <w:szCs w:val="32"/>
          <w:highlight w:val="none"/>
        </w:rPr>
        <w:t>工程设计费报价汇总表</w:t>
      </w:r>
    </w:p>
    <w:p w14:paraId="2C382FED">
      <w:pPr>
        <w:rPr>
          <w:color w:val="auto"/>
          <w:highlight w:val="none"/>
        </w:rPr>
      </w:pPr>
    </w:p>
    <w:tbl>
      <w:tblPr>
        <w:tblStyle w:val="23"/>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3013"/>
        <w:gridCol w:w="1505"/>
        <w:gridCol w:w="3567"/>
      </w:tblGrid>
      <w:tr w14:paraId="5558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54" w:type="dxa"/>
            <w:vAlign w:val="center"/>
          </w:tcPr>
          <w:p w14:paraId="21164117">
            <w:pPr>
              <w:spacing w:line="288"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3013" w:type="dxa"/>
            <w:vAlign w:val="center"/>
          </w:tcPr>
          <w:p w14:paraId="08C4F59E">
            <w:pPr>
              <w:spacing w:line="288" w:lineRule="auto"/>
              <w:jc w:val="center"/>
              <w:rPr>
                <w:rFonts w:ascii="宋体" w:hAnsi="宋体"/>
                <w:color w:val="auto"/>
                <w:szCs w:val="21"/>
                <w:highlight w:val="none"/>
              </w:rPr>
            </w:pPr>
            <w:r>
              <w:rPr>
                <w:rFonts w:hint="eastAsia" w:ascii="宋体" w:hAnsi="宋体"/>
                <w:color w:val="auto"/>
                <w:szCs w:val="21"/>
                <w:highlight w:val="none"/>
              </w:rPr>
              <w:t>计费项目</w:t>
            </w:r>
          </w:p>
        </w:tc>
        <w:tc>
          <w:tcPr>
            <w:tcW w:w="1505" w:type="dxa"/>
            <w:vAlign w:val="center"/>
          </w:tcPr>
          <w:p w14:paraId="71748DBA">
            <w:pPr>
              <w:spacing w:line="288" w:lineRule="auto"/>
              <w:jc w:val="center"/>
              <w:rPr>
                <w:rFonts w:ascii="宋体" w:hAnsi="宋体"/>
                <w:color w:val="auto"/>
                <w:szCs w:val="21"/>
                <w:highlight w:val="none"/>
              </w:rPr>
            </w:pPr>
            <w:r>
              <w:rPr>
                <w:rFonts w:hint="eastAsia" w:ascii="宋体" w:hAnsi="宋体"/>
                <w:color w:val="auto"/>
                <w:szCs w:val="21"/>
                <w:highlight w:val="none"/>
              </w:rPr>
              <w:t>金额（元）</w:t>
            </w:r>
          </w:p>
        </w:tc>
        <w:tc>
          <w:tcPr>
            <w:tcW w:w="3567" w:type="dxa"/>
            <w:vAlign w:val="center"/>
          </w:tcPr>
          <w:p w14:paraId="173AB6FD">
            <w:pPr>
              <w:spacing w:line="288" w:lineRule="auto"/>
              <w:jc w:val="center"/>
              <w:rPr>
                <w:rFonts w:ascii="宋体" w:hAnsi="宋体"/>
                <w:color w:val="auto"/>
                <w:szCs w:val="21"/>
                <w:highlight w:val="none"/>
              </w:rPr>
            </w:pPr>
            <w:r>
              <w:rPr>
                <w:rFonts w:hint="eastAsia" w:ascii="宋体" w:hAnsi="宋体"/>
                <w:color w:val="auto"/>
                <w:szCs w:val="21"/>
                <w:highlight w:val="none"/>
              </w:rPr>
              <w:t>备注</w:t>
            </w:r>
          </w:p>
        </w:tc>
      </w:tr>
      <w:tr w14:paraId="2A39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54" w:type="dxa"/>
            <w:vAlign w:val="center"/>
          </w:tcPr>
          <w:p w14:paraId="4FC3A172">
            <w:pPr>
              <w:spacing w:line="288" w:lineRule="auto"/>
              <w:jc w:val="center"/>
              <w:rPr>
                <w:rFonts w:hint="eastAsia" w:ascii="宋体" w:hAnsi="宋体"/>
                <w:color w:val="auto"/>
                <w:szCs w:val="21"/>
                <w:highlight w:val="none"/>
              </w:rPr>
            </w:pPr>
            <w:r>
              <w:rPr>
                <w:rFonts w:hint="eastAsia" w:ascii="宋体" w:hAnsi="宋体" w:cs="宋体"/>
                <w:color w:val="auto"/>
                <w:szCs w:val="21"/>
                <w:highlight w:val="none"/>
              </w:rPr>
              <w:t>1</w:t>
            </w:r>
          </w:p>
        </w:tc>
        <w:tc>
          <w:tcPr>
            <w:tcW w:w="3013" w:type="dxa"/>
            <w:vAlign w:val="center"/>
          </w:tcPr>
          <w:p w14:paraId="05C9C806">
            <w:pPr>
              <w:spacing w:line="288" w:lineRule="auto"/>
              <w:rPr>
                <w:rFonts w:ascii="宋体" w:hAnsi="宋体"/>
                <w:color w:val="auto"/>
                <w:szCs w:val="21"/>
                <w:highlight w:val="none"/>
              </w:rPr>
            </w:pPr>
            <w:r>
              <w:rPr>
                <w:rFonts w:hint="eastAsia" w:ascii="宋体" w:hAnsi="宋体"/>
                <w:color w:val="auto"/>
                <w:szCs w:val="21"/>
                <w:highlight w:val="none"/>
              </w:rPr>
              <w:t>工程设计费投标报价</w:t>
            </w:r>
          </w:p>
        </w:tc>
        <w:tc>
          <w:tcPr>
            <w:tcW w:w="1505" w:type="dxa"/>
            <w:vAlign w:val="center"/>
          </w:tcPr>
          <w:p w14:paraId="6BF63663">
            <w:pPr>
              <w:spacing w:line="288" w:lineRule="auto"/>
              <w:rPr>
                <w:rFonts w:ascii="宋体" w:hAnsi="宋体"/>
                <w:color w:val="auto"/>
                <w:szCs w:val="21"/>
                <w:highlight w:val="none"/>
              </w:rPr>
            </w:pPr>
          </w:p>
        </w:tc>
        <w:tc>
          <w:tcPr>
            <w:tcW w:w="3567" w:type="dxa"/>
            <w:vAlign w:val="center"/>
          </w:tcPr>
          <w:p w14:paraId="7647FDC8">
            <w:pPr>
              <w:spacing w:line="288" w:lineRule="auto"/>
              <w:ind w:firstLine="37" w:firstLineChars="18"/>
              <w:rPr>
                <w:rFonts w:ascii="宋体" w:hAnsi="宋体" w:cs="宋体"/>
                <w:color w:val="auto"/>
                <w:szCs w:val="21"/>
                <w:highlight w:val="none"/>
              </w:rPr>
            </w:pPr>
            <w:r>
              <w:rPr>
                <w:rFonts w:hint="eastAsia" w:ascii="宋体" w:hAnsi="宋体" w:cs="宋体"/>
                <w:color w:val="auto"/>
                <w:szCs w:val="21"/>
                <w:highlight w:val="none"/>
              </w:rPr>
              <w:t>取自附件（1）《工程设计费计算表》</w:t>
            </w:r>
            <w:r>
              <w:rPr>
                <w:rFonts w:hint="eastAsia" w:ascii="宋体" w:hAnsi="宋体" w:cs="宋体"/>
                <w:color w:val="auto"/>
                <w:szCs w:val="21"/>
                <w:highlight w:val="none"/>
                <w:lang w:eastAsia="zh-CN"/>
              </w:rPr>
              <w:t>工程</w:t>
            </w:r>
            <w:r>
              <w:rPr>
                <w:rFonts w:hint="eastAsia" w:ascii="宋体" w:hAnsi="宋体" w:cs="宋体"/>
                <w:color w:val="auto"/>
                <w:szCs w:val="21"/>
                <w:highlight w:val="none"/>
              </w:rPr>
              <w:t>设计费第（</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w:t>
            </w:r>
            <w:r>
              <w:rPr>
                <w:rFonts w:hint="eastAsia" w:ascii="宋体" w:hAnsi="宋体" w:cs="宋体"/>
                <w:bCs/>
                <w:color w:val="auto"/>
                <w:szCs w:val="21"/>
                <w:highlight w:val="none"/>
              </w:rPr>
              <w:t>对应报价金额不得超过</w:t>
            </w:r>
            <w:r>
              <w:rPr>
                <w:rFonts w:hint="eastAsia" w:ascii="宋体" w:hAnsi="宋体" w:cs="宋体"/>
                <w:color w:val="auto"/>
                <w:szCs w:val="21"/>
                <w:highlight w:val="none"/>
              </w:rPr>
              <w:t>工程设计费</w:t>
            </w:r>
            <w:r>
              <w:rPr>
                <w:rFonts w:hint="eastAsia" w:ascii="宋体" w:hAnsi="宋体" w:cs="宋体"/>
                <w:bCs/>
                <w:color w:val="auto"/>
                <w:szCs w:val="21"/>
                <w:highlight w:val="none"/>
              </w:rPr>
              <w:t>最高投标限价</w:t>
            </w:r>
            <w:r>
              <w:rPr>
                <w:rFonts w:hint="eastAsia" w:ascii="宋体" w:hAnsi="宋体" w:cs="宋体"/>
                <w:color w:val="auto"/>
                <w:sz w:val="24"/>
                <w:szCs w:val="24"/>
                <w:highlight w:val="none"/>
                <w:u w:val="single"/>
                <w:lang w:eastAsia="zh-CN" w:bidi="ar"/>
              </w:rPr>
              <w:t xml:space="preserve"> </w:t>
            </w:r>
            <w:r>
              <w:rPr>
                <w:rFonts w:hint="eastAsia" w:ascii="宋体" w:hAnsi="宋体" w:cs="宋体"/>
                <w:color w:val="auto"/>
                <w:sz w:val="24"/>
                <w:szCs w:val="24"/>
                <w:highlight w:val="none"/>
                <w:u w:val="single"/>
                <w:lang w:bidi="ar"/>
              </w:rPr>
              <w:t>1231.33</w:t>
            </w:r>
            <w:r>
              <w:rPr>
                <w:rFonts w:hint="eastAsia" w:ascii="宋体" w:hAnsi="宋体" w:cs="宋体"/>
                <w:color w:val="auto"/>
                <w:sz w:val="24"/>
                <w:szCs w:val="24"/>
                <w:highlight w:val="none"/>
                <w:u w:val="single"/>
                <w:lang w:val="en-US" w:eastAsia="zh-CN" w:bidi="ar"/>
              </w:rPr>
              <w:t xml:space="preserve"> </w:t>
            </w:r>
            <w:r>
              <w:rPr>
                <w:rFonts w:hint="eastAsia" w:ascii="宋体" w:hAnsi="宋体" w:cs="宋体"/>
                <w:bCs/>
                <w:color w:val="auto"/>
                <w:szCs w:val="21"/>
                <w:highlight w:val="none"/>
                <w:lang w:bidi="ar"/>
              </w:rPr>
              <w:t>万元</w:t>
            </w:r>
            <w:r>
              <w:rPr>
                <w:rFonts w:hint="eastAsia" w:ascii="宋体" w:hAnsi="宋体" w:cs="宋体"/>
                <w:bCs/>
                <w:color w:val="auto"/>
                <w:szCs w:val="21"/>
                <w:highlight w:val="none"/>
              </w:rPr>
              <w:t>。</w:t>
            </w:r>
          </w:p>
        </w:tc>
      </w:tr>
      <w:tr w14:paraId="1715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54" w:type="dxa"/>
            <w:vAlign w:val="center"/>
          </w:tcPr>
          <w:p w14:paraId="257330BE">
            <w:pPr>
              <w:spacing w:line="288" w:lineRule="auto"/>
              <w:jc w:val="center"/>
              <w:rPr>
                <w:rFonts w:hint="eastAsia" w:eastAsia="宋体" w:cs="Calibri"/>
                <w:color w:val="auto"/>
                <w:szCs w:val="21"/>
                <w:highlight w:val="none"/>
                <w:lang w:eastAsia="zh-CN" w:bidi="ar"/>
              </w:rPr>
            </w:pPr>
            <w:r>
              <w:rPr>
                <w:rFonts w:hint="eastAsia" w:ascii="宋体" w:hAnsi="宋体" w:cs="宋体"/>
                <w:color w:val="auto"/>
                <w:szCs w:val="21"/>
                <w:highlight w:val="none"/>
                <w:lang w:val="en-US" w:eastAsia="zh-CN"/>
              </w:rPr>
              <w:t>2</w:t>
            </w:r>
          </w:p>
        </w:tc>
        <w:tc>
          <w:tcPr>
            <w:tcW w:w="3013" w:type="dxa"/>
            <w:vAlign w:val="center"/>
          </w:tcPr>
          <w:p w14:paraId="50CEF6D4">
            <w:pPr>
              <w:spacing w:line="288" w:lineRule="auto"/>
              <w:rPr>
                <w:rFonts w:ascii="宋体" w:hAnsi="宋体" w:cs="宋体"/>
                <w:color w:val="auto"/>
                <w:szCs w:val="21"/>
                <w:highlight w:val="none"/>
              </w:rPr>
            </w:pPr>
            <w:r>
              <w:rPr>
                <w:rFonts w:cs="Calibri"/>
                <w:color w:val="auto"/>
                <w:szCs w:val="21"/>
                <w:highlight w:val="none"/>
                <w:lang w:bidi="ar"/>
              </w:rPr>
              <w:t>BIM技术</w:t>
            </w:r>
            <w:r>
              <w:rPr>
                <w:rFonts w:hint="eastAsia" w:ascii="宋体" w:hAnsi="宋体" w:cs="宋体"/>
                <w:bCs/>
                <w:color w:val="auto"/>
                <w:szCs w:val="21"/>
                <w:highlight w:val="none"/>
                <w:lang w:bidi="ar"/>
              </w:rPr>
              <w:t>应用</w:t>
            </w:r>
            <w:r>
              <w:rPr>
                <w:rFonts w:cs="Calibri"/>
                <w:color w:val="auto"/>
                <w:szCs w:val="21"/>
                <w:highlight w:val="none"/>
                <w:lang w:bidi="ar"/>
              </w:rPr>
              <w:t>费</w:t>
            </w:r>
            <w:r>
              <w:rPr>
                <w:rFonts w:hint="eastAsia" w:ascii="宋体" w:hAnsi="宋体" w:cs="宋体"/>
                <w:color w:val="auto"/>
                <w:szCs w:val="21"/>
                <w:highlight w:val="none"/>
                <w:lang w:bidi="ar"/>
              </w:rPr>
              <w:t>投标报价</w:t>
            </w:r>
          </w:p>
        </w:tc>
        <w:tc>
          <w:tcPr>
            <w:tcW w:w="1505" w:type="dxa"/>
            <w:vAlign w:val="center"/>
          </w:tcPr>
          <w:p w14:paraId="61928154">
            <w:pPr>
              <w:spacing w:line="288" w:lineRule="auto"/>
              <w:rPr>
                <w:rFonts w:ascii="宋体" w:hAnsi="宋体"/>
                <w:color w:val="auto"/>
                <w:szCs w:val="21"/>
                <w:highlight w:val="none"/>
              </w:rPr>
            </w:pPr>
          </w:p>
        </w:tc>
        <w:tc>
          <w:tcPr>
            <w:tcW w:w="3567" w:type="dxa"/>
            <w:vAlign w:val="center"/>
          </w:tcPr>
          <w:p w14:paraId="3A9E659B">
            <w:pPr>
              <w:spacing w:line="288" w:lineRule="auto"/>
              <w:rPr>
                <w:rFonts w:ascii="宋体" w:hAnsi="宋体" w:cs="宋体"/>
                <w:color w:val="auto"/>
                <w:szCs w:val="21"/>
                <w:highlight w:val="none"/>
              </w:rPr>
            </w:pPr>
            <w:r>
              <w:rPr>
                <w:rFonts w:hint="eastAsia" w:ascii="宋体" w:hAnsi="宋体" w:cs="宋体"/>
                <w:color w:val="auto"/>
                <w:szCs w:val="21"/>
                <w:highlight w:val="none"/>
                <w:lang w:bidi="ar"/>
              </w:rPr>
              <w:t>取自附件</w:t>
            </w:r>
            <w:r>
              <w:rPr>
                <w:rFonts w:hint="eastAsia" w:cs="Calibri"/>
                <w:color w:val="auto"/>
                <w:szCs w:val="21"/>
                <w:highlight w:val="none"/>
                <w:lang w:bidi="ar"/>
              </w:rPr>
              <w:t>（</w:t>
            </w:r>
            <w:r>
              <w:rPr>
                <w:rFonts w:hint="eastAsia" w:cs="Calibri"/>
                <w:color w:val="auto"/>
                <w:szCs w:val="21"/>
                <w:highlight w:val="none"/>
                <w:lang w:val="en-US" w:eastAsia="zh-CN" w:bidi="ar"/>
              </w:rPr>
              <w:t>2</w:t>
            </w:r>
            <w:r>
              <w:rPr>
                <w:rFonts w:hint="eastAsia" w:cs="Calibri"/>
                <w:color w:val="auto"/>
                <w:szCs w:val="21"/>
                <w:highlight w:val="none"/>
                <w:lang w:bidi="ar"/>
              </w:rPr>
              <w:t>）</w:t>
            </w:r>
            <w:r>
              <w:rPr>
                <w:rFonts w:hint="eastAsia" w:ascii="宋体" w:hAnsi="宋体" w:cs="宋体"/>
                <w:color w:val="auto"/>
                <w:szCs w:val="21"/>
                <w:highlight w:val="none"/>
                <w:lang w:bidi="ar"/>
              </w:rPr>
              <w:t>《</w:t>
            </w:r>
            <w:r>
              <w:rPr>
                <w:rFonts w:cs="Calibri"/>
                <w:color w:val="auto"/>
                <w:szCs w:val="21"/>
                <w:highlight w:val="none"/>
                <w:lang w:bidi="ar"/>
              </w:rPr>
              <w:t>BIM技术</w:t>
            </w:r>
            <w:r>
              <w:rPr>
                <w:rFonts w:hint="eastAsia" w:ascii="宋体" w:hAnsi="宋体" w:cs="宋体"/>
                <w:bCs/>
                <w:color w:val="auto"/>
                <w:szCs w:val="21"/>
                <w:highlight w:val="none"/>
                <w:lang w:bidi="ar"/>
              </w:rPr>
              <w:t>应用</w:t>
            </w:r>
            <w:r>
              <w:rPr>
                <w:rFonts w:cs="Calibri"/>
                <w:color w:val="auto"/>
                <w:szCs w:val="21"/>
                <w:highlight w:val="none"/>
                <w:lang w:bidi="ar"/>
              </w:rPr>
              <w:t>费</w:t>
            </w:r>
            <w:r>
              <w:rPr>
                <w:rFonts w:hint="eastAsia" w:ascii="宋体" w:hAnsi="宋体" w:cs="宋体"/>
                <w:color w:val="auto"/>
                <w:szCs w:val="21"/>
                <w:highlight w:val="none"/>
                <w:lang w:bidi="ar"/>
              </w:rPr>
              <w:t>计算表》第（</w:t>
            </w:r>
            <w:r>
              <w:rPr>
                <w:rFonts w:hint="eastAsia" w:cs="Calibri"/>
                <w:color w:val="auto"/>
                <w:szCs w:val="21"/>
                <w:highlight w:val="none"/>
                <w:lang w:val="en-US" w:eastAsia="zh-CN" w:bidi="ar"/>
              </w:rPr>
              <w:t>1</w:t>
            </w:r>
            <w:r>
              <w:rPr>
                <w:rFonts w:hint="eastAsia" w:ascii="宋体" w:hAnsi="宋体" w:cs="宋体"/>
                <w:color w:val="auto"/>
                <w:szCs w:val="21"/>
                <w:highlight w:val="none"/>
                <w:lang w:bidi="ar"/>
              </w:rPr>
              <w:t>）项，不得超过</w:t>
            </w:r>
            <w:r>
              <w:rPr>
                <w:rFonts w:cs="Calibri"/>
                <w:color w:val="auto"/>
                <w:szCs w:val="21"/>
                <w:highlight w:val="none"/>
                <w:lang w:bidi="ar"/>
              </w:rPr>
              <w:t>BIM技术费</w:t>
            </w:r>
            <w:r>
              <w:rPr>
                <w:rFonts w:hint="eastAsia" w:ascii="宋体" w:hAnsi="宋体" w:cs="宋体"/>
                <w:bCs/>
                <w:color w:val="auto"/>
                <w:szCs w:val="21"/>
                <w:highlight w:val="none"/>
              </w:rPr>
              <w:t>最高投标限价</w:t>
            </w:r>
            <w:r>
              <w:rPr>
                <w:rFonts w:hint="eastAsia" w:ascii="宋体" w:hAnsi="宋体" w:cs="宋体"/>
                <w:color w:val="auto"/>
                <w:sz w:val="24"/>
                <w:szCs w:val="24"/>
                <w:highlight w:val="none"/>
                <w:u w:val="single"/>
                <w:lang w:eastAsia="zh-CN" w:bidi="ar"/>
              </w:rPr>
              <w:t>78.29</w:t>
            </w:r>
            <w:r>
              <w:rPr>
                <w:rFonts w:hint="eastAsia" w:ascii="宋体" w:hAnsi="宋体" w:cs="宋体"/>
                <w:bCs/>
                <w:color w:val="auto"/>
                <w:szCs w:val="21"/>
                <w:highlight w:val="none"/>
                <w:lang w:bidi="ar"/>
              </w:rPr>
              <w:t>万元</w:t>
            </w:r>
            <w:r>
              <w:rPr>
                <w:rFonts w:hint="eastAsia" w:ascii="宋体" w:hAnsi="宋体" w:cs="宋体"/>
                <w:color w:val="auto"/>
                <w:szCs w:val="21"/>
                <w:highlight w:val="none"/>
                <w:lang w:bidi="ar"/>
              </w:rPr>
              <w:t>。</w:t>
            </w:r>
          </w:p>
        </w:tc>
      </w:tr>
      <w:tr w14:paraId="781F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54" w:type="dxa"/>
            <w:vAlign w:val="center"/>
          </w:tcPr>
          <w:p w14:paraId="60730022">
            <w:pPr>
              <w:spacing w:line="288"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3013" w:type="dxa"/>
            <w:vAlign w:val="center"/>
          </w:tcPr>
          <w:p w14:paraId="40607022">
            <w:pPr>
              <w:spacing w:line="288" w:lineRule="auto"/>
              <w:rPr>
                <w:rFonts w:ascii="宋体" w:hAnsi="宋体"/>
                <w:color w:val="auto"/>
                <w:szCs w:val="21"/>
                <w:highlight w:val="none"/>
              </w:rPr>
            </w:pPr>
            <w:r>
              <w:rPr>
                <w:rFonts w:hint="eastAsia" w:ascii="宋体" w:hAnsi="宋体" w:cs="宋体"/>
                <w:color w:val="auto"/>
                <w:szCs w:val="21"/>
                <w:highlight w:val="none"/>
              </w:rPr>
              <w:t>工程设计费投标总报价</w:t>
            </w:r>
          </w:p>
        </w:tc>
        <w:tc>
          <w:tcPr>
            <w:tcW w:w="1505" w:type="dxa"/>
            <w:vAlign w:val="center"/>
          </w:tcPr>
          <w:p w14:paraId="0BDD4D8F">
            <w:pPr>
              <w:spacing w:line="288" w:lineRule="auto"/>
              <w:rPr>
                <w:rFonts w:ascii="宋体" w:hAnsi="宋体" w:cs="宋体"/>
                <w:bCs/>
                <w:color w:val="auto"/>
                <w:szCs w:val="21"/>
                <w:highlight w:val="none"/>
                <w:u w:val="single"/>
              </w:rPr>
            </w:pPr>
          </w:p>
        </w:tc>
        <w:tc>
          <w:tcPr>
            <w:tcW w:w="3567" w:type="dxa"/>
            <w:vAlign w:val="center"/>
          </w:tcPr>
          <w:p w14:paraId="33F98C35">
            <w:pPr>
              <w:spacing w:line="288" w:lineRule="auto"/>
              <w:rPr>
                <w:rFonts w:ascii="宋体" w:hAnsi="宋体" w:cs="宋体"/>
                <w:bCs/>
                <w:color w:val="auto"/>
                <w:szCs w:val="21"/>
                <w:highlight w:val="none"/>
                <w:u w:val="singl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）=（1）+（2），对应报价金额不得超过最高投标限价</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color w:val="auto"/>
                <w:sz w:val="24"/>
                <w:szCs w:val="24"/>
                <w:highlight w:val="none"/>
                <w:u w:val="single"/>
                <w:lang w:eastAsia="zh-CN" w:bidi="ar"/>
              </w:rPr>
              <w:t>1309.62</w:t>
            </w:r>
            <w:r>
              <w:rPr>
                <w:rFonts w:hint="eastAsia" w:ascii="宋体" w:hAnsi="宋体" w:cs="宋体"/>
                <w:bCs/>
                <w:color w:val="auto"/>
                <w:szCs w:val="21"/>
                <w:highlight w:val="none"/>
                <w:u w:val="single"/>
                <w:lang w:bidi="ar"/>
              </w:rPr>
              <w:t>万元</w:t>
            </w:r>
            <w:r>
              <w:rPr>
                <w:rFonts w:hint="eastAsia" w:ascii="宋体" w:hAnsi="宋体" w:cs="宋体"/>
                <w:bCs/>
                <w:color w:val="auto"/>
                <w:szCs w:val="21"/>
                <w:highlight w:val="none"/>
                <w:u w:val="single"/>
              </w:rPr>
              <w:t>。</w:t>
            </w:r>
          </w:p>
        </w:tc>
      </w:tr>
    </w:tbl>
    <w:p w14:paraId="47458949">
      <w:pPr>
        <w:spacing w:line="360" w:lineRule="auto"/>
        <w:ind w:firstLine="420" w:firstLineChars="200"/>
        <w:rPr>
          <w:rFonts w:ascii="宋体" w:hAnsi="宋体"/>
          <w:dstrike/>
          <w:color w:val="auto"/>
          <w:szCs w:val="21"/>
          <w:highlight w:val="none"/>
        </w:rPr>
      </w:pPr>
      <w:r>
        <w:rPr>
          <w:rFonts w:hint="eastAsia" w:ascii="宋体" w:hAnsi="宋体"/>
          <w:color w:val="auto"/>
          <w:highlight w:val="none"/>
        </w:rPr>
        <w:t>注：</w:t>
      </w:r>
      <w:r>
        <w:rPr>
          <w:rFonts w:ascii="宋体" w:hAnsi="宋体"/>
          <w:color w:val="auto"/>
          <w:highlight w:val="none"/>
        </w:rPr>
        <w:t xml:space="preserve"> </w:t>
      </w:r>
    </w:p>
    <w:p w14:paraId="3F5A2A21">
      <w:pPr>
        <w:spacing w:line="360" w:lineRule="auto"/>
        <w:ind w:firstLine="840" w:firstLineChars="4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、经算术复核的投标人报价与其投标报价不一致时，按就低不就高原则确定其最终报价。如修正后的投标报价超出相应的最高投标限价，则由评标委员作废标处理。</w:t>
      </w:r>
    </w:p>
    <w:p w14:paraId="4F2D9C4E">
      <w:pPr>
        <w:spacing w:line="360" w:lineRule="auto"/>
        <w:ind w:firstLine="735" w:firstLineChars="350"/>
        <w:rPr>
          <w:rFonts w:ascii="宋体" w:hAnsi="宋体"/>
          <w:bCs/>
          <w:color w:val="auto"/>
          <w:sz w:val="24"/>
          <w:highlight w:val="none"/>
        </w:rPr>
      </w:pPr>
      <w:r>
        <w:rPr>
          <w:rFonts w:ascii="宋体" w:hAnsi="宋体"/>
          <w:color w:val="auto"/>
          <w:szCs w:val="21"/>
          <w:highlight w:val="none"/>
        </w:rPr>
        <w:t>2</w:t>
      </w:r>
      <w:r>
        <w:rPr>
          <w:rFonts w:hint="eastAsia" w:ascii="宋体" w:hAnsi="宋体"/>
          <w:color w:val="auto"/>
          <w:szCs w:val="21"/>
          <w:highlight w:val="none"/>
        </w:rPr>
        <w:t>、按上述修正错误的原则及方法调整或修正投标文件的投标报价，调整后的投标报价对投标人起约束作用。如果投标人不接受修正后的报价，则取消其中标资格。</w:t>
      </w:r>
    </w:p>
    <w:p w14:paraId="3DEB0833">
      <w:pPr>
        <w:rPr>
          <w:color w:val="auto"/>
          <w:highlight w:val="none"/>
        </w:rPr>
      </w:pPr>
    </w:p>
    <w:p w14:paraId="4CC238CD">
      <w:pPr>
        <w:widowControl/>
        <w:jc w:val="left"/>
        <w:rPr>
          <w:rFonts w:ascii="宋体" w:hAnsi="宋体"/>
          <w:bCs/>
          <w:color w:val="auto"/>
          <w:highlight w:val="none"/>
        </w:rPr>
      </w:pPr>
      <w:r>
        <w:rPr>
          <w:color w:val="auto"/>
          <w:highlight w:val="none"/>
        </w:rPr>
        <w:br w:type="page"/>
      </w:r>
      <w:r>
        <w:rPr>
          <w:rFonts w:hint="eastAsia" w:ascii="宋体" w:hAnsi="宋体"/>
          <w:bCs/>
          <w:color w:val="auto"/>
          <w:highlight w:val="none"/>
        </w:rPr>
        <w:t>附件（1）：工程设计费计算表</w:t>
      </w:r>
    </w:p>
    <w:p w14:paraId="66A6E2AA">
      <w:pPr>
        <w:rPr>
          <w:rFonts w:ascii="宋体" w:hAnsi="宋体"/>
          <w:bCs/>
          <w:color w:val="auto"/>
          <w:highlight w:val="none"/>
        </w:rPr>
      </w:pPr>
    </w:p>
    <w:p w14:paraId="2845E8A5">
      <w:pPr>
        <w:jc w:val="center"/>
        <w:rPr>
          <w:color w:val="auto"/>
          <w:sz w:val="32"/>
          <w:szCs w:val="32"/>
          <w:highlight w:val="none"/>
        </w:rPr>
      </w:pPr>
      <w:r>
        <w:rPr>
          <w:rFonts w:hint="eastAsia"/>
          <w:color w:val="auto"/>
          <w:sz w:val="32"/>
          <w:szCs w:val="32"/>
          <w:highlight w:val="none"/>
        </w:rPr>
        <w:t>工程设计费计算表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171"/>
        <w:gridCol w:w="1262"/>
        <w:gridCol w:w="1416"/>
        <w:gridCol w:w="855"/>
        <w:gridCol w:w="2099"/>
      </w:tblGrid>
      <w:tr w14:paraId="40EC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695" w:type="dxa"/>
            <w:tcBorders>
              <w:top w:val="single" w:color="auto" w:sz="4" w:space="0"/>
              <w:left w:val="single" w:color="auto" w:sz="4" w:space="0"/>
              <w:bottom w:val="single" w:color="auto" w:sz="4" w:space="0"/>
              <w:right w:val="single" w:color="auto" w:sz="4" w:space="0"/>
            </w:tcBorders>
            <w:vAlign w:val="center"/>
          </w:tcPr>
          <w:p w14:paraId="29B5D8C5">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序号</w:t>
            </w:r>
          </w:p>
        </w:tc>
        <w:tc>
          <w:tcPr>
            <w:tcW w:w="2171" w:type="dxa"/>
            <w:tcBorders>
              <w:top w:val="single" w:color="auto" w:sz="4" w:space="0"/>
              <w:left w:val="nil"/>
              <w:bottom w:val="single" w:color="auto" w:sz="4" w:space="0"/>
              <w:right w:val="single" w:color="auto" w:sz="4" w:space="0"/>
            </w:tcBorders>
            <w:vAlign w:val="center"/>
          </w:tcPr>
          <w:p w14:paraId="577FEBDF">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费用名称</w:t>
            </w:r>
          </w:p>
        </w:tc>
        <w:tc>
          <w:tcPr>
            <w:tcW w:w="1262" w:type="dxa"/>
            <w:tcBorders>
              <w:top w:val="single" w:color="auto" w:sz="4" w:space="0"/>
              <w:left w:val="nil"/>
              <w:bottom w:val="single" w:color="auto" w:sz="4" w:space="0"/>
              <w:right w:val="single" w:color="auto" w:sz="4" w:space="0"/>
            </w:tcBorders>
            <w:vAlign w:val="center"/>
          </w:tcPr>
          <w:p w14:paraId="31E2D8B8">
            <w:pPr>
              <w:pStyle w:val="38"/>
              <w:spacing w:line="360" w:lineRule="auto"/>
              <w:jc w:val="center"/>
              <w:rPr>
                <w:rFonts w:cs="Calibri"/>
                <w:color w:val="auto"/>
                <w:highlight w:val="none"/>
              </w:rPr>
            </w:pPr>
            <w:r>
              <w:rPr>
                <w:rFonts w:hint="eastAsia"/>
                <w:bCs/>
                <w:color w:val="auto"/>
                <w:highlight w:val="none"/>
              </w:rPr>
              <w:t>本次招标项目的工程费限额（元）</w:t>
            </w:r>
          </w:p>
        </w:tc>
        <w:tc>
          <w:tcPr>
            <w:tcW w:w="1416" w:type="dxa"/>
            <w:tcBorders>
              <w:top w:val="single" w:color="auto" w:sz="4" w:space="0"/>
              <w:left w:val="nil"/>
              <w:bottom w:val="single" w:color="auto" w:sz="4" w:space="0"/>
              <w:right w:val="single" w:color="auto" w:sz="4" w:space="0"/>
            </w:tcBorders>
            <w:vAlign w:val="center"/>
          </w:tcPr>
          <w:p w14:paraId="3EF8742C">
            <w:pPr>
              <w:spacing w:line="360" w:lineRule="auto"/>
              <w:jc w:val="center"/>
              <w:rPr>
                <w:rFonts w:ascii="宋体" w:hAnsi="宋体" w:cs="Calibri"/>
                <w:color w:val="auto"/>
                <w:szCs w:val="21"/>
                <w:highlight w:val="none"/>
              </w:rPr>
            </w:pPr>
            <w:r>
              <w:rPr>
                <w:rFonts w:hint="eastAsia" w:ascii="宋体" w:hAnsi="宋体"/>
                <w:color w:val="auto"/>
                <w:szCs w:val="21"/>
                <w:highlight w:val="none"/>
              </w:rPr>
              <w:t>投标报价</w:t>
            </w:r>
            <w:r>
              <w:rPr>
                <w:rFonts w:hint="eastAsia" w:ascii="宋体" w:hAnsi="宋体" w:cs="宋体"/>
                <w:color w:val="auto"/>
                <w:szCs w:val="21"/>
                <w:highlight w:val="none"/>
              </w:rPr>
              <w:t>金额（元）</w:t>
            </w:r>
          </w:p>
        </w:tc>
        <w:tc>
          <w:tcPr>
            <w:tcW w:w="855" w:type="dxa"/>
            <w:tcBorders>
              <w:top w:val="single" w:color="auto" w:sz="4" w:space="0"/>
              <w:left w:val="nil"/>
              <w:bottom w:val="single" w:color="auto" w:sz="4" w:space="0"/>
              <w:right w:val="single" w:color="auto" w:sz="4" w:space="0"/>
            </w:tcBorders>
            <w:vAlign w:val="center"/>
          </w:tcPr>
          <w:p w14:paraId="319E8831">
            <w:pPr>
              <w:pStyle w:val="38"/>
              <w:spacing w:line="360" w:lineRule="auto"/>
              <w:jc w:val="center"/>
              <w:rPr>
                <w:color w:val="auto"/>
                <w:highlight w:val="none"/>
                <w:u w:val="single"/>
              </w:rPr>
            </w:pPr>
            <w:r>
              <w:rPr>
                <w:rFonts w:hint="eastAsia"/>
                <w:color w:val="auto"/>
                <w:highlight w:val="none"/>
              </w:rPr>
              <w:t>费率（%）</w:t>
            </w:r>
          </w:p>
        </w:tc>
        <w:tc>
          <w:tcPr>
            <w:tcW w:w="2099" w:type="dxa"/>
            <w:tcBorders>
              <w:top w:val="single" w:color="auto" w:sz="4" w:space="0"/>
              <w:left w:val="nil"/>
              <w:bottom w:val="single" w:color="auto" w:sz="4" w:space="0"/>
              <w:right w:val="single" w:color="auto" w:sz="4" w:space="0"/>
            </w:tcBorders>
            <w:vAlign w:val="center"/>
          </w:tcPr>
          <w:p w14:paraId="27897664">
            <w:pPr>
              <w:pStyle w:val="38"/>
              <w:spacing w:line="360" w:lineRule="auto"/>
              <w:jc w:val="center"/>
              <w:rPr>
                <w:color w:val="auto"/>
                <w:highlight w:val="none"/>
              </w:rPr>
            </w:pPr>
            <w:r>
              <w:rPr>
                <w:rFonts w:hint="eastAsia"/>
                <w:color w:val="auto"/>
                <w:highlight w:val="none"/>
              </w:rPr>
              <w:t>备注</w:t>
            </w:r>
          </w:p>
        </w:tc>
      </w:tr>
      <w:tr w14:paraId="4193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95" w:type="dxa"/>
            <w:tcBorders>
              <w:top w:val="single" w:color="auto" w:sz="4" w:space="0"/>
              <w:left w:val="single" w:color="auto" w:sz="4" w:space="0"/>
              <w:bottom w:val="single" w:color="auto" w:sz="4" w:space="0"/>
              <w:right w:val="single" w:color="auto" w:sz="4" w:space="0"/>
            </w:tcBorders>
            <w:vAlign w:val="center"/>
          </w:tcPr>
          <w:p w14:paraId="32067C6C">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1</w:t>
            </w:r>
          </w:p>
        </w:tc>
        <w:tc>
          <w:tcPr>
            <w:tcW w:w="2171" w:type="dxa"/>
            <w:tcBorders>
              <w:top w:val="single" w:color="auto" w:sz="4" w:space="0"/>
              <w:left w:val="nil"/>
              <w:bottom w:val="single" w:color="auto" w:sz="4" w:space="0"/>
              <w:right w:val="single" w:color="auto" w:sz="4" w:space="0"/>
            </w:tcBorders>
            <w:vAlign w:val="center"/>
          </w:tcPr>
          <w:p w14:paraId="413AA4F6">
            <w:pPr>
              <w:spacing w:line="360" w:lineRule="auto"/>
              <w:rPr>
                <w:rFonts w:ascii="宋体" w:hAnsi="宋体" w:cs="Calibri"/>
                <w:color w:val="auto"/>
                <w:szCs w:val="21"/>
                <w:highlight w:val="none"/>
              </w:rPr>
            </w:pPr>
            <w:r>
              <w:rPr>
                <w:rFonts w:hint="eastAsia" w:ascii="宋体" w:hAnsi="宋体" w:cs="宋体"/>
                <w:color w:val="auto"/>
                <w:szCs w:val="21"/>
                <w:highlight w:val="none"/>
                <w:lang w:eastAsia="zh-CN"/>
              </w:rPr>
              <w:t>施工图</w:t>
            </w:r>
            <w:r>
              <w:rPr>
                <w:rFonts w:hint="eastAsia" w:ascii="宋体" w:hAnsi="宋体" w:cs="宋体"/>
                <w:color w:val="auto"/>
                <w:szCs w:val="21"/>
                <w:highlight w:val="none"/>
              </w:rPr>
              <w:t>设计费</w:t>
            </w:r>
          </w:p>
        </w:tc>
        <w:tc>
          <w:tcPr>
            <w:tcW w:w="1262" w:type="dxa"/>
            <w:tcBorders>
              <w:top w:val="single" w:color="auto" w:sz="4" w:space="0"/>
              <w:left w:val="nil"/>
              <w:bottom w:val="single" w:color="auto" w:sz="4" w:space="0"/>
              <w:right w:val="single" w:color="auto" w:sz="4" w:space="0"/>
            </w:tcBorders>
            <w:vAlign w:val="center"/>
          </w:tcPr>
          <w:p w14:paraId="5A226251">
            <w:pPr>
              <w:spacing w:line="360" w:lineRule="auto"/>
              <w:jc w:val="center"/>
              <w:rPr>
                <w:rFonts w:ascii="宋体" w:hAnsi="宋体" w:cs="Calibri"/>
                <w:color w:val="auto"/>
                <w:szCs w:val="21"/>
                <w:highlight w:val="none"/>
              </w:rPr>
            </w:pPr>
            <w:r>
              <w:rPr>
                <w:rFonts w:ascii="宋体" w:hAnsi="宋体" w:cs="Calibri"/>
                <w:color w:val="auto"/>
                <w:szCs w:val="21"/>
                <w:highlight w:val="none"/>
              </w:rPr>
              <w:t>/</w:t>
            </w:r>
          </w:p>
        </w:tc>
        <w:tc>
          <w:tcPr>
            <w:tcW w:w="1416" w:type="dxa"/>
            <w:tcBorders>
              <w:top w:val="single" w:color="auto" w:sz="4" w:space="0"/>
              <w:left w:val="nil"/>
              <w:bottom w:val="single" w:color="auto" w:sz="4" w:space="0"/>
              <w:right w:val="single" w:color="auto" w:sz="4" w:space="0"/>
            </w:tcBorders>
            <w:vAlign w:val="center"/>
          </w:tcPr>
          <w:p w14:paraId="3CCF5874">
            <w:pPr>
              <w:spacing w:line="360" w:lineRule="auto"/>
              <w:jc w:val="center"/>
              <w:rPr>
                <w:rFonts w:ascii="宋体" w:hAnsi="宋体" w:cs="Calibri"/>
                <w:color w:val="auto"/>
                <w:szCs w:val="21"/>
                <w:highlight w:val="none"/>
              </w:rPr>
            </w:pPr>
          </w:p>
        </w:tc>
        <w:tc>
          <w:tcPr>
            <w:tcW w:w="855" w:type="dxa"/>
            <w:tcBorders>
              <w:top w:val="single" w:color="auto" w:sz="4" w:space="0"/>
              <w:left w:val="nil"/>
              <w:bottom w:val="single" w:color="auto" w:sz="4" w:space="0"/>
              <w:right w:val="single" w:color="auto" w:sz="4" w:space="0"/>
            </w:tcBorders>
            <w:vAlign w:val="center"/>
          </w:tcPr>
          <w:p w14:paraId="55BD8337">
            <w:pPr>
              <w:spacing w:line="360" w:lineRule="auto"/>
              <w:jc w:val="center"/>
              <w:rPr>
                <w:rFonts w:ascii="宋体" w:hAnsi="宋体" w:cs="Calibri"/>
                <w:color w:val="auto"/>
                <w:szCs w:val="21"/>
                <w:highlight w:val="none"/>
              </w:rPr>
            </w:pPr>
            <w:r>
              <w:rPr>
                <w:rFonts w:ascii="宋体" w:hAnsi="宋体" w:cs="Calibri"/>
                <w:color w:val="auto"/>
                <w:szCs w:val="21"/>
                <w:highlight w:val="none"/>
              </w:rPr>
              <w:t>/</w:t>
            </w:r>
          </w:p>
        </w:tc>
        <w:tc>
          <w:tcPr>
            <w:tcW w:w="2099" w:type="dxa"/>
            <w:vMerge w:val="restart"/>
            <w:tcBorders>
              <w:top w:val="single" w:color="auto" w:sz="4" w:space="0"/>
              <w:left w:val="nil"/>
              <w:right w:val="single" w:color="auto" w:sz="4" w:space="0"/>
            </w:tcBorders>
            <w:vAlign w:val="center"/>
          </w:tcPr>
          <w:p w14:paraId="5E1E0D2D">
            <w:pPr>
              <w:numPr>
                <w:ilvl w:val="255"/>
                <w:numId w:val="0"/>
              </w:numPr>
              <w:spacing w:line="360" w:lineRule="auto"/>
              <w:ind w:firstLine="0" w:firstLineChars="0"/>
              <w:rPr>
                <w:rFonts w:ascii="宋体" w:hAnsi="宋体" w:cs="Calibri"/>
                <w:bCs/>
                <w:color w:val="auto"/>
                <w:szCs w:val="21"/>
                <w:highlight w:val="none"/>
                <w:u w:val="single"/>
              </w:rPr>
            </w:pPr>
            <w:r>
              <w:rPr>
                <w:rFonts w:hint="eastAsia" w:ascii="宋体" w:hAnsi="宋体" w:cs="宋体"/>
                <w:color w:val="auto"/>
                <w:szCs w:val="21"/>
                <w:highlight w:val="none"/>
              </w:rPr>
              <w:t>1.对应报价金额不得超过工程设计费最高投标限价为</w:t>
            </w:r>
            <w:r>
              <w:rPr>
                <w:rFonts w:hint="eastAsia" w:ascii="宋体" w:hAnsi="宋体" w:cs="宋体"/>
                <w:color w:val="auto"/>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宋体" w:hAnsi="宋体" w:cs="宋体"/>
                <w:color w:val="auto"/>
                <w:sz w:val="24"/>
                <w:szCs w:val="24"/>
                <w:highlight w:val="none"/>
                <w:u w:val="single"/>
                <w:lang w:eastAsia="zh-CN" w:bidi="ar"/>
              </w:rPr>
              <w:t>1231.33</w:t>
            </w:r>
            <w:r>
              <w:rPr>
                <w:rFonts w:hint="eastAsia" w:ascii="宋体" w:hAnsi="宋体" w:cs="宋体"/>
                <w:bCs/>
                <w:color w:val="auto"/>
                <w:szCs w:val="21"/>
                <w:highlight w:val="none"/>
                <w:lang w:bidi="ar"/>
              </w:rPr>
              <w:t>万元</w:t>
            </w:r>
            <w:r>
              <w:rPr>
                <w:rFonts w:hint="eastAsia" w:ascii="宋体" w:hAnsi="宋体" w:cs="宋体"/>
                <w:color w:val="auto"/>
                <w:szCs w:val="21"/>
                <w:highlight w:val="none"/>
              </w:rPr>
              <w:t>。</w:t>
            </w:r>
          </w:p>
          <w:p w14:paraId="2B3C3EBC">
            <w:pPr>
              <w:numPr>
                <w:ilvl w:val="255"/>
                <w:numId w:val="0"/>
              </w:numPr>
              <w:spacing w:line="360" w:lineRule="auto"/>
              <w:rPr>
                <w:rFonts w:ascii="宋体" w:hAnsi="宋体" w:cs="Calibri"/>
                <w:bCs/>
                <w:color w:val="auto"/>
                <w:szCs w:val="21"/>
                <w:highlight w:val="none"/>
                <w:u w:val="single"/>
              </w:rPr>
            </w:pPr>
            <w:r>
              <w:rPr>
                <w:rFonts w:hint="eastAsia" w:ascii="宋体" w:hAnsi="宋体" w:cs="Calibri"/>
                <w:color w:val="auto"/>
                <w:szCs w:val="21"/>
                <w:highlight w:val="none"/>
                <w:u w:val="single"/>
              </w:rPr>
              <w:t>2.本次招标项目的建安工程费限额为</w:t>
            </w:r>
            <w:r>
              <w:rPr>
                <w:rFonts w:hint="eastAsia" w:ascii="宋体" w:hAnsi="宋体"/>
                <w:color w:val="auto"/>
                <w:sz w:val="24"/>
                <w:highlight w:val="none"/>
                <w:u w:val="single"/>
                <w:lang w:val="en-US" w:eastAsia="zh-CN"/>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Cs w:val="21"/>
                <w:highlight w:val="none"/>
                <w:u w:val="single"/>
              </w:rPr>
              <w:t>91379</w:t>
            </w:r>
            <w:r>
              <w:rPr>
                <w:rFonts w:hint="eastAsia" w:ascii="宋体" w:hAnsi="宋体" w:cs="Calibri"/>
                <w:color w:val="auto"/>
                <w:sz w:val="21"/>
                <w:szCs w:val="21"/>
                <w:highlight w:val="none"/>
                <w:u w:val="single"/>
              </w:rPr>
              <w:t>万</w:t>
            </w:r>
            <w:r>
              <w:rPr>
                <w:rFonts w:hint="eastAsia" w:ascii="宋体" w:hAnsi="宋体" w:cs="Calibri"/>
                <w:color w:val="auto"/>
                <w:szCs w:val="21"/>
                <w:highlight w:val="none"/>
                <w:u w:val="single"/>
              </w:rPr>
              <w:t>元。</w:t>
            </w:r>
          </w:p>
          <w:p w14:paraId="0AA242B0">
            <w:pPr>
              <w:pStyle w:val="12"/>
              <w:numPr>
                <w:ilvl w:val="255"/>
                <w:numId w:val="0"/>
              </w:numPr>
              <w:rPr>
                <w:color w:val="auto"/>
                <w:highlight w:val="none"/>
                <w:lang w:eastAsia="zh-CN"/>
              </w:rPr>
            </w:pPr>
            <w:r>
              <w:rPr>
                <w:rFonts w:hint="eastAsia" w:hAnsi="宋体" w:eastAsia="宋体" w:cs="宋体"/>
                <w:bCs/>
                <w:color w:val="auto"/>
                <w:spacing w:val="4"/>
                <w:sz w:val="21"/>
                <w:szCs w:val="21"/>
                <w:highlight w:val="none"/>
                <w:u w:val="single"/>
                <w:lang w:eastAsia="zh-CN" w:bidi="ar"/>
              </w:rPr>
              <w:t>3.工程设计费费率=【工程设计费÷</w:t>
            </w:r>
            <w:r>
              <w:rPr>
                <w:rFonts w:hint="eastAsia" w:hAnsi="宋体" w:eastAsia="宋体" w:cs="宋体"/>
                <w:bCs/>
                <w:color w:val="auto"/>
                <w:sz w:val="21"/>
                <w:szCs w:val="21"/>
                <w:highlight w:val="none"/>
                <w:u w:val="single"/>
                <w:lang w:eastAsia="zh-CN" w:bidi="ar"/>
              </w:rPr>
              <w:t>本次招标项目的</w:t>
            </w:r>
            <w:r>
              <w:rPr>
                <w:rFonts w:hint="eastAsia" w:hAnsi="宋体" w:eastAsia="宋体" w:cs="宋体"/>
                <w:bCs/>
                <w:color w:val="auto"/>
                <w:spacing w:val="4"/>
                <w:sz w:val="21"/>
                <w:szCs w:val="21"/>
                <w:highlight w:val="none"/>
                <w:u w:val="single"/>
                <w:lang w:eastAsia="zh-CN" w:bidi="ar"/>
              </w:rPr>
              <w:t>工程费限额】×100%</w:t>
            </w:r>
            <w:r>
              <w:rPr>
                <w:rFonts w:hint="eastAsia" w:hAnsi="宋体" w:eastAsia="宋体" w:cs="宋体"/>
                <w:bCs/>
                <w:color w:val="auto"/>
                <w:sz w:val="21"/>
                <w:szCs w:val="21"/>
                <w:highlight w:val="none"/>
                <w:u w:val="single"/>
                <w:lang w:eastAsia="zh-CN"/>
              </w:rPr>
              <w:t>。</w:t>
            </w:r>
          </w:p>
        </w:tc>
      </w:tr>
      <w:tr w14:paraId="7DDE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695" w:type="dxa"/>
            <w:tcBorders>
              <w:top w:val="single" w:color="auto" w:sz="4" w:space="0"/>
              <w:left w:val="single" w:color="auto" w:sz="4" w:space="0"/>
              <w:bottom w:val="single" w:color="auto" w:sz="4" w:space="0"/>
              <w:right w:val="single" w:color="auto" w:sz="4" w:space="0"/>
            </w:tcBorders>
            <w:vAlign w:val="center"/>
          </w:tcPr>
          <w:p w14:paraId="535698E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171" w:type="dxa"/>
            <w:tcBorders>
              <w:top w:val="single" w:color="auto" w:sz="4" w:space="0"/>
              <w:left w:val="nil"/>
              <w:bottom w:val="single" w:color="auto" w:sz="4" w:space="0"/>
              <w:right w:val="single" w:color="auto" w:sz="4" w:space="0"/>
            </w:tcBorders>
            <w:vAlign w:val="center"/>
          </w:tcPr>
          <w:p w14:paraId="302E8EF7">
            <w:pPr>
              <w:spacing w:line="360" w:lineRule="auto"/>
              <w:rPr>
                <w:rFonts w:ascii="宋体" w:hAnsi="宋体" w:cs="宋体"/>
                <w:color w:val="auto"/>
                <w:szCs w:val="21"/>
                <w:highlight w:val="none"/>
              </w:rPr>
            </w:pPr>
            <w:r>
              <w:rPr>
                <w:rFonts w:hint="eastAsia" w:ascii="宋体" w:hAnsi="宋体" w:cs="宋体"/>
                <w:color w:val="auto"/>
                <w:szCs w:val="21"/>
                <w:highlight w:val="none"/>
              </w:rPr>
              <w:t>竣工图编制费</w:t>
            </w:r>
          </w:p>
        </w:tc>
        <w:tc>
          <w:tcPr>
            <w:tcW w:w="1262" w:type="dxa"/>
            <w:tcBorders>
              <w:top w:val="single" w:color="auto" w:sz="4" w:space="0"/>
              <w:left w:val="nil"/>
              <w:bottom w:val="single" w:color="auto" w:sz="4" w:space="0"/>
              <w:right w:val="single" w:color="auto" w:sz="4" w:space="0"/>
            </w:tcBorders>
            <w:vAlign w:val="center"/>
          </w:tcPr>
          <w:p w14:paraId="07CA801A">
            <w:pPr>
              <w:spacing w:line="360" w:lineRule="auto"/>
              <w:jc w:val="center"/>
              <w:rPr>
                <w:rFonts w:ascii="宋体" w:hAnsi="宋体"/>
                <w:color w:val="auto"/>
                <w:szCs w:val="21"/>
                <w:highlight w:val="none"/>
              </w:rPr>
            </w:pPr>
            <w:r>
              <w:rPr>
                <w:rFonts w:ascii="宋体" w:hAnsi="宋体"/>
                <w:color w:val="auto"/>
                <w:szCs w:val="21"/>
                <w:highlight w:val="none"/>
              </w:rPr>
              <w:t>/</w:t>
            </w:r>
          </w:p>
        </w:tc>
        <w:tc>
          <w:tcPr>
            <w:tcW w:w="1416" w:type="dxa"/>
            <w:tcBorders>
              <w:top w:val="single" w:color="auto" w:sz="4" w:space="0"/>
              <w:left w:val="nil"/>
              <w:bottom w:val="single" w:color="auto" w:sz="4" w:space="0"/>
              <w:right w:val="single" w:color="auto" w:sz="4" w:space="0"/>
            </w:tcBorders>
            <w:vAlign w:val="center"/>
          </w:tcPr>
          <w:p w14:paraId="3D12BCFB">
            <w:pPr>
              <w:spacing w:line="360" w:lineRule="auto"/>
              <w:jc w:val="center"/>
              <w:rPr>
                <w:rFonts w:ascii="宋体" w:hAnsi="宋体" w:cs="Calibri"/>
                <w:color w:val="auto"/>
                <w:szCs w:val="21"/>
                <w:highlight w:val="none"/>
              </w:rPr>
            </w:pPr>
          </w:p>
        </w:tc>
        <w:tc>
          <w:tcPr>
            <w:tcW w:w="855" w:type="dxa"/>
            <w:tcBorders>
              <w:top w:val="single" w:color="auto" w:sz="4" w:space="0"/>
              <w:left w:val="nil"/>
              <w:bottom w:val="single" w:color="auto" w:sz="4" w:space="0"/>
              <w:right w:val="single" w:color="auto" w:sz="4" w:space="0"/>
            </w:tcBorders>
            <w:vAlign w:val="center"/>
          </w:tcPr>
          <w:p w14:paraId="3FF1E363">
            <w:pPr>
              <w:spacing w:line="360" w:lineRule="auto"/>
              <w:jc w:val="center"/>
              <w:rPr>
                <w:rFonts w:ascii="宋体" w:hAnsi="宋体" w:cs="Calibri"/>
                <w:color w:val="auto"/>
                <w:szCs w:val="21"/>
                <w:highlight w:val="none"/>
              </w:rPr>
            </w:pPr>
            <w:r>
              <w:rPr>
                <w:rFonts w:ascii="宋体" w:hAnsi="宋体" w:cs="Calibri"/>
                <w:color w:val="auto"/>
                <w:szCs w:val="21"/>
                <w:highlight w:val="none"/>
              </w:rPr>
              <w:t>/</w:t>
            </w:r>
          </w:p>
        </w:tc>
        <w:tc>
          <w:tcPr>
            <w:tcW w:w="2099" w:type="dxa"/>
            <w:vMerge w:val="continue"/>
            <w:tcBorders>
              <w:left w:val="nil"/>
              <w:right w:val="single" w:color="auto" w:sz="4" w:space="0"/>
            </w:tcBorders>
            <w:vAlign w:val="center"/>
          </w:tcPr>
          <w:p w14:paraId="15D2C09B">
            <w:pPr>
              <w:spacing w:line="360" w:lineRule="auto"/>
              <w:rPr>
                <w:rFonts w:ascii="宋体" w:hAnsi="宋体" w:cs="宋体"/>
                <w:color w:val="auto"/>
                <w:szCs w:val="21"/>
                <w:highlight w:val="none"/>
              </w:rPr>
            </w:pPr>
          </w:p>
        </w:tc>
      </w:tr>
      <w:tr w14:paraId="2572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95" w:type="dxa"/>
            <w:tcBorders>
              <w:top w:val="single" w:color="auto" w:sz="4" w:space="0"/>
              <w:left w:val="single" w:color="auto" w:sz="4" w:space="0"/>
              <w:bottom w:val="single" w:color="auto" w:sz="4" w:space="0"/>
              <w:right w:val="single" w:color="auto" w:sz="4" w:space="0"/>
            </w:tcBorders>
            <w:vAlign w:val="center"/>
          </w:tcPr>
          <w:p w14:paraId="2EF246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171" w:type="dxa"/>
            <w:tcBorders>
              <w:top w:val="single" w:color="auto" w:sz="4" w:space="0"/>
              <w:left w:val="nil"/>
              <w:bottom w:val="single" w:color="auto" w:sz="4" w:space="0"/>
              <w:right w:val="single" w:color="auto" w:sz="4" w:space="0"/>
            </w:tcBorders>
            <w:vAlign w:val="center"/>
          </w:tcPr>
          <w:p w14:paraId="6A1DD8A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工程设计费</w:t>
            </w:r>
          </w:p>
          <w:p w14:paraId="48B8BA8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（3）=（1）+（2）</w:t>
            </w:r>
          </w:p>
        </w:tc>
        <w:tc>
          <w:tcPr>
            <w:tcW w:w="1262" w:type="dxa"/>
            <w:tcBorders>
              <w:top w:val="single" w:color="auto" w:sz="4" w:space="0"/>
              <w:left w:val="nil"/>
              <w:bottom w:val="single" w:color="auto" w:sz="4" w:space="0"/>
              <w:right w:val="single" w:color="auto" w:sz="4" w:space="0"/>
            </w:tcBorders>
            <w:vAlign w:val="center"/>
          </w:tcPr>
          <w:p w14:paraId="5D37D728">
            <w:pPr>
              <w:spacing w:line="360" w:lineRule="auto"/>
              <w:jc w:val="left"/>
              <w:rPr>
                <w:rFonts w:ascii="宋体" w:hAnsi="宋体"/>
                <w:color w:val="auto"/>
                <w:szCs w:val="21"/>
                <w:highlight w:val="none"/>
              </w:rPr>
            </w:pPr>
          </w:p>
        </w:tc>
        <w:tc>
          <w:tcPr>
            <w:tcW w:w="1416" w:type="dxa"/>
            <w:tcBorders>
              <w:top w:val="single" w:color="auto" w:sz="4" w:space="0"/>
              <w:left w:val="nil"/>
              <w:bottom w:val="single" w:color="auto" w:sz="4" w:space="0"/>
              <w:right w:val="single" w:color="auto" w:sz="4" w:space="0"/>
            </w:tcBorders>
            <w:vAlign w:val="center"/>
          </w:tcPr>
          <w:p w14:paraId="1023A27E">
            <w:pPr>
              <w:spacing w:line="360" w:lineRule="auto"/>
              <w:jc w:val="center"/>
              <w:rPr>
                <w:rFonts w:ascii="宋体" w:hAnsi="宋体" w:cs="Calibri"/>
                <w:color w:val="auto"/>
                <w:szCs w:val="21"/>
                <w:highlight w:val="none"/>
              </w:rPr>
            </w:pPr>
          </w:p>
        </w:tc>
        <w:tc>
          <w:tcPr>
            <w:tcW w:w="855" w:type="dxa"/>
            <w:tcBorders>
              <w:top w:val="single" w:color="auto" w:sz="4" w:space="0"/>
              <w:left w:val="nil"/>
              <w:bottom w:val="single" w:color="auto" w:sz="4" w:space="0"/>
              <w:right w:val="single" w:color="auto" w:sz="4" w:space="0"/>
            </w:tcBorders>
            <w:vAlign w:val="center"/>
          </w:tcPr>
          <w:p w14:paraId="2F654CF6">
            <w:pPr>
              <w:spacing w:line="360" w:lineRule="auto"/>
              <w:jc w:val="center"/>
              <w:rPr>
                <w:rFonts w:ascii="宋体" w:hAnsi="宋体" w:cs="Calibri"/>
                <w:color w:val="auto"/>
                <w:szCs w:val="21"/>
                <w:highlight w:val="none"/>
              </w:rPr>
            </w:pPr>
          </w:p>
        </w:tc>
        <w:tc>
          <w:tcPr>
            <w:tcW w:w="2099" w:type="dxa"/>
            <w:vMerge w:val="continue"/>
            <w:tcBorders>
              <w:left w:val="nil"/>
              <w:right w:val="single" w:color="auto" w:sz="4" w:space="0"/>
            </w:tcBorders>
            <w:vAlign w:val="center"/>
          </w:tcPr>
          <w:p w14:paraId="2D535660">
            <w:pPr>
              <w:spacing w:line="360" w:lineRule="auto"/>
              <w:rPr>
                <w:rFonts w:ascii="宋体" w:hAnsi="宋体" w:cs="宋体"/>
                <w:color w:val="auto"/>
                <w:szCs w:val="21"/>
                <w:highlight w:val="none"/>
              </w:rPr>
            </w:pPr>
          </w:p>
        </w:tc>
      </w:tr>
    </w:tbl>
    <w:p w14:paraId="741FD8D4">
      <w:pPr>
        <w:topLinePunct/>
        <w:adjustRightInd w:val="0"/>
        <w:snapToGrid w:val="0"/>
        <w:spacing w:line="360" w:lineRule="auto"/>
        <w:rPr>
          <w:rFonts w:ascii="宋体" w:hAnsi="宋体" w:cs="宋体"/>
          <w:snapToGrid w:val="0"/>
          <w:color w:val="auto"/>
          <w:spacing w:val="4"/>
          <w:kern w:val="0"/>
          <w:szCs w:val="21"/>
          <w:highlight w:val="none"/>
        </w:rPr>
      </w:pPr>
      <w:r>
        <w:rPr>
          <w:rFonts w:hint="eastAsia" w:ascii="宋体" w:hAnsi="宋体" w:cs="宋体"/>
          <w:snapToGrid w:val="0"/>
          <w:color w:val="auto"/>
          <w:spacing w:val="4"/>
          <w:kern w:val="0"/>
          <w:szCs w:val="21"/>
          <w:highlight w:val="none"/>
        </w:rPr>
        <w:t>注：</w:t>
      </w:r>
      <w:r>
        <w:rPr>
          <w:rFonts w:hint="eastAsia" w:ascii="宋体" w:hAnsi="宋体" w:cs="宋体"/>
          <w:color w:val="auto"/>
          <w:spacing w:val="4"/>
          <w:kern w:val="0"/>
          <w:highlight w:val="none"/>
        </w:rPr>
        <w:t xml:space="preserve"> </w:t>
      </w:r>
      <w:r>
        <w:rPr>
          <w:rFonts w:ascii="宋体" w:hAnsi="宋体" w:cs="宋体"/>
          <w:color w:val="auto"/>
          <w:spacing w:val="4"/>
          <w:kern w:val="0"/>
          <w:highlight w:val="none"/>
        </w:rPr>
        <w:t>1</w:t>
      </w:r>
      <w:r>
        <w:rPr>
          <w:rFonts w:hint="eastAsia" w:ascii="宋体" w:hAnsi="宋体" w:cs="宋体"/>
          <w:snapToGrid w:val="0"/>
          <w:color w:val="auto"/>
          <w:spacing w:val="4"/>
          <w:kern w:val="0"/>
          <w:szCs w:val="21"/>
          <w:highlight w:val="none"/>
        </w:rPr>
        <w:t>、工程设计费的具体结算原则详见合同条款的约定。项目实施过程中，中标的费率不作调整。</w:t>
      </w:r>
    </w:p>
    <w:p w14:paraId="782179C6">
      <w:pPr>
        <w:topLinePunct/>
        <w:adjustRightInd w:val="0"/>
        <w:snapToGrid w:val="0"/>
        <w:spacing w:line="360" w:lineRule="auto"/>
        <w:ind w:firstLine="436" w:firstLineChars="200"/>
        <w:rPr>
          <w:rFonts w:ascii="宋体" w:hAnsi="宋体" w:cs="宋体"/>
          <w:color w:val="auto"/>
          <w:szCs w:val="21"/>
          <w:highlight w:val="none"/>
        </w:rPr>
      </w:pPr>
      <w:r>
        <w:rPr>
          <w:rFonts w:ascii="宋体" w:hAnsi="宋体" w:cs="宋体"/>
          <w:snapToGrid w:val="0"/>
          <w:color w:val="auto"/>
          <w:spacing w:val="4"/>
          <w:kern w:val="0"/>
          <w:szCs w:val="21"/>
          <w:highlight w:val="none"/>
        </w:rPr>
        <w:t>2</w:t>
      </w:r>
      <w:r>
        <w:rPr>
          <w:rFonts w:hint="eastAsia" w:ascii="宋体" w:hAnsi="宋体" w:cs="宋体"/>
          <w:snapToGrid w:val="0"/>
          <w:color w:val="auto"/>
          <w:spacing w:val="4"/>
          <w:kern w:val="0"/>
          <w:szCs w:val="21"/>
          <w:highlight w:val="none"/>
        </w:rPr>
        <w:t>、经算术复核的投标人报价与其投标报价不一致时，按就低不就高原则确定其最终报价。如修正后</w:t>
      </w:r>
      <w:r>
        <w:rPr>
          <w:rFonts w:hint="eastAsia" w:ascii="宋体" w:hAnsi="宋体" w:cs="宋体"/>
          <w:color w:val="auto"/>
          <w:szCs w:val="21"/>
          <w:highlight w:val="none"/>
        </w:rPr>
        <w:t>的投标报价超出相应的最高投标限价，则由评标委员作废标处理。</w:t>
      </w:r>
    </w:p>
    <w:p w14:paraId="39E4788F">
      <w:pPr>
        <w:topLinePunct/>
        <w:adjustRightInd w:val="0"/>
        <w:snapToGrid w:val="0"/>
        <w:spacing w:line="360" w:lineRule="auto"/>
        <w:ind w:firstLine="420" w:firstLineChars="200"/>
        <w:rPr>
          <w:rFonts w:hint="eastAsia" w:ascii="宋体" w:hAnsi="宋体" w:cs="宋体"/>
          <w:color w:val="auto"/>
          <w:szCs w:val="21"/>
          <w:highlight w:val="none"/>
        </w:rPr>
        <w:sectPr>
          <w:headerReference r:id="rId9" w:type="default"/>
          <w:footerReference r:id="rId10" w:type="default"/>
          <w:footerReference r:id="rId11" w:type="even"/>
          <w:pgSz w:w="11906" w:h="16838"/>
          <w:pgMar w:top="1440" w:right="1797" w:bottom="1440" w:left="1797" w:header="851" w:footer="992" w:gutter="0"/>
          <w:pgBorders>
            <w:top w:val="none" w:sz="0" w:space="0"/>
            <w:left w:val="none" w:sz="0" w:space="0"/>
            <w:bottom w:val="none" w:sz="0" w:space="0"/>
            <w:right w:val="none" w:sz="0" w:space="0"/>
          </w:pgBorders>
          <w:cols w:space="720" w:num="1"/>
          <w:rtlGutter w:val="1"/>
          <w:docGrid w:type="lines" w:linePitch="312" w:charSpace="0"/>
        </w:sectPr>
      </w:pPr>
      <w:r>
        <w:rPr>
          <w:rFonts w:ascii="宋体" w:hAnsi="宋体" w:cs="宋体"/>
          <w:color w:val="auto"/>
          <w:szCs w:val="21"/>
          <w:highlight w:val="none"/>
        </w:rPr>
        <w:t>3</w:t>
      </w:r>
      <w:r>
        <w:rPr>
          <w:rFonts w:hint="eastAsia" w:ascii="宋体" w:hAnsi="宋体" w:cs="宋体"/>
          <w:color w:val="auto"/>
          <w:szCs w:val="21"/>
          <w:highlight w:val="none"/>
        </w:rPr>
        <w:t>、按上述修正错误的原则及方法调整或修正投标文件的投标报价，调整后的投标报价对投标人起约束作用。如果投标人不接受修正后的报价，则取消其中标资格。</w:t>
      </w:r>
    </w:p>
    <w:p w14:paraId="5011E4AF">
      <w:pPr>
        <w:spacing w:line="360" w:lineRule="auto"/>
        <w:jc w:val="left"/>
        <w:rPr>
          <w:rFonts w:ascii="宋体" w:hAnsi="宋体"/>
          <w:color w:val="auto"/>
          <w:sz w:val="24"/>
          <w:szCs w:val="24"/>
          <w:highlight w:val="none"/>
        </w:rPr>
      </w:pPr>
      <w:r>
        <w:rPr>
          <w:rFonts w:hint="eastAsia" w:ascii="宋体" w:hAnsi="宋体"/>
          <w:bCs/>
          <w:color w:val="auto"/>
          <w:highlight w:val="none"/>
          <w:lang w:bidi="ar"/>
        </w:rPr>
        <w:t>附件（</w:t>
      </w:r>
      <w:r>
        <w:rPr>
          <w:rFonts w:hint="eastAsia" w:ascii="宋体" w:hAnsi="宋体"/>
          <w:bCs/>
          <w:color w:val="auto"/>
          <w:highlight w:val="none"/>
          <w:lang w:val="en-US" w:eastAsia="zh-CN" w:bidi="ar"/>
        </w:rPr>
        <w:t>2</w:t>
      </w:r>
      <w:r>
        <w:rPr>
          <w:rFonts w:hint="eastAsia" w:ascii="宋体" w:hAnsi="宋体"/>
          <w:bCs/>
          <w:color w:val="auto"/>
          <w:highlight w:val="none"/>
          <w:lang w:bidi="ar"/>
        </w:rPr>
        <w:t>）：BIM技术费计算表</w:t>
      </w:r>
    </w:p>
    <w:p w14:paraId="2F94E8D1">
      <w:pPr>
        <w:spacing w:line="360" w:lineRule="auto"/>
        <w:jc w:val="left"/>
        <w:rPr>
          <w:rFonts w:ascii="宋体" w:hAnsi="宋体"/>
          <w:bCs/>
          <w:color w:val="auto"/>
          <w:szCs w:val="21"/>
          <w:highlight w:val="none"/>
        </w:rPr>
      </w:pPr>
      <w:r>
        <w:rPr>
          <w:rFonts w:hint="eastAsia" w:ascii="宋体" w:hAnsi="宋体"/>
          <w:bCs/>
          <w:color w:val="auto"/>
          <w:szCs w:val="21"/>
          <w:highlight w:val="none"/>
          <w:lang w:bidi="ar"/>
        </w:rPr>
        <w:t xml:space="preserve"> </w:t>
      </w:r>
    </w:p>
    <w:p w14:paraId="36B9FB52">
      <w:pPr>
        <w:spacing w:line="360" w:lineRule="auto"/>
        <w:jc w:val="center"/>
        <w:rPr>
          <w:rFonts w:ascii="宋体" w:hAnsi="宋体"/>
          <w:color w:val="auto"/>
          <w:sz w:val="32"/>
          <w:szCs w:val="32"/>
          <w:highlight w:val="none"/>
        </w:rPr>
      </w:pPr>
      <w:r>
        <w:rPr>
          <w:rFonts w:hint="eastAsia" w:ascii="宋体" w:hAnsi="宋体" w:cs="宋体"/>
          <w:color w:val="auto"/>
          <w:sz w:val="32"/>
          <w:szCs w:val="32"/>
          <w:highlight w:val="none"/>
          <w:lang w:bidi="ar"/>
        </w:rPr>
        <w:t>BIM技术费计算表</w:t>
      </w:r>
    </w:p>
    <w:p w14:paraId="7E3FCCB8">
      <w:pPr>
        <w:spacing w:line="360" w:lineRule="auto"/>
        <w:jc w:val="left"/>
        <w:rPr>
          <w:rFonts w:ascii="宋体" w:hAnsi="宋体"/>
          <w:color w:val="auto"/>
          <w:szCs w:val="21"/>
          <w:highlight w:val="none"/>
        </w:rPr>
      </w:pPr>
      <w:r>
        <w:rPr>
          <w:rFonts w:hint="eastAsia" w:ascii="宋体" w:hAnsi="宋体"/>
          <w:color w:val="auto"/>
          <w:szCs w:val="21"/>
          <w:highlight w:val="none"/>
          <w:lang w:bidi="ar"/>
        </w:rPr>
        <w:t xml:space="preserve"> </w:t>
      </w:r>
    </w:p>
    <w:tbl>
      <w:tblPr>
        <w:tblStyle w:val="23"/>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174"/>
        <w:gridCol w:w="1537"/>
        <w:gridCol w:w="1145"/>
        <w:gridCol w:w="856"/>
        <w:gridCol w:w="2308"/>
      </w:tblGrid>
      <w:tr w14:paraId="72FD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69ECFB9">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序号</w:t>
            </w:r>
          </w:p>
        </w:tc>
        <w:tc>
          <w:tcPr>
            <w:tcW w:w="2174" w:type="dxa"/>
            <w:tcBorders>
              <w:top w:val="single" w:color="auto" w:sz="4" w:space="0"/>
              <w:left w:val="nil"/>
              <w:bottom w:val="single" w:color="auto" w:sz="4" w:space="0"/>
              <w:right w:val="single" w:color="auto" w:sz="4" w:space="0"/>
            </w:tcBorders>
            <w:vAlign w:val="center"/>
          </w:tcPr>
          <w:p w14:paraId="2D0189F5">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费用名称</w:t>
            </w:r>
          </w:p>
        </w:tc>
        <w:tc>
          <w:tcPr>
            <w:tcW w:w="1537" w:type="dxa"/>
            <w:tcBorders>
              <w:top w:val="single" w:color="auto" w:sz="4" w:space="0"/>
              <w:left w:val="nil"/>
              <w:bottom w:val="single" w:color="auto" w:sz="4" w:space="0"/>
              <w:right w:val="single" w:color="auto" w:sz="4" w:space="0"/>
            </w:tcBorders>
            <w:vAlign w:val="center"/>
          </w:tcPr>
          <w:p w14:paraId="2AEB958E">
            <w:pPr>
              <w:pStyle w:val="38"/>
              <w:spacing w:line="360" w:lineRule="auto"/>
              <w:jc w:val="center"/>
              <w:rPr>
                <w:rFonts w:cs="Calibri"/>
                <w:color w:val="auto"/>
                <w:highlight w:val="none"/>
              </w:rPr>
            </w:pPr>
            <w:r>
              <w:rPr>
                <w:rFonts w:hint="eastAsia"/>
                <w:color w:val="auto"/>
                <w:highlight w:val="none"/>
              </w:rPr>
              <w:t>暂定工程费限额</w:t>
            </w:r>
            <w:r>
              <w:rPr>
                <w:rFonts w:hint="eastAsia" w:cs="宋体"/>
                <w:color w:val="auto"/>
                <w:highlight w:val="none"/>
              </w:rPr>
              <w:t>（元）</w:t>
            </w:r>
          </w:p>
        </w:tc>
        <w:tc>
          <w:tcPr>
            <w:tcW w:w="1145" w:type="dxa"/>
            <w:tcBorders>
              <w:top w:val="single" w:color="auto" w:sz="4" w:space="0"/>
              <w:left w:val="nil"/>
              <w:bottom w:val="single" w:color="auto" w:sz="4" w:space="0"/>
              <w:right w:val="single" w:color="auto" w:sz="4" w:space="0"/>
            </w:tcBorders>
            <w:vAlign w:val="center"/>
          </w:tcPr>
          <w:p w14:paraId="2CED5497">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金额</w:t>
            </w:r>
          </w:p>
          <w:p w14:paraId="779F16F0">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（元）</w:t>
            </w:r>
          </w:p>
        </w:tc>
        <w:tc>
          <w:tcPr>
            <w:tcW w:w="856" w:type="dxa"/>
            <w:tcBorders>
              <w:top w:val="single" w:color="auto" w:sz="4" w:space="0"/>
              <w:left w:val="nil"/>
              <w:bottom w:val="single" w:color="auto" w:sz="4" w:space="0"/>
              <w:right w:val="single" w:color="auto" w:sz="4" w:space="0"/>
            </w:tcBorders>
            <w:vAlign w:val="center"/>
          </w:tcPr>
          <w:p w14:paraId="49E34060">
            <w:pPr>
              <w:pStyle w:val="38"/>
              <w:spacing w:line="360" w:lineRule="auto"/>
              <w:jc w:val="center"/>
              <w:rPr>
                <w:color w:val="auto"/>
                <w:highlight w:val="none"/>
                <w:u w:val="single"/>
              </w:rPr>
            </w:pPr>
            <w:r>
              <w:rPr>
                <w:rFonts w:hint="eastAsia"/>
                <w:color w:val="auto"/>
                <w:highlight w:val="none"/>
              </w:rPr>
              <w:t>费率（%）</w:t>
            </w:r>
          </w:p>
        </w:tc>
        <w:tc>
          <w:tcPr>
            <w:tcW w:w="2308" w:type="dxa"/>
            <w:tcBorders>
              <w:top w:val="single" w:color="auto" w:sz="4" w:space="0"/>
              <w:left w:val="nil"/>
              <w:bottom w:val="single" w:color="auto" w:sz="4" w:space="0"/>
              <w:right w:val="single" w:color="auto" w:sz="4" w:space="0"/>
            </w:tcBorders>
            <w:vAlign w:val="center"/>
          </w:tcPr>
          <w:p w14:paraId="4A1A542C">
            <w:pPr>
              <w:pStyle w:val="38"/>
              <w:spacing w:line="360" w:lineRule="auto"/>
              <w:jc w:val="center"/>
              <w:rPr>
                <w:color w:val="auto"/>
                <w:highlight w:val="none"/>
              </w:rPr>
            </w:pPr>
            <w:r>
              <w:rPr>
                <w:rFonts w:hint="eastAsia"/>
                <w:color w:val="auto"/>
                <w:highlight w:val="none"/>
              </w:rPr>
              <w:t>备注</w:t>
            </w:r>
          </w:p>
        </w:tc>
      </w:tr>
      <w:tr w14:paraId="4769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06A01FEA">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1</w:t>
            </w:r>
          </w:p>
        </w:tc>
        <w:tc>
          <w:tcPr>
            <w:tcW w:w="2174" w:type="dxa"/>
            <w:tcBorders>
              <w:top w:val="single" w:color="auto" w:sz="4" w:space="0"/>
              <w:left w:val="nil"/>
              <w:bottom w:val="single" w:color="auto" w:sz="4" w:space="0"/>
              <w:right w:val="single" w:color="auto" w:sz="4" w:space="0"/>
            </w:tcBorders>
            <w:vAlign w:val="center"/>
          </w:tcPr>
          <w:p w14:paraId="4927939E">
            <w:pPr>
              <w:spacing w:line="360" w:lineRule="auto"/>
              <w:rPr>
                <w:rFonts w:ascii="宋体" w:hAnsi="宋体" w:cs="Calibri"/>
                <w:color w:val="auto"/>
                <w:szCs w:val="21"/>
                <w:highlight w:val="none"/>
              </w:rPr>
            </w:pPr>
            <w:r>
              <w:rPr>
                <w:rFonts w:ascii="宋体" w:hAnsi="宋体" w:cs="宋体"/>
                <w:color w:val="auto"/>
                <w:szCs w:val="21"/>
                <w:highlight w:val="none"/>
              </w:rPr>
              <w:t>BIM</w:t>
            </w:r>
            <w:r>
              <w:rPr>
                <w:rFonts w:hint="eastAsia" w:ascii="宋体" w:hAnsi="宋体" w:cs="宋体"/>
                <w:color w:val="auto"/>
                <w:szCs w:val="21"/>
                <w:highlight w:val="none"/>
              </w:rPr>
              <w:t>技术服务费</w:t>
            </w:r>
          </w:p>
        </w:tc>
        <w:tc>
          <w:tcPr>
            <w:tcW w:w="1537" w:type="dxa"/>
            <w:tcBorders>
              <w:top w:val="single" w:color="auto" w:sz="4" w:space="0"/>
              <w:left w:val="nil"/>
              <w:bottom w:val="single" w:color="auto" w:sz="4" w:space="0"/>
              <w:right w:val="single" w:color="auto" w:sz="4" w:space="0"/>
            </w:tcBorders>
            <w:vAlign w:val="center"/>
          </w:tcPr>
          <w:p w14:paraId="2089354C">
            <w:pPr>
              <w:spacing w:line="360" w:lineRule="auto"/>
              <w:jc w:val="center"/>
              <w:rPr>
                <w:rFonts w:ascii="宋体" w:hAnsi="宋体" w:cs="Calibri"/>
                <w:color w:val="auto"/>
                <w:szCs w:val="21"/>
                <w:highlight w:val="none"/>
              </w:rPr>
            </w:pPr>
          </w:p>
        </w:tc>
        <w:tc>
          <w:tcPr>
            <w:tcW w:w="1145" w:type="dxa"/>
            <w:tcBorders>
              <w:top w:val="single" w:color="auto" w:sz="4" w:space="0"/>
              <w:left w:val="nil"/>
              <w:bottom w:val="single" w:color="auto" w:sz="4" w:space="0"/>
              <w:right w:val="single" w:color="auto" w:sz="4" w:space="0"/>
            </w:tcBorders>
            <w:vAlign w:val="center"/>
          </w:tcPr>
          <w:p w14:paraId="3417C76C">
            <w:pPr>
              <w:spacing w:line="360" w:lineRule="auto"/>
              <w:jc w:val="center"/>
              <w:rPr>
                <w:rFonts w:ascii="宋体" w:hAnsi="宋体" w:cs="Calibri"/>
                <w:color w:val="auto"/>
                <w:szCs w:val="21"/>
                <w:highlight w:val="none"/>
              </w:rPr>
            </w:pPr>
          </w:p>
        </w:tc>
        <w:tc>
          <w:tcPr>
            <w:tcW w:w="856" w:type="dxa"/>
            <w:tcBorders>
              <w:top w:val="single" w:color="auto" w:sz="4" w:space="0"/>
              <w:left w:val="nil"/>
              <w:bottom w:val="single" w:color="auto" w:sz="4" w:space="0"/>
              <w:right w:val="single" w:color="auto" w:sz="4" w:space="0"/>
            </w:tcBorders>
            <w:vAlign w:val="center"/>
          </w:tcPr>
          <w:p w14:paraId="056E58F3">
            <w:pPr>
              <w:spacing w:line="360" w:lineRule="auto"/>
              <w:jc w:val="center"/>
              <w:rPr>
                <w:rFonts w:ascii="宋体" w:hAnsi="宋体" w:cs="Calibri"/>
                <w:color w:val="auto"/>
                <w:szCs w:val="21"/>
                <w:highlight w:val="none"/>
              </w:rPr>
            </w:pPr>
          </w:p>
        </w:tc>
        <w:tc>
          <w:tcPr>
            <w:tcW w:w="2308" w:type="dxa"/>
            <w:vMerge w:val="restart"/>
            <w:tcBorders>
              <w:top w:val="single" w:color="auto" w:sz="4" w:space="0"/>
              <w:left w:val="nil"/>
              <w:right w:val="single" w:color="auto" w:sz="4" w:space="0"/>
            </w:tcBorders>
            <w:vAlign w:val="center"/>
          </w:tcPr>
          <w:p w14:paraId="65A98104">
            <w:pPr>
              <w:spacing w:line="360" w:lineRule="auto"/>
              <w:rPr>
                <w:rFonts w:ascii="宋体" w:hAnsi="宋体" w:cs="Calibri"/>
                <w:bCs/>
                <w:color w:val="auto"/>
                <w:szCs w:val="21"/>
                <w:highlight w:val="none"/>
                <w:u w:val="single"/>
              </w:rPr>
            </w:pPr>
            <w:r>
              <w:rPr>
                <w:rFonts w:hint="eastAsia" w:ascii="宋体" w:hAnsi="宋体" w:cs="宋体"/>
                <w:bCs/>
                <w:color w:val="auto"/>
                <w:szCs w:val="21"/>
                <w:highlight w:val="none"/>
                <w:lang w:bidi="ar"/>
              </w:rPr>
              <w:t>对应报价金额不得超过BIM技术应用费最高投标限价为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78.29</w:t>
            </w:r>
            <w:r>
              <w:rPr>
                <w:rFonts w:hint="eastAsia" w:ascii="宋体" w:hAnsi="宋体" w:cs="宋体"/>
                <w:color w:val="auto"/>
                <w:sz w:val="24"/>
                <w:szCs w:val="24"/>
                <w:highlight w:val="none"/>
                <w:u w:val="single"/>
                <w:lang w:val="en-US" w:eastAsia="zh-CN"/>
              </w:rPr>
              <w:t xml:space="preserve"> </w:t>
            </w:r>
            <w:r>
              <w:rPr>
                <w:rFonts w:hint="eastAsia" w:ascii="宋体" w:hAnsi="宋体" w:cs="宋体"/>
                <w:bCs/>
                <w:color w:val="auto"/>
                <w:szCs w:val="21"/>
                <w:highlight w:val="none"/>
                <w:lang w:bidi="ar"/>
              </w:rPr>
              <w:t>万元。</w:t>
            </w:r>
          </w:p>
        </w:tc>
      </w:tr>
      <w:tr w14:paraId="0F00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9E759A5">
            <w:pPr>
              <w:spacing w:line="360" w:lineRule="auto"/>
              <w:jc w:val="center"/>
              <w:rPr>
                <w:rFonts w:ascii="宋体" w:hAnsi="宋体" w:cs="宋体"/>
                <w:color w:val="auto"/>
                <w:szCs w:val="21"/>
                <w:highlight w:val="none"/>
              </w:rPr>
            </w:pPr>
          </w:p>
        </w:tc>
        <w:tc>
          <w:tcPr>
            <w:tcW w:w="2174" w:type="dxa"/>
            <w:tcBorders>
              <w:top w:val="single" w:color="auto" w:sz="4" w:space="0"/>
              <w:left w:val="nil"/>
              <w:bottom w:val="single" w:color="auto" w:sz="4" w:space="0"/>
              <w:right w:val="single" w:color="auto" w:sz="4" w:space="0"/>
            </w:tcBorders>
            <w:vAlign w:val="center"/>
          </w:tcPr>
          <w:p w14:paraId="56691DCF">
            <w:pPr>
              <w:spacing w:line="360" w:lineRule="auto"/>
              <w:rPr>
                <w:rFonts w:ascii="宋体" w:hAnsi="宋体" w:cs="宋体"/>
                <w:color w:val="auto"/>
                <w:szCs w:val="21"/>
                <w:highlight w:val="none"/>
              </w:rPr>
            </w:pPr>
          </w:p>
        </w:tc>
        <w:tc>
          <w:tcPr>
            <w:tcW w:w="1537" w:type="dxa"/>
            <w:tcBorders>
              <w:top w:val="single" w:color="auto" w:sz="4" w:space="0"/>
              <w:left w:val="nil"/>
              <w:bottom w:val="single" w:color="auto" w:sz="4" w:space="0"/>
              <w:right w:val="single" w:color="auto" w:sz="4" w:space="0"/>
            </w:tcBorders>
            <w:vAlign w:val="center"/>
          </w:tcPr>
          <w:p w14:paraId="00816803">
            <w:pPr>
              <w:spacing w:line="360" w:lineRule="auto"/>
              <w:jc w:val="center"/>
              <w:rPr>
                <w:rFonts w:ascii="宋体" w:hAnsi="宋体"/>
                <w:color w:val="auto"/>
                <w:szCs w:val="21"/>
                <w:highlight w:val="none"/>
              </w:rPr>
            </w:pPr>
          </w:p>
        </w:tc>
        <w:tc>
          <w:tcPr>
            <w:tcW w:w="1145" w:type="dxa"/>
            <w:tcBorders>
              <w:top w:val="single" w:color="auto" w:sz="4" w:space="0"/>
              <w:left w:val="nil"/>
              <w:bottom w:val="single" w:color="auto" w:sz="4" w:space="0"/>
              <w:right w:val="single" w:color="auto" w:sz="4" w:space="0"/>
            </w:tcBorders>
            <w:vAlign w:val="center"/>
          </w:tcPr>
          <w:p w14:paraId="329CAF3D">
            <w:pPr>
              <w:spacing w:line="360" w:lineRule="auto"/>
              <w:jc w:val="center"/>
              <w:rPr>
                <w:rFonts w:ascii="宋体" w:hAnsi="宋体" w:cs="Calibri"/>
                <w:color w:val="auto"/>
                <w:szCs w:val="21"/>
                <w:highlight w:val="none"/>
              </w:rPr>
            </w:pPr>
          </w:p>
        </w:tc>
        <w:tc>
          <w:tcPr>
            <w:tcW w:w="856" w:type="dxa"/>
            <w:tcBorders>
              <w:top w:val="single" w:color="auto" w:sz="4" w:space="0"/>
              <w:left w:val="nil"/>
              <w:bottom w:val="single" w:color="auto" w:sz="4" w:space="0"/>
              <w:right w:val="single" w:color="auto" w:sz="4" w:space="0"/>
            </w:tcBorders>
            <w:vAlign w:val="center"/>
          </w:tcPr>
          <w:p w14:paraId="4DCD1AAB">
            <w:pPr>
              <w:spacing w:line="360" w:lineRule="auto"/>
              <w:jc w:val="center"/>
              <w:rPr>
                <w:rFonts w:ascii="宋体" w:hAnsi="宋体" w:cs="Calibri"/>
                <w:color w:val="auto"/>
                <w:szCs w:val="21"/>
                <w:highlight w:val="none"/>
              </w:rPr>
            </w:pPr>
          </w:p>
        </w:tc>
        <w:tc>
          <w:tcPr>
            <w:tcW w:w="2308" w:type="dxa"/>
            <w:vMerge w:val="continue"/>
            <w:tcBorders>
              <w:left w:val="nil"/>
              <w:right w:val="single" w:color="auto" w:sz="4" w:space="0"/>
            </w:tcBorders>
            <w:vAlign w:val="center"/>
          </w:tcPr>
          <w:p w14:paraId="1B423F75">
            <w:pPr>
              <w:spacing w:line="360" w:lineRule="auto"/>
              <w:rPr>
                <w:rFonts w:ascii="宋体" w:hAnsi="宋体" w:cs="宋体"/>
                <w:color w:val="auto"/>
                <w:szCs w:val="21"/>
                <w:highlight w:val="none"/>
              </w:rPr>
            </w:pPr>
          </w:p>
        </w:tc>
      </w:tr>
      <w:tr w14:paraId="3578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07B7F78E">
            <w:pPr>
              <w:spacing w:line="360" w:lineRule="auto"/>
              <w:jc w:val="center"/>
              <w:rPr>
                <w:rFonts w:ascii="宋体" w:hAnsi="宋体" w:cs="宋体"/>
                <w:color w:val="auto"/>
                <w:szCs w:val="21"/>
                <w:highlight w:val="none"/>
              </w:rPr>
            </w:pPr>
          </w:p>
        </w:tc>
        <w:tc>
          <w:tcPr>
            <w:tcW w:w="2174" w:type="dxa"/>
            <w:tcBorders>
              <w:top w:val="single" w:color="auto" w:sz="4" w:space="0"/>
              <w:left w:val="nil"/>
              <w:bottom w:val="single" w:color="auto" w:sz="4" w:space="0"/>
              <w:right w:val="single" w:color="auto" w:sz="4" w:space="0"/>
            </w:tcBorders>
            <w:vAlign w:val="center"/>
          </w:tcPr>
          <w:p w14:paraId="6159F762">
            <w:pPr>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37" w:type="dxa"/>
            <w:tcBorders>
              <w:top w:val="single" w:color="auto" w:sz="4" w:space="0"/>
              <w:left w:val="nil"/>
              <w:bottom w:val="single" w:color="auto" w:sz="4" w:space="0"/>
              <w:right w:val="single" w:color="auto" w:sz="4" w:space="0"/>
            </w:tcBorders>
            <w:vAlign w:val="center"/>
          </w:tcPr>
          <w:p w14:paraId="754F4503">
            <w:pPr>
              <w:spacing w:line="360" w:lineRule="auto"/>
              <w:jc w:val="center"/>
              <w:rPr>
                <w:rFonts w:ascii="宋体" w:hAnsi="宋体"/>
                <w:color w:val="auto"/>
                <w:szCs w:val="21"/>
                <w:highlight w:val="none"/>
              </w:rPr>
            </w:pPr>
          </w:p>
        </w:tc>
        <w:tc>
          <w:tcPr>
            <w:tcW w:w="1145" w:type="dxa"/>
            <w:tcBorders>
              <w:top w:val="single" w:color="auto" w:sz="4" w:space="0"/>
              <w:left w:val="nil"/>
              <w:bottom w:val="single" w:color="auto" w:sz="4" w:space="0"/>
              <w:right w:val="single" w:color="auto" w:sz="4" w:space="0"/>
            </w:tcBorders>
            <w:vAlign w:val="center"/>
          </w:tcPr>
          <w:p w14:paraId="413B5410">
            <w:pPr>
              <w:spacing w:line="360" w:lineRule="auto"/>
              <w:jc w:val="center"/>
              <w:rPr>
                <w:rFonts w:ascii="宋体" w:hAnsi="宋体" w:cs="Calibri"/>
                <w:color w:val="auto"/>
                <w:szCs w:val="21"/>
                <w:highlight w:val="none"/>
              </w:rPr>
            </w:pPr>
          </w:p>
        </w:tc>
        <w:tc>
          <w:tcPr>
            <w:tcW w:w="856" w:type="dxa"/>
            <w:tcBorders>
              <w:top w:val="single" w:color="auto" w:sz="4" w:space="0"/>
              <w:left w:val="nil"/>
              <w:bottom w:val="single" w:color="auto" w:sz="4" w:space="0"/>
              <w:right w:val="single" w:color="auto" w:sz="4" w:space="0"/>
            </w:tcBorders>
            <w:vAlign w:val="center"/>
          </w:tcPr>
          <w:p w14:paraId="49E4E36F">
            <w:pPr>
              <w:spacing w:line="360" w:lineRule="auto"/>
              <w:jc w:val="center"/>
              <w:rPr>
                <w:rFonts w:ascii="宋体" w:hAnsi="宋体" w:cs="Calibri"/>
                <w:color w:val="auto"/>
                <w:szCs w:val="21"/>
                <w:highlight w:val="none"/>
              </w:rPr>
            </w:pPr>
          </w:p>
        </w:tc>
        <w:tc>
          <w:tcPr>
            <w:tcW w:w="2308" w:type="dxa"/>
            <w:vMerge w:val="continue"/>
            <w:tcBorders>
              <w:left w:val="nil"/>
              <w:right w:val="single" w:color="auto" w:sz="4" w:space="0"/>
            </w:tcBorders>
            <w:vAlign w:val="center"/>
          </w:tcPr>
          <w:p w14:paraId="256B8647">
            <w:pPr>
              <w:spacing w:line="360" w:lineRule="auto"/>
              <w:rPr>
                <w:rFonts w:ascii="宋体" w:hAnsi="宋体" w:cs="宋体"/>
                <w:color w:val="auto"/>
                <w:szCs w:val="21"/>
                <w:highlight w:val="none"/>
              </w:rPr>
            </w:pPr>
          </w:p>
        </w:tc>
      </w:tr>
      <w:tr w14:paraId="618F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E7163CF">
            <w:pPr>
              <w:spacing w:line="360" w:lineRule="auto"/>
              <w:jc w:val="center"/>
              <w:rPr>
                <w:rFonts w:ascii="宋体" w:hAnsi="宋体" w:cs="宋体"/>
                <w:color w:val="auto"/>
                <w:szCs w:val="21"/>
                <w:highlight w:val="none"/>
              </w:rPr>
            </w:pPr>
          </w:p>
        </w:tc>
        <w:tc>
          <w:tcPr>
            <w:tcW w:w="2174" w:type="dxa"/>
            <w:tcBorders>
              <w:top w:val="single" w:color="auto" w:sz="4" w:space="0"/>
              <w:left w:val="nil"/>
              <w:bottom w:val="single" w:color="auto" w:sz="4" w:space="0"/>
              <w:right w:val="single" w:color="auto" w:sz="4" w:space="0"/>
            </w:tcBorders>
            <w:vAlign w:val="center"/>
          </w:tcPr>
          <w:p w14:paraId="0C31C6F7">
            <w:pPr>
              <w:spacing w:line="360" w:lineRule="auto"/>
              <w:rPr>
                <w:rFonts w:ascii="宋体" w:hAnsi="宋体" w:cs="宋体"/>
                <w:color w:val="auto"/>
                <w:szCs w:val="21"/>
                <w:highlight w:val="none"/>
              </w:rPr>
            </w:pPr>
          </w:p>
        </w:tc>
        <w:tc>
          <w:tcPr>
            <w:tcW w:w="1537" w:type="dxa"/>
            <w:tcBorders>
              <w:top w:val="single" w:color="auto" w:sz="4" w:space="0"/>
              <w:left w:val="nil"/>
              <w:bottom w:val="single" w:color="auto" w:sz="4" w:space="0"/>
              <w:right w:val="single" w:color="auto" w:sz="4" w:space="0"/>
            </w:tcBorders>
            <w:vAlign w:val="center"/>
          </w:tcPr>
          <w:p w14:paraId="01805765">
            <w:pPr>
              <w:spacing w:line="360" w:lineRule="auto"/>
              <w:jc w:val="center"/>
              <w:rPr>
                <w:rFonts w:ascii="宋体" w:hAnsi="宋体"/>
                <w:color w:val="auto"/>
                <w:szCs w:val="21"/>
                <w:highlight w:val="none"/>
              </w:rPr>
            </w:pPr>
          </w:p>
        </w:tc>
        <w:tc>
          <w:tcPr>
            <w:tcW w:w="1145" w:type="dxa"/>
            <w:tcBorders>
              <w:top w:val="single" w:color="auto" w:sz="4" w:space="0"/>
              <w:left w:val="nil"/>
              <w:bottom w:val="single" w:color="auto" w:sz="4" w:space="0"/>
              <w:right w:val="single" w:color="auto" w:sz="4" w:space="0"/>
            </w:tcBorders>
            <w:vAlign w:val="center"/>
          </w:tcPr>
          <w:p w14:paraId="25491A5E">
            <w:pPr>
              <w:spacing w:line="360" w:lineRule="auto"/>
              <w:jc w:val="center"/>
              <w:rPr>
                <w:rFonts w:ascii="宋体" w:hAnsi="宋体" w:cs="Calibri"/>
                <w:color w:val="auto"/>
                <w:szCs w:val="21"/>
                <w:highlight w:val="none"/>
              </w:rPr>
            </w:pPr>
          </w:p>
        </w:tc>
        <w:tc>
          <w:tcPr>
            <w:tcW w:w="856" w:type="dxa"/>
            <w:tcBorders>
              <w:top w:val="single" w:color="auto" w:sz="4" w:space="0"/>
              <w:left w:val="nil"/>
              <w:bottom w:val="single" w:color="auto" w:sz="4" w:space="0"/>
              <w:right w:val="single" w:color="auto" w:sz="4" w:space="0"/>
            </w:tcBorders>
            <w:vAlign w:val="center"/>
          </w:tcPr>
          <w:p w14:paraId="327E68BB">
            <w:pPr>
              <w:spacing w:line="360" w:lineRule="auto"/>
              <w:jc w:val="center"/>
              <w:rPr>
                <w:rFonts w:ascii="宋体" w:hAnsi="宋体" w:cs="Calibri"/>
                <w:color w:val="auto"/>
                <w:szCs w:val="21"/>
                <w:highlight w:val="none"/>
              </w:rPr>
            </w:pPr>
          </w:p>
        </w:tc>
        <w:tc>
          <w:tcPr>
            <w:tcW w:w="2308" w:type="dxa"/>
            <w:vMerge w:val="continue"/>
            <w:tcBorders>
              <w:left w:val="nil"/>
              <w:right w:val="single" w:color="auto" w:sz="4" w:space="0"/>
            </w:tcBorders>
            <w:vAlign w:val="center"/>
          </w:tcPr>
          <w:p w14:paraId="79668D60">
            <w:pPr>
              <w:spacing w:line="360" w:lineRule="auto"/>
              <w:rPr>
                <w:rFonts w:ascii="宋体" w:hAnsi="宋体" w:cs="宋体"/>
                <w:color w:val="auto"/>
                <w:szCs w:val="21"/>
                <w:highlight w:val="none"/>
              </w:rPr>
            </w:pPr>
          </w:p>
        </w:tc>
      </w:tr>
      <w:tr w14:paraId="2C88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870" w:type="dxa"/>
            <w:gridSpan w:val="2"/>
            <w:tcBorders>
              <w:top w:val="single" w:color="auto" w:sz="4" w:space="0"/>
              <w:left w:val="single" w:color="auto" w:sz="4" w:space="0"/>
              <w:bottom w:val="single" w:color="auto" w:sz="4" w:space="0"/>
              <w:right w:val="single" w:color="auto" w:sz="4" w:space="0"/>
            </w:tcBorders>
            <w:vAlign w:val="center"/>
          </w:tcPr>
          <w:p w14:paraId="1B923CC3">
            <w:pPr>
              <w:spacing w:line="360" w:lineRule="auto"/>
              <w:jc w:val="center"/>
              <w:rPr>
                <w:rFonts w:ascii="宋体" w:hAnsi="宋体" w:cs="宋体"/>
                <w:color w:val="auto"/>
                <w:szCs w:val="21"/>
                <w:highlight w:val="none"/>
              </w:rPr>
            </w:pPr>
            <w:r>
              <w:rPr>
                <w:rFonts w:ascii="宋体" w:hAnsi="宋体" w:cs="宋体"/>
                <w:color w:val="auto"/>
                <w:szCs w:val="21"/>
                <w:highlight w:val="none"/>
              </w:rPr>
              <w:t>BIM</w:t>
            </w:r>
            <w:r>
              <w:rPr>
                <w:rFonts w:hint="eastAsia" w:ascii="宋体" w:hAnsi="宋体" w:cs="宋体"/>
                <w:color w:val="auto"/>
                <w:szCs w:val="21"/>
                <w:highlight w:val="none"/>
              </w:rPr>
              <w:t>技术服务费</w:t>
            </w:r>
            <w:r>
              <w:rPr>
                <w:rFonts w:hint="eastAsia" w:ascii="宋体" w:hAnsi="宋体" w:cs="仿宋_GB2312"/>
                <w:color w:val="auto"/>
                <w:szCs w:val="21"/>
                <w:highlight w:val="none"/>
              </w:rPr>
              <w:t>投标报价小计</w:t>
            </w:r>
          </w:p>
        </w:tc>
        <w:tc>
          <w:tcPr>
            <w:tcW w:w="1537" w:type="dxa"/>
            <w:tcBorders>
              <w:top w:val="single" w:color="auto" w:sz="4" w:space="0"/>
              <w:left w:val="nil"/>
              <w:bottom w:val="single" w:color="auto" w:sz="4" w:space="0"/>
              <w:right w:val="single" w:color="auto" w:sz="4" w:space="0"/>
            </w:tcBorders>
            <w:vAlign w:val="center"/>
          </w:tcPr>
          <w:p w14:paraId="1B28B52D">
            <w:pPr>
              <w:spacing w:line="360" w:lineRule="auto"/>
              <w:jc w:val="center"/>
              <w:rPr>
                <w:rFonts w:ascii="宋体" w:hAnsi="宋体"/>
                <w:color w:val="auto"/>
                <w:szCs w:val="21"/>
                <w:highlight w:val="none"/>
              </w:rPr>
            </w:pPr>
          </w:p>
        </w:tc>
        <w:tc>
          <w:tcPr>
            <w:tcW w:w="1145" w:type="dxa"/>
            <w:tcBorders>
              <w:top w:val="single" w:color="auto" w:sz="4" w:space="0"/>
              <w:left w:val="nil"/>
              <w:bottom w:val="single" w:color="auto" w:sz="4" w:space="0"/>
              <w:right w:val="single" w:color="auto" w:sz="4" w:space="0"/>
            </w:tcBorders>
            <w:vAlign w:val="center"/>
          </w:tcPr>
          <w:p w14:paraId="5B9F170D">
            <w:pPr>
              <w:spacing w:line="360" w:lineRule="auto"/>
              <w:jc w:val="center"/>
              <w:rPr>
                <w:rFonts w:ascii="宋体" w:hAnsi="宋体" w:cs="Calibri"/>
                <w:color w:val="auto"/>
                <w:szCs w:val="21"/>
                <w:highlight w:val="none"/>
              </w:rPr>
            </w:pPr>
          </w:p>
        </w:tc>
        <w:tc>
          <w:tcPr>
            <w:tcW w:w="856" w:type="dxa"/>
            <w:tcBorders>
              <w:top w:val="single" w:color="auto" w:sz="4" w:space="0"/>
              <w:left w:val="nil"/>
              <w:bottom w:val="single" w:color="auto" w:sz="4" w:space="0"/>
              <w:right w:val="single" w:color="auto" w:sz="4" w:space="0"/>
            </w:tcBorders>
            <w:vAlign w:val="center"/>
          </w:tcPr>
          <w:p w14:paraId="34E4D384">
            <w:pPr>
              <w:spacing w:line="360" w:lineRule="auto"/>
              <w:jc w:val="center"/>
              <w:rPr>
                <w:rFonts w:ascii="宋体" w:hAnsi="宋体" w:cs="Calibri"/>
                <w:color w:val="auto"/>
                <w:szCs w:val="21"/>
                <w:highlight w:val="none"/>
              </w:rPr>
            </w:pPr>
          </w:p>
        </w:tc>
        <w:tc>
          <w:tcPr>
            <w:tcW w:w="2308" w:type="dxa"/>
            <w:vMerge w:val="continue"/>
            <w:tcBorders>
              <w:left w:val="nil"/>
              <w:bottom w:val="single" w:color="auto" w:sz="4" w:space="0"/>
              <w:right w:val="single" w:color="auto" w:sz="4" w:space="0"/>
            </w:tcBorders>
            <w:vAlign w:val="center"/>
          </w:tcPr>
          <w:p w14:paraId="27995C5A">
            <w:pPr>
              <w:spacing w:line="360" w:lineRule="auto"/>
              <w:rPr>
                <w:rFonts w:ascii="宋体" w:hAnsi="宋体" w:cs="宋体"/>
                <w:color w:val="auto"/>
                <w:szCs w:val="21"/>
                <w:highlight w:val="none"/>
              </w:rPr>
            </w:pPr>
          </w:p>
        </w:tc>
      </w:tr>
    </w:tbl>
    <w:p w14:paraId="7B5A0D8E">
      <w:pPr>
        <w:topLinePunct/>
        <w:adjustRightInd w:val="0"/>
        <w:snapToGrid w:val="0"/>
        <w:spacing w:before="0" w:line="360" w:lineRule="auto"/>
        <w:ind w:firstLine="436" w:firstLineChars="200"/>
        <w:rPr>
          <w:rFonts w:hint="eastAsia" w:ascii="宋体" w:hAnsi="宋体" w:eastAsia="宋体" w:cs="宋体"/>
          <w:color w:val="auto"/>
          <w:spacing w:val="4"/>
          <w:szCs w:val="21"/>
          <w:highlight w:val="none"/>
        </w:rPr>
      </w:pPr>
      <w:r>
        <w:rPr>
          <w:rFonts w:hint="eastAsia" w:ascii="宋体" w:hAnsi="宋体" w:eastAsia="宋体" w:cs="宋体"/>
          <w:snapToGrid w:val="0"/>
          <w:color w:val="auto"/>
          <w:spacing w:val="4"/>
          <w:kern w:val="0"/>
          <w:szCs w:val="21"/>
          <w:highlight w:val="none"/>
          <w:lang w:bidi="ar"/>
        </w:rPr>
        <w:t>注：1</w:t>
      </w:r>
      <w:r>
        <w:rPr>
          <w:rFonts w:hint="eastAsia" w:ascii="宋体" w:hAnsi="宋体" w:eastAsia="宋体" w:cs="宋体"/>
          <w:color w:val="auto"/>
          <w:spacing w:val="4"/>
          <w:szCs w:val="21"/>
          <w:highlight w:val="none"/>
        </w:rPr>
        <w:t>、BIM技术服务费为设计阶段的BIM技术费用，具体结算原则详见合同条款的约定。项目实施过程中，中标的费率不作调整。</w:t>
      </w:r>
    </w:p>
    <w:p w14:paraId="03C94D85">
      <w:pPr>
        <w:topLinePunct/>
        <w:adjustRightInd w:val="0"/>
        <w:snapToGrid w:val="0"/>
        <w:spacing w:before="0" w:line="360" w:lineRule="auto"/>
        <w:ind w:firstLine="436" w:firstLineChars="200"/>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2、经算术复核的投标人报价与其投标报价不一致时，按就低不就高原则确定其最终报价。如修正后的投标报价超出相应的最高投标限价，则由评标委员会作废标处理。</w:t>
      </w:r>
    </w:p>
    <w:p w14:paraId="592C817C">
      <w:pPr>
        <w:topLinePunct/>
        <w:adjustRightInd w:val="0"/>
        <w:snapToGrid w:val="0"/>
        <w:spacing w:before="0" w:line="360" w:lineRule="auto"/>
        <w:ind w:firstLine="436" w:firstLineChars="200"/>
        <w:rPr>
          <w:rFonts w:hint="eastAsia" w:ascii="宋体" w:hAnsi="宋体" w:eastAsia="宋体" w:cs="宋体"/>
          <w:snapToGrid w:val="0"/>
          <w:color w:val="auto"/>
          <w:spacing w:val="4"/>
          <w:kern w:val="0"/>
          <w:szCs w:val="21"/>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720" w:num="1"/>
          <w:rtlGutter w:val="1"/>
          <w:docGrid w:type="lines" w:linePitch="312" w:charSpace="0"/>
        </w:sectPr>
      </w:pPr>
      <w:r>
        <w:rPr>
          <w:rFonts w:hint="eastAsia" w:ascii="宋体" w:hAnsi="宋体" w:eastAsia="宋体" w:cs="宋体"/>
          <w:color w:val="auto"/>
          <w:spacing w:val="4"/>
          <w:szCs w:val="21"/>
          <w:highlight w:val="none"/>
        </w:rPr>
        <w:t>3、按上述修正错误的原则及方法调整或修正投标文件的投标总报价，调整后的投标总报价对投标人起约束作用。如果投标人不接受修正后的报价，则取消其投标资格。</w:t>
      </w:r>
    </w:p>
    <w:p w14:paraId="7A758399">
      <w:pPr>
        <w:rPr>
          <w:color w:val="auto"/>
          <w:highlight w:val="none"/>
        </w:rPr>
      </w:pPr>
    </w:p>
    <w:p w14:paraId="42B3836A">
      <w:pPr>
        <w:autoSpaceDE w:val="0"/>
        <w:autoSpaceDN w:val="0"/>
        <w:adjustRightInd w:val="0"/>
        <w:spacing w:line="466" w:lineRule="exact"/>
        <w:ind w:right="-20"/>
        <w:outlineLvl w:val="0"/>
        <w:rPr>
          <w:rFonts w:hint="eastAsia" w:ascii="宋体" w:hAnsi="宋体" w:eastAsia="宋体" w:cs="Times New Roman"/>
          <w:color w:val="auto"/>
          <w:spacing w:val="2"/>
          <w:position w:val="-1"/>
          <w:sz w:val="32"/>
          <w:szCs w:val="32"/>
          <w:highlight w:val="none"/>
        </w:rPr>
      </w:pPr>
      <w:r>
        <w:rPr>
          <w:rFonts w:hint="eastAsia" w:ascii="宋体" w:hAnsi="宋体" w:eastAsia="宋体" w:cs="Times New Roman"/>
          <w:color w:val="auto"/>
          <w:spacing w:val="2"/>
          <w:position w:val="-1"/>
          <w:sz w:val="32"/>
          <w:szCs w:val="32"/>
          <w:highlight w:val="none"/>
        </w:rPr>
        <w:t>格式六：拟委任的主要人员汇总表及主要人员简历表</w:t>
      </w:r>
    </w:p>
    <w:p w14:paraId="1F46F758">
      <w:pPr>
        <w:jc w:val="center"/>
        <w:rPr>
          <w:rFonts w:ascii="宋体" w:hAnsi="宋体"/>
          <w:color w:val="auto"/>
          <w:spacing w:val="2"/>
          <w:position w:val="-1"/>
          <w:sz w:val="32"/>
          <w:szCs w:val="32"/>
          <w:highlight w:val="none"/>
        </w:rPr>
      </w:pPr>
    </w:p>
    <w:p w14:paraId="71CADD65">
      <w:pPr>
        <w:jc w:val="center"/>
        <w:rPr>
          <w:rFonts w:ascii="宋体" w:hAnsi="宋体"/>
          <w:color w:val="auto"/>
          <w:spacing w:val="2"/>
          <w:position w:val="-1"/>
          <w:sz w:val="32"/>
          <w:szCs w:val="32"/>
          <w:highlight w:val="none"/>
        </w:rPr>
      </w:pPr>
      <w:r>
        <w:rPr>
          <w:rFonts w:hint="eastAsia" w:ascii="宋体" w:hAnsi="宋体"/>
          <w:bCs/>
          <w:color w:val="auto"/>
          <w:spacing w:val="2"/>
          <w:position w:val="-1"/>
          <w:sz w:val="32"/>
          <w:szCs w:val="32"/>
          <w:highlight w:val="none"/>
        </w:rPr>
        <w:t>拟委任的主要人员汇总表</w:t>
      </w:r>
    </w:p>
    <w:tbl>
      <w:tblPr>
        <w:tblStyle w:val="23"/>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009"/>
        <w:gridCol w:w="700"/>
        <w:gridCol w:w="602"/>
        <w:gridCol w:w="626"/>
        <w:gridCol w:w="3403"/>
        <w:gridCol w:w="883"/>
      </w:tblGrid>
      <w:tr w14:paraId="5AC7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88" w:type="dxa"/>
            <w:vMerge w:val="restart"/>
            <w:tcBorders>
              <w:top w:val="single" w:color="auto" w:sz="4" w:space="0"/>
              <w:left w:val="single" w:color="auto" w:sz="4" w:space="0"/>
              <w:right w:val="single" w:color="auto" w:sz="4" w:space="0"/>
            </w:tcBorders>
            <w:vAlign w:val="center"/>
          </w:tcPr>
          <w:p w14:paraId="460A13B4">
            <w:pPr>
              <w:jc w:val="center"/>
              <w:rPr>
                <w:rFonts w:ascii="宋体" w:hAnsi="宋体"/>
                <w:color w:val="auto"/>
                <w:szCs w:val="21"/>
                <w:highlight w:val="none"/>
              </w:rPr>
            </w:pPr>
            <w:r>
              <w:rPr>
                <w:rFonts w:hint="eastAsia" w:ascii="宋体" w:hAnsi="宋体"/>
                <w:color w:val="auto"/>
                <w:szCs w:val="21"/>
                <w:highlight w:val="none"/>
              </w:rPr>
              <w:t>序号</w:t>
            </w:r>
          </w:p>
        </w:tc>
        <w:tc>
          <w:tcPr>
            <w:tcW w:w="2009" w:type="dxa"/>
            <w:vMerge w:val="restart"/>
            <w:tcBorders>
              <w:top w:val="single" w:color="auto" w:sz="4" w:space="0"/>
              <w:left w:val="single" w:color="auto" w:sz="4" w:space="0"/>
              <w:bottom w:val="single" w:color="auto" w:sz="4" w:space="0"/>
              <w:right w:val="single" w:color="auto" w:sz="4" w:space="0"/>
            </w:tcBorders>
            <w:vAlign w:val="center"/>
          </w:tcPr>
          <w:p w14:paraId="2C04EADF">
            <w:pPr>
              <w:jc w:val="center"/>
              <w:rPr>
                <w:rFonts w:ascii="宋体" w:hAnsi="宋体" w:cs="Calibri"/>
                <w:color w:val="auto"/>
                <w:szCs w:val="21"/>
                <w:highlight w:val="none"/>
              </w:rPr>
            </w:pPr>
            <w:r>
              <w:rPr>
                <w:rFonts w:hint="eastAsia" w:ascii="宋体" w:hAnsi="宋体"/>
                <w:color w:val="auto"/>
                <w:szCs w:val="21"/>
                <w:highlight w:val="none"/>
              </w:rPr>
              <w:t>人员安排分工</w:t>
            </w:r>
          </w:p>
        </w:tc>
        <w:tc>
          <w:tcPr>
            <w:tcW w:w="700" w:type="dxa"/>
            <w:vMerge w:val="restart"/>
            <w:tcBorders>
              <w:top w:val="single" w:color="auto" w:sz="4" w:space="0"/>
              <w:left w:val="nil"/>
              <w:bottom w:val="single" w:color="auto" w:sz="4" w:space="0"/>
              <w:right w:val="single" w:color="auto" w:sz="4" w:space="0"/>
            </w:tcBorders>
            <w:vAlign w:val="center"/>
          </w:tcPr>
          <w:p w14:paraId="6159FB18">
            <w:pPr>
              <w:jc w:val="center"/>
              <w:rPr>
                <w:rFonts w:ascii="宋体" w:hAnsi="宋体" w:cs="Calibri"/>
                <w:color w:val="auto"/>
                <w:szCs w:val="21"/>
                <w:highlight w:val="none"/>
              </w:rPr>
            </w:pPr>
            <w:r>
              <w:rPr>
                <w:rFonts w:hint="eastAsia" w:ascii="宋体" w:hAnsi="宋体"/>
                <w:color w:val="auto"/>
                <w:szCs w:val="21"/>
                <w:highlight w:val="none"/>
              </w:rPr>
              <w:t>姓 名</w:t>
            </w:r>
          </w:p>
        </w:tc>
        <w:tc>
          <w:tcPr>
            <w:tcW w:w="602" w:type="dxa"/>
            <w:vMerge w:val="restart"/>
            <w:tcBorders>
              <w:top w:val="single" w:color="auto" w:sz="4" w:space="0"/>
              <w:left w:val="nil"/>
              <w:bottom w:val="single" w:color="auto" w:sz="4" w:space="0"/>
              <w:right w:val="single" w:color="auto" w:sz="4" w:space="0"/>
            </w:tcBorders>
            <w:vAlign w:val="center"/>
          </w:tcPr>
          <w:p w14:paraId="128CFB78">
            <w:pPr>
              <w:jc w:val="center"/>
              <w:rPr>
                <w:rFonts w:ascii="宋体" w:hAnsi="宋体" w:cs="Calibri"/>
                <w:color w:val="auto"/>
                <w:szCs w:val="21"/>
                <w:highlight w:val="none"/>
              </w:rPr>
            </w:pPr>
            <w:r>
              <w:rPr>
                <w:rFonts w:hint="eastAsia" w:ascii="宋体" w:hAnsi="宋体"/>
                <w:color w:val="auto"/>
                <w:szCs w:val="21"/>
                <w:highlight w:val="none"/>
              </w:rPr>
              <w:t>年龄</w:t>
            </w:r>
          </w:p>
        </w:tc>
        <w:tc>
          <w:tcPr>
            <w:tcW w:w="4029" w:type="dxa"/>
            <w:gridSpan w:val="2"/>
            <w:tcBorders>
              <w:top w:val="single" w:color="auto" w:sz="4" w:space="0"/>
              <w:left w:val="nil"/>
              <w:bottom w:val="single" w:color="auto" w:sz="4" w:space="0"/>
              <w:right w:val="single" w:color="auto" w:sz="4" w:space="0"/>
            </w:tcBorders>
            <w:vAlign w:val="center"/>
          </w:tcPr>
          <w:p w14:paraId="03E2BC2B">
            <w:pPr>
              <w:jc w:val="center"/>
              <w:rPr>
                <w:rFonts w:ascii="宋体" w:hAnsi="宋体" w:cs="Calibri"/>
                <w:color w:val="auto"/>
                <w:szCs w:val="21"/>
                <w:highlight w:val="none"/>
              </w:rPr>
            </w:pPr>
            <w:r>
              <w:rPr>
                <w:rFonts w:hint="eastAsia" w:ascii="宋体" w:hAnsi="宋体"/>
                <w:color w:val="auto"/>
                <w:szCs w:val="21"/>
                <w:highlight w:val="none"/>
              </w:rPr>
              <w:t>基本要求</w:t>
            </w:r>
          </w:p>
        </w:tc>
        <w:tc>
          <w:tcPr>
            <w:tcW w:w="883" w:type="dxa"/>
            <w:vMerge w:val="restart"/>
            <w:tcBorders>
              <w:top w:val="single" w:color="auto" w:sz="4" w:space="0"/>
              <w:left w:val="nil"/>
              <w:bottom w:val="single" w:color="auto" w:sz="4" w:space="0"/>
              <w:right w:val="single" w:color="auto" w:sz="4" w:space="0"/>
            </w:tcBorders>
            <w:vAlign w:val="center"/>
          </w:tcPr>
          <w:p w14:paraId="583E14A7">
            <w:pPr>
              <w:jc w:val="center"/>
              <w:rPr>
                <w:rFonts w:ascii="宋体" w:hAnsi="宋体" w:cs="Calibri"/>
                <w:color w:val="auto"/>
                <w:szCs w:val="21"/>
                <w:highlight w:val="none"/>
              </w:rPr>
            </w:pPr>
            <w:r>
              <w:rPr>
                <w:rFonts w:hint="eastAsia" w:ascii="宋体" w:hAnsi="宋体"/>
                <w:color w:val="auto"/>
                <w:szCs w:val="21"/>
                <w:highlight w:val="none"/>
              </w:rPr>
              <w:t>已完成类似的项目</w:t>
            </w:r>
          </w:p>
        </w:tc>
      </w:tr>
      <w:tr w14:paraId="7B3B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88" w:type="dxa"/>
            <w:vMerge w:val="continue"/>
            <w:tcBorders>
              <w:left w:val="single" w:color="auto" w:sz="4" w:space="0"/>
              <w:bottom w:val="single" w:color="auto" w:sz="4" w:space="0"/>
              <w:right w:val="single" w:color="auto" w:sz="4" w:space="0"/>
            </w:tcBorders>
            <w:vAlign w:val="center"/>
          </w:tcPr>
          <w:p w14:paraId="30D8CB73">
            <w:pPr>
              <w:widowControl/>
              <w:rPr>
                <w:rFonts w:ascii="宋体" w:hAnsi="宋体" w:cs="Calibri"/>
                <w:color w:val="auto"/>
                <w:szCs w:val="21"/>
                <w:highlight w:val="none"/>
              </w:rPr>
            </w:pPr>
          </w:p>
        </w:tc>
        <w:tc>
          <w:tcPr>
            <w:tcW w:w="2009" w:type="dxa"/>
            <w:vMerge w:val="continue"/>
            <w:tcBorders>
              <w:top w:val="single" w:color="auto" w:sz="4" w:space="0"/>
              <w:left w:val="single" w:color="auto" w:sz="4" w:space="0"/>
              <w:bottom w:val="single" w:color="auto" w:sz="4" w:space="0"/>
              <w:right w:val="single" w:color="auto" w:sz="4" w:space="0"/>
            </w:tcBorders>
            <w:vAlign w:val="center"/>
          </w:tcPr>
          <w:p w14:paraId="2E3E4C0C">
            <w:pPr>
              <w:widowControl/>
              <w:rPr>
                <w:rFonts w:ascii="宋体" w:hAnsi="宋体" w:cs="Calibri"/>
                <w:color w:val="auto"/>
                <w:szCs w:val="21"/>
                <w:highlight w:val="none"/>
              </w:rPr>
            </w:pPr>
          </w:p>
        </w:tc>
        <w:tc>
          <w:tcPr>
            <w:tcW w:w="700" w:type="dxa"/>
            <w:vMerge w:val="continue"/>
            <w:tcBorders>
              <w:top w:val="single" w:color="auto" w:sz="4" w:space="0"/>
              <w:left w:val="nil"/>
              <w:bottom w:val="single" w:color="auto" w:sz="4" w:space="0"/>
              <w:right w:val="single" w:color="auto" w:sz="4" w:space="0"/>
            </w:tcBorders>
            <w:vAlign w:val="center"/>
          </w:tcPr>
          <w:p w14:paraId="0BBF379E">
            <w:pPr>
              <w:widowControl/>
              <w:rPr>
                <w:rFonts w:ascii="宋体" w:hAnsi="宋体" w:cs="Calibri"/>
                <w:color w:val="auto"/>
                <w:szCs w:val="21"/>
                <w:highlight w:val="none"/>
              </w:rPr>
            </w:pPr>
          </w:p>
        </w:tc>
        <w:tc>
          <w:tcPr>
            <w:tcW w:w="602" w:type="dxa"/>
            <w:vMerge w:val="continue"/>
            <w:tcBorders>
              <w:top w:val="single" w:color="auto" w:sz="4" w:space="0"/>
              <w:left w:val="nil"/>
              <w:bottom w:val="single" w:color="auto" w:sz="4" w:space="0"/>
              <w:right w:val="single" w:color="auto" w:sz="4" w:space="0"/>
            </w:tcBorders>
            <w:vAlign w:val="center"/>
          </w:tcPr>
          <w:p w14:paraId="06B34D30">
            <w:pPr>
              <w:widowControl/>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6623A2EC">
            <w:pPr>
              <w:jc w:val="center"/>
              <w:rPr>
                <w:rFonts w:ascii="宋体" w:hAnsi="宋体" w:cs="Calibri"/>
                <w:color w:val="auto"/>
                <w:szCs w:val="21"/>
                <w:highlight w:val="none"/>
              </w:rPr>
            </w:pPr>
            <w:r>
              <w:rPr>
                <w:rFonts w:hint="eastAsia" w:ascii="宋体" w:hAnsi="宋体"/>
                <w:color w:val="auto"/>
                <w:szCs w:val="21"/>
                <w:highlight w:val="none"/>
              </w:rPr>
              <w:t>人数</w:t>
            </w:r>
          </w:p>
        </w:tc>
        <w:tc>
          <w:tcPr>
            <w:tcW w:w="3403" w:type="dxa"/>
            <w:tcBorders>
              <w:top w:val="single" w:color="auto" w:sz="4" w:space="0"/>
              <w:left w:val="nil"/>
              <w:bottom w:val="single" w:color="auto" w:sz="4" w:space="0"/>
              <w:right w:val="single" w:color="auto" w:sz="4" w:space="0"/>
            </w:tcBorders>
            <w:vAlign w:val="center"/>
          </w:tcPr>
          <w:p w14:paraId="2F12921B">
            <w:pPr>
              <w:jc w:val="center"/>
              <w:rPr>
                <w:rFonts w:ascii="宋体" w:hAnsi="宋体" w:cs="Calibri"/>
                <w:color w:val="auto"/>
                <w:szCs w:val="21"/>
                <w:highlight w:val="none"/>
              </w:rPr>
            </w:pPr>
            <w:r>
              <w:rPr>
                <w:rFonts w:hint="eastAsia" w:ascii="宋体" w:hAnsi="宋体"/>
                <w:color w:val="auto"/>
                <w:szCs w:val="21"/>
                <w:highlight w:val="none"/>
              </w:rPr>
              <w:t>职务、执业资格、专业职称</w:t>
            </w:r>
          </w:p>
        </w:tc>
        <w:tc>
          <w:tcPr>
            <w:tcW w:w="883" w:type="dxa"/>
            <w:vMerge w:val="continue"/>
            <w:tcBorders>
              <w:top w:val="single" w:color="auto" w:sz="4" w:space="0"/>
              <w:left w:val="nil"/>
              <w:bottom w:val="single" w:color="auto" w:sz="4" w:space="0"/>
              <w:right w:val="single" w:color="auto" w:sz="4" w:space="0"/>
            </w:tcBorders>
            <w:vAlign w:val="center"/>
          </w:tcPr>
          <w:p w14:paraId="03E334B8">
            <w:pPr>
              <w:widowControl/>
              <w:rPr>
                <w:rFonts w:ascii="宋体" w:hAnsi="宋体" w:cs="Calibri"/>
                <w:color w:val="auto"/>
                <w:szCs w:val="21"/>
                <w:highlight w:val="none"/>
              </w:rPr>
            </w:pPr>
          </w:p>
        </w:tc>
      </w:tr>
      <w:tr w14:paraId="4ABD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332D267A">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2009" w:type="dxa"/>
            <w:tcBorders>
              <w:top w:val="single" w:color="auto" w:sz="4" w:space="0"/>
              <w:left w:val="single" w:color="auto" w:sz="4" w:space="0"/>
              <w:bottom w:val="single" w:color="auto" w:sz="4" w:space="0"/>
              <w:right w:val="single" w:color="auto" w:sz="4" w:space="0"/>
            </w:tcBorders>
            <w:vAlign w:val="center"/>
          </w:tcPr>
          <w:p w14:paraId="2572BE22">
            <w:pPr>
              <w:jc w:val="center"/>
              <w:rPr>
                <w:rFonts w:ascii="宋体" w:hAnsi="宋体"/>
                <w:color w:val="auto"/>
                <w:szCs w:val="21"/>
                <w:highlight w:val="none"/>
              </w:rPr>
            </w:pPr>
            <w:r>
              <w:rPr>
                <w:rFonts w:hint="eastAsia" w:ascii="宋体" w:hAnsi="宋体" w:cs="宋体"/>
                <w:color w:val="auto"/>
                <w:szCs w:val="21"/>
                <w:highlight w:val="none"/>
              </w:rPr>
              <w:t>项目负责人(设计负责人)</w:t>
            </w:r>
          </w:p>
        </w:tc>
        <w:tc>
          <w:tcPr>
            <w:tcW w:w="700" w:type="dxa"/>
            <w:tcBorders>
              <w:top w:val="single" w:color="auto" w:sz="4" w:space="0"/>
              <w:left w:val="nil"/>
              <w:bottom w:val="single" w:color="auto" w:sz="4" w:space="0"/>
              <w:right w:val="single" w:color="auto" w:sz="4" w:space="0"/>
            </w:tcBorders>
            <w:vAlign w:val="center"/>
          </w:tcPr>
          <w:p w14:paraId="60D33E78">
            <w:pPr>
              <w:jc w:val="cente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7EE6B155">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7CEAB89D">
            <w:pPr>
              <w:jc w:val="center"/>
              <w:rPr>
                <w:rFonts w:ascii="宋体" w:hAnsi="宋体" w:cs="Courier New"/>
                <w:color w:val="auto"/>
                <w:szCs w:val="21"/>
                <w:highlight w:val="none"/>
              </w:rPr>
            </w:pPr>
            <w:r>
              <w:rPr>
                <w:rFonts w:hint="eastAsia" w:ascii="宋体" w:hAnsi="宋体" w:cs="宋体"/>
                <w:color w:val="auto"/>
                <w:szCs w:val="21"/>
                <w:highlight w:val="none"/>
              </w:rPr>
              <w:t>1</w:t>
            </w:r>
          </w:p>
        </w:tc>
        <w:tc>
          <w:tcPr>
            <w:tcW w:w="3403" w:type="dxa"/>
            <w:tcBorders>
              <w:top w:val="single" w:color="auto" w:sz="4" w:space="0"/>
              <w:left w:val="nil"/>
              <w:bottom w:val="single" w:color="auto" w:sz="4" w:space="0"/>
              <w:right w:val="single" w:color="auto" w:sz="4" w:space="0"/>
            </w:tcBorders>
            <w:vAlign w:val="center"/>
          </w:tcPr>
          <w:p w14:paraId="4C476333">
            <w:pPr>
              <w:jc w:val="center"/>
              <w:rPr>
                <w:rFonts w:ascii="宋体" w:hAnsi="宋体" w:cs="宋体"/>
                <w:color w:val="auto"/>
                <w:szCs w:val="21"/>
                <w:highlight w:val="none"/>
              </w:rPr>
            </w:pPr>
            <w:r>
              <w:rPr>
                <w:rFonts w:hint="eastAsia" w:ascii="宋体" w:hAnsi="宋体" w:cs="宋体"/>
                <w:color w:val="auto"/>
                <w:szCs w:val="21"/>
                <w:highlight w:val="none"/>
              </w:rPr>
              <w:t>满足招标公告要求</w:t>
            </w:r>
          </w:p>
        </w:tc>
        <w:tc>
          <w:tcPr>
            <w:tcW w:w="883" w:type="dxa"/>
            <w:tcBorders>
              <w:top w:val="single" w:color="auto" w:sz="4" w:space="0"/>
              <w:left w:val="nil"/>
              <w:bottom w:val="single" w:color="auto" w:sz="4" w:space="0"/>
              <w:right w:val="single" w:color="auto" w:sz="4" w:space="0"/>
            </w:tcBorders>
            <w:vAlign w:val="center"/>
          </w:tcPr>
          <w:p w14:paraId="24AF7B93">
            <w:pPr>
              <w:jc w:val="center"/>
              <w:rPr>
                <w:rFonts w:ascii="宋体" w:hAnsi="宋体" w:cs="Calibri"/>
                <w:color w:val="auto"/>
                <w:szCs w:val="21"/>
                <w:highlight w:val="none"/>
              </w:rPr>
            </w:pPr>
          </w:p>
        </w:tc>
      </w:tr>
      <w:tr w14:paraId="7601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591A1F3C">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2009" w:type="dxa"/>
            <w:tcBorders>
              <w:top w:val="single" w:color="auto" w:sz="4" w:space="0"/>
              <w:left w:val="single" w:color="auto" w:sz="4" w:space="0"/>
              <w:bottom w:val="single" w:color="auto" w:sz="4" w:space="0"/>
              <w:right w:val="single" w:color="auto" w:sz="4" w:space="0"/>
            </w:tcBorders>
            <w:vAlign w:val="center"/>
          </w:tcPr>
          <w:p w14:paraId="7A6875F6">
            <w:pPr>
              <w:jc w:val="center"/>
              <w:rPr>
                <w:rFonts w:ascii="宋体" w:hAnsi="宋体"/>
                <w:color w:val="auto"/>
                <w:szCs w:val="21"/>
                <w:highlight w:val="none"/>
              </w:rPr>
            </w:pPr>
            <w:r>
              <w:rPr>
                <w:rFonts w:hint="eastAsia" w:ascii="宋体" w:hAnsi="宋体" w:cs="宋体"/>
                <w:color w:val="auto"/>
                <w:szCs w:val="21"/>
                <w:highlight w:val="none"/>
                <w:lang w:eastAsia="zh-CN"/>
              </w:rPr>
              <w:t>设计</w:t>
            </w:r>
            <w:r>
              <w:rPr>
                <w:rFonts w:hint="eastAsia" w:ascii="宋体" w:hAnsi="宋体" w:cs="宋体"/>
                <w:color w:val="auto"/>
                <w:szCs w:val="21"/>
                <w:highlight w:val="none"/>
              </w:rPr>
              <w:t>技术负责人</w:t>
            </w:r>
          </w:p>
        </w:tc>
        <w:tc>
          <w:tcPr>
            <w:tcW w:w="700" w:type="dxa"/>
            <w:tcBorders>
              <w:top w:val="single" w:color="auto" w:sz="4" w:space="0"/>
              <w:left w:val="nil"/>
              <w:bottom w:val="single" w:color="auto" w:sz="4" w:space="0"/>
              <w:right w:val="single" w:color="auto" w:sz="4" w:space="0"/>
            </w:tcBorders>
            <w:vAlign w:val="center"/>
          </w:tcPr>
          <w:p w14:paraId="45C77C68">
            <w:pPr>
              <w:jc w:val="cente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329D915D">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303F269B">
            <w:pPr>
              <w:jc w:val="center"/>
              <w:rPr>
                <w:rFonts w:ascii="宋体" w:hAnsi="宋体" w:cs="Courier New"/>
                <w:color w:val="auto"/>
                <w:szCs w:val="21"/>
                <w:highlight w:val="none"/>
              </w:rPr>
            </w:pPr>
            <w:r>
              <w:rPr>
                <w:rFonts w:hint="eastAsia" w:ascii="宋体" w:hAnsi="宋体" w:cs="宋体"/>
                <w:color w:val="auto"/>
                <w:szCs w:val="21"/>
                <w:highlight w:val="none"/>
              </w:rPr>
              <w:t>1</w:t>
            </w:r>
          </w:p>
        </w:tc>
        <w:tc>
          <w:tcPr>
            <w:tcW w:w="3403" w:type="dxa"/>
            <w:tcBorders>
              <w:top w:val="single" w:color="auto" w:sz="4" w:space="0"/>
              <w:left w:val="nil"/>
              <w:bottom w:val="single" w:color="auto" w:sz="4" w:space="0"/>
              <w:right w:val="single" w:color="auto" w:sz="4" w:space="0"/>
            </w:tcBorders>
            <w:vAlign w:val="center"/>
          </w:tcPr>
          <w:p w14:paraId="6B449876">
            <w:pPr>
              <w:jc w:val="left"/>
              <w:rPr>
                <w:rFonts w:ascii="宋体" w:hAnsi="宋体" w:cs="宋体"/>
                <w:color w:val="auto"/>
                <w:szCs w:val="21"/>
                <w:highlight w:val="none"/>
              </w:rPr>
            </w:pPr>
            <w:r>
              <w:rPr>
                <w:rFonts w:hint="eastAsia"/>
                <w:color w:val="auto"/>
                <w:sz w:val="21"/>
                <w:szCs w:val="21"/>
                <w:highlight w:val="none"/>
              </w:rPr>
              <w:t>单位在册人员，具有一级注册建筑师资格（或备案的业务范围相当于一级注册建筑师的香港专业人士）或具有高级工程师或以上技术职称。</w:t>
            </w:r>
          </w:p>
        </w:tc>
        <w:tc>
          <w:tcPr>
            <w:tcW w:w="883" w:type="dxa"/>
            <w:tcBorders>
              <w:top w:val="single" w:color="auto" w:sz="4" w:space="0"/>
              <w:left w:val="nil"/>
              <w:bottom w:val="single" w:color="auto" w:sz="4" w:space="0"/>
              <w:right w:val="single" w:color="auto" w:sz="4" w:space="0"/>
            </w:tcBorders>
            <w:vAlign w:val="center"/>
          </w:tcPr>
          <w:p w14:paraId="160FCC19">
            <w:pPr>
              <w:jc w:val="center"/>
              <w:rPr>
                <w:rFonts w:ascii="宋体" w:hAnsi="宋体" w:cs="Calibri"/>
                <w:color w:val="auto"/>
                <w:szCs w:val="21"/>
                <w:highlight w:val="none"/>
              </w:rPr>
            </w:pPr>
          </w:p>
        </w:tc>
      </w:tr>
      <w:tr w14:paraId="73D9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0031E186">
            <w:pPr>
              <w:widowControl/>
              <w:spacing w:line="240" w:lineRule="exact"/>
              <w:ind w:left="406" w:leftChars="35" w:hanging="333" w:hangingChars="159"/>
              <w:jc w:val="center"/>
              <w:rPr>
                <w:rFonts w:ascii="宋体" w:hAnsi="宋体" w:cs="宋体"/>
                <w:color w:val="auto"/>
                <w:kern w:val="1"/>
                <w:szCs w:val="21"/>
                <w:highlight w:val="none"/>
              </w:rPr>
            </w:pPr>
            <w:r>
              <w:rPr>
                <w:rFonts w:hint="eastAsia" w:ascii="宋体" w:hAnsi="宋体" w:cs="宋体"/>
                <w:color w:val="auto"/>
                <w:kern w:val="1"/>
                <w:szCs w:val="21"/>
                <w:highlight w:val="none"/>
              </w:rPr>
              <w:t>3</w:t>
            </w:r>
          </w:p>
        </w:tc>
        <w:tc>
          <w:tcPr>
            <w:tcW w:w="2009" w:type="dxa"/>
            <w:tcBorders>
              <w:top w:val="single" w:color="auto" w:sz="4" w:space="0"/>
              <w:left w:val="single" w:color="auto" w:sz="4" w:space="0"/>
              <w:bottom w:val="single" w:color="auto" w:sz="4" w:space="0"/>
              <w:right w:val="single" w:color="auto" w:sz="4" w:space="0"/>
            </w:tcBorders>
            <w:vAlign w:val="center"/>
          </w:tcPr>
          <w:p w14:paraId="207D677B">
            <w:pPr>
              <w:widowControl/>
              <w:spacing w:line="240" w:lineRule="exact"/>
              <w:ind w:left="406" w:leftChars="35" w:hanging="333" w:hangingChars="159"/>
              <w:jc w:val="center"/>
              <w:rPr>
                <w:rFonts w:ascii="宋体" w:hAnsi="宋体"/>
                <w:color w:val="auto"/>
                <w:szCs w:val="21"/>
                <w:highlight w:val="none"/>
              </w:rPr>
            </w:pPr>
            <w:r>
              <w:rPr>
                <w:rFonts w:hint="eastAsia" w:ascii="宋体" w:hAnsi="宋体" w:cs="宋体"/>
                <w:color w:val="auto"/>
                <w:kern w:val="1"/>
                <w:szCs w:val="21"/>
                <w:highlight w:val="none"/>
              </w:rPr>
              <w:t>建筑专业负责人</w:t>
            </w:r>
          </w:p>
        </w:tc>
        <w:tc>
          <w:tcPr>
            <w:tcW w:w="700" w:type="dxa"/>
            <w:tcBorders>
              <w:top w:val="single" w:color="auto" w:sz="4" w:space="0"/>
              <w:left w:val="nil"/>
              <w:bottom w:val="single" w:color="auto" w:sz="4" w:space="0"/>
              <w:right w:val="single" w:color="auto" w:sz="4" w:space="0"/>
            </w:tcBorders>
            <w:vAlign w:val="center"/>
          </w:tcPr>
          <w:p w14:paraId="27DFF2E6">
            <w:pPr>
              <w:jc w:val="cente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13311540">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6630DDC9">
            <w:pPr>
              <w:jc w:val="center"/>
              <w:rPr>
                <w:rFonts w:ascii="宋体" w:hAnsi="宋体" w:cs="Courier New"/>
                <w:color w:val="auto"/>
                <w:szCs w:val="21"/>
                <w:highlight w:val="none"/>
              </w:rPr>
            </w:pPr>
            <w:r>
              <w:rPr>
                <w:rFonts w:hint="eastAsia" w:ascii="宋体" w:hAnsi="宋体" w:cs="宋体"/>
                <w:color w:val="auto"/>
                <w:szCs w:val="21"/>
                <w:highlight w:val="none"/>
              </w:rPr>
              <w:t>1</w:t>
            </w:r>
          </w:p>
        </w:tc>
        <w:tc>
          <w:tcPr>
            <w:tcW w:w="3403" w:type="dxa"/>
            <w:tcBorders>
              <w:top w:val="single" w:color="auto" w:sz="4" w:space="0"/>
              <w:left w:val="nil"/>
              <w:bottom w:val="single" w:color="auto" w:sz="4" w:space="0"/>
              <w:right w:val="single" w:color="auto" w:sz="4" w:space="0"/>
            </w:tcBorders>
            <w:vAlign w:val="center"/>
          </w:tcPr>
          <w:p w14:paraId="6B1455D4">
            <w:pPr>
              <w:jc w:val="left"/>
              <w:rPr>
                <w:rFonts w:ascii="宋体" w:hAnsi="宋体" w:cs="宋体"/>
                <w:color w:val="auto"/>
                <w:szCs w:val="21"/>
                <w:highlight w:val="none"/>
              </w:rPr>
            </w:pPr>
            <w:r>
              <w:rPr>
                <w:rFonts w:hint="eastAsia"/>
                <w:color w:val="auto"/>
                <w:sz w:val="21"/>
                <w:szCs w:val="21"/>
                <w:highlight w:val="none"/>
              </w:rPr>
              <w:t>单位在册人员，具有一级注册建筑师资格（或备案的业务范围相当于一级注册建筑师的香港专业人士）或具有</w:t>
            </w:r>
            <w:r>
              <w:rPr>
                <w:rFonts w:hint="eastAsia"/>
                <w:color w:val="auto"/>
                <w:sz w:val="21"/>
                <w:szCs w:val="21"/>
                <w:highlight w:val="none"/>
                <w:lang w:eastAsia="zh-CN"/>
              </w:rPr>
              <w:t>中级</w:t>
            </w:r>
            <w:r>
              <w:rPr>
                <w:rFonts w:hint="eastAsia"/>
                <w:color w:val="auto"/>
                <w:sz w:val="21"/>
                <w:szCs w:val="21"/>
                <w:highlight w:val="none"/>
              </w:rPr>
              <w:t>工程师或以上技术职称。</w:t>
            </w:r>
          </w:p>
        </w:tc>
        <w:tc>
          <w:tcPr>
            <w:tcW w:w="883" w:type="dxa"/>
            <w:tcBorders>
              <w:top w:val="single" w:color="auto" w:sz="4" w:space="0"/>
              <w:left w:val="nil"/>
              <w:bottom w:val="single" w:color="auto" w:sz="4" w:space="0"/>
              <w:right w:val="single" w:color="auto" w:sz="4" w:space="0"/>
            </w:tcBorders>
            <w:vAlign w:val="center"/>
          </w:tcPr>
          <w:p w14:paraId="712C1012">
            <w:pPr>
              <w:jc w:val="center"/>
              <w:rPr>
                <w:rFonts w:ascii="宋体" w:hAnsi="宋体" w:cs="Calibri"/>
                <w:color w:val="auto"/>
                <w:szCs w:val="21"/>
                <w:highlight w:val="none"/>
              </w:rPr>
            </w:pPr>
          </w:p>
        </w:tc>
      </w:tr>
      <w:tr w14:paraId="5FAF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21188AF6">
            <w:pPr>
              <w:widowControl/>
              <w:spacing w:line="240" w:lineRule="exact"/>
              <w:ind w:left="406" w:leftChars="35" w:hanging="333" w:hangingChars="159"/>
              <w:jc w:val="center"/>
              <w:rPr>
                <w:rFonts w:ascii="宋体" w:hAnsi="宋体" w:cs="宋体"/>
                <w:color w:val="auto"/>
                <w:kern w:val="1"/>
                <w:szCs w:val="21"/>
                <w:highlight w:val="none"/>
              </w:rPr>
            </w:pPr>
            <w:r>
              <w:rPr>
                <w:rFonts w:hint="eastAsia" w:ascii="宋体" w:hAnsi="宋体" w:cs="宋体"/>
                <w:color w:val="auto"/>
                <w:kern w:val="1"/>
                <w:szCs w:val="21"/>
                <w:highlight w:val="none"/>
              </w:rPr>
              <w:t>4</w:t>
            </w:r>
          </w:p>
        </w:tc>
        <w:tc>
          <w:tcPr>
            <w:tcW w:w="2009" w:type="dxa"/>
            <w:tcBorders>
              <w:top w:val="single" w:color="auto" w:sz="4" w:space="0"/>
              <w:left w:val="single" w:color="auto" w:sz="4" w:space="0"/>
              <w:bottom w:val="single" w:color="auto" w:sz="4" w:space="0"/>
              <w:right w:val="single" w:color="auto" w:sz="4" w:space="0"/>
            </w:tcBorders>
            <w:vAlign w:val="center"/>
          </w:tcPr>
          <w:p w14:paraId="0F57DC1B">
            <w:pPr>
              <w:widowControl/>
              <w:spacing w:line="240" w:lineRule="exact"/>
              <w:ind w:left="406" w:leftChars="35" w:hanging="333" w:hangingChars="159"/>
              <w:jc w:val="center"/>
              <w:rPr>
                <w:rFonts w:ascii="宋体" w:hAnsi="宋体"/>
                <w:color w:val="auto"/>
                <w:szCs w:val="21"/>
                <w:highlight w:val="none"/>
              </w:rPr>
            </w:pPr>
            <w:r>
              <w:rPr>
                <w:rFonts w:hint="eastAsia" w:ascii="宋体" w:hAnsi="宋体" w:cs="宋体"/>
                <w:color w:val="auto"/>
                <w:kern w:val="1"/>
                <w:szCs w:val="21"/>
                <w:highlight w:val="none"/>
              </w:rPr>
              <w:t>结构专业负责人</w:t>
            </w:r>
          </w:p>
        </w:tc>
        <w:tc>
          <w:tcPr>
            <w:tcW w:w="700" w:type="dxa"/>
            <w:tcBorders>
              <w:top w:val="single" w:color="auto" w:sz="4" w:space="0"/>
              <w:left w:val="nil"/>
              <w:bottom w:val="single" w:color="auto" w:sz="4" w:space="0"/>
              <w:right w:val="single" w:color="auto" w:sz="4" w:space="0"/>
            </w:tcBorders>
            <w:vAlign w:val="center"/>
          </w:tcPr>
          <w:p w14:paraId="026248F3">
            <w:pPr>
              <w:jc w:val="cente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4C71EB14">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6AB58DC8">
            <w:pPr>
              <w:jc w:val="center"/>
              <w:rPr>
                <w:rFonts w:ascii="宋体" w:hAnsi="宋体" w:cs="Courier New"/>
                <w:color w:val="auto"/>
                <w:szCs w:val="21"/>
                <w:highlight w:val="none"/>
              </w:rPr>
            </w:pPr>
            <w:r>
              <w:rPr>
                <w:rFonts w:hint="eastAsia" w:ascii="宋体" w:hAnsi="宋体" w:cs="宋体"/>
                <w:color w:val="auto"/>
                <w:szCs w:val="21"/>
                <w:highlight w:val="none"/>
              </w:rPr>
              <w:t>1</w:t>
            </w:r>
          </w:p>
        </w:tc>
        <w:tc>
          <w:tcPr>
            <w:tcW w:w="3403" w:type="dxa"/>
            <w:tcBorders>
              <w:top w:val="single" w:color="auto" w:sz="4" w:space="0"/>
              <w:left w:val="nil"/>
              <w:bottom w:val="single" w:color="auto" w:sz="4" w:space="0"/>
              <w:right w:val="single" w:color="auto" w:sz="4" w:space="0"/>
            </w:tcBorders>
            <w:vAlign w:val="center"/>
          </w:tcPr>
          <w:p w14:paraId="790064F1">
            <w:pPr>
              <w:jc w:val="left"/>
              <w:rPr>
                <w:rFonts w:ascii="宋体" w:hAnsi="宋体" w:cs="宋体"/>
                <w:color w:val="auto"/>
                <w:szCs w:val="21"/>
                <w:highlight w:val="none"/>
              </w:rPr>
            </w:pPr>
            <w:r>
              <w:rPr>
                <w:color w:val="auto"/>
                <w:sz w:val="21"/>
                <w:szCs w:val="21"/>
                <w:highlight w:val="none"/>
              </w:rPr>
              <w:t>单位在</w:t>
            </w:r>
            <w:r>
              <w:rPr>
                <w:rFonts w:hint="eastAsia"/>
                <w:color w:val="auto"/>
                <w:sz w:val="21"/>
                <w:szCs w:val="21"/>
                <w:highlight w:val="none"/>
                <w:lang w:eastAsia="zh-CN"/>
              </w:rPr>
              <w:t>册</w:t>
            </w:r>
            <w:r>
              <w:rPr>
                <w:color w:val="auto"/>
                <w:sz w:val="21"/>
                <w:szCs w:val="21"/>
                <w:highlight w:val="none"/>
              </w:rPr>
              <w:t>人员，具有一级注册结构工程师资格</w:t>
            </w:r>
            <w:r>
              <w:rPr>
                <w:rFonts w:hint="eastAsia"/>
                <w:color w:val="auto"/>
                <w:sz w:val="21"/>
                <w:szCs w:val="21"/>
                <w:highlight w:val="none"/>
              </w:rPr>
              <w:t>（或备案的业务范围相当</w:t>
            </w:r>
            <w:r>
              <w:rPr>
                <w:rFonts w:hint="eastAsia"/>
                <w:color w:val="auto"/>
                <w:sz w:val="21"/>
                <w:szCs w:val="21"/>
                <w:highlight w:val="none"/>
                <w:lang w:eastAsia="zh-CN"/>
              </w:rPr>
              <w:t>于一级注册</w:t>
            </w:r>
            <w:r>
              <w:rPr>
                <w:color w:val="auto"/>
                <w:sz w:val="21"/>
                <w:szCs w:val="21"/>
                <w:highlight w:val="none"/>
              </w:rPr>
              <w:t>结构工程师</w:t>
            </w:r>
            <w:r>
              <w:rPr>
                <w:rFonts w:hint="eastAsia"/>
                <w:color w:val="auto"/>
                <w:sz w:val="21"/>
                <w:szCs w:val="21"/>
                <w:highlight w:val="none"/>
              </w:rPr>
              <w:t>的香港专业人士</w:t>
            </w:r>
            <w:r>
              <w:rPr>
                <w:rFonts w:hint="eastAsia"/>
                <w:color w:val="auto"/>
                <w:sz w:val="21"/>
                <w:szCs w:val="21"/>
                <w:highlight w:val="none"/>
                <w:lang w:eastAsia="zh-CN"/>
              </w:rPr>
              <w:t>）或</w:t>
            </w:r>
            <w:r>
              <w:rPr>
                <w:color w:val="auto"/>
                <w:sz w:val="21"/>
                <w:szCs w:val="21"/>
                <w:highlight w:val="none"/>
              </w:rPr>
              <w:t>具有</w:t>
            </w:r>
            <w:r>
              <w:rPr>
                <w:rFonts w:hint="eastAsia"/>
                <w:color w:val="auto"/>
                <w:sz w:val="21"/>
                <w:szCs w:val="21"/>
                <w:highlight w:val="none"/>
                <w:lang w:eastAsia="zh-CN"/>
              </w:rPr>
              <w:t>中级</w:t>
            </w:r>
            <w:r>
              <w:rPr>
                <w:color w:val="auto"/>
                <w:sz w:val="21"/>
                <w:szCs w:val="21"/>
                <w:highlight w:val="none"/>
              </w:rPr>
              <w:t>工程师或以上</w:t>
            </w:r>
            <w:r>
              <w:rPr>
                <w:rFonts w:hint="eastAsia"/>
                <w:color w:val="auto"/>
                <w:sz w:val="21"/>
                <w:szCs w:val="21"/>
                <w:highlight w:val="none"/>
                <w:lang w:eastAsia="zh-CN"/>
              </w:rPr>
              <w:t>技术</w:t>
            </w:r>
            <w:r>
              <w:rPr>
                <w:color w:val="auto"/>
                <w:sz w:val="21"/>
                <w:szCs w:val="21"/>
                <w:highlight w:val="none"/>
              </w:rPr>
              <w:t>职称。</w:t>
            </w:r>
          </w:p>
        </w:tc>
        <w:tc>
          <w:tcPr>
            <w:tcW w:w="883" w:type="dxa"/>
            <w:tcBorders>
              <w:top w:val="single" w:color="auto" w:sz="4" w:space="0"/>
              <w:left w:val="nil"/>
              <w:bottom w:val="single" w:color="auto" w:sz="4" w:space="0"/>
              <w:right w:val="single" w:color="auto" w:sz="4" w:space="0"/>
            </w:tcBorders>
            <w:vAlign w:val="center"/>
          </w:tcPr>
          <w:p w14:paraId="2086C3F7">
            <w:pPr>
              <w:jc w:val="center"/>
              <w:rPr>
                <w:rFonts w:ascii="宋体" w:hAnsi="宋体" w:cs="Calibri"/>
                <w:color w:val="auto"/>
                <w:szCs w:val="21"/>
                <w:highlight w:val="none"/>
              </w:rPr>
            </w:pPr>
          </w:p>
        </w:tc>
      </w:tr>
      <w:tr w14:paraId="239E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683A7D10">
            <w:pPr>
              <w:widowControl/>
              <w:spacing w:line="240" w:lineRule="exact"/>
              <w:jc w:val="center"/>
              <w:rPr>
                <w:rFonts w:hint="eastAsia" w:ascii="宋体" w:hAnsi="宋体" w:eastAsia="宋体" w:cs="宋体"/>
                <w:color w:val="auto"/>
                <w:kern w:val="1"/>
                <w:szCs w:val="21"/>
                <w:highlight w:val="none"/>
                <w:lang w:val="en-US" w:eastAsia="zh-CN"/>
              </w:rPr>
            </w:pPr>
            <w:r>
              <w:rPr>
                <w:rFonts w:hint="eastAsia" w:ascii="宋体" w:hAnsi="宋体" w:cs="宋体"/>
                <w:color w:val="auto"/>
                <w:kern w:val="1"/>
                <w:szCs w:val="21"/>
                <w:highlight w:val="none"/>
                <w:lang w:val="en-US" w:eastAsia="zh-CN"/>
              </w:rPr>
              <w:t>5</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773063AC">
            <w:pPr>
              <w:pStyle w:val="53"/>
              <w:spacing w:line="240" w:lineRule="auto"/>
              <w:jc w:val="center"/>
              <w:rPr>
                <w:rFonts w:hint="eastAsia" w:ascii="宋体" w:hAnsi="宋体" w:eastAsia="宋体" w:cs="Courier New"/>
                <w:color w:val="auto"/>
                <w:kern w:val="2"/>
                <w:sz w:val="17"/>
                <w:szCs w:val="21"/>
                <w:highlight w:val="none"/>
                <w:u w:val="none"/>
                <w:shd w:val="clear" w:color="auto" w:fill="auto"/>
                <w:lang w:val="zh-TW" w:eastAsia="zh-TW" w:bidi="zh-TW"/>
              </w:rPr>
            </w:pPr>
            <w:r>
              <w:rPr>
                <w:rFonts w:hint="eastAsia"/>
                <w:color w:val="auto"/>
                <w:sz w:val="21"/>
                <w:szCs w:val="21"/>
                <w:highlight w:val="none"/>
              </w:rPr>
              <w:t>给排水专业负责人</w:t>
            </w:r>
          </w:p>
        </w:tc>
        <w:tc>
          <w:tcPr>
            <w:tcW w:w="700" w:type="dxa"/>
            <w:tcBorders>
              <w:top w:val="single" w:color="auto" w:sz="4" w:space="0"/>
              <w:left w:val="nil"/>
              <w:bottom w:val="single" w:color="auto" w:sz="4" w:space="0"/>
              <w:right w:val="single" w:color="auto" w:sz="4" w:space="0"/>
            </w:tcBorders>
            <w:vAlign w:val="center"/>
          </w:tcPr>
          <w:p w14:paraId="10271E78">
            <w:pPr>
              <w:jc w:val="cente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6E458CD2">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31CE28D1">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3403" w:type="dxa"/>
            <w:tcBorders>
              <w:top w:val="single" w:color="auto" w:sz="4" w:space="0"/>
              <w:left w:val="nil"/>
              <w:bottom w:val="single" w:color="auto" w:sz="4" w:space="0"/>
              <w:right w:val="single" w:color="auto" w:sz="4" w:space="0"/>
            </w:tcBorders>
            <w:vAlign w:val="center"/>
          </w:tcPr>
          <w:p w14:paraId="7CE382BA">
            <w:pPr>
              <w:jc w:val="left"/>
              <w:rPr>
                <w:rFonts w:hint="eastAsia" w:ascii="宋体" w:hAnsi="宋体" w:cs="宋体"/>
                <w:color w:val="auto"/>
                <w:szCs w:val="21"/>
                <w:highlight w:val="none"/>
              </w:rPr>
            </w:pPr>
            <w:r>
              <w:rPr>
                <w:color w:val="auto"/>
                <w:sz w:val="21"/>
                <w:szCs w:val="21"/>
                <w:highlight w:val="none"/>
              </w:rPr>
              <w:t>单位在</w:t>
            </w:r>
            <w:r>
              <w:rPr>
                <w:rFonts w:hint="eastAsia"/>
                <w:color w:val="auto"/>
                <w:sz w:val="21"/>
                <w:szCs w:val="21"/>
                <w:highlight w:val="none"/>
              </w:rPr>
              <w:t>册</w:t>
            </w:r>
            <w:r>
              <w:rPr>
                <w:color w:val="auto"/>
                <w:sz w:val="21"/>
                <w:szCs w:val="21"/>
                <w:highlight w:val="none"/>
              </w:rPr>
              <w:t>人员，</w:t>
            </w:r>
            <w:r>
              <w:rPr>
                <w:rFonts w:hint="eastAsia"/>
                <w:color w:val="auto"/>
                <w:sz w:val="21"/>
                <w:szCs w:val="21"/>
                <w:highlight w:val="none"/>
                <w:lang w:eastAsia="zh-CN"/>
              </w:rPr>
              <w:t>具</w:t>
            </w:r>
            <w:r>
              <w:rPr>
                <w:color w:val="auto"/>
                <w:sz w:val="21"/>
                <w:szCs w:val="21"/>
                <w:highlight w:val="none"/>
              </w:rPr>
              <w:t>有注册公用设备工程师（给水排水）资格</w:t>
            </w:r>
            <w:r>
              <w:rPr>
                <w:rFonts w:hint="eastAsia"/>
                <w:color w:val="auto"/>
                <w:sz w:val="21"/>
                <w:szCs w:val="21"/>
                <w:highlight w:val="none"/>
              </w:rPr>
              <w:t>（或备案的业务范围相当于相应注册证书的香港专业人士）或</w:t>
            </w:r>
            <w:r>
              <w:rPr>
                <w:color w:val="auto"/>
                <w:sz w:val="21"/>
                <w:szCs w:val="21"/>
                <w:highlight w:val="none"/>
              </w:rPr>
              <w:t>具有</w:t>
            </w:r>
            <w:r>
              <w:rPr>
                <w:rFonts w:hint="eastAsia"/>
                <w:color w:val="auto"/>
                <w:sz w:val="21"/>
                <w:szCs w:val="21"/>
                <w:highlight w:val="none"/>
              </w:rPr>
              <w:t>中级</w:t>
            </w:r>
            <w:r>
              <w:rPr>
                <w:color w:val="auto"/>
                <w:sz w:val="21"/>
                <w:szCs w:val="21"/>
                <w:highlight w:val="none"/>
              </w:rPr>
              <w:t>工程师或以上</w:t>
            </w:r>
            <w:r>
              <w:rPr>
                <w:rFonts w:hint="eastAsia"/>
                <w:color w:val="auto"/>
                <w:sz w:val="21"/>
                <w:szCs w:val="21"/>
                <w:highlight w:val="none"/>
              </w:rPr>
              <w:t>技术</w:t>
            </w:r>
            <w:r>
              <w:rPr>
                <w:color w:val="auto"/>
                <w:sz w:val="21"/>
                <w:szCs w:val="21"/>
                <w:highlight w:val="none"/>
              </w:rPr>
              <w:t>职称。</w:t>
            </w:r>
          </w:p>
        </w:tc>
        <w:tc>
          <w:tcPr>
            <w:tcW w:w="883" w:type="dxa"/>
            <w:tcBorders>
              <w:top w:val="single" w:color="auto" w:sz="4" w:space="0"/>
              <w:left w:val="nil"/>
              <w:bottom w:val="single" w:color="auto" w:sz="4" w:space="0"/>
              <w:right w:val="single" w:color="auto" w:sz="4" w:space="0"/>
            </w:tcBorders>
            <w:vAlign w:val="center"/>
          </w:tcPr>
          <w:p w14:paraId="55CBE404">
            <w:pPr>
              <w:jc w:val="center"/>
              <w:rPr>
                <w:rFonts w:ascii="宋体" w:hAnsi="宋体" w:cs="Calibri"/>
                <w:color w:val="auto"/>
                <w:szCs w:val="21"/>
                <w:highlight w:val="none"/>
              </w:rPr>
            </w:pPr>
          </w:p>
        </w:tc>
      </w:tr>
      <w:tr w14:paraId="1DA0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66BA5CDD">
            <w:pPr>
              <w:widowControl/>
              <w:spacing w:line="240" w:lineRule="exact"/>
              <w:jc w:val="center"/>
              <w:rPr>
                <w:rFonts w:hint="eastAsia" w:ascii="宋体" w:hAnsi="宋体" w:eastAsia="宋体" w:cs="宋体"/>
                <w:color w:val="auto"/>
                <w:kern w:val="1"/>
                <w:szCs w:val="21"/>
                <w:highlight w:val="none"/>
                <w:lang w:val="en-US" w:eastAsia="zh-CN"/>
              </w:rPr>
            </w:pPr>
            <w:r>
              <w:rPr>
                <w:rFonts w:hint="eastAsia" w:ascii="宋体" w:hAnsi="宋体" w:cs="宋体"/>
                <w:color w:val="auto"/>
                <w:kern w:val="1"/>
                <w:szCs w:val="21"/>
                <w:highlight w:val="none"/>
                <w:lang w:val="en-US" w:eastAsia="zh-CN"/>
              </w:rPr>
              <w:t>6</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605E885E">
            <w:pPr>
              <w:pStyle w:val="53"/>
              <w:spacing w:line="240" w:lineRule="auto"/>
              <w:jc w:val="center"/>
              <w:rPr>
                <w:rFonts w:hint="eastAsia" w:ascii="宋体" w:hAnsi="宋体" w:eastAsia="宋体" w:cs="Courier New"/>
                <w:color w:val="auto"/>
                <w:kern w:val="2"/>
                <w:sz w:val="17"/>
                <w:szCs w:val="21"/>
                <w:highlight w:val="none"/>
                <w:u w:val="none"/>
                <w:shd w:val="clear" w:color="auto" w:fill="auto"/>
                <w:lang w:val="zh-TW" w:eastAsia="zh-TW" w:bidi="zh-TW"/>
              </w:rPr>
            </w:pPr>
            <w:r>
              <w:rPr>
                <w:rFonts w:hint="eastAsia"/>
                <w:color w:val="auto"/>
                <w:sz w:val="21"/>
                <w:szCs w:val="21"/>
                <w:highlight w:val="none"/>
              </w:rPr>
              <w:t>电气专业负责人</w:t>
            </w:r>
          </w:p>
        </w:tc>
        <w:tc>
          <w:tcPr>
            <w:tcW w:w="700" w:type="dxa"/>
            <w:tcBorders>
              <w:top w:val="single" w:color="auto" w:sz="4" w:space="0"/>
              <w:left w:val="nil"/>
              <w:bottom w:val="single" w:color="auto" w:sz="4" w:space="0"/>
              <w:right w:val="single" w:color="auto" w:sz="4" w:space="0"/>
            </w:tcBorders>
            <w:vAlign w:val="center"/>
          </w:tcPr>
          <w:p w14:paraId="3FAA149C">
            <w:pPr>
              <w:jc w:val="cente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0940411B">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33AACFEE">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3403" w:type="dxa"/>
            <w:tcBorders>
              <w:top w:val="single" w:color="auto" w:sz="4" w:space="0"/>
              <w:left w:val="nil"/>
              <w:bottom w:val="single" w:color="auto" w:sz="4" w:space="0"/>
              <w:right w:val="single" w:color="auto" w:sz="4" w:space="0"/>
            </w:tcBorders>
            <w:vAlign w:val="center"/>
          </w:tcPr>
          <w:p w14:paraId="15CE929C">
            <w:pPr>
              <w:jc w:val="left"/>
              <w:rPr>
                <w:rFonts w:hint="eastAsia" w:ascii="宋体" w:hAnsi="宋体" w:cs="宋体"/>
                <w:color w:val="auto"/>
                <w:szCs w:val="21"/>
                <w:highlight w:val="none"/>
              </w:rPr>
            </w:pPr>
            <w:r>
              <w:rPr>
                <w:color w:val="auto"/>
                <w:sz w:val="21"/>
                <w:szCs w:val="21"/>
                <w:highlight w:val="none"/>
              </w:rPr>
              <w:t>单位在</w:t>
            </w:r>
            <w:r>
              <w:rPr>
                <w:rFonts w:hint="eastAsia"/>
                <w:color w:val="auto"/>
                <w:sz w:val="21"/>
                <w:szCs w:val="21"/>
                <w:highlight w:val="none"/>
                <w:lang w:eastAsia="zh-CN"/>
              </w:rPr>
              <w:t>册</w:t>
            </w:r>
            <w:r>
              <w:rPr>
                <w:color w:val="auto"/>
                <w:sz w:val="21"/>
                <w:szCs w:val="21"/>
                <w:highlight w:val="none"/>
              </w:rPr>
              <w:t>人员，具有注册电气工程师（供配电</w:t>
            </w:r>
            <w:r>
              <w:rPr>
                <w:rFonts w:hint="eastAsia"/>
                <w:color w:val="auto"/>
                <w:sz w:val="21"/>
                <w:szCs w:val="21"/>
                <w:highlight w:val="none"/>
                <w:lang w:eastAsia="zh-CN"/>
              </w:rPr>
              <w:t>或输变电</w:t>
            </w:r>
            <w:r>
              <w:rPr>
                <w:color w:val="auto"/>
                <w:sz w:val="21"/>
                <w:szCs w:val="21"/>
                <w:highlight w:val="none"/>
              </w:rPr>
              <w:t>）资格</w:t>
            </w:r>
            <w:r>
              <w:rPr>
                <w:rFonts w:hint="eastAsia"/>
                <w:color w:val="auto"/>
                <w:sz w:val="21"/>
                <w:szCs w:val="21"/>
                <w:highlight w:val="none"/>
              </w:rPr>
              <w:t>（或备案的业务范围相当于相应注册证书的香港专业人士）</w:t>
            </w:r>
            <w:r>
              <w:rPr>
                <w:rFonts w:hint="eastAsia"/>
                <w:color w:val="auto"/>
                <w:sz w:val="21"/>
                <w:szCs w:val="21"/>
                <w:highlight w:val="none"/>
                <w:lang w:eastAsia="zh-CN"/>
              </w:rPr>
              <w:t>或</w:t>
            </w:r>
            <w:r>
              <w:rPr>
                <w:color w:val="auto"/>
                <w:sz w:val="21"/>
                <w:szCs w:val="21"/>
                <w:highlight w:val="none"/>
              </w:rPr>
              <w:t>具有</w:t>
            </w:r>
            <w:r>
              <w:rPr>
                <w:rFonts w:hint="eastAsia"/>
                <w:color w:val="auto"/>
                <w:sz w:val="21"/>
                <w:szCs w:val="21"/>
                <w:highlight w:val="none"/>
                <w:lang w:eastAsia="zh-CN"/>
              </w:rPr>
              <w:t>中级工</w:t>
            </w:r>
            <w:r>
              <w:rPr>
                <w:color w:val="auto"/>
                <w:sz w:val="21"/>
                <w:szCs w:val="21"/>
                <w:highlight w:val="none"/>
              </w:rPr>
              <w:t>程师或以上</w:t>
            </w:r>
            <w:r>
              <w:rPr>
                <w:rFonts w:hint="eastAsia"/>
                <w:color w:val="auto"/>
                <w:sz w:val="21"/>
                <w:szCs w:val="21"/>
                <w:highlight w:val="none"/>
                <w:lang w:eastAsia="zh-CN"/>
              </w:rPr>
              <w:t>技术</w:t>
            </w:r>
            <w:r>
              <w:rPr>
                <w:color w:val="auto"/>
                <w:sz w:val="21"/>
                <w:szCs w:val="21"/>
                <w:highlight w:val="none"/>
              </w:rPr>
              <w:t>职称。</w:t>
            </w:r>
          </w:p>
        </w:tc>
        <w:tc>
          <w:tcPr>
            <w:tcW w:w="883" w:type="dxa"/>
            <w:tcBorders>
              <w:top w:val="single" w:color="auto" w:sz="4" w:space="0"/>
              <w:left w:val="nil"/>
              <w:bottom w:val="single" w:color="auto" w:sz="4" w:space="0"/>
              <w:right w:val="single" w:color="auto" w:sz="4" w:space="0"/>
            </w:tcBorders>
            <w:vAlign w:val="center"/>
          </w:tcPr>
          <w:p w14:paraId="418D7086">
            <w:pPr>
              <w:jc w:val="center"/>
              <w:rPr>
                <w:rFonts w:ascii="宋体" w:hAnsi="宋体" w:cs="Calibri"/>
                <w:color w:val="auto"/>
                <w:szCs w:val="21"/>
                <w:highlight w:val="none"/>
              </w:rPr>
            </w:pPr>
          </w:p>
        </w:tc>
      </w:tr>
      <w:tr w14:paraId="6225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17D124B5">
            <w:pPr>
              <w:widowControl/>
              <w:spacing w:line="240" w:lineRule="exact"/>
              <w:jc w:val="center"/>
              <w:rPr>
                <w:rFonts w:hint="eastAsia" w:ascii="宋体" w:hAnsi="宋体" w:eastAsia="宋体" w:cs="宋体"/>
                <w:color w:val="auto"/>
                <w:kern w:val="1"/>
                <w:szCs w:val="21"/>
                <w:highlight w:val="none"/>
                <w:lang w:val="en-US" w:eastAsia="zh-CN"/>
              </w:rPr>
            </w:pPr>
            <w:r>
              <w:rPr>
                <w:rFonts w:hint="eastAsia" w:ascii="宋体" w:hAnsi="宋体" w:cs="宋体"/>
                <w:color w:val="auto"/>
                <w:kern w:val="1"/>
                <w:szCs w:val="21"/>
                <w:highlight w:val="none"/>
                <w:lang w:val="en-US" w:eastAsia="zh-CN"/>
              </w:rPr>
              <w:t>7</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0C8E00EC">
            <w:pPr>
              <w:pStyle w:val="53"/>
              <w:spacing w:line="240" w:lineRule="auto"/>
              <w:jc w:val="center"/>
              <w:rPr>
                <w:rFonts w:hint="eastAsia" w:ascii="宋体" w:hAnsi="宋体" w:eastAsia="宋体" w:cs="Courier New"/>
                <w:color w:val="auto"/>
                <w:kern w:val="2"/>
                <w:sz w:val="17"/>
                <w:szCs w:val="21"/>
                <w:highlight w:val="none"/>
                <w:u w:val="none"/>
                <w:shd w:val="clear" w:color="auto" w:fill="auto"/>
                <w:lang w:val="zh-TW" w:eastAsia="zh-TW" w:bidi="zh-TW"/>
              </w:rPr>
            </w:pPr>
            <w:r>
              <w:rPr>
                <w:rFonts w:hint="eastAsia"/>
                <w:color w:val="auto"/>
                <w:sz w:val="21"/>
                <w:szCs w:val="21"/>
                <w:highlight w:val="none"/>
              </w:rPr>
              <w:t>暖通</w:t>
            </w:r>
            <w:r>
              <w:rPr>
                <w:rFonts w:hint="eastAsia"/>
                <w:color w:val="auto"/>
                <w:sz w:val="21"/>
                <w:szCs w:val="21"/>
                <w:highlight w:val="none"/>
                <w:lang w:eastAsia="zh-CN"/>
              </w:rPr>
              <w:t>空调</w:t>
            </w:r>
            <w:r>
              <w:rPr>
                <w:rFonts w:hint="eastAsia"/>
                <w:color w:val="auto"/>
                <w:sz w:val="21"/>
                <w:szCs w:val="21"/>
                <w:highlight w:val="none"/>
              </w:rPr>
              <w:t>专业负责人</w:t>
            </w:r>
          </w:p>
        </w:tc>
        <w:tc>
          <w:tcPr>
            <w:tcW w:w="700" w:type="dxa"/>
            <w:tcBorders>
              <w:top w:val="single" w:color="auto" w:sz="4" w:space="0"/>
              <w:left w:val="nil"/>
              <w:bottom w:val="single" w:color="auto" w:sz="4" w:space="0"/>
              <w:right w:val="single" w:color="auto" w:sz="4" w:space="0"/>
            </w:tcBorders>
            <w:vAlign w:val="center"/>
          </w:tcPr>
          <w:p w14:paraId="67AEA63B">
            <w:pPr>
              <w:jc w:val="cente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0B66F54E">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2BBC2D33">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3403" w:type="dxa"/>
            <w:tcBorders>
              <w:top w:val="single" w:color="auto" w:sz="4" w:space="0"/>
              <w:left w:val="nil"/>
              <w:bottom w:val="single" w:color="auto" w:sz="4" w:space="0"/>
              <w:right w:val="single" w:color="auto" w:sz="4" w:space="0"/>
            </w:tcBorders>
            <w:vAlign w:val="center"/>
          </w:tcPr>
          <w:p w14:paraId="3336B2CF">
            <w:pPr>
              <w:jc w:val="left"/>
              <w:rPr>
                <w:rFonts w:hint="eastAsia" w:ascii="宋体" w:hAnsi="宋体" w:cs="宋体"/>
                <w:color w:val="auto"/>
                <w:szCs w:val="21"/>
                <w:highlight w:val="none"/>
              </w:rPr>
            </w:pPr>
            <w:r>
              <w:rPr>
                <w:color w:val="auto"/>
                <w:sz w:val="21"/>
                <w:szCs w:val="21"/>
                <w:highlight w:val="none"/>
              </w:rPr>
              <w:t>单位在</w:t>
            </w:r>
            <w:r>
              <w:rPr>
                <w:rFonts w:hint="eastAsia"/>
                <w:color w:val="auto"/>
                <w:sz w:val="21"/>
                <w:szCs w:val="21"/>
                <w:highlight w:val="none"/>
                <w:lang w:eastAsia="zh-CN"/>
              </w:rPr>
              <w:t>册</w:t>
            </w:r>
            <w:r>
              <w:rPr>
                <w:color w:val="auto"/>
                <w:sz w:val="21"/>
                <w:szCs w:val="21"/>
                <w:highlight w:val="none"/>
              </w:rPr>
              <w:t>人员，具有注册公用设备工程师（暖通空调</w:t>
            </w:r>
            <w:r>
              <w:rPr>
                <w:color w:val="auto"/>
                <w:sz w:val="21"/>
                <w:szCs w:val="21"/>
                <w:highlight w:val="none"/>
                <w:lang w:val="en-US" w:eastAsia="zh-CN" w:bidi="en-US"/>
              </w:rPr>
              <w:t>）</w:t>
            </w:r>
            <w:r>
              <w:rPr>
                <w:color w:val="auto"/>
                <w:sz w:val="21"/>
                <w:szCs w:val="21"/>
                <w:highlight w:val="none"/>
              </w:rPr>
              <w:t>资格</w:t>
            </w:r>
            <w:r>
              <w:rPr>
                <w:rFonts w:hint="eastAsia"/>
                <w:color w:val="auto"/>
                <w:sz w:val="21"/>
                <w:szCs w:val="21"/>
                <w:highlight w:val="none"/>
              </w:rPr>
              <w:t>（或备案的业务范围相当于相应注册证书的香港专业人士</w:t>
            </w:r>
            <w:r>
              <w:rPr>
                <w:rFonts w:hint="eastAsia"/>
                <w:color w:val="auto"/>
                <w:sz w:val="21"/>
                <w:szCs w:val="21"/>
                <w:highlight w:val="none"/>
                <w:lang w:eastAsia="zh-CN"/>
              </w:rPr>
              <w:t>）</w:t>
            </w:r>
            <w:r>
              <w:rPr>
                <w:color w:val="auto"/>
                <w:sz w:val="21"/>
                <w:szCs w:val="21"/>
                <w:highlight w:val="none"/>
              </w:rPr>
              <w:t>，</w:t>
            </w:r>
            <w:r>
              <w:rPr>
                <w:rFonts w:hint="eastAsia"/>
                <w:color w:val="auto"/>
                <w:sz w:val="21"/>
                <w:szCs w:val="21"/>
                <w:highlight w:val="none"/>
                <w:lang w:eastAsia="zh-CN"/>
              </w:rPr>
              <w:t>或</w:t>
            </w:r>
            <w:r>
              <w:rPr>
                <w:color w:val="auto"/>
                <w:sz w:val="21"/>
                <w:szCs w:val="21"/>
                <w:highlight w:val="none"/>
              </w:rPr>
              <w:t>具有</w:t>
            </w:r>
            <w:r>
              <w:rPr>
                <w:rFonts w:hint="eastAsia"/>
                <w:color w:val="auto"/>
                <w:sz w:val="21"/>
                <w:szCs w:val="21"/>
                <w:highlight w:val="none"/>
                <w:lang w:eastAsia="zh-CN"/>
              </w:rPr>
              <w:t>中级</w:t>
            </w:r>
            <w:r>
              <w:rPr>
                <w:color w:val="auto"/>
                <w:sz w:val="21"/>
                <w:szCs w:val="21"/>
                <w:highlight w:val="none"/>
              </w:rPr>
              <w:t>工程师或以上</w:t>
            </w:r>
            <w:r>
              <w:rPr>
                <w:rFonts w:hint="eastAsia"/>
                <w:color w:val="auto"/>
                <w:sz w:val="21"/>
                <w:szCs w:val="21"/>
                <w:highlight w:val="none"/>
                <w:lang w:eastAsia="zh-CN"/>
              </w:rPr>
              <w:t>技术</w:t>
            </w:r>
            <w:r>
              <w:rPr>
                <w:color w:val="auto"/>
                <w:sz w:val="21"/>
                <w:szCs w:val="21"/>
                <w:highlight w:val="none"/>
              </w:rPr>
              <w:t>职称。</w:t>
            </w:r>
          </w:p>
        </w:tc>
        <w:tc>
          <w:tcPr>
            <w:tcW w:w="883" w:type="dxa"/>
            <w:tcBorders>
              <w:top w:val="single" w:color="auto" w:sz="4" w:space="0"/>
              <w:left w:val="nil"/>
              <w:bottom w:val="single" w:color="auto" w:sz="4" w:space="0"/>
              <w:right w:val="single" w:color="auto" w:sz="4" w:space="0"/>
            </w:tcBorders>
            <w:vAlign w:val="center"/>
          </w:tcPr>
          <w:p w14:paraId="0E056264">
            <w:pPr>
              <w:jc w:val="center"/>
              <w:rPr>
                <w:rFonts w:ascii="宋体" w:hAnsi="宋体" w:cs="Calibri"/>
                <w:color w:val="auto"/>
                <w:szCs w:val="21"/>
                <w:highlight w:val="none"/>
              </w:rPr>
            </w:pPr>
          </w:p>
        </w:tc>
      </w:tr>
      <w:tr w14:paraId="5FEF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13E1CD1A">
            <w:pPr>
              <w:widowControl/>
              <w:spacing w:line="240" w:lineRule="exact"/>
              <w:jc w:val="center"/>
              <w:rPr>
                <w:rFonts w:hint="eastAsia" w:ascii="宋体" w:hAnsi="宋体" w:eastAsia="宋体" w:cs="宋体"/>
                <w:color w:val="auto"/>
                <w:kern w:val="1"/>
                <w:szCs w:val="21"/>
                <w:highlight w:val="none"/>
                <w:lang w:eastAsia="zh-CN"/>
              </w:rPr>
            </w:pPr>
            <w:r>
              <w:rPr>
                <w:rFonts w:hint="eastAsia" w:ascii="宋体" w:hAnsi="宋体" w:cs="宋体"/>
                <w:color w:val="auto"/>
                <w:kern w:val="1"/>
                <w:szCs w:val="21"/>
                <w:highlight w:val="none"/>
                <w:lang w:val="en-US" w:eastAsia="zh-CN"/>
              </w:rPr>
              <w:t>8</w:t>
            </w:r>
          </w:p>
        </w:tc>
        <w:tc>
          <w:tcPr>
            <w:tcW w:w="2009" w:type="dxa"/>
            <w:tcBorders>
              <w:top w:val="single" w:color="auto" w:sz="4" w:space="0"/>
              <w:left w:val="single" w:color="auto" w:sz="4" w:space="0"/>
              <w:bottom w:val="single" w:color="auto" w:sz="4" w:space="0"/>
              <w:right w:val="single" w:color="auto" w:sz="4" w:space="0"/>
            </w:tcBorders>
            <w:vAlign w:val="center"/>
          </w:tcPr>
          <w:p w14:paraId="0F65723E">
            <w:pPr>
              <w:widowControl/>
              <w:spacing w:line="240" w:lineRule="exact"/>
              <w:rPr>
                <w:rFonts w:ascii="宋体" w:hAnsi="宋体"/>
                <w:color w:val="auto"/>
                <w:szCs w:val="21"/>
                <w:highlight w:val="none"/>
              </w:rPr>
            </w:pPr>
            <w:r>
              <w:rPr>
                <w:rFonts w:hint="eastAsia" w:ascii="宋体" w:hAnsi="宋体" w:cs="宋体"/>
                <w:color w:val="auto"/>
                <w:kern w:val="1"/>
                <w:szCs w:val="21"/>
                <w:highlight w:val="none"/>
              </w:rPr>
              <w:t>预算（建筑工程造价）专业负责人</w:t>
            </w:r>
          </w:p>
        </w:tc>
        <w:tc>
          <w:tcPr>
            <w:tcW w:w="700" w:type="dxa"/>
            <w:tcBorders>
              <w:top w:val="single" w:color="auto" w:sz="4" w:space="0"/>
              <w:left w:val="nil"/>
              <w:bottom w:val="single" w:color="auto" w:sz="4" w:space="0"/>
              <w:right w:val="single" w:color="auto" w:sz="4" w:space="0"/>
            </w:tcBorders>
            <w:vAlign w:val="center"/>
          </w:tcPr>
          <w:p w14:paraId="181D0367">
            <w:pPr>
              <w:jc w:val="cente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09A8F30C">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6046297A">
            <w:pPr>
              <w:jc w:val="center"/>
              <w:rPr>
                <w:rFonts w:ascii="宋体" w:hAnsi="宋体" w:cs="Courier New"/>
                <w:color w:val="auto"/>
                <w:szCs w:val="21"/>
                <w:highlight w:val="none"/>
              </w:rPr>
            </w:pPr>
            <w:r>
              <w:rPr>
                <w:rFonts w:hint="eastAsia" w:ascii="宋体" w:hAnsi="宋体" w:cs="宋体"/>
                <w:color w:val="auto"/>
                <w:szCs w:val="21"/>
                <w:highlight w:val="none"/>
              </w:rPr>
              <w:t>1</w:t>
            </w:r>
          </w:p>
        </w:tc>
        <w:tc>
          <w:tcPr>
            <w:tcW w:w="3403" w:type="dxa"/>
            <w:tcBorders>
              <w:top w:val="single" w:color="auto" w:sz="4" w:space="0"/>
              <w:left w:val="nil"/>
              <w:bottom w:val="single" w:color="auto" w:sz="4" w:space="0"/>
              <w:right w:val="single" w:color="auto" w:sz="4" w:space="0"/>
            </w:tcBorders>
            <w:vAlign w:val="center"/>
          </w:tcPr>
          <w:p w14:paraId="23482C1B">
            <w:pPr>
              <w:jc w:val="left"/>
              <w:rPr>
                <w:rFonts w:ascii="宋体" w:hAnsi="宋体" w:cs="Courier New"/>
                <w:color w:val="auto"/>
                <w:szCs w:val="21"/>
                <w:highlight w:val="none"/>
              </w:rPr>
            </w:pPr>
            <w:r>
              <w:rPr>
                <w:color w:val="auto"/>
                <w:sz w:val="21"/>
                <w:szCs w:val="21"/>
                <w:highlight w:val="none"/>
              </w:rPr>
              <w:t>单</w:t>
            </w:r>
            <w:r>
              <w:rPr>
                <w:rFonts w:hint="eastAsia"/>
                <w:color w:val="auto"/>
                <w:sz w:val="21"/>
                <w:szCs w:val="21"/>
                <w:highlight w:val="none"/>
                <w:lang w:eastAsia="zh-CN"/>
              </w:rPr>
              <w:t>位在册人员，</w:t>
            </w:r>
            <w:r>
              <w:rPr>
                <w:rFonts w:hint="eastAsia"/>
                <w:color w:val="auto"/>
                <w:sz w:val="21"/>
                <w:szCs w:val="21"/>
                <w:highlight w:val="none"/>
                <w:lang w:val="en-US" w:eastAsia="zh-CN"/>
              </w:rPr>
              <w:t>具有一级注册造价工程师资格</w:t>
            </w:r>
            <w:r>
              <w:rPr>
                <w:rFonts w:hint="eastAsia"/>
                <w:color w:val="auto"/>
                <w:sz w:val="21"/>
                <w:szCs w:val="21"/>
                <w:highlight w:val="none"/>
                <w:lang w:eastAsia="zh-CN"/>
              </w:rPr>
              <w:t>（或备案的业务范围相当于一级注册造价工程师的香港专业人士）。</w:t>
            </w:r>
          </w:p>
        </w:tc>
        <w:tc>
          <w:tcPr>
            <w:tcW w:w="883" w:type="dxa"/>
            <w:tcBorders>
              <w:top w:val="single" w:color="auto" w:sz="4" w:space="0"/>
              <w:left w:val="nil"/>
              <w:bottom w:val="single" w:color="auto" w:sz="4" w:space="0"/>
              <w:right w:val="single" w:color="auto" w:sz="4" w:space="0"/>
            </w:tcBorders>
            <w:vAlign w:val="center"/>
          </w:tcPr>
          <w:p w14:paraId="70F96B8B">
            <w:pPr>
              <w:jc w:val="center"/>
              <w:rPr>
                <w:rFonts w:ascii="宋体" w:hAnsi="宋体" w:cs="Calibri"/>
                <w:color w:val="auto"/>
                <w:szCs w:val="21"/>
                <w:highlight w:val="none"/>
              </w:rPr>
            </w:pPr>
          </w:p>
        </w:tc>
      </w:tr>
      <w:tr w14:paraId="152F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1A6B5756">
            <w:pPr>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9</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659F9647">
            <w:pPr>
              <w:widowControl/>
              <w:spacing w:line="240" w:lineRule="exact"/>
              <w:jc w:val="center"/>
              <w:rPr>
                <w:rFonts w:ascii="宋体" w:hAnsi="宋体" w:eastAsia="宋体" w:cs="宋体"/>
                <w:color w:val="auto"/>
                <w:kern w:val="1"/>
                <w:sz w:val="21"/>
                <w:szCs w:val="21"/>
                <w:highlight w:val="none"/>
                <w:lang w:val="en-US" w:eastAsia="zh-CN" w:bidi="ar-SA"/>
              </w:rPr>
            </w:pPr>
            <w:r>
              <w:rPr>
                <w:rFonts w:hint="eastAsia" w:ascii="宋体" w:hAnsi="宋体" w:eastAsia="宋体" w:cs="宋体"/>
                <w:color w:val="auto"/>
                <w:szCs w:val="21"/>
                <w:highlight w:val="none"/>
              </w:rPr>
              <w:t>室内装修专业负责人</w:t>
            </w:r>
          </w:p>
        </w:tc>
        <w:tc>
          <w:tcPr>
            <w:tcW w:w="700" w:type="dxa"/>
            <w:tcBorders>
              <w:top w:val="single" w:color="auto" w:sz="4" w:space="0"/>
              <w:left w:val="nil"/>
              <w:bottom w:val="single" w:color="auto" w:sz="4" w:space="0"/>
              <w:right w:val="single" w:color="auto" w:sz="4" w:space="0"/>
            </w:tcBorders>
            <w:vAlign w:val="center"/>
          </w:tcPr>
          <w:p w14:paraId="79A9550A">
            <w:pP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32032271">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shd w:val="clear" w:color="auto" w:fill="auto"/>
            <w:vAlign w:val="center"/>
          </w:tcPr>
          <w:p w14:paraId="72B7BA34">
            <w:pPr>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w:t>
            </w:r>
          </w:p>
        </w:tc>
        <w:tc>
          <w:tcPr>
            <w:tcW w:w="3403" w:type="dxa"/>
            <w:tcBorders>
              <w:top w:val="single" w:color="auto" w:sz="4" w:space="0"/>
              <w:left w:val="nil"/>
              <w:bottom w:val="single" w:color="auto" w:sz="4" w:space="0"/>
              <w:right w:val="single" w:color="auto" w:sz="4" w:space="0"/>
            </w:tcBorders>
            <w:shd w:val="clear" w:color="auto" w:fill="auto"/>
            <w:vAlign w:val="center"/>
          </w:tcPr>
          <w:p w14:paraId="00188D5B">
            <w:pPr>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一级注册建筑师</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或</w:t>
            </w:r>
            <w:r>
              <w:rPr>
                <w:rFonts w:hint="eastAsia" w:ascii="宋体" w:hAnsi="宋体" w:eastAsia="宋体" w:cs="宋体"/>
                <w:b/>
                <w:bCs/>
                <w:color w:val="auto"/>
                <w:szCs w:val="21"/>
                <w:highlight w:val="none"/>
                <w:lang w:eastAsia="zh-CN"/>
              </w:rPr>
              <w:t>室内装修</w:t>
            </w:r>
            <w:r>
              <w:rPr>
                <w:rFonts w:hint="eastAsia" w:ascii="宋体" w:hAnsi="宋体" w:eastAsia="宋体" w:cs="宋体"/>
                <w:color w:val="auto"/>
                <w:szCs w:val="21"/>
                <w:highlight w:val="none"/>
                <w:lang w:eastAsia="zh-CN"/>
              </w:rPr>
              <w:t>专业（含相近专业）高级工程师（或以上）职称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或者</w:t>
            </w:r>
            <w:r>
              <w:rPr>
                <w:rFonts w:hint="eastAsia" w:ascii="宋体" w:hAnsi="宋体" w:eastAsia="宋体" w:cs="宋体"/>
                <w:b/>
                <w:bCs/>
                <w:color w:val="auto"/>
                <w:szCs w:val="21"/>
                <w:highlight w:val="none"/>
                <w:lang w:eastAsia="zh-CN"/>
              </w:rPr>
              <w:t>室内装修</w:t>
            </w:r>
            <w:r>
              <w:rPr>
                <w:rFonts w:hint="eastAsia" w:ascii="宋体" w:hAnsi="宋体" w:eastAsia="宋体" w:cs="宋体"/>
                <w:color w:val="auto"/>
                <w:szCs w:val="21"/>
                <w:highlight w:val="none"/>
                <w:lang w:eastAsia="zh-CN"/>
              </w:rPr>
              <w:t>专业（含相近专业）中级技术职称从事</w:t>
            </w:r>
            <w:r>
              <w:rPr>
                <w:rFonts w:hint="eastAsia" w:ascii="宋体" w:hAnsi="宋体" w:cs="宋体"/>
                <w:b/>
                <w:bCs/>
                <w:color w:val="auto"/>
                <w:szCs w:val="21"/>
                <w:highlight w:val="none"/>
                <w:lang w:eastAsia="zh-CN"/>
              </w:rPr>
              <w:t>相关</w:t>
            </w:r>
            <w:r>
              <w:rPr>
                <w:rFonts w:hint="eastAsia" w:ascii="宋体" w:hAnsi="宋体" w:eastAsia="宋体" w:cs="宋体"/>
                <w:color w:val="auto"/>
                <w:szCs w:val="21"/>
                <w:highlight w:val="none"/>
                <w:lang w:eastAsia="zh-CN"/>
              </w:rPr>
              <w:t>工作10年以上</w:t>
            </w:r>
          </w:p>
        </w:tc>
        <w:tc>
          <w:tcPr>
            <w:tcW w:w="883" w:type="dxa"/>
            <w:tcBorders>
              <w:top w:val="single" w:color="auto" w:sz="4" w:space="0"/>
              <w:left w:val="nil"/>
              <w:bottom w:val="single" w:color="auto" w:sz="4" w:space="0"/>
              <w:right w:val="single" w:color="auto" w:sz="4" w:space="0"/>
            </w:tcBorders>
            <w:vAlign w:val="center"/>
          </w:tcPr>
          <w:p w14:paraId="500C6309">
            <w:pPr>
              <w:jc w:val="center"/>
              <w:rPr>
                <w:rFonts w:ascii="宋体" w:hAnsi="宋体" w:cs="Calibri"/>
                <w:color w:val="auto"/>
                <w:szCs w:val="21"/>
                <w:highlight w:val="none"/>
              </w:rPr>
            </w:pPr>
          </w:p>
        </w:tc>
      </w:tr>
      <w:tr w14:paraId="2611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01BDA544">
            <w:pPr>
              <w:jc w:val="center"/>
              <w:rPr>
                <w:rFonts w:ascii="宋体" w:hAnsi="宋体" w:eastAsia="宋体" w:cs="宋体"/>
                <w:color w:val="auto"/>
                <w:kern w:val="2"/>
                <w:sz w:val="21"/>
                <w:szCs w:val="21"/>
                <w:highlight w:val="none"/>
                <w:lang w:val="en-US" w:eastAsia="zh-CN" w:bidi="ar-SA"/>
              </w:rPr>
            </w:pPr>
            <w:r>
              <w:rPr>
                <w:rFonts w:ascii="宋体" w:hAnsi="宋体" w:eastAsia="宋体" w:cs="宋体"/>
                <w:color w:val="auto"/>
                <w:szCs w:val="21"/>
                <w:highlight w:val="none"/>
                <w:lang w:eastAsia="zh-CN"/>
              </w:rPr>
              <w:t>10</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1FC7AC85">
            <w:pPr>
              <w:widowControl/>
              <w:spacing w:line="2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园林专业负责人</w:t>
            </w:r>
          </w:p>
        </w:tc>
        <w:tc>
          <w:tcPr>
            <w:tcW w:w="700" w:type="dxa"/>
            <w:tcBorders>
              <w:top w:val="single" w:color="auto" w:sz="4" w:space="0"/>
              <w:left w:val="nil"/>
              <w:bottom w:val="single" w:color="auto" w:sz="4" w:space="0"/>
              <w:right w:val="single" w:color="auto" w:sz="4" w:space="0"/>
            </w:tcBorders>
            <w:vAlign w:val="center"/>
          </w:tcPr>
          <w:p w14:paraId="5362F3C4">
            <w:pP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3F5783A5">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shd w:val="clear" w:color="auto" w:fill="auto"/>
            <w:vAlign w:val="center"/>
          </w:tcPr>
          <w:p w14:paraId="38DC67ED">
            <w:pPr>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1</w:t>
            </w:r>
          </w:p>
        </w:tc>
        <w:tc>
          <w:tcPr>
            <w:tcW w:w="3403" w:type="dxa"/>
            <w:tcBorders>
              <w:top w:val="single" w:color="auto" w:sz="4" w:space="0"/>
              <w:left w:val="nil"/>
              <w:bottom w:val="single" w:color="auto" w:sz="4" w:space="0"/>
              <w:right w:val="single" w:color="auto" w:sz="4" w:space="0"/>
            </w:tcBorders>
            <w:shd w:val="clear" w:color="auto" w:fill="auto"/>
            <w:vAlign w:val="center"/>
          </w:tcPr>
          <w:p w14:paraId="193662E3">
            <w:pPr>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园林绿化</w:t>
            </w:r>
            <w:r>
              <w:rPr>
                <w:rFonts w:hint="eastAsia" w:ascii="宋体" w:hAnsi="宋体" w:eastAsia="宋体" w:cs="宋体"/>
                <w:color w:val="auto"/>
                <w:szCs w:val="21"/>
                <w:highlight w:val="none"/>
                <w:lang w:eastAsia="zh-CN"/>
              </w:rPr>
              <w:t>专业（含相近专业）高级工程师（或以上）职称或者</w:t>
            </w:r>
            <w:r>
              <w:rPr>
                <w:rFonts w:hint="eastAsia" w:ascii="宋体" w:hAnsi="宋体" w:eastAsia="宋体" w:cs="宋体"/>
                <w:b/>
                <w:bCs/>
                <w:color w:val="auto"/>
                <w:szCs w:val="21"/>
                <w:highlight w:val="none"/>
                <w:lang w:eastAsia="zh-CN"/>
              </w:rPr>
              <w:t>园林绿化</w:t>
            </w:r>
            <w:r>
              <w:rPr>
                <w:rFonts w:hint="eastAsia" w:ascii="宋体" w:hAnsi="宋体" w:eastAsia="宋体" w:cs="宋体"/>
                <w:color w:val="auto"/>
                <w:szCs w:val="21"/>
                <w:highlight w:val="none"/>
                <w:lang w:eastAsia="zh-CN"/>
              </w:rPr>
              <w:t>专业（含相近专业）中级技术职称从事</w:t>
            </w:r>
            <w:r>
              <w:rPr>
                <w:rFonts w:hint="eastAsia" w:ascii="宋体" w:hAnsi="宋体" w:cs="宋体"/>
                <w:b/>
                <w:bCs/>
                <w:color w:val="auto"/>
                <w:szCs w:val="21"/>
                <w:highlight w:val="none"/>
                <w:lang w:eastAsia="zh-CN"/>
              </w:rPr>
              <w:t>相关</w:t>
            </w:r>
            <w:r>
              <w:rPr>
                <w:rFonts w:hint="eastAsia" w:ascii="宋体" w:hAnsi="宋体" w:eastAsia="宋体" w:cs="宋体"/>
                <w:color w:val="auto"/>
                <w:szCs w:val="21"/>
                <w:highlight w:val="none"/>
                <w:lang w:eastAsia="zh-CN"/>
              </w:rPr>
              <w:t>工作10年以上</w:t>
            </w:r>
          </w:p>
        </w:tc>
        <w:tc>
          <w:tcPr>
            <w:tcW w:w="883" w:type="dxa"/>
            <w:tcBorders>
              <w:top w:val="single" w:color="auto" w:sz="4" w:space="0"/>
              <w:left w:val="nil"/>
              <w:bottom w:val="single" w:color="auto" w:sz="4" w:space="0"/>
              <w:right w:val="single" w:color="auto" w:sz="4" w:space="0"/>
            </w:tcBorders>
            <w:vAlign w:val="center"/>
          </w:tcPr>
          <w:p w14:paraId="0A758F10">
            <w:pPr>
              <w:jc w:val="center"/>
              <w:rPr>
                <w:rFonts w:ascii="宋体" w:hAnsi="宋体" w:cs="Calibri"/>
                <w:color w:val="auto"/>
                <w:szCs w:val="21"/>
                <w:highlight w:val="none"/>
              </w:rPr>
            </w:pPr>
          </w:p>
        </w:tc>
      </w:tr>
    </w:tbl>
    <w:p w14:paraId="1A2BC523">
      <w:pPr>
        <w:spacing w:line="360" w:lineRule="auto"/>
        <w:rPr>
          <w:rFonts w:ascii="宋体" w:hAnsi="宋体" w:cs="宋体"/>
          <w:color w:val="auto"/>
          <w:szCs w:val="21"/>
          <w:highlight w:val="none"/>
        </w:rPr>
      </w:pPr>
      <w:r>
        <w:rPr>
          <w:rFonts w:hint="eastAsia" w:ascii="宋体" w:hAnsi="宋体" w:cs="宋体"/>
          <w:color w:val="auto"/>
          <w:szCs w:val="21"/>
          <w:highlight w:val="none"/>
        </w:rPr>
        <w:t>备注：1、本表除项目负责人外，其他人员均不作为资格审查的条件，需提供相关证明文件</w:t>
      </w:r>
      <w:r>
        <w:rPr>
          <w:rFonts w:hint="eastAsia" w:ascii="宋体" w:hAnsi="宋体" w:cs="宋体"/>
          <w:color w:val="auto"/>
          <w:szCs w:val="21"/>
          <w:highlight w:val="none"/>
          <w:lang w:eastAsia="zh-CN"/>
        </w:rPr>
        <w:t>；工作年限</w:t>
      </w:r>
      <w:r>
        <w:rPr>
          <w:rFonts w:hint="eastAsia" w:ascii="宋体" w:hAnsi="宋体" w:cs="宋体"/>
          <w:color w:val="auto"/>
          <w:szCs w:val="21"/>
          <w:highlight w:val="none"/>
        </w:rPr>
        <w:t>从毕业证书的核发时间（大学专科（或以上）学历）起计</w:t>
      </w:r>
      <w:r>
        <w:rPr>
          <w:rFonts w:hint="eastAsia" w:ascii="宋体" w:hAnsi="宋体" w:cs="宋体"/>
          <w:color w:val="auto"/>
          <w:szCs w:val="21"/>
          <w:highlight w:val="none"/>
          <w:lang w:eastAsia="zh-CN"/>
        </w:rPr>
        <w:t>至投标截止时间</w:t>
      </w:r>
      <w:r>
        <w:rPr>
          <w:rFonts w:hint="eastAsia" w:ascii="宋体" w:hAnsi="宋体" w:cs="宋体"/>
          <w:color w:val="auto"/>
          <w:szCs w:val="21"/>
          <w:highlight w:val="none"/>
        </w:rPr>
        <w:t>。</w:t>
      </w:r>
    </w:p>
    <w:p w14:paraId="0ABB164C">
      <w:pPr>
        <w:spacing w:line="360" w:lineRule="auto"/>
        <w:rPr>
          <w:rFonts w:ascii="宋体" w:hAnsi="宋体" w:cs="宋体"/>
          <w:color w:val="auto"/>
          <w:szCs w:val="21"/>
          <w:highlight w:val="none"/>
        </w:rPr>
      </w:pPr>
      <w:r>
        <w:rPr>
          <w:rFonts w:hint="eastAsia" w:ascii="宋体" w:hAnsi="宋体" w:cs="宋体"/>
          <w:color w:val="auto"/>
          <w:szCs w:val="21"/>
          <w:highlight w:val="none"/>
        </w:rPr>
        <w:t>2、上述项目负责人及各专业负责人不能兼任。</w:t>
      </w:r>
    </w:p>
    <w:p w14:paraId="7C38AF67">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3、投入人员必须为投标单位人员</w:t>
      </w:r>
      <w:r>
        <w:rPr>
          <w:rFonts w:ascii="宋体" w:hAnsi="宋体" w:cs="宋体"/>
          <w:color w:val="auto"/>
          <w:szCs w:val="21"/>
          <w:highlight w:val="none"/>
        </w:rPr>
        <w:t>（</w:t>
      </w:r>
      <w:r>
        <w:rPr>
          <w:rFonts w:hint="eastAsia" w:ascii="宋体" w:hAnsi="宋体" w:cs="宋体"/>
          <w:color w:val="auto"/>
          <w:szCs w:val="21"/>
          <w:highlight w:val="none"/>
          <w:lang w:bidi="ar"/>
        </w:rPr>
        <w:t>人员仅指投标人自身人员，如投标申请人为集团公司，则不含集团下属具有独立法人的子公司的人员，但包含非独立法人的分公司人员；同样下属具有独立法人的子公司也不得使用集团公司的人员。</w:t>
      </w:r>
      <w:r>
        <w:rPr>
          <w:rFonts w:ascii="宋体" w:hAnsi="宋体" w:cs="宋体"/>
          <w:color w:val="auto"/>
          <w:szCs w:val="21"/>
          <w:highlight w:val="none"/>
          <w:lang w:bidi="ar"/>
        </w:rPr>
        <w:t>）</w:t>
      </w:r>
      <w:r>
        <w:rPr>
          <w:rFonts w:hint="eastAsia" w:ascii="宋体" w:hAnsi="宋体" w:cs="宋体"/>
          <w:color w:val="auto"/>
          <w:szCs w:val="21"/>
          <w:highlight w:val="none"/>
        </w:rPr>
        <w:t>，须提供投入人员的202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月社保证明在投标人单位购买社保的证明。</w:t>
      </w:r>
    </w:p>
    <w:p w14:paraId="372292C8">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4、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14:paraId="5A503D3C">
      <w:pPr>
        <w:widowControl/>
        <w:spacing w:line="360" w:lineRule="auto"/>
        <w:rPr>
          <w:rFonts w:ascii="宋体" w:hAnsi="宋体" w:cs="宋体"/>
          <w:color w:val="auto"/>
          <w:szCs w:val="21"/>
          <w:highlight w:val="none"/>
        </w:rPr>
      </w:pPr>
    </w:p>
    <w:p w14:paraId="77C466E5">
      <w:pPr>
        <w:jc w:val="center"/>
        <w:rPr>
          <w:rFonts w:ascii="宋体" w:hAnsi="宋体"/>
          <w:color w:val="auto"/>
          <w:sz w:val="32"/>
          <w:szCs w:val="40"/>
          <w:highlight w:val="none"/>
        </w:rPr>
      </w:pPr>
      <w:r>
        <w:rPr>
          <w:rFonts w:hint="eastAsia" w:ascii="宋体" w:hAnsi="宋体"/>
          <w:color w:val="auto"/>
          <w:highlight w:val="none"/>
        </w:rPr>
        <w:br w:type="page"/>
      </w:r>
      <w:r>
        <w:rPr>
          <w:rFonts w:hint="eastAsia" w:ascii="宋体" w:hAnsi="宋体"/>
          <w:color w:val="auto"/>
          <w:spacing w:val="-3"/>
          <w:sz w:val="32"/>
          <w:szCs w:val="40"/>
          <w:highlight w:val="none"/>
        </w:rPr>
        <w:t>主</w:t>
      </w:r>
      <w:r>
        <w:rPr>
          <w:rFonts w:hint="eastAsia" w:ascii="宋体" w:hAnsi="宋体"/>
          <w:color w:val="auto"/>
          <w:sz w:val="32"/>
          <w:szCs w:val="40"/>
          <w:highlight w:val="none"/>
        </w:rPr>
        <w:t>要人</w:t>
      </w:r>
      <w:r>
        <w:rPr>
          <w:rFonts w:hint="eastAsia" w:ascii="宋体" w:hAnsi="宋体"/>
          <w:color w:val="auto"/>
          <w:spacing w:val="-3"/>
          <w:sz w:val="32"/>
          <w:szCs w:val="40"/>
          <w:highlight w:val="none"/>
        </w:rPr>
        <w:t>员简</w:t>
      </w:r>
      <w:r>
        <w:rPr>
          <w:rFonts w:hint="eastAsia" w:ascii="宋体" w:hAnsi="宋体"/>
          <w:color w:val="auto"/>
          <w:sz w:val="32"/>
          <w:szCs w:val="40"/>
          <w:highlight w:val="none"/>
        </w:rPr>
        <w:t>历表</w:t>
      </w:r>
    </w:p>
    <w:p w14:paraId="66F0F0EF">
      <w:pPr>
        <w:autoSpaceDE w:val="0"/>
        <w:autoSpaceDN w:val="0"/>
        <w:adjustRightInd w:val="0"/>
        <w:spacing w:before="9" w:line="190" w:lineRule="exact"/>
        <w:rPr>
          <w:rFonts w:ascii="宋体" w:hAnsi="宋体"/>
          <w:color w:val="auto"/>
          <w:sz w:val="20"/>
          <w:szCs w:val="20"/>
          <w:highlight w:val="none"/>
        </w:rPr>
      </w:pPr>
      <w:r>
        <w:rPr>
          <w:rFonts w:hint="eastAsia" w:ascii="宋体" w:hAnsi="宋体"/>
          <w:color w:val="auto"/>
          <w:sz w:val="19"/>
          <w:szCs w:val="19"/>
          <w:highlight w:val="none"/>
        </w:rPr>
        <w:t xml:space="preserve"> </w:t>
      </w:r>
      <w:r>
        <w:rPr>
          <w:rFonts w:hint="eastAsia" w:ascii="宋体" w:hAnsi="宋体"/>
          <w:color w:val="auto"/>
          <w:sz w:val="20"/>
          <w:szCs w:val="20"/>
          <w:highlight w:val="none"/>
        </w:rPr>
        <w:t xml:space="preserve"> </w:t>
      </w:r>
    </w:p>
    <w:tbl>
      <w:tblPr>
        <w:tblStyle w:val="23"/>
        <w:tblW w:w="8313" w:type="dxa"/>
        <w:jc w:val="center"/>
        <w:tblLayout w:type="fixed"/>
        <w:tblCellMar>
          <w:top w:w="0" w:type="dxa"/>
          <w:left w:w="0" w:type="dxa"/>
          <w:bottom w:w="0" w:type="dxa"/>
          <w:right w:w="0" w:type="dxa"/>
        </w:tblCellMar>
      </w:tblPr>
      <w:tblGrid>
        <w:gridCol w:w="1155"/>
        <w:gridCol w:w="349"/>
        <w:gridCol w:w="673"/>
        <w:gridCol w:w="933"/>
        <w:gridCol w:w="1041"/>
        <w:gridCol w:w="690"/>
        <w:gridCol w:w="1229"/>
        <w:gridCol w:w="391"/>
        <w:gridCol w:w="1852"/>
      </w:tblGrid>
      <w:tr w14:paraId="57003181">
        <w:tblPrEx>
          <w:tblCellMar>
            <w:top w:w="0" w:type="dxa"/>
            <w:left w:w="0" w:type="dxa"/>
            <w:bottom w:w="0" w:type="dxa"/>
            <w:right w:w="0" w:type="dxa"/>
          </w:tblCellMar>
        </w:tblPrEx>
        <w:trPr>
          <w:trHeight w:val="890" w:hRule="atLeast"/>
          <w:jc w:val="center"/>
        </w:trPr>
        <w:tc>
          <w:tcPr>
            <w:tcW w:w="1155" w:type="dxa"/>
            <w:tcBorders>
              <w:top w:val="single" w:color="000000" w:sz="4" w:space="0"/>
              <w:left w:val="single" w:color="000000" w:sz="4" w:space="0"/>
              <w:bottom w:val="single" w:color="000000" w:sz="4" w:space="0"/>
              <w:right w:val="single" w:color="000000" w:sz="4" w:space="0"/>
            </w:tcBorders>
          </w:tcPr>
          <w:p w14:paraId="5CE2EACE">
            <w:pPr>
              <w:autoSpaceDE w:val="0"/>
              <w:autoSpaceDN w:val="0"/>
              <w:adjustRightInd w:val="0"/>
              <w:spacing w:before="9" w:line="260" w:lineRule="exact"/>
              <w:rPr>
                <w:rFonts w:ascii="宋体" w:hAnsi="宋体" w:cs="Calibri"/>
                <w:color w:val="auto"/>
                <w:sz w:val="26"/>
                <w:szCs w:val="26"/>
                <w:highlight w:val="none"/>
              </w:rPr>
            </w:pPr>
          </w:p>
          <w:p w14:paraId="42BEFAD6">
            <w:pPr>
              <w:autoSpaceDE w:val="0"/>
              <w:autoSpaceDN w:val="0"/>
              <w:adjustRightInd w:val="0"/>
              <w:ind w:left="273" w:right="-20"/>
              <w:rPr>
                <w:rFonts w:ascii="宋体" w:hAnsi="宋体" w:cs="Calibri"/>
                <w:color w:val="auto"/>
                <w:sz w:val="24"/>
                <w:highlight w:val="none"/>
              </w:rPr>
            </w:pPr>
            <w:r>
              <w:rPr>
                <w:rFonts w:hint="eastAsia" w:ascii="宋体" w:hAnsi="宋体"/>
                <w:color w:val="auto"/>
                <w:highlight w:val="none"/>
              </w:rPr>
              <w:t>姓</w:t>
            </w:r>
            <w:r>
              <w:rPr>
                <w:rFonts w:hint="eastAsia" w:ascii="宋体" w:hAnsi="宋体"/>
                <w:color w:val="auto"/>
                <w:highlight w:val="none"/>
              </w:rPr>
              <w:tab/>
            </w:r>
            <w:r>
              <w:rPr>
                <w:rFonts w:hint="eastAsia" w:ascii="宋体" w:hAnsi="宋体"/>
                <w:color w:val="auto"/>
                <w:highlight w:val="none"/>
              </w:rPr>
              <w:t>名</w:t>
            </w:r>
          </w:p>
        </w:tc>
        <w:tc>
          <w:tcPr>
            <w:tcW w:w="1022" w:type="dxa"/>
            <w:gridSpan w:val="2"/>
            <w:tcBorders>
              <w:top w:val="single" w:color="000000" w:sz="4" w:space="0"/>
              <w:left w:val="nil"/>
              <w:bottom w:val="single" w:color="000000" w:sz="4" w:space="0"/>
              <w:right w:val="single" w:color="000000" w:sz="4" w:space="0"/>
            </w:tcBorders>
          </w:tcPr>
          <w:p w14:paraId="2C69C627">
            <w:pPr>
              <w:autoSpaceDE w:val="0"/>
              <w:autoSpaceDN w:val="0"/>
              <w:adjustRightInd w:val="0"/>
              <w:rPr>
                <w:rFonts w:ascii="宋体" w:hAnsi="宋体" w:cs="Calibri"/>
                <w:color w:val="auto"/>
                <w:sz w:val="24"/>
                <w:highlight w:val="none"/>
              </w:rPr>
            </w:pPr>
          </w:p>
        </w:tc>
        <w:tc>
          <w:tcPr>
            <w:tcW w:w="933" w:type="dxa"/>
            <w:tcBorders>
              <w:top w:val="single" w:color="000000" w:sz="4" w:space="0"/>
              <w:left w:val="nil"/>
              <w:bottom w:val="single" w:color="000000" w:sz="4" w:space="0"/>
              <w:right w:val="single" w:color="000000" w:sz="4" w:space="0"/>
            </w:tcBorders>
          </w:tcPr>
          <w:p w14:paraId="1E758DF8">
            <w:pPr>
              <w:autoSpaceDE w:val="0"/>
              <w:autoSpaceDN w:val="0"/>
              <w:adjustRightInd w:val="0"/>
              <w:spacing w:before="9" w:line="260" w:lineRule="exact"/>
              <w:rPr>
                <w:rFonts w:ascii="宋体" w:hAnsi="宋体" w:cs="Calibri"/>
                <w:color w:val="auto"/>
                <w:sz w:val="26"/>
                <w:szCs w:val="26"/>
                <w:highlight w:val="none"/>
              </w:rPr>
            </w:pPr>
          </w:p>
          <w:p w14:paraId="1C664D97">
            <w:pPr>
              <w:autoSpaceDE w:val="0"/>
              <w:autoSpaceDN w:val="0"/>
              <w:adjustRightInd w:val="0"/>
              <w:ind w:left="263" w:right="-20"/>
              <w:rPr>
                <w:rFonts w:ascii="宋体" w:hAnsi="宋体" w:cs="Calibri"/>
                <w:color w:val="auto"/>
                <w:sz w:val="24"/>
                <w:highlight w:val="none"/>
              </w:rPr>
            </w:pPr>
            <w:r>
              <w:rPr>
                <w:rFonts w:hint="eastAsia" w:ascii="宋体" w:hAnsi="宋体"/>
                <w:color w:val="auto"/>
                <w:highlight w:val="none"/>
              </w:rPr>
              <w:t>年龄</w:t>
            </w:r>
          </w:p>
        </w:tc>
        <w:tc>
          <w:tcPr>
            <w:tcW w:w="1041" w:type="dxa"/>
            <w:tcBorders>
              <w:top w:val="single" w:color="000000" w:sz="4" w:space="0"/>
              <w:left w:val="nil"/>
              <w:bottom w:val="single" w:color="000000" w:sz="4" w:space="0"/>
              <w:right w:val="single" w:color="000000" w:sz="4" w:space="0"/>
            </w:tcBorders>
          </w:tcPr>
          <w:p w14:paraId="62644A8A">
            <w:pPr>
              <w:autoSpaceDE w:val="0"/>
              <w:autoSpaceDN w:val="0"/>
              <w:adjustRightInd w:val="0"/>
              <w:rPr>
                <w:rFonts w:ascii="宋体" w:hAnsi="宋体" w:cs="Calibri"/>
                <w:color w:val="auto"/>
                <w:sz w:val="24"/>
                <w:highlight w:val="none"/>
              </w:rPr>
            </w:pPr>
          </w:p>
        </w:tc>
        <w:tc>
          <w:tcPr>
            <w:tcW w:w="2310" w:type="dxa"/>
            <w:gridSpan w:val="3"/>
            <w:tcBorders>
              <w:top w:val="single" w:color="000000" w:sz="4" w:space="0"/>
              <w:left w:val="nil"/>
              <w:bottom w:val="single" w:color="000000" w:sz="4" w:space="0"/>
              <w:right w:val="single" w:color="000000" w:sz="4" w:space="0"/>
            </w:tcBorders>
          </w:tcPr>
          <w:p w14:paraId="28597881">
            <w:pPr>
              <w:autoSpaceDE w:val="0"/>
              <w:autoSpaceDN w:val="0"/>
              <w:adjustRightInd w:val="0"/>
              <w:spacing w:before="2" w:line="440" w:lineRule="exact"/>
              <w:ind w:left="652" w:right="50" w:hanging="523"/>
              <w:rPr>
                <w:rFonts w:ascii="宋体" w:hAnsi="宋体" w:cs="Calibri"/>
                <w:color w:val="auto"/>
                <w:sz w:val="24"/>
                <w:highlight w:val="none"/>
              </w:rPr>
            </w:pPr>
            <w:r>
              <w:rPr>
                <w:rFonts w:hint="eastAsia" w:ascii="宋体" w:hAnsi="宋体"/>
                <w:color w:val="auto"/>
                <w:highlight w:val="none"/>
              </w:rPr>
              <w:t>执业</w:t>
            </w:r>
            <w:r>
              <w:rPr>
                <w:rFonts w:hint="eastAsia" w:ascii="宋体" w:hAnsi="宋体"/>
                <w:color w:val="auto"/>
                <w:spacing w:val="-2"/>
                <w:highlight w:val="none"/>
              </w:rPr>
              <w:t>资</w:t>
            </w:r>
            <w:r>
              <w:rPr>
                <w:rFonts w:hint="eastAsia" w:ascii="宋体" w:hAnsi="宋体"/>
                <w:color w:val="auto"/>
                <w:highlight w:val="none"/>
              </w:rPr>
              <w:t>格</w:t>
            </w:r>
            <w:r>
              <w:rPr>
                <w:rFonts w:hint="eastAsia" w:ascii="宋体" w:hAnsi="宋体"/>
                <w:color w:val="auto"/>
                <w:spacing w:val="-2"/>
                <w:highlight w:val="none"/>
              </w:rPr>
              <w:t>证</w:t>
            </w:r>
            <w:r>
              <w:rPr>
                <w:rFonts w:hint="eastAsia" w:ascii="宋体" w:hAnsi="宋体"/>
                <w:color w:val="auto"/>
                <w:highlight w:val="none"/>
              </w:rPr>
              <w:t>书</w:t>
            </w:r>
            <w:r>
              <w:rPr>
                <w:rFonts w:hint="eastAsia" w:ascii="宋体" w:hAnsi="宋体"/>
                <w:color w:val="auto"/>
                <w:spacing w:val="-2"/>
                <w:highlight w:val="none"/>
              </w:rPr>
              <w:t>（</w:t>
            </w:r>
            <w:r>
              <w:rPr>
                <w:rFonts w:hint="eastAsia" w:ascii="宋体" w:hAnsi="宋体"/>
                <w:color w:val="auto"/>
                <w:highlight w:val="none"/>
              </w:rPr>
              <w:t>或</w:t>
            </w:r>
            <w:r>
              <w:rPr>
                <w:rFonts w:hint="eastAsia" w:ascii="宋体" w:hAnsi="宋体"/>
                <w:color w:val="auto"/>
                <w:spacing w:val="-2"/>
                <w:highlight w:val="none"/>
              </w:rPr>
              <w:t>上</w:t>
            </w:r>
            <w:r>
              <w:rPr>
                <w:rFonts w:hint="eastAsia" w:ascii="宋体" w:hAnsi="宋体"/>
                <w:color w:val="auto"/>
                <w:highlight w:val="none"/>
              </w:rPr>
              <w:t>岗证书</w:t>
            </w:r>
            <w:r>
              <w:rPr>
                <w:rFonts w:hint="eastAsia" w:ascii="宋体" w:hAnsi="宋体"/>
                <w:color w:val="auto"/>
                <w:spacing w:val="-2"/>
                <w:highlight w:val="none"/>
              </w:rPr>
              <w:t>）</w:t>
            </w:r>
            <w:r>
              <w:rPr>
                <w:rFonts w:hint="eastAsia" w:ascii="宋体" w:hAnsi="宋体"/>
                <w:color w:val="auto"/>
                <w:highlight w:val="none"/>
              </w:rPr>
              <w:t>名称</w:t>
            </w:r>
          </w:p>
        </w:tc>
        <w:tc>
          <w:tcPr>
            <w:tcW w:w="1852" w:type="dxa"/>
            <w:tcBorders>
              <w:top w:val="single" w:color="000000" w:sz="4" w:space="0"/>
              <w:left w:val="nil"/>
              <w:bottom w:val="single" w:color="000000" w:sz="4" w:space="0"/>
              <w:right w:val="single" w:color="000000" w:sz="4" w:space="0"/>
            </w:tcBorders>
          </w:tcPr>
          <w:p w14:paraId="5A84E8D7">
            <w:pPr>
              <w:autoSpaceDE w:val="0"/>
              <w:autoSpaceDN w:val="0"/>
              <w:adjustRightInd w:val="0"/>
              <w:rPr>
                <w:rFonts w:ascii="宋体" w:hAnsi="宋体" w:cs="Calibri"/>
                <w:color w:val="auto"/>
                <w:sz w:val="24"/>
                <w:highlight w:val="none"/>
              </w:rPr>
            </w:pPr>
          </w:p>
        </w:tc>
      </w:tr>
      <w:tr w14:paraId="240F1A63">
        <w:tblPrEx>
          <w:tblCellMar>
            <w:top w:w="0" w:type="dxa"/>
            <w:left w:w="0" w:type="dxa"/>
            <w:bottom w:w="0" w:type="dxa"/>
            <w:right w:w="0" w:type="dxa"/>
          </w:tblCellMar>
        </w:tblPrEx>
        <w:trPr>
          <w:trHeight w:val="698" w:hRule="atLeast"/>
          <w:jc w:val="center"/>
        </w:trPr>
        <w:tc>
          <w:tcPr>
            <w:tcW w:w="1155" w:type="dxa"/>
            <w:tcBorders>
              <w:top w:val="single" w:color="000000" w:sz="4" w:space="0"/>
              <w:left w:val="single" w:color="000000" w:sz="4" w:space="0"/>
              <w:bottom w:val="single" w:color="000000" w:sz="4" w:space="0"/>
              <w:right w:val="single" w:color="000000" w:sz="4" w:space="0"/>
            </w:tcBorders>
          </w:tcPr>
          <w:p w14:paraId="217CF3BC">
            <w:pPr>
              <w:autoSpaceDE w:val="0"/>
              <w:autoSpaceDN w:val="0"/>
              <w:adjustRightInd w:val="0"/>
              <w:spacing w:before="3" w:line="170" w:lineRule="exact"/>
              <w:rPr>
                <w:rFonts w:ascii="宋体" w:hAnsi="宋体" w:cs="Calibri"/>
                <w:color w:val="auto"/>
                <w:sz w:val="17"/>
                <w:szCs w:val="17"/>
                <w:highlight w:val="none"/>
              </w:rPr>
            </w:pPr>
          </w:p>
          <w:p w14:paraId="76CBD91C">
            <w:pPr>
              <w:autoSpaceDE w:val="0"/>
              <w:autoSpaceDN w:val="0"/>
              <w:adjustRightInd w:val="0"/>
              <w:ind w:left="273" w:right="-20"/>
              <w:rPr>
                <w:rFonts w:ascii="宋体" w:hAnsi="宋体" w:cs="Calibri"/>
                <w:color w:val="auto"/>
                <w:sz w:val="24"/>
                <w:highlight w:val="none"/>
              </w:rPr>
            </w:pPr>
            <w:r>
              <w:rPr>
                <w:rFonts w:hint="eastAsia" w:ascii="宋体" w:hAnsi="宋体"/>
                <w:color w:val="auto"/>
                <w:highlight w:val="none"/>
              </w:rPr>
              <w:t>职</w:t>
            </w:r>
            <w:r>
              <w:rPr>
                <w:rFonts w:hint="eastAsia" w:ascii="宋体" w:hAnsi="宋体"/>
                <w:color w:val="auto"/>
                <w:highlight w:val="none"/>
              </w:rPr>
              <w:tab/>
            </w:r>
            <w:r>
              <w:rPr>
                <w:rFonts w:hint="eastAsia" w:ascii="宋体" w:hAnsi="宋体"/>
                <w:color w:val="auto"/>
                <w:highlight w:val="none"/>
              </w:rPr>
              <w:t>称</w:t>
            </w:r>
          </w:p>
        </w:tc>
        <w:tc>
          <w:tcPr>
            <w:tcW w:w="1022" w:type="dxa"/>
            <w:gridSpan w:val="2"/>
            <w:tcBorders>
              <w:top w:val="single" w:color="000000" w:sz="4" w:space="0"/>
              <w:left w:val="nil"/>
              <w:bottom w:val="single" w:color="000000" w:sz="4" w:space="0"/>
              <w:right w:val="single" w:color="000000" w:sz="4" w:space="0"/>
            </w:tcBorders>
          </w:tcPr>
          <w:p w14:paraId="5993EE3F">
            <w:pPr>
              <w:autoSpaceDE w:val="0"/>
              <w:autoSpaceDN w:val="0"/>
              <w:adjustRightInd w:val="0"/>
              <w:rPr>
                <w:rFonts w:ascii="宋体" w:hAnsi="宋体" w:cs="Calibri"/>
                <w:color w:val="auto"/>
                <w:sz w:val="24"/>
                <w:highlight w:val="none"/>
              </w:rPr>
            </w:pPr>
          </w:p>
        </w:tc>
        <w:tc>
          <w:tcPr>
            <w:tcW w:w="933" w:type="dxa"/>
            <w:tcBorders>
              <w:top w:val="single" w:color="000000" w:sz="4" w:space="0"/>
              <w:left w:val="nil"/>
              <w:bottom w:val="single" w:color="000000" w:sz="4" w:space="0"/>
              <w:right w:val="single" w:color="000000" w:sz="4" w:space="0"/>
            </w:tcBorders>
          </w:tcPr>
          <w:p w14:paraId="4254152D">
            <w:pPr>
              <w:autoSpaceDE w:val="0"/>
              <w:autoSpaceDN w:val="0"/>
              <w:adjustRightInd w:val="0"/>
              <w:spacing w:before="3" w:line="170" w:lineRule="exact"/>
              <w:rPr>
                <w:rFonts w:ascii="宋体" w:hAnsi="宋体" w:cs="Calibri"/>
                <w:color w:val="auto"/>
                <w:sz w:val="17"/>
                <w:szCs w:val="17"/>
                <w:highlight w:val="none"/>
              </w:rPr>
            </w:pPr>
          </w:p>
          <w:p w14:paraId="351A2323">
            <w:pPr>
              <w:autoSpaceDE w:val="0"/>
              <w:autoSpaceDN w:val="0"/>
              <w:adjustRightInd w:val="0"/>
              <w:ind w:left="263" w:right="-20"/>
              <w:rPr>
                <w:rFonts w:ascii="宋体" w:hAnsi="宋体" w:cs="Calibri"/>
                <w:color w:val="auto"/>
                <w:sz w:val="24"/>
                <w:highlight w:val="none"/>
              </w:rPr>
            </w:pPr>
            <w:r>
              <w:rPr>
                <w:rFonts w:hint="eastAsia" w:ascii="宋体" w:hAnsi="宋体"/>
                <w:color w:val="auto"/>
                <w:highlight w:val="none"/>
              </w:rPr>
              <w:t>学历</w:t>
            </w:r>
          </w:p>
        </w:tc>
        <w:tc>
          <w:tcPr>
            <w:tcW w:w="1041" w:type="dxa"/>
            <w:tcBorders>
              <w:top w:val="single" w:color="000000" w:sz="4" w:space="0"/>
              <w:left w:val="nil"/>
              <w:bottom w:val="single" w:color="000000" w:sz="4" w:space="0"/>
              <w:right w:val="single" w:color="000000" w:sz="4" w:space="0"/>
            </w:tcBorders>
          </w:tcPr>
          <w:p w14:paraId="3C9431AF">
            <w:pPr>
              <w:autoSpaceDE w:val="0"/>
              <w:autoSpaceDN w:val="0"/>
              <w:adjustRightInd w:val="0"/>
              <w:rPr>
                <w:rFonts w:ascii="宋体" w:hAnsi="宋体" w:cs="Calibri"/>
                <w:color w:val="auto"/>
                <w:sz w:val="24"/>
                <w:highlight w:val="none"/>
              </w:rPr>
            </w:pPr>
          </w:p>
        </w:tc>
        <w:tc>
          <w:tcPr>
            <w:tcW w:w="2310" w:type="dxa"/>
            <w:gridSpan w:val="3"/>
            <w:tcBorders>
              <w:top w:val="single" w:color="000000" w:sz="4" w:space="0"/>
              <w:left w:val="nil"/>
              <w:bottom w:val="single" w:color="000000" w:sz="4" w:space="0"/>
              <w:right w:val="single" w:color="000000" w:sz="4" w:space="0"/>
            </w:tcBorders>
          </w:tcPr>
          <w:p w14:paraId="2476B7B6">
            <w:pPr>
              <w:autoSpaceDE w:val="0"/>
              <w:autoSpaceDN w:val="0"/>
              <w:adjustRightInd w:val="0"/>
              <w:spacing w:before="3" w:line="170" w:lineRule="exact"/>
              <w:rPr>
                <w:rFonts w:ascii="宋体" w:hAnsi="宋体" w:cs="Calibri"/>
                <w:color w:val="auto"/>
                <w:sz w:val="17"/>
                <w:szCs w:val="17"/>
                <w:highlight w:val="none"/>
              </w:rPr>
            </w:pPr>
          </w:p>
          <w:p w14:paraId="07200733">
            <w:pPr>
              <w:autoSpaceDE w:val="0"/>
              <w:autoSpaceDN w:val="0"/>
              <w:adjustRightInd w:val="0"/>
              <w:ind w:left="443" w:right="-20"/>
              <w:rPr>
                <w:rFonts w:ascii="宋体" w:hAnsi="宋体" w:cs="Calibri"/>
                <w:color w:val="auto"/>
                <w:sz w:val="24"/>
                <w:highlight w:val="none"/>
              </w:rPr>
            </w:pPr>
            <w:r>
              <w:rPr>
                <w:rFonts w:hint="eastAsia" w:ascii="宋体" w:hAnsi="宋体"/>
                <w:color w:val="auto"/>
                <w:highlight w:val="none"/>
              </w:rPr>
              <w:t>拟在</w:t>
            </w:r>
            <w:r>
              <w:rPr>
                <w:rFonts w:hint="eastAsia" w:ascii="宋体" w:hAnsi="宋体"/>
                <w:color w:val="auto"/>
                <w:spacing w:val="-2"/>
                <w:highlight w:val="none"/>
              </w:rPr>
              <w:t>本</w:t>
            </w:r>
            <w:r>
              <w:rPr>
                <w:rFonts w:hint="eastAsia" w:ascii="宋体" w:hAnsi="宋体"/>
                <w:color w:val="auto"/>
                <w:highlight w:val="none"/>
              </w:rPr>
              <w:t>项</w:t>
            </w:r>
            <w:r>
              <w:rPr>
                <w:rFonts w:hint="eastAsia" w:ascii="宋体" w:hAnsi="宋体"/>
                <w:color w:val="auto"/>
                <w:spacing w:val="-2"/>
                <w:highlight w:val="none"/>
              </w:rPr>
              <w:t>目</w:t>
            </w:r>
            <w:r>
              <w:rPr>
                <w:rFonts w:hint="eastAsia" w:ascii="宋体" w:hAnsi="宋体"/>
                <w:color w:val="auto"/>
                <w:highlight w:val="none"/>
              </w:rPr>
              <w:t>任职</w:t>
            </w:r>
          </w:p>
        </w:tc>
        <w:tc>
          <w:tcPr>
            <w:tcW w:w="1852" w:type="dxa"/>
            <w:tcBorders>
              <w:top w:val="single" w:color="000000" w:sz="4" w:space="0"/>
              <w:left w:val="nil"/>
              <w:bottom w:val="single" w:color="000000" w:sz="4" w:space="0"/>
              <w:right w:val="single" w:color="000000" w:sz="4" w:space="0"/>
            </w:tcBorders>
          </w:tcPr>
          <w:p w14:paraId="34A4C317">
            <w:pPr>
              <w:autoSpaceDE w:val="0"/>
              <w:autoSpaceDN w:val="0"/>
              <w:adjustRightInd w:val="0"/>
              <w:rPr>
                <w:rFonts w:ascii="宋体" w:hAnsi="宋体" w:cs="Calibri"/>
                <w:color w:val="auto"/>
                <w:sz w:val="24"/>
                <w:highlight w:val="none"/>
              </w:rPr>
            </w:pPr>
          </w:p>
        </w:tc>
      </w:tr>
      <w:tr w14:paraId="0F701E85">
        <w:tblPrEx>
          <w:tblCellMar>
            <w:top w:w="0" w:type="dxa"/>
            <w:left w:w="0" w:type="dxa"/>
            <w:bottom w:w="0" w:type="dxa"/>
            <w:right w:w="0" w:type="dxa"/>
          </w:tblCellMar>
        </w:tblPrEx>
        <w:trPr>
          <w:trHeight w:val="701" w:hRule="atLeast"/>
          <w:jc w:val="center"/>
        </w:trPr>
        <w:tc>
          <w:tcPr>
            <w:tcW w:w="1155" w:type="dxa"/>
            <w:tcBorders>
              <w:top w:val="single" w:color="000000" w:sz="4" w:space="0"/>
              <w:left w:val="single" w:color="000000" w:sz="4" w:space="0"/>
              <w:bottom w:val="single" w:color="000000" w:sz="4" w:space="0"/>
              <w:right w:val="single" w:color="000000" w:sz="4" w:space="0"/>
            </w:tcBorders>
          </w:tcPr>
          <w:p w14:paraId="5017BB5F">
            <w:pPr>
              <w:autoSpaceDE w:val="0"/>
              <w:autoSpaceDN w:val="0"/>
              <w:adjustRightInd w:val="0"/>
              <w:spacing w:before="6" w:line="170" w:lineRule="exact"/>
              <w:rPr>
                <w:rFonts w:ascii="宋体" w:hAnsi="宋体" w:cs="Calibri"/>
                <w:color w:val="auto"/>
                <w:sz w:val="17"/>
                <w:szCs w:val="17"/>
                <w:highlight w:val="none"/>
              </w:rPr>
            </w:pPr>
          </w:p>
          <w:p w14:paraId="70A249CD">
            <w:pPr>
              <w:autoSpaceDE w:val="0"/>
              <w:autoSpaceDN w:val="0"/>
              <w:adjustRightInd w:val="0"/>
              <w:ind w:left="167" w:right="-20"/>
              <w:rPr>
                <w:rFonts w:ascii="宋体" w:hAnsi="宋体" w:cs="Calibri"/>
                <w:color w:val="auto"/>
                <w:sz w:val="24"/>
                <w:highlight w:val="none"/>
              </w:rPr>
            </w:pPr>
            <w:r>
              <w:rPr>
                <w:rFonts w:hint="eastAsia" w:ascii="宋体" w:hAnsi="宋体"/>
                <w:color w:val="auto"/>
                <w:highlight w:val="none"/>
              </w:rPr>
              <w:t>工作</w:t>
            </w:r>
            <w:r>
              <w:rPr>
                <w:rFonts w:hint="eastAsia" w:ascii="宋体" w:hAnsi="宋体"/>
                <w:color w:val="auto"/>
                <w:spacing w:val="-2"/>
                <w:highlight w:val="none"/>
              </w:rPr>
              <w:t>年</w:t>
            </w:r>
            <w:r>
              <w:rPr>
                <w:rFonts w:hint="eastAsia" w:ascii="宋体" w:hAnsi="宋体"/>
                <w:color w:val="auto"/>
                <w:highlight w:val="none"/>
              </w:rPr>
              <w:t>限</w:t>
            </w:r>
          </w:p>
        </w:tc>
        <w:tc>
          <w:tcPr>
            <w:tcW w:w="2996" w:type="dxa"/>
            <w:gridSpan w:val="4"/>
            <w:tcBorders>
              <w:top w:val="single" w:color="000000" w:sz="4" w:space="0"/>
              <w:left w:val="nil"/>
              <w:bottom w:val="single" w:color="000000" w:sz="4" w:space="0"/>
              <w:right w:val="single" w:color="000000" w:sz="4" w:space="0"/>
            </w:tcBorders>
          </w:tcPr>
          <w:p w14:paraId="64F429FB">
            <w:pPr>
              <w:autoSpaceDE w:val="0"/>
              <w:autoSpaceDN w:val="0"/>
              <w:adjustRightInd w:val="0"/>
              <w:rPr>
                <w:rFonts w:ascii="宋体" w:hAnsi="宋体" w:cs="Calibri"/>
                <w:color w:val="auto"/>
                <w:sz w:val="24"/>
                <w:highlight w:val="none"/>
              </w:rPr>
            </w:pPr>
          </w:p>
        </w:tc>
        <w:tc>
          <w:tcPr>
            <w:tcW w:w="2310" w:type="dxa"/>
            <w:gridSpan w:val="3"/>
            <w:tcBorders>
              <w:top w:val="single" w:color="000000" w:sz="4" w:space="0"/>
              <w:left w:val="nil"/>
              <w:bottom w:val="single" w:color="000000" w:sz="4" w:space="0"/>
              <w:right w:val="single" w:color="000000" w:sz="4" w:space="0"/>
            </w:tcBorders>
          </w:tcPr>
          <w:p w14:paraId="434CAD92">
            <w:pPr>
              <w:autoSpaceDE w:val="0"/>
              <w:autoSpaceDN w:val="0"/>
              <w:adjustRightInd w:val="0"/>
              <w:spacing w:before="6" w:line="170" w:lineRule="exact"/>
              <w:rPr>
                <w:rFonts w:ascii="宋体" w:hAnsi="宋体" w:cs="Calibri"/>
                <w:color w:val="auto"/>
                <w:sz w:val="17"/>
                <w:szCs w:val="17"/>
                <w:highlight w:val="none"/>
              </w:rPr>
            </w:pPr>
          </w:p>
          <w:p w14:paraId="7AE296C2">
            <w:pPr>
              <w:autoSpaceDE w:val="0"/>
              <w:autoSpaceDN w:val="0"/>
              <w:adjustRightInd w:val="0"/>
              <w:ind w:left="337" w:right="-20"/>
              <w:rPr>
                <w:rFonts w:ascii="宋体" w:hAnsi="宋体" w:cs="Calibri"/>
                <w:color w:val="auto"/>
                <w:sz w:val="24"/>
                <w:highlight w:val="none"/>
              </w:rPr>
            </w:pPr>
            <w:r>
              <w:rPr>
                <w:rFonts w:hint="eastAsia" w:ascii="宋体" w:hAnsi="宋体"/>
                <w:color w:val="auto"/>
                <w:highlight w:val="none"/>
              </w:rPr>
              <w:t>从事</w:t>
            </w:r>
            <w:r>
              <w:rPr>
                <w:rFonts w:hint="eastAsia" w:ascii="宋体" w:hAnsi="宋体"/>
                <w:color w:val="auto"/>
                <w:spacing w:val="-2"/>
                <w:highlight w:val="none"/>
              </w:rPr>
              <w:t>设计工</w:t>
            </w:r>
            <w:r>
              <w:rPr>
                <w:rFonts w:hint="eastAsia" w:ascii="宋体" w:hAnsi="宋体"/>
                <w:color w:val="auto"/>
                <w:highlight w:val="none"/>
              </w:rPr>
              <w:t>作</w:t>
            </w:r>
            <w:r>
              <w:rPr>
                <w:rFonts w:hint="eastAsia" w:ascii="宋体" w:hAnsi="宋体"/>
                <w:color w:val="auto"/>
                <w:spacing w:val="-2"/>
                <w:highlight w:val="none"/>
              </w:rPr>
              <w:t>年</w:t>
            </w:r>
            <w:r>
              <w:rPr>
                <w:rFonts w:hint="eastAsia" w:ascii="宋体" w:hAnsi="宋体"/>
                <w:color w:val="auto"/>
                <w:highlight w:val="none"/>
              </w:rPr>
              <w:t>限</w:t>
            </w:r>
          </w:p>
        </w:tc>
        <w:tc>
          <w:tcPr>
            <w:tcW w:w="1852" w:type="dxa"/>
            <w:tcBorders>
              <w:top w:val="single" w:color="000000" w:sz="4" w:space="0"/>
              <w:left w:val="nil"/>
              <w:bottom w:val="single" w:color="000000" w:sz="4" w:space="0"/>
              <w:right w:val="single" w:color="000000" w:sz="4" w:space="0"/>
            </w:tcBorders>
          </w:tcPr>
          <w:p w14:paraId="6EF6F991">
            <w:pPr>
              <w:autoSpaceDE w:val="0"/>
              <w:autoSpaceDN w:val="0"/>
              <w:adjustRightInd w:val="0"/>
              <w:rPr>
                <w:rFonts w:ascii="宋体" w:hAnsi="宋体" w:cs="Calibri"/>
                <w:color w:val="auto"/>
                <w:sz w:val="24"/>
                <w:highlight w:val="none"/>
              </w:rPr>
            </w:pPr>
          </w:p>
        </w:tc>
      </w:tr>
      <w:tr w14:paraId="49069903">
        <w:tblPrEx>
          <w:tblCellMar>
            <w:top w:w="0" w:type="dxa"/>
            <w:left w:w="0" w:type="dxa"/>
            <w:bottom w:w="0" w:type="dxa"/>
            <w:right w:w="0" w:type="dxa"/>
          </w:tblCellMar>
        </w:tblPrEx>
        <w:trPr>
          <w:trHeight w:val="710" w:hRule="atLeast"/>
          <w:jc w:val="center"/>
        </w:trPr>
        <w:tc>
          <w:tcPr>
            <w:tcW w:w="1155" w:type="dxa"/>
            <w:tcBorders>
              <w:top w:val="single" w:color="000000" w:sz="4" w:space="0"/>
              <w:left w:val="single" w:color="000000" w:sz="4" w:space="0"/>
              <w:bottom w:val="single" w:color="000000" w:sz="4" w:space="0"/>
              <w:right w:val="single" w:color="000000" w:sz="4" w:space="0"/>
            </w:tcBorders>
          </w:tcPr>
          <w:p w14:paraId="6FB5E7E4">
            <w:pPr>
              <w:autoSpaceDE w:val="0"/>
              <w:autoSpaceDN w:val="0"/>
              <w:adjustRightInd w:val="0"/>
              <w:spacing w:before="8" w:line="170" w:lineRule="exact"/>
              <w:rPr>
                <w:rFonts w:ascii="宋体" w:hAnsi="宋体" w:cs="Calibri"/>
                <w:color w:val="auto"/>
                <w:sz w:val="17"/>
                <w:szCs w:val="17"/>
                <w:highlight w:val="none"/>
              </w:rPr>
            </w:pPr>
          </w:p>
          <w:p w14:paraId="3603E4E4">
            <w:pPr>
              <w:autoSpaceDE w:val="0"/>
              <w:autoSpaceDN w:val="0"/>
              <w:adjustRightInd w:val="0"/>
              <w:ind w:left="167" w:right="-20"/>
              <w:rPr>
                <w:rFonts w:ascii="宋体" w:hAnsi="宋体" w:cs="Calibri"/>
                <w:color w:val="auto"/>
                <w:sz w:val="24"/>
                <w:highlight w:val="none"/>
              </w:rPr>
            </w:pPr>
            <w:r>
              <w:rPr>
                <w:rFonts w:hint="eastAsia" w:ascii="宋体" w:hAnsi="宋体"/>
                <w:color w:val="auto"/>
                <w:highlight w:val="none"/>
              </w:rPr>
              <w:t>毕业</w:t>
            </w:r>
            <w:r>
              <w:rPr>
                <w:rFonts w:hint="eastAsia" w:ascii="宋体" w:hAnsi="宋体"/>
                <w:color w:val="auto"/>
                <w:spacing w:val="-2"/>
                <w:highlight w:val="none"/>
              </w:rPr>
              <w:t>学</w:t>
            </w:r>
            <w:r>
              <w:rPr>
                <w:rFonts w:hint="eastAsia" w:ascii="宋体" w:hAnsi="宋体"/>
                <w:color w:val="auto"/>
                <w:highlight w:val="none"/>
              </w:rPr>
              <w:t>校</w:t>
            </w:r>
          </w:p>
        </w:tc>
        <w:tc>
          <w:tcPr>
            <w:tcW w:w="7158" w:type="dxa"/>
            <w:gridSpan w:val="8"/>
            <w:tcBorders>
              <w:top w:val="single" w:color="000000" w:sz="4" w:space="0"/>
              <w:left w:val="nil"/>
              <w:bottom w:val="single" w:color="000000" w:sz="4" w:space="0"/>
              <w:right w:val="single" w:color="000000" w:sz="4" w:space="0"/>
            </w:tcBorders>
          </w:tcPr>
          <w:p w14:paraId="1FA4249C">
            <w:pPr>
              <w:autoSpaceDE w:val="0"/>
              <w:autoSpaceDN w:val="0"/>
              <w:adjustRightInd w:val="0"/>
              <w:spacing w:before="8" w:line="170" w:lineRule="exact"/>
              <w:rPr>
                <w:rFonts w:ascii="宋体" w:hAnsi="宋体" w:cs="Calibri"/>
                <w:color w:val="auto"/>
                <w:sz w:val="17"/>
                <w:szCs w:val="17"/>
                <w:highlight w:val="none"/>
              </w:rPr>
            </w:pPr>
          </w:p>
          <w:p w14:paraId="0A7169F6">
            <w:pPr>
              <w:autoSpaceDE w:val="0"/>
              <w:autoSpaceDN w:val="0"/>
              <w:adjustRightInd w:val="0"/>
              <w:ind w:left="1257" w:right="-20"/>
              <w:rPr>
                <w:rFonts w:ascii="宋体" w:hAnsi="宋体" w:cs="Calibri"/>
                <w:color w:val="auto"/>
                <w:sz w:val="24"/>
                <w:highlight w:val="none"/>
              </w:rPr>
            </w:pPr>
            <w:r>
              <w:rPr>
                <w:rFonts w:hint="eastAsia" w:ascii="宋体" w:hAnsi="宋体"/>
                <w:color w:val="auto"/>
                <w:highlight w:val="none"/>
              </w:rPr>
              <w:t>年毕</w:t>
            </w:r>
            <w:r>
              <w:rPr>
                <w:rFonts w:hint="eastAsia" w:ascii="宋体" w:hAnsi="宋体"/>
                <w:color w:val="auto"/>
                <w:spacing w:val="-2"/>
                <w:highlight w:val="none"/>
              </w:rPr>
              <w:t>业</w:t>
            </w:r>
            <w:r>
              <w:rPr>
                <w:rFonts w:hint="eastAsia" w:ascii="宋体" w:hAnsi="宋体"/>
                <w:color w:val="auto"/>
                <w:highlight w:val="none"/>
              </w:rPr>
              <w:t>于</w:t>
            </w:r>
            <w:r>
              <w:rPr>
                <w:rFonts w:hint="eastAsia" w:ascii="宋体" w:hAnsi="宋体"/>
                <w:color w:val="auto"/>
                <w:highlight w:val="none"/>
              </w:rPr>
              <w:tab/>
            </w:r>
            <w:r>
              <w:rPr>
                <w:rFonts w:hint="eastAsia" w:ascii="宋体" w:hAnsi="宋体"/>
                <w:color w:val="auto"/>
                <w:spacing w:val="-2"/>
                <w:highlight w:val="none"/>
              </w:rPr>
              <w:t>学</w:t>
            </w:r>
            <w:r>
              <w:rPr>
                <w:rFonts w:hint="eastAsia" w:ascii="宋体" w:hAnsi="宋体"/>
                <w:color w:val="auto"/>
                <w:highlight w:val="none"/>
              </w:rPr>
              <w:t>校</w:t>
            </w:r>
            <w:r>
              <w:rPr>
                <w:rFonts w:hint="eastAsia" w:ascii="宋体" w:hAnsi="宋体"/>
                <w:color w:val="auto"/>
                <w:highlight w:val="none"/>
              </w:rPr>
              <w:tab/>
            </w:r>
            <w:r>
              <w:rPr>
                <w:rFonts w:hint="eastAsia" w:ascii="宋体" w:hAnsi="宋体"/>
                <w:color w:val="auto"/>
                <w:highlight w:val="none"/>
              </w:rPr>
              <w:t>专业</w:t>
            </w:r>
          </w:p>
        </w:tc>
      </w:tr>
      <w:tr w14:paraId="59B6A816">
        <w:tblPrEx>
          <w:tblCellMar>
            <w:top w:w="0" w:type="dxa"/>
            <w:left w:w="0" w:type="dxa"/>
            <w:bottom w:w="0" w:type="dxa"/>
            <w:right w:w="0" w:type="dxa"/>
          </w:tblCellMar>
        </w:tblPrEx>
        <w:trPr>
          <w:trHeight w:val="694" w:hRule="atLeast"/>
          <w:jc w:val="center"/>
        </w:trPr>
        <w:tc>
          <w:tcPr>
            <w:tcW w:w="8313" w:type="dxa"/>
            <w:gridSpan w:val="9"/>
            <w:tcBorders>
              <w:top w:val="single" w:color="000000" w:sz="4" w:space="0"/>
              <w:left w:val="single" w:color="000000" w:sz="4" w:space="0"/>
              <w:bottom w:val="single" w:color="000000" w:sz="4" w:space="0"/>
              <w:right w:val="single" w:color="000000" w:sz="4" w:space="0"/>
            </w:tcBorders>
          </w:tcPr>
          <w:p w14:paraId="14FEBF3D">
            <w:pPr>
              <w:autoSpaceDE w:val="0"/>
              <w:autoSpaceDN w:val="0"/>
              <w:adjustRightInd w:val="0"/>
              <w:spacing w:before="1" w:line="170" w:lineRule="exact"/>
              <w:rPr>
                <w:rFonts w:ascii="宋体" w:hAnsi="宋体" w:cs="Calibri"/>
                <w:color w:val="auto"/>
                <w:sz w:val="17"/>
                <w:szCs w:val="17"/>
                <w:highlight w:val="none"/>
              </w:rPr>
            </w:pPr>
          </w:p>
          <w:p w14:paraId="1DC71890">
            <w:pPr>
              <w:autoSpaceDE w:val="0"/>
              <w:autoSpaceDN w:val="0"/>
              <w:adjustRightInd w:val="0"/>
              <w:ind w:left="102" w:right="-20"/>
              <w:rPr>
                <w:rFonts w:ascii="宋体" w:hAnsi="宋体" w:cs="Calibri"/>
                <w:color w:val="auto"/>
                <w:sz w:val="24"/>
                <w:highlight w:val="none"/>
              </w:rPr>
            </w:pPr>
            <w:r>
              <w:rPr>
                <w:rFonts w:hint="eastAsia" w:ascii="宋体" w:hAnsi="宋体"/>
                <w:color w:val="auto"/>
                <w:highlight w:val="none"/>
              </w:rPr>
              <w:t>主要</w:t>
            </w:r>
            <w:r>
              <w:rPr>
                <w:rFonts w:hint="eastAsia" w:ascii="宋体" w:hAnsi="宋体"/>
                <w:color w:val="auto"/>
                <w:spacing w:val="-2"/>
                <w:highlight w:val="none"/>
              </w:rPr>
              <w:t>工</w:t>
            </w:r>
            <w:r>
              <w:rPr>
                <w:rFonts w:hint="eastAsia" w:ascii="宋体" w:hAnsi="宋体"/>
                <w:color w:val="auto"/>
                <w:highlight w:val="none"/>
              </w:rPr>
              <w:t>作</w:t>
            </w:r>
            <w:r>
              <w:rPr>
                <w:rFonts w:hint="eastAsia" w:ascii="宋体" w:hAnsi="宋体"/>
                <w:color w:val="auto"/>
                <w:spacing w:val="-2"/>
                <w:highlight w:val="none"/>
              </w:rPr>
              <w:t>经</w:t>
            </w:r>
            <w:r>
              <w:rPr>
                <w:rFonts w:hint="eastAsia" w:ascii="宋体" w:hAnsi="宋体"/>
                <w:color w:val="auto"/>
                <w:highlight w:val="none"/>
              </w:rPr>
              <w:t>历</w:t>
            </w:r>
          </w:p>
        </w:tc>
      </w:tr>
      <w:tr w14:paraId="12208DB8">
        <w:tblPrEx>
          <w:tblCellMar>
            <w:top w:w="0" w:type="dxa"/>
            <w:left w:w="0" w:type="dxa"/>
            <w:bottom w:w="0" w:type="dxa"/>
            <w:right w:w="0" w:type="dxa"/>
          </w:tblCellMar>
        </w:tblPrEx>
        <w:trPr>
          <w:trHeight w:val="718"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tcPr>
          <w:p w14:paraId="5D036444">
            <w:pPr>
              <w:autoSpaceDE w:val="0"/>
              <w:autoSpaceDN w:val="0"/>
              <w:adjustRightInd w:val="0"/>
              <w:spacing w:before="3" w:line="180" w:lineRule="exact"/>
              <w:rPr>
                <w:rFonts w:ascii="宋体" w:hAnsi="宋体" w:cs="Calibri"/>
                <w:color w:val="auto"/>
                <w:sz w:val="18"/>
                <w:szCs w:val="18"/>
                <w:highlight w:val="none"/>
              </w:rPr>
            </w:pPr>
          </w:p>
          <w:p w14:paraId="523CA6DC">
            <w:pPr>
              <w:autoSpaceDE w:val="0"/>
              <w:autoSpaceDN w:val="0"/>
              <w:adjustRightInd w:val="0"/>
              <w:ind w:left="450" w:right="-20"/>
              <w:rPr>
                <w:rFonts w:ascii="宋体" w:hAnsi="宋体" w:cs="Calibri"/>
                <w:color w:val="auto"/>
                <w:sz w:val="24"/>
                <w:highlight w:val="none"/>
              </w:rPr>
            </w:pPr>
            <w:r>
              <w:rPr>
                <w:rFonts w:hint="eastAsia" w:ascii="宋体" w:hAnsi="宋体"/>
                <w:color w:val="auto"/>
                <w:highlight w:val="none"/>
              </w:rPr>
              <w:t>时</w:t>
            </w:r>
            <w:r>
              <w:rPr>
                <w:rFonts w:hint="eastAsia" w:ascii="宋体" w:hAnsi="宋体"/>
                <w:color w:val="auto"/>
                <w:highlight w:val="none"/>
              </w:rPr>
              <w:tab/>
            </w:r>
            <w:r>
              <w:rPr>
                <w:rFonts w:hint="eastAsia" w:ascii="宋体" w:hAnsi="宋体"/>
                <w:color w:val="auto"/>
                <w:highlight w:val="none"/>
              </w:rPr>
              <w:t>间</w:t>
            </w:r>
          </w:p>
        </w:tc>
        <w:tc>
          <w:tcPr>
            <w:tcW w:w="3337" w:type="dxa"/>
            <w:gridSpan w:val="4"/>
            <w:tcBorders>
              <w:top w:val="single" w:color="000000" w:sz="4" w:space="0"/>
              <w:left w:val="nil"/>
              <w:bottom w:val="single" w:color="000000" w:sz="4" w:space="0"/>
              <w:right w:val="single" w:color="000000" w:sz="4" w:space="0"/>
            </w:tcBorders>
          </w:tcPr>
          <w:p w14:paraId="5B850D52">
            <w:pPr>
              <w:autoSpaceDE w:val="0"/>
              <w:autoSpaceDN w:val="0"/>
              <w:adjustRightInd w:val="0"/>
              <w:spacing w:before="3" w:line="180" w:lineRule="exact"/>
              <w:rPr>
                <w:rFonts w:ascii="宋体" w:hAnsi="宋体" w:cs="Calibri"/>
                <w:color w:val="auto"/>
                <w:sz w:val="18"/>
                <w:szCs w:val="18"/>
                <w:highlight w:val="none"/>
              </w:rPr>
            </w:pPr>
          </w:p>
          <w:p w14:paraId="7C15E676">
            <w:pPr>
              <w:autoSpaceDE w:val="0"/>
              <w:autoSpaceDN w:val="0"/>
              <w:adjustRightInd w:val="0"/>
              <w:ind w:left="864" w:right="-20"/>
              <w:rPr>
                <w:rFonts w:ascii="宋体" w:hAnsi="宋体" w:cs="Calibri"/>
                <w:color w:val="auto"/>
                <w:sz w:val="24"/>
                <w:highlight w:val="none"/>
              </w:rPr>
            </w:pPr>
            <w:r>
              <w:rPr>
                <w:rFonts w:hint="eastAsia" w:ascii="宋体" w:hAnsi="宋体"/>
                <w:color w:val="auto"/>
                <w:highlight w:val="none"/>
              </w:rPr>
              <w:t>参加</w:t>
            </w:r>
            <w:r>
              <w:rPr>
                <w:rFonts w:hint="eastAsia" w:ascii="宋体" w:hAnsi="宋体"/>
                <w:color w:val="auto"/>
                <w:spacing w:val="-2"/>
                <w:highlight w:val="none"/>
              </w:rPr>
              <w:t>过</w:t>
            </w:r>
            <w:r>
              <w:rPr>
                <w:rFonts w:hint="eastAsia" w:ascii="宋体" w:hAnsi="宋体"/>
                <w:color w:val="auto"/>
                <w:highlight w:val="none"/>
              </w:rPr>
              <w:t>的</w:t>
            </w:r>
            <w:r>
              <w:rPr>
                <w:rFonts w:hint="eastAsia" w:ascii="宋体" w:hAnsi="宋体"/>
                <w:color w:val="auto"/>
                <w:spacing w:val="-2"/>
                <w:highlight w:val="none"/>
              </w:rPr>
              <w:t>类</w:t>
            </w:r>
            <w:r>
              <w:rPr>
                <w:rFonts w:hint="eastAsia" w:ascii="宋体" w:hAnsi="宋体"/>
                <w:color w:val="auto"/>
                <w:highlight w:val="none"/>
              </w:rPr>
              <w:t>似</w:t>
            </w:r>
            <w:r>
              <w:rPr>
                <w:rFonts w:hint="eastAsia" w:ascii="宋体" w:hAnsi="宋体"/>
                <w:color w:val="auto"/>
                <w:spacing w:val="-2"/>
                <w:highlight w:val="none"/>
              </w:rPr>
              <w:t>项</w:t>
            </w:r>
            <w:r>
              <w:rPr>
                <w:rFonts w:hint="eastAsia" w:ascii="宋体" w:hAnsi="宋体"/>
                <w:color w:val="auto"/>
                <w:highlight w:val="none"/>
              </w:rPr>
              <w:t>目</w:t>
            </w:r>
          </w:p>
        </w:tc>
        <w:tc>
          <w:tcPr>
            <w:tcW w:w="1229" w:type="dxa"/>
            <w:tcBorders>
              <w:top w:val="single" w:color="000000" w:sz="4" w:space="0"/>
              <w:left w:val="nil"/>
              <w:bottom w:val="single" w:color="000000" w:sz="4" w:space="0"/>
              <w:right w:val="single" w:color="000000" w:sz="4" w:space="0"/>
            </w:tcBorders>
          </w:tcPr>
          <w:p w14:paraId="292CF5DE">
            <w:pPr>
              <w:autoSpaceDE w:val="0"/>
              <w:autoSpaceDN w:val="0"/>
              <w:adjustRightInd w:val="0"/>
              <w:spacing w:before="3" w:line="180" w:lineRule="exact"/>
              <w:rPr>
                <w:rFonts w:ascii="宋体" w:hAnsi="宋体" w:cs="Calibri"/>
                <w:color w:val="auto"/>
                <w:sz w:val="18"/>
                <w:szCs w:val="18"/>
                <w:highlight w:val="none"/>
              </w:rPr>
            </w:pPr>
          </w:p>
          <w:p w14:paraId="570DBBD4">
            <w:pPr>
              <w:autoSpaceDE w:val="0"/>
              <w:autoSpaceDN w:val="0"/>
              <w:adjustRightInd w:val="0"/>
              <w:ind w:left="203" w:right="-20"/>
              <w:rPr>
                <w:rFonts w:ascii="宋体" w:hAnsi="宋体" w:cs="Calibri"/>
                <w:color w:val="auto"/>
                <w:sz w:val="24"/>
                <w:highlight w:val="none"/>
              </w:rPr>
            </w:pPr>
            <w:r>
              <w:rPr>
                <w:rFonts w:hint="eastAsia" w:ascii="宋体" w:hAnsi="宋体"/>
                <w:color w:val="auto"/>
                <w:highlight w:val="none"/>
              </w:rPr>
              <w:t>担任</w:t>
            </w:r>
            <w:r>
              <w:rPr>
                <w:rFonts w:hint="eastAsia" w:ascii="宋体" w:hAnsi="宋体"/>
                <w:color w:val="auto"/>
                <w:spacing w:val="-2"/>
                <w:highlight w:val="none"/>
              </w:rPr>
              <w:t>职</w:t>
            </w:r>
            <w:r>
              <w:rPr>
                <w:rFonts w:hint="eastAsia" w:ascii="宋体" w:hAnsi="宋体"/>
                <w:color w:val="auto"/>
                <w:highlight w:val="none"/>
              </w:rPr>
              <w:t>务</w:t>
            </w:r>
          </w:p>
        </w:tc>
        <w:tc>
          <w:tcPr>
            <w:tcW w:w="2243" w:type="dxa"/>
            <w:gridSpan w:val="2"/>
            <w:tcBorders>
              <w:top w:val="single" w:color="000000" w:sz="4" w:space="0"/>
              <w:left w:val="nil"/>
              <w:bottom w:val="single" w:color="000000" w:sz="4" w:space="0"/>
              <w:right w:val="single" w:color="000000" w:sz="4" w:space="0"/>
            </w:tcBorders>
          </w:tcPr>
          <w:p w14:paraId="279DFD38">
            <w:pPr>
              <w:autoSpaceDE w:val="0"/>
              <w:autoSpaceDN w:val="0"/>
              <w:adjustRightInd w:val="0"/>
              <w:spacing w:before="3" w:line="180" w:lineRule="exact"/>
              <w:rPr>
                <w:rFonts w:ascii="宋体" w:hAnsi="宋体" w:cs="Calibri"/>
                <w:color w:val="auto"/>
                <w:sz w:val="18"/>
                <w:szCs w:val="18"/>
                <w:highlight w:val="none"/>
              </w:rPr>
            </w:pPr>
          </w:p>
          <w:p w14:paraId="548EAFCD">
            <w:pPr>
              <w:autoSpaceDE w:val="0"/>
              <w:autoSpaceDN w:val="0"/>
              <w:adjustRightInd w:val="0"/>
              <w:ind w:left="301" w:right="-20"/>
              <w:rPr>
                <w:rFonts w:ascii="宋体" w:hAnsi="宋体" w:cs="Calibri"/>
                <w:color w:val="auto"/>
                <w:sz w:val="24"/>
                <w:highlight w:val="none"/>
              </w:rPr>
            </w:pPr>
            <w:r>
              <w:rPr>
                <w:rFonts w:hint="eastAsia" w:ascii="宋体" w:hAnsi="宋体"/>
                <w:color w:val="auto"/>
                <w:highlight w:val="none"/>
              </w:rPr>
              <w:t>发包</w:t>
            </w:r>
            <w:r>
              <w:rPr>
                <w:rFonts w:hint="eastAsia" w:ascii="宋体" w:hAnsi="宋体"/>
                <w:color w:val="auto"/>
                <w:spacing w:val="-2"/>
                <w:highlight w:val="none"/>
              </w:rPr>
              <w:t>人</w:t>
            </w:r>
            <w:r>
              <w:rPr>
                <w:rFonts w:hint="eastAsia" w:ascii="宋体" w:hAnsi="宋体"/>
                <w:color w:val="auto"/>
                <w:highlight w:val="none"/>
              </w:rPr>
              <w:t>及</w:t>
            </w:r>
            <w:r>
              <w:rPr>
                <w:rFonts w:hint="eastAsia" w:ascii="宋体" w:hAnsi="宋体"/>
                <w:color w:val="auto"/>
                <w:spacing w:val="-2"/>
                <w:highlight w:val="none"/>
              </w:rPr>
              <w:t>联</w:t>
            </w:r>
            <w:r>
              <w:rPr>
                <w:rFonts w:hint="eastAsia" w:ascii="宋体" w:hAnsi="宋体"/>
                <w:color w:val="auto"/>
                <w:highlight w:val="none"/>
              </w:rPr>
              <w:t>系</w:t>
            </w:r>
            <w:r>
              <w:rPr>
                <w:rFonts w:hint="eastAsia" w:ascii="宋体" w:hAnsi="宋体"/>
                <w:color w:val="auto"/>
                <w:spacing w:val="-2"/>
                <w:highlight w:val="none"/>
              </w:rPr>
              <w:t>电</w:t>
            </w:r>
            <w:r>
              <w:rPr>
                <w:rFonts w:hint="eastAsia" w:ascii="宋体" w:hAnsi="宋体"/>
                <w:color w:val="auto"/>
                <w:highlight w:val="none"/>
              </w:rPr>
              <w:t>话</w:t>
            </w:r>
          </w:p>
        </w:tc>
      </w:tr>
      <w:tr w14:paraId="7340FA89">
        <w:tblPrEx>
          <w:tblCellMar>
            <w:top w:w="0" w:type="dxa"/>
            <w:left w:w="0" w:type="dxa"/>
            <w:bottom w:w="0" w:type="dxa"/>
            <w:right w:w="0" w:type="dxa"/>
          </w:tblCellMar>
        </w:tblPrEx>
        <w:trPr>
          <w:trHeight w:val="701"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tcPr>
          <w:p w14:paraId="3D0B62FC">
            <w:pPr>
              <w:autoSpaceDE w:val="0"/>
              <w:autoSpaceDN w:val="0"/>
              <w:adjustRightInd w:val="0"/>
              <w:rPr>
                <w:rFonts w:ascii="宋体" w:hAnsi="宋体" w:cs="Calibri"/>
                <w:color w:val="auto"/>
                <w:sz w:val="24"/>
                <w:highlight w:val="none"/>
              </w:rPr>
            </w:pPr>
          </w:p>
        </w:tc>
        <w:tc>
          <w:tcPr>
            <w:tcW w:w="3337" w:type="dxa"/>
            <w:gridSpan w:val="4"/>
            <w:tcBorders>
              <w:top w:val="single" w:color="000000" w:sz="4" w:space="0"/>
              <w:left w:val="nil"/>
              <w:bottom w:val="single" w:color="000000" w:sz="4" w:space="0"/>
              <w:right w:val="single" w:color="000000" w:sz="4" w:space="0"/>
            </w:tcBorders>
          </w:tcPr>
          <w:p w14:paraId="06BBC9BE">
            <w:pPr>
              <w:autoSpaceDE w:val="0"/>
              <w:autoSpaceDN w:val="0"/>
              <w:adjustRightInd w:val="0"/>
              <w:rPr>
                <w:rFonts w:ascii="宋体" w:hAnsi="宋体" w:cs="Calibri"/>
                <w:color w:val="auto"/>
                <w:sz w:val="24"/>
                <w:highlight w:val="none"/>
              </w:rPr>
            </w:pPr>
          </w:p>
        </w:tc>
        <w:tc>
          <w:tcPr>
            <w:tcW w:w="1229" w:type="dxa"/>
            <w:tcBorders>
              <w:top w:val="single" w:color="000000" w:sz="4" w:space="0"/>
              <w:left w:val="nil"/>
              <w:bottom w:val="single" w:color="000000" w:sz="4" w:space="0"/>
              <w:right w:val="single" w:color="000000" w:sz="4" w:space="0"/>
            </w:tcBorders>
          </w:tcPr>
          <w:p w14:paraId="0DCD8FD8">
            <w:pPr>
              <w:autoSpaceDE w:val="0"/>
              <w:autoSpaceDN w:val="0"/>
              <w:adjustRightInd w:val="0"/>
              <w:rPr>
                <w:rFonts w:ascii="宋体" w:hAnsi="宋体" w:cs="Calibri"/>
                <w:color w:val="auto"/>
                <w:sz w:val="24"/>
                <w:highlight w:val="none"/>
              </w:rPr>
            </w:pPr>
          </w:p>
        </w:tc>
        <w:tc>
          <w:tcPr>
            <w:tcW w:w="2243" w:type="dxa"/>
            <w:gridSpan w:val="2"/>
            <w:tcBorders>
              <w:top w:val="single" w:color="000000" w:sz="4" w:space="0"/>
              <w:left w:val="nil"/>
              <w:bottom w:val="single" w:color="000000" w:sz="4" w:space="0"/>
              <w:right w:val="single" w:color="000000" w:sz="4" w:space="0"/>
            </w:tcBorders>
          </w:tcPr>
          <w:p w14:paraId="0412CA5A">
            <w:pPr>
              <w:autoSpaceDE w:val="0"/>
              <w:autoSpaceDN w:val="0"/>
              <w:adjustRightInd w:val="0"/>
              <w:rPr>
                <w:rFonts w:ascii="宋体" w:hAnsi="宋体" w:cs="Calibri"/>
                <w:color w:val="auto"/>
                <w:sz w:val="24"/>
                <w:highlight w:val="none"/>
              </w:rPr>
            </w:pPr>
          </w:p>
        </w:tc>
      </w:tr>
      <w:tr w14:paraId="5332E7C4">
        <w:tblPrEx>
          <w:tblCellMar>
            <w:top w:w="0" w:type="dxa"/>
            <w:left w:w="0" w:type="dxa"/>
            <w:bottom w:w="0" w:type="dxa"/>
            <w:right w:w="0" w:type="dxa"/>
          </w:tblCellMar>
        </w:tblPrEx>
        <w:trPr>
          <w:trHeight w:val="698"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tcPr>
          <w:p w14:paraId="7AE4DBBA">
            <w:pPr>
              <w:autoSpaceDE w:val="0"/>
              <w:autoSpaceDN w:val="0"/>
              <w:adjustRightInd w:val="0"/>
              <w:rPr>
                <w:rFonts w:ascii="宋体" w:hAnsi="宋体" w:cs="Calibri"/>
                <w:color w:val="auto"/>
                <w:sz w:val="24"/>
                <w:highlight w:val="none"/>
              </w:rPr>
            </w:pPr>
          </w:p>
        </w:tc>
        <w:tc>
          <w:tcPr>
            <w:tcW w:w="3337" w:type="dxa"/>
            <w:gridSpan w:val="4"/>
            <w:tcBorders>
              <w:top w:val="single" w:color="000000" w:sz="4" w:space="0"/>
              <w:left w:val="nil"/>
              <w:bottom w:val="single" w:color="000000" w:sz="4" w:space="0"/>
              <w:right w:val="single" w:color="000000" w:sz="4" w:space="0"/>
            </w:tcBorders>
          </w:tcPr>
          <w:p w14:paraId="5A66E18B">
            <w:pPr>
              <w:autoSpaceDE w:val="0"/>
              <w:autoSpaceDN w:val="0"/>
              <w:adjustRightInd w:val="0"/>
              <w:rPr>
                <w:rFonts w:ascii="宋体" w:hAnsi="宋体" w:cs="Calibri"/>
                <w:color w:val="auto"/>
                <w:sz w:val="24"/>
                <w:highlight w:val="none"/>
              </w:rPr>
            </w:pPr>
          </w:p>
        </w:tc>
        <w:tc>
          <w:tcPr>
            <w:tcW w:w="1229" w:type="dxa"/>
            <w:tcBorders>
              <w:top w:val="single" w:color="000000" w:sz="4" w:space="0"/>
              <w:left w:val="nil"/>
              <w:bottom w:val="single" w:color="000000" w:sz="4" w:space="0"/>
              <w:right w:val="single" w:color="000000" w:sz="4" w:space="0"/>
            </w:tcBorders>
          </w:tcPr>
          <w:p w14:paraId="2E61F70F">
            <w:pPr>
              <w:autoSpaceDE w:val="0"/>
              <w:autoSpaceDN w:val="0"/>
              <w:adjustRightInd w:val="0"/>
              <w:rPr>
                <w:rFonts w:ascii="宋体" w:hAnsi="宋体" w:cs="Calibri"/>
                <w:color w:val="auto"/>
                <w:sz w:val="24"/>
                <w:highlight w:val="none"/>
              </w:rPr>
            </w:pPr>
          </w:p>
        </w:tc>
        <w:tc>
          <w:tcPr>
            <w:tcW w:w="2243" w:type="dxa"/>
            <w:gridSpan w:val="2"/>
            <w:tcBorders>
              <w:top w:val="single" w:color="000000" w:sz="4" w:space="0"/>
              <w:left w:val="nil"/>
              <w:bottom w:val="single" w:color="000000" w:sz="4" w:space="0"/>
              <w:right w:val="single" w:color="000000" w:sz="4" w:space="0"/>
            </w:tcBorders>
          </w:tcPr>
          <w:p w14:paraId="6EB8016B">
            <w:pPr>
              <w:autoSpaceDE w:val="0"/>
              <w:autoSpaceDN w:val="0"/>
              <w:adjustRightInd w:val="0"/>
              <w:rPr>
                <w:rFonts w:ascii="宋体" w:hAnsi="宋体" w:cs="Calibri"/>
                <w:color w:val="auto"/>
                <w:sz w:val="24"/>
                <w:highlight w:val="none"/>
              </w:rPr>
            </w:pPr>
          </w:p>
        </w:tc>
      </w:tr>
      <w:tr w14:paraId="22709FF8">
        <w:tblPrEx>
          <w:tblCellMar>
            <w:top w:w="0" w:type="dxa"/>
            <w:left w:w="0" w:type="dxa"/>
            <w:bottom w:w="0" w:type="dxa"/>
            <w:right w:w="0" w:type="dxa"/>
          </w:tblCellMar>
        </w:tblPrEx>
        <w:trPr>
          <w:trHeight w:val="701"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tcPr>
          <w:p w14:paraId="724D6A38">
            <w:pPr>
              <w:autoSpaceDE w:val="0"/>
              <w:autoSpaceDN w:val="0"/>
              <w:adjustRightInd w:val="0"/>
              <w:rPr>
                <w:rFonts w:ascii="宋体" w:hAnsi="宋体" w:cs="Calibri"/>
                <w:color w:val="auto"/>
                <w:sz w:val="24"/>
                <w:highlight w:val="none"/>
              </w:rPr>
            </w:pPr>
          </w:p>
        </w:tc>
        <w:tc>
          <w:tcPr>
            <w:tcW w:w="3337" w:type="dxa"/>
            <w:gridSpan w:val="4"/>
            <w:tcBorders>
              <w:top w:val="single" w:color="000000" w:sz="4" w:space="0"/>
              <w:left w:val="nil"/>
              <w:bottom w:val="single" w:color="000000" w:sz="4" w:space="0"/>
              <w:right w:val="single" w:color="000000" w:sz="4" w:space="0"/>
            </w:tcBorders>
          </w:tcPr>
          <w:p w14:paraId="52947A7F">
            <w:pPr>
              <w:autoSpaceDE w:val="0"/>
              <w:autoSpaceDN w:val="0"/>
              <w:adjustRightInd w:val="0"/>
              <w:rPr>
                <w:rFonts w:ascii="宋体" w:hAnsi="宋体" w:cs="Calibri"/>
                <w:color w:val="auto"/>
                <w:sz w:val="24"/>
                <w:highlight w:val="none"/>
              </w:rPr>
            </w:pPr>
          </w:p>
        </w:tc>
        <w:tc>
          <w:tcPr>
            <w:tcW w:w="1229" w:type="dxa"/>
            <w:tcBorders>
              <w:top w:val="single" w:color="000000" w:sz="4" w:space="0"/>
              <w:left w:val="nil"/>
              <w:bottom w:val="single" w:color="000000" w:sz="4" w:space="0"/>
              <w:right w:val="single" w:color="000000" w:sz="4" w:space="0"/>
            </w:tcBorders>
          </w:tcPr>
          <w:p w14:paraId="1C77D419">
            <w:pPr>
              <w:autoSpaceDE w:val="0"/>
              <w:autoSpaceDN w:val="0"/>
              <w:adjustRightInd w:val="0"/>
              <w:rPr>
                <w:rFonts w:ascii="宋体" w:hAnsi="宋体" w:cs="Calibri"/>
                <w:color w:val="auto"/>
                <w:sz w:val="24"/>
                <w:highlight w:val="none"/>
              </w:rPr>
            </w:pPr>
          </w:p>
        </w:tc>
        <w:tc>
          <w:tcPr>
            <w:tcW w:w="2243" w:type="dxa"/>
            <w:gridSpan w:val="2"/>
            <w:tcBorders>
              <w:top w:val="single" w:color="000000" w:sz="4" w:space="0"/>
              <w:left w:val="nil"/>
              <w:bottom w:val="single" w:color="000000" w:sz="4" w:space="0"/>
              <w:right w:val="single" w:color="000000" w:sz="4" w:space="0"/>
            </w:tcBorders>
          </w:tcPr>
          <w:p w14:paraId="7B322F19">
            <w:pPr>
              <w:autoSpaceDE w:val="0"/>
              <w:autoSpaceDN w:val="0"/>
              <w:adjustRightInd w:val="0"/>
              <w:rPr>
                <w:rFonts w:ascii="宋体" w:hAnsi="宋体" w:cs="Calibri"/>
                <w:color w:val="auto"/>
                <w:sz w:val="24"/>
                <w:highlight w:val="none"/>
              </w:rPr>
            </w:pPr>
          </w:p>
        </w:tc>
      </w:tr>
      <w:tr w14:paraId="4CB29442">
        <w:tblPrEx>
          <w:tblCellMar>
            <w:top w:w="0" w:type="dxa"/>
            <w:left w:w="0" w:type="dxa"/>
            <w:bottom w:w="0" w:type="dxa"/>
            <w:right w:w="0" w:type="dxa"/>
          </w:tblCellMar>
        </w:tblPrEx>
        <w:trPr>
          <w:trHeight w:val="701"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tcPr>
          <w:p w14:paraId="08A08BD6">
            <w:pPr>
              <w:autoSpaceDE w:val="0"/>
              <w:autoSpaceDN w:val="0"/>
              <w:adjustRightInd w:val="0"/>
              <w:rPr>
                <w:rFonts w:ascii="宋体" w:hAnsi="宋体" w:cs="Calibri"/>
                <w:color w:val="auto"/>
                <w:sz w:val="24"/>
                <w:highlight w:val="none"/>
              </w:rPr>
            </w:pPr>
          </w:p>
        </w:tc>
        <w:tc>
          <w:tcPr>
            <w:tcW w:w="3337" w:type="dxa"/>
            <w:gridSpan w:val="4"/>
            <w:tcBorders>
              <w:top w:val="single" w:color="000000" w:sz="4" w:space="0"/>
              <w:left w:val="nil"/>
              <w:bottom w:val="single" w:color="000000" w:sz="4" w:space="0"/>
              <w:right w:val="single" w:color="000000" w:sz="4" w:space="0"/>
            </w:tcBorders>
          </w:tcPr>
          <w:p w14:paraId="4C7313C8">
            <w:pPr>
              <w:autoSpaceDE w:val="0"/>
              <w:autoSpaceDN w:val="0"/>
              <w:adjustRightInd w:val="0"/>
              <w:rPr>
                <w:rFonts w:ascii="宋体" w:hAnsi="宋体" w:cs="Calibri"/>
                <w:color w:val="auto"/>
                <w:sz w:val="24"/>
                <w:highlight w:val="none"/>
              </w:rPr>
            </w:pPr>
          </w:p>
        </w:tc>
        <w:tc>
          <w:tcPr>
            <w:tcW w:w="1229" w:type="dxa"/>
            <w:tcBorders>
              <w:top w:val="single" w:color="000000" w:sz="4" w:space="0"/>
              <w:left w:val="nil"/>
              <w:bottom w:val="single" w:color="000000" w:sz="4" w:space="0"/>
              <w:right w:val="single" w:color="000000" w:sz="4" w:space="0"/>
            </w:tcBorders>
          </w:tcPr>
          <w:p w14:paraId="5C324989">
            <w:pPr>
              <w:autoSpaceDE w:val="0"/>
              <w:autoSpaceDN w:val="0"/>
              <w:adjustRightInd w:val="0"/>
              <w:rPr>
                <w:rFonts w:ascii="宋体" w:hAnsi="宋体" w:cs="Calibri"/>
                <w:color w:val="auto"/>
                <w:sz w:val="24"/>
                <w:highlight w:val="none"/>
              </w:rPr>
            </w:pPr>
          </w:p>
        </w:tc>
        <w:tc>
          <w:tcPr>
            <w:tcW w:w="2243" w:type="dxa"/>
            <w:gridSpan w:val="2"/>
            <w:tcBorders>
              <w:top w:val="single" w:color="000000" w:sz="4" w:space="0"/>
              <w:left w:val="nil"/>
              <w:bottom w:val="single" w:color="000000" w:sz="4" w:space="0"/>
              <w:right w:val="single" w:color="000000" w:sz="4" w:space="0"/>
            </w:tcBorders>
          </w:tcPr>
          <w:p w14:paraId="3633AD66">
            <w:pPr>
              <w:autoSpaceDE w:val="0"/>
              <w:autoSpaceDN w:val="0"/>
              <w:adjustRightInd w:val="0"/>
              <w:rPr>
                <w:rFonts w:ascii="宋体" w:hAnsi="宋体" w:cs="Calibri"/>
                <w:color w:val="auto"/>
                <w:sz w:val="24"/>
                <w:highlight w:val="none"/>
              </w:rPr>
            </w:pPr>
          </w:p>
        </w:tc>
      </w:tr>
      <w:tr w14:paraId="6CC62F3E">
        <w:tblPrEx>
          <w:tblCellMar>
            <w:top w:w="0" w:type="dxa"/>
            <w:left w:w="0" w:type="dxa"/>
            <w:bottom w:w="0" w:type="dxa"/>
            <w:right w:w="0" w:type="dxa"/>
          </w:tblCellMar>
        </w:tblPrEx>
        <w:trPr>
          <w:trHeight w:val="699"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tcPr>
          <w:p w14:paraId="169EDFE6">
            <w:pPr>
              <w:autoSpaceDE w:val="0"/>
              <w:autoSpaceDN w:val="0"/>
              <w:adjustRightInd w:val="0"/>
              <w:rPr>
                <w:rFonts w:ascii="宋体" w:hAnsi="宋体" w:cs="Calibri"/>
                <w:color w:val="auto"/>
                <w:sz w:val="24"/>
                <w:highlight w:val="none"/>
              </w:rPr>
            </w:pPr>
          </w:p>
        </w:tc>
        <w:tc>
          <w:tcPr>
            <w:tcW w:w="3337" w:type="dxa"/>
            <w:gridSpan w:val="4"/>
            <w:tcBorders>
              <w:top w:val="single" w:color="000000" w:sz="4" w:space="0"/>
              <w:left w:val="nil"/>
              <w:bottom w:val="single" w:color="000000" w:sz="4" w:space="0"/>
              <w:right w:val="single" w:color="000000" w:sz="4" w:space="0"/>
            </w:tcBorders>
          </w:tcPr>
          <w:p w14:paraId="4B997AB0">
            <w:pPr>
              <w:autoSpaceDE w:val="0"/>
              <w:autoSpaceDN w:val="0"/>
              <w:adjustRightInd w:val="0"/>
              <w:rPr>
                <w:rFonts w:ascii="宋体" w:hAnsi="宋体" w:cs="Calibri"/>
                <w:color w:val="auto"/>
                <w:sz w:val="24"/>
                <w:highlight w:val="none"/>
              </w:rPr>
            </w:pPr>
          </w:p>
        </w:tc>
        <w:tc>
          <w:tcPr>
            <w:tcW w:w="1229" w:type="dxa"/>
            <w:tcBorders>
              <w:top w:val="single" w:color="000000" w:sz="4" w:space="0"/>
              <w:left w:val="nil"/>
              <w:bottom w:val="single" w:color="000000" w:sz="4" w:space="0"/>
              <w:right w:val="single" w:color="000000" w:sz="4" w:space="0"/>
            </w:tcBorders>
          </w:tcPr>
          <w:p w14:paraId="47F9E579">
            <w:pPr>
              <w:autoSpaceDE w:val="0"/>
              <w:autoSpaceDN w:val="0"/>
              <w:adjustRightInd w:val="0"/>
              <w:rPr>
                <w:rFonts w:ascii="宋体" w:hAnsi="宋体" w:cs="Calibri"/>
                <w:color w:val="auto"/>
                <w:sz w:val="24"/>
                <w:highlight w:val="none"/>
              </w:rPr>
            </w:pPr>
          </w:p>
        </w:tc>
        <w:tc>
          <w:tcPr>
            <w:tcW w:w="2243" w:type="dxa"/>
            <w:gridSpan w:val="2"/>
            <w:tcBorders>
              <w:top w:val="single" w:color="000000" w:sz="4" w:space="0"/>
              <w:left w:val="nil"/>
              <w:bottom w:val="single" w:color="000000" w:sz="4" w:space="0"/>
              <w:right w:val="single" w:color="000000" w:sz="4" w:space="0"/>
            </w:tcBorders>
          </w:tcPr>
          <w:p w14:paraId="0625F7D7">
            <w:pPr>
              <w:autoSpaceDE w:val="0"/>
              <w:autoSpaceDN w:val="0"/>
              <w:adjustRightInd w:val="0"/>
              <w:rPr>
                <w:rFonts w:ascii="宋体" w:hAnsi="宋体" w:cs="Calibri"/>
                <w:color w:val="auto"/>
                <w:sz w:val="24"/>
                <w:highlight w:val="none"/>
              </w:rPr>
            </w:pPr>
          </w:p>
        </w:tc>
      </w:tr>
      <w:tr w14:paraId="23EF5E21">
        <w:tblPrEx>
          <w:tblCellMar>
            <w:top w:w="0" w:type="dxa"/>
            <w:left w:w="0" w:type="dxa"/>
            <w:bottom w:w="0" w:type="dxa"/>
            <w:right w:w="0" w:type="dxa"/>
          </w:tblCellMar>
        </w:tblPrEx>
        <w:trPr>
          <w:trHeight w:val="701"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tcPr>
          <w:p w14:paraId="3D637F66">
            <w:pPr>
              <w:autoSpaceDE w:val="0"/>
              <w:autoSpaceDN w:val="0"/>
              <w:adjustRightInd w:val="0"/>
              <w:rPr>
                <w:rFonts w:ascii="宋体" w:hAnsi="宋体" w:cs="Calibri"/>
                <w:color w:val="auto"/>
                <w:sz w:val="24"/>
                <w:highlight w:val="none"/>
              </w:rPr>
            </w:pPr>
          </w:p>
        </w:tc>
        <w:tc>
          <w:tcPr>
            <w:tcW w:w="3337" w:type="dxa"/>
            <w:gridSpan w:val="4"/>
            <w:tcBorders>
              <w:top w:val="single" w:color="000000" w:sz="4" w:space="0"/>
              <w:left w:val="nil"/>
              <w:bottom w:val="single" w:color="000000" w:sz="4" w:space="0"/>
              <w:right w:val="single" w:color="000000" w:sz="4" w:space="0"/>
            </w:tcBorders>
          </w:tcPr>
          <w:p w14:paraId="527BD0D6">
            <w:pPr>
              <w:autoSpaceDE w:val="0"/>
              <w:autoSpaceDN w:val="0"/>
              <w:adjustRightInd w:val="0"/>
              <w:rPr>
                <w:rFonts w:ascii="宋体" w:hAnsi="宋体" w:cs="Calibri"/>
                <w:color w:val="auto"/>
                <w:sz w:val="24"/>
                <w:highlight w:val="none"/>
              </w:rPr>
            </w:pPr>
          </w:p>
        </w:tc>
        <w:tc>
          <w:tcPr>
            <w:tcW w:w="1229" w:type="dxa"/>
            <w:tcBorders>
              <w:top w:val="single" w:color="000000" w:sz="4" w:space="0"/>
              <w:left w:val="nil"/>
              <w:bottom w:val="single" w:color="000000" w:sz="4" w:space="0"/>
              <w:right w:val="single" w:color="000000" w:sz="4" w:space="0"/>
            </w:tcBorders>
          </w:tcPr>
          <w:p w14:paraId="7AB39775">
            <w:pPr>
              <w:autoSpaceDE w:val="0"/>
              <w:autoSpaceDN w:val="0"/>
              <w:adjustRightInd w:val="0"/>
              <w:rPr>
                <w:rFonts w:ascii="宋体" w:hAnsi="宋体" w:cs="Calibri"/>
                <w:color w:val="auto"/>
                <w:sz w:val="24"/>
                <w:highlight w:val="none"/>
              </w:rPr>
            </w:pPr>
          </w:p>
        </w:tc>
        <w:tc>
          <w:tcPr>
            <w:tcW w:w="2243" w:type="dxa"/>
            <w:gridSpan w:val="2"/>
            <w:tcBorders>
              <w:top w:val="single" w:color="000000" w:sz="4" w:space="0"/>
              <w:left w:val="nil"/>
              <w:bottom w:val="single" w:color="000000" w:sz="4" w:space="0"/>
              <w:right w:val="single" w:color="000000" w:sz="4" w:space="0"/>
            </w:tcBorders>
          </w:tcPr>
          <w:p w14:paraId="2D5FFF35">
            <w:pPr>
              <w:autoSpaceDE w:val="0"/>
              <w:autoSpaceDN w:val="0"/>
              <w:adjustRightInd w:val="0"/>
              <w:rPr>
                <w:rFonts w:ascii="宋体" w:hAnsi="宋体" w:cs="Calibri"/>
                <w:color w:val="auto"/>
                <w:sz w:val="24"/>
                <w:highlight w:val="none"/>
              </w:rPr>
            </w:pPr>
          </w:p>
        </w:tc>
      </w:tr>
      <w:tr w14:paraId="6CDBF472">
        <w:tblPrEx>
          <w:tblCellMar>
            <w:top w:w="0" w:type="dxa"/>
            <w:left w:w="0" w:type="dxa"/>
            <w:bottom w:w="0" w:type="dxa"/>
            <w:right w:w="0" w:type="dxa"/>
          </w:tblCellMar>
        </w:tblPrEx>
        <w:trPr>
          <w:trHeight w:val="701"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tcPr>
          <w:p w14:paraId="2F0146CA">
            <w:pPr>
              <w:autoSpaceDE w:val="0"/>
              <w:autoSpaceDN w:val="0"/>
              <w:adjustRightInd w:val="0"/>
              <w:rPr>
                <w:rFonts w:ascii="宋体" w:hAnsi="宋体" w:cs="Calibri"/>
                <w:color w:val="auto"/>
                <w:sz w:val="24"/>
                <w:highlight w:val="none"/>
              </w:rPr>
            </w:pPr>
          </w:p>
        </w:tc>
        <w:tc>
          <w:tcPr>
            <w:tcW w:w="3337" w:type="dxa"/>
            <w:gridSpan w:val="4"/>
            <w:tcBorders>
              <w:top w:val="single" w:color="000000" w:sz="4" w:space="0"/>
              <w:left w:val="nil"/>
              <w:bottom w:val="single" w:color="000000" w:sz="4" w:space="0"/>
              <w:right w:val="single" w:color="000000" w:sz="4" w:space="0"/>
            </w:tcBorders>
          </w:tcPr>
          <w:p w14:paraId="61C4484C">
            <w:pPr>
              <w:autoSpaceDE w:val="0"/>
              <w:autoSpaceDN w:val="0"/>
              <w:adjustRightInd w:val="0"/>
              <w:rPr>
                <w:rFonts w:ascii="宋体" w:hAnsi="宋体" w:cs="Calibri"/>
                <w:color w:val="auto"/>
                <w:sz w:val="24"/>
                <w:highlight w:val="none"/>
              </w:rPr>
            </w:pPr>
          </w:p>
        </w:tc>
        <w:tc>
          <w:tcPr>
            <w:tcW w:w="1229" w:type="dxa"/>
            <w:tcBorders>
              <w:top w:val="single" w:color="000000" w:sz="4" w:space="0"/>
              <w:left w:val="nil"/>
              <w:bottom w:val="single" w:color="000000" w:sz="4" w:space="0"/>
              <w:right w:val="single" w:color="000000" w:sz="4" w:space="0"/>
            </w:tcBorders>
          </w:tcPr>
          <w:p w14:paraId="3600E1A1">
            <w:pPr>
              <w:autoSpaceDE w:val="0"/>
              <w:autoSpaceDN w:val="0"/>
              <w:adjustRightInd w:val="0"/>
              <w:rPr>
                <w:rFonts w:ascii="宋体" w:hAnsi="宋体" w:cs="Calibri"/>
                <w:color w:val="auto"/>
                <w:sz w:val="24"/>
                <w:highlight w:val="none"/>
              </w:rPr>
            </w:pPr>
          </w:p>
        </w:tc>
        <w:tc>
          <w:tcPr>
            <w:tcW w:w="2243" w:type="dxa"/>
            <w:gridSpan w:val="2"/>
            <w:tcBorders>
              <w:top w:val="single" w:color="000000" w:sz="4" w:space="0"/>
              <w:left w:val="nil"/>
              <w:bottom w:val="single" w:color="000000" w:sz="4" w:space="0"/>
              <w:right w:val="single" w:color="000000" w:sz="4" w:space="0"/>
            </w:tcBorders>
          </w:tcPr>
          <w:p w14:paraId="4CBE6B28">
            <w:pPr>
              <w:autoSpaceDE w:val="0"/>
              <w:autoSpaceDN w:val="0"/>
              <w:adjustRightInd w:val="0"/>
              <w:rPr>
                <w:rFonts w:ascii="宋体" w:hAnsi="宋体" w:cs="Calibri"/>
                <w:color w:val="auto"/>
                <w:sz w:val="24"/>
                <w:highlight w:val="none"/>
              </w:rPr>
            </w:pPr>
          </w:p>
        </w:tc>
      </w:tr>
    </w:tbl>
    <w:p w14:paraId="251FBF2E">
      <w:pPr>
        <w:autoSpaceDE w:val="0"/>
        <w:autoSpaceDN w:val="0"/>
        <w:adjustRightInd w:val="0"/>
        <w:spacing w:line="110" w:lineRule="exact"/>
        <w:rPr>
          <w:rFonts w:ascii="宋体" w:hAnsi="宋体" w:cs="Calibri"/>
          <w:color w:val="auto"/>
          <w:sz w:val="11"/>
          <w:szCs w:val="11"/>
          <w:highlight w:val="none"/>
        </w:rPr>
      </w:pPr>
      <w:r>
        <w:rPr>
          <w:rFonts w:hint="eastAsia" w:ascii="宋体" w:hAnsi="宋体"/>
          <w:color w:val="auto"/>
          <w:sz w:val="11"/>
          <w:szCs w:val="11"/>
          <w:highlight w:val="none"/>
        </w:rPr>
        <w:t xml:space="preserve"> </w:t>
      </w:r>
    </w:p>
    <w:p w14:paraId="0F326266">
      <w:pPr>
        <w:autoSpaceDE w:val="0"/>
        <w:autoSpaceDN w:val="0"/>
        <w:adjustRightInd w:val="0"/>
        <w:spacing w:line="296" w:lineRule="exact"/>
        <w:ind w:left="100" w:right="-20"/>
        <w:rPr>
          <w:rFonts w:ascii="宋体" w:hAnsi="宋体"/>
          <w:color w:val="auto"/>
          <w:szCs w:val="21"/>
          <w:highlight w:val="none"/>
        </w:rPr>
      </w:pPr>
      <w:r>
        <w:rPr>
          <w:rFonts w:hint="eastAsia" w:ascii="宋体" w:hAnsi="宋体"/>
          <w:color w:val="auto"/>
          <w:highlight w:val="none"/>
        </w:rPr>
        <w:t>注：</w:t>
      </w:r>
      <w:r>
        <w:rPr>
          <w:rFonts w:hint="eastAsia" w:ascii="宋体" w:hAnsi="宋体"/>
          <w:color w:val="auto"/>
          <w:spacing w:val="-2"/>
          <w:highlight w:val="none"/>
        </w:rPr>
        <w:t>投</w:t>
      </w:r>
      <w:r>
        <w:rPr>
          <w:rFonts w:hint="eastAsia" w:ascii="宋体" w:hAnsi="宋体"/>
          <w:color w:val="auto"/>
          <w:highlight w:val="none"/>
        </w:rPr>
        <w:t>标</w:t>
      </w:r>
      <w:r>
        <w:rPr>
          <w:rFonts w:hint="eastAsia" w:ascii="宋体" w:hAnsi="宋体"/>
          <w:color w:val="auto"/>
          <w:spacing w:val="-2"/>
          <w:highlight w:val="none"/>
        </w:rPr>
        <w:t>人</w:t>
      </w:r>
      <w:r>
        <w:rPr>
          <w:rFonts w:hint="eastAsia" w:ascii="宋体" w:hAnsi="宋体"/>
          <w:color w:val="auto"/>
          <w:highlight w:val="none"/>
        </w:rPr>
        <w:t>应</w:t>
      </w:r>
      <w:r>
        <w:rPr>
          <w:rFonts w:hint="eastAsia" w:ascii="宋体" w:hAnsi="宋体"/>
          <w:color w:val="auto"/>
          <w:spacing w:val="-2"/>
          <w:highlight w:val="none"/>
        </w:rPr>
        <w:t>根</w:t>
      </w:r>
      <w:r>
        <w:rPr>
          <w:rFonts w:hint="eastAsia" w:ascii="宋体" w:hAnsi="宋体"/>
          <w:color w:val="auto"/>
          <w:highlight w:val="none"/>
        </w:rPr>
        <w:t>据</w:t>
      </w:r>
      <w:r>
        <w:rPr>
          <w:rFonts w:hint="eastAsia" w:ascii="宋体" w:hAnsi="宋体"/>
          <w:color w:val="auto"/>
          <w:spacing w:val="-2"/>
          <w:highlight w:val="none"/>
          <w:lang w:val="en-US" w:eastAsia="zh-CN"/>
        </w:rPr>
        <w:t>评审</w:t>
      </w:r>
      <w:r>
        <w:rPr>
          <w:rFonts w:hint="eastAsia" w:ascii="宋体" w:hAnsi="宋体"/>
          <w:color w:val="auto"/>
          <w:spacing w:val="-2"/>
          <w:highlight w:val="none"/>
        </w:rPr>
        <w:t>要</w:t>
      </w:r>
      <w:r>
        <w:rPr>
          <w:rFonts w:hint="eastAsia" w:ascii="宋体" w:hAnsi="宋体"/>
          <w:color w:val="auto"/>
          <w:highlight w:val="none"/>
        </w:rPr>
        <w:t>求</w:t>
      </w:r>
      <w:r>
        <w:rPr>
          <w:rFonts w:hint="eastAsia" w:ascii="宋体" w:hAnsi="宋体"/>
          <w:color w:val="auto"/>
          <w:spacing w:val="-2"/>
          <w:highlight w:val="none"/>
        </w:rPr>
        <w:t>在本</w:t>
      </w:r>
      <w:r>
        <w:rPr>
          <w:rFonts w:hint="eastAsia" w:ascii="宋体" w:hAnsi="宋体"/>
          <w:color w:val="auto"/>
          <w:highlight w:val="none"/>
        </w:rPr>
        <w:t>表后</w:t>
      </w:r>
      <w:r>
        <w:rPr>
          <w:rFonts w:hint="eastAsia" w:ascii="宋体" w:hAnsi="宋体"/>
          <w:color w:val="auto"/>
          <w:spacing w:val="-2"/>
          <w:highlight w:val="none"/>
        </w:rPr>
        <w:t>附</w:t>
      </w:r>
      <w:r>
        <w:rPr>
          <w:rFonts w:hint="eastAsia" w:ascii="宋体" w:hAnsi="宋体"/>
          <w:color w:val="auto"/>
          <w:highlight w:val="none"/>
        </w:rPr>
        <w:t>相</w:t>
      </w:r>
      <w:r>
        <w:rPr>
          <w:rFonts w:hint="eastAsia" w:ascii="宋体" w:hAnsi="宋体"/>
          <w:color w:val="auto"/>
          <w:spacing w:val="-2"/>
          <w:highlight w:val="none"/>
        </w:rPr>
        <w:t>关</w:t>
      </w:r>
      <w:r>
        <w:rPr>
          <w:rFonts w:hint="eastAsia" w:ascii="宋体" w:hAnsi="宋体"/>
          <w:color w:val="auto"/>
          <w:highlight w:val="none"/>
        </w:rPr>
        <w:t>证</w:t>
      </w:r>
      <w:r>
        <w:rPr>
          <w:rFonts w:hint="eastAsia" w:ascii="宋体" w:hAnsi="宋体"/>
          <w:color w:val="auto"/>
          <w:spacing w:val="-2"/>
          <w:highlight w:val="none"/>
        </w:rPr>
        <w:t>明</w:t>
      </w:r>
      <w:r>
        <w:rPr>
          <w:rFonts w:hint="eastAsia" w:ascii="宋体" w:hAnsi="宋体"/>
          <w:color w:val="auto"/>
          <w:highlight w:val="none"/>
        </w:rPr>
        <w:t>材</w:t>
      </w:r>
      <w:r>
        <w:rPr>
          <w:rFonts w:hint="eastAsia" w:ascii="宋体" w:hAnsi="宋体"/>
          <w:color w:val="auto"/>
          <w:spacing w:val="-2"/>
          <w:highlight w:val="none"/>
        </w:rPr>
        <w:t>料扫描件</w:t>
      </w:r>
      <w:r>
        <w:rPr>
          <w:rFonts w:hint="eastAsia" w:ascii="宋体" w:hAnsi="宋体"/>
          <w:color w:val="auto"/>
          <w:highlight w:val="none"/>
        </w:rPr>
        <w:t>。</w:t>
      </w:r>
    </w:p>
    <w:p w14:paraId="13094948">
      <w:pPr>
        <w:autoSpaceDE w:val="0"/>
        <w:autoSpaceDN w:val="0"/>
        <w:adjustRightInd w:val="0"/>
        <w:spacing w:line="466" w:lineRule="exact"/>
        <w:ind w:right="-20"/>
        <w:outlineLvl w:val="0"/>
        <w:rPr>
          <w:rFonts w:ascii="宋体" w:hAnsi="宋体"/>
          <w:color w:val="auto"/>
          <w:spacing w:val="2"/>
          <w:position w:val="-1"/>
          <w:sz w:val="32"/>
          <w:szCs w:val="32"/>
          <w:highlight w:val="none"/>
        </w:rPr>
      </w:pPr>
      <w:r>
        <w:rPr>
          <w:rFonts w:hint="eastAsia" w:ascii="宋体" w:hAnsi="宋体"/>
          <w:color w:val="auto"/>
          <w:highlight w:val="none"/>
        </w:rPr>
        <w:br w:type="page"/>
      </w:r>
      <w:bookmarkStart w:id="35" w:name="_Toc10594"/>
      <w:r>
        <w:rPr>
          <w:rFonts w:hint="eastAsia" w:ascii="宋体" w:hAnsi="宋体"/>
          <w:color w:val="auto"/>
          <w:spacing w:val="2"/>
          <w:position w:val="-1"/>
          <w:sz w:val="32"/>
          <w:szCs w:val="32"/>
          <w:highlight w:val="none"/>
        </w:rPr>
        <w:t>格式七：企业类似工程业绩</w:t>
      </w:r>
      <w:bookmarkEnd w:id="35"/>
    </w:p>
    <w:p w14:paraId="58D0F553">
      <w:pPr>
        <w:jc w:val="center"/>
        <w:rPr>
          <w:rFonts w:ascii="宋体" w:hAnsi="宋体"/>
          <w:color w:val="auto"/>
          <w:spacing w:val="2"/>
          <w:position w:val="-1"/>
          <w:sz w:val="32"/>
          <w:szCs w:val="32"/>
          <w:highlight w:val="none"/>
        </w:rPr>
      </w:pPr>
    </w:p>
    <w:p w14:paraId="3ABDC409">
      <w:pPr>
        <w:jc w:val="center"/>
        <w:rPr>
          <w:rFonts w:ascii="宋体" w:hAnsi="宋体"/>
          <w:color w:val="auto"/>
          <w:spacing w:val="2"/>
          <w:position w:val="-1"/>
          <w:sz w:val="32"/>
          <w:szCs w:val="32"/>
          <w:highlight w:val="none"/>
        </w:rPr>
      </w:pPr>
      <w:r>
        <w:rPr>
          <w:rFonts w:hint="eastAsia" w:ascii="宋体" w:hAnsi="宋体"/>
          <w:color w:val="auto"/>
          <w:spacing w:val="2"/>
          <w:position w:val="-1"/>
          <w:sz w:val="32"/>
          <w:szCs w:val="32"/>
          <w:highlight w:val="none"/>
        </w:rPr>
        <w:t>企业类似工程业绩</w:t>
      </w:r>
    </w:p>
    <w:p w14:paraId="0DF3A6D1">
      <w:pPr>
        <w:jc w:val="center"/>
        <w:rPr>
          <w:rFonts w:ascii="宋体" w:hAnsi="宋体"/>
          <w:color w:val="auto"/>
          <w:spacing w:val="2"/>
          <w:position w:val="-1"/>
          <w:sz w:val="32"/>
          <w:szCs w:val="32"/>
          <w:highlight w:val="none"/>
        </w:rPr>
      </w:pPr>
      <w:r>
        <w:rPr>
          <w:rFonts w:hint="eastAsia" w:ascii="宋体" w:hAnsi="宋体"/>
          <w:color w:val="auto"/>
          <w:spacing w:val="2"/>
          <w:position w:val="-1"/>
          <w:sz w:val="32"/>
          <w:szCs w:val="32"/>
          <w:highlight w:val="none"/>
        </w:rPr>
        <w:t xml:space="preserve"> </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6"/>
        <w:gridCol w:w="1706"/>
        <w:gridCol w:w="1706"/>
        <w:gridCol w:w="1706"/>
      </w:tblGrid>
      <w:tr w14:paraId="3FA0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05" w:type="dxa"/>
            <w:tcBorders>
              <w:top w:val="single" w:color="auto" w:sz="4" w:space="0"/>
              <w:left w:val="single" w:color="auto" w:sz="4" w:space="0"/>
              <w:bottom w:val="single" w:color="auto" w:sz="4" w:space="0"/>
              <w:right w:val="single" w:color="auto" w:sz="4" w:space="0"/>
            </w:tcBorders>
            <w:vAlign w:val="center"/>
          </w:tcPr>
          <w:p w14:paraId="0484F293">
            <w:pPr>
              <w:jc w:val="center"/>
              <w:rPr>
                <w:rFonts w:ascii="宋体" w:hAnsi="宋体" w:cs="Calibri"/>
                <w:color w:val="auto"/>
                <w:szCs w:val="21"/>
                <w:highlight w:val="none"/>
              </w:rPr>
            </w:pPr>
            <w:r>
              <w:rPr>
                <w:rFonts w:hint="eastAsia" w:ascii="宋体" w:hAnsi="宋体"/>
                <w:color w:val="auto"/>
                <w:highlight w:val="none"/>
              </w:rPr>
              <w:t>合同签订时间</w:t>
            </w:r>
          </w:p>
        </w:tc>
        <w:tc>
          <w:tcPr>
            <w:tcW w:w="1706" w:type="dxa"/>
            <w:tcBorders>
              <w:top w:val="single" w:color="auto" w:sz="4" w:space="0"/>
              <w:left w:val="nil"/>
              <w:bottom w:val="single" w:color="auto" w:sz="4" w:space="0"/>
              <w:right w:val="single" w:color="auto" w:sz="4" w:space="0"/>
            </w:tcBorders>
            <w:vAlign w:val="center"/>
          </w:tcPr>
          <w:p w14:paraId="2F05A421">
            <w:pPr>
              <w:jc w:val="center"/>
              <w:rPr>
                <w:rFonts w:ascii="宋体" w:hAnsi="宋体" w:cs="Calibri"/>
                <w:color w:val="auto"/>
                <w:szCs w:val="21"/>
                <w:highlight w:val="none"/>
              </w:rPr>
            </w:pPr>
            <w:r>
              <w:rPr>
                <w:rFonts w:hint="eastAsia" w:ascii="宋体" w:hAnsi="宋体"/>
                <w:color w:val="auto"/>
                <w:highlight w:val="none"/>
              </w:rPr>
              <w:t>项目概况</w:t>
            </w:r>
          </w:p>
        </w:tc>
        <w:tc>
          <w:tcPr>
            <w:tcW w:w="1706" w:type="dxa"/>
            <w:tcBorders>
              <w:top w:val="single" w:color="auto" w:sz="4" w:space="0"/>
              <w:left w:val="nil"/>
              <w:bottom w:val="single" w:color="auto" w:sz="4" w:space="0"/>
              <w:right w:val="single" w:color="auto" w:sz="4" w:space="0"/>
            </w:tcBorders>
            <w:vAlign w:val="center"/>
          </w:tcPr>
          <w:p w14:paraId="7C4CFB3A">
            <w:pPr>
              <w:jc w:val="center"/>
              <w:rPr>
                <w:rFonts w:ascii="宋体" w:hAnsi="宋体" w:cs="Calibri"/>
                <w:color w:val="auto"/>
                <w:szCs w:val="21"/>
                <w:highlight w:val="none"/>
              </w:rPr>
            </w:pPr>
            <w:r>
              <w:rPr>
                <w:rFonts w:hint="eastAsia" w:ascii="宋体" w:hAnsi="宋体"/>
                <w:color w:val="auto"/>
                <w:highlight w:val="none"/>
              </w:rPr>
              <w:t>业主单位</w:t>
            </w:r>
          </w:p>
        </w:tc>
        <w:tc>
          <w:tcPr>
            <w:tcW w:w="1706" w:type="dxa"/>
            <w:tcBorders>
              <w:top w:val="single" w:color="auto" w:sz="4" w:space="0"/>
              <w:left w:val="nil"/>
              <w:bottom w:val="single" w:color="auto" w:sz="4" w:space="0"/>
              <w:right w:val="single" w:color="auto" w:sz="4" w:space="0"/>
            </w:tcBorders>
            <w:vAlign w:val="center"/>
          </w:tcPr>
          <w:p w14:paraId="6B190205">
            <w:pPr>
              <w:jc w:val="center"/>
              <w:rPr>
                <w:rFonts w:ascii="宋体" w:hAnsi="宋体" w:cs="Calibri"/>
                <w:color w:val="auto"/>
                <w:szCs w:val="21"/>
                <w:highlight w:val="none"/>
              </w:rPr>
            </w:pPr>
            <w:r>
              <w:rPr>
                <w:rFonts w:hint="eastAsia" w:ascii="宋体" w:hAnsi="宋体"/>
                <w:color w:val="auto"/>
                <w:highlight w:val="none"/>
              </w:rPr>
              <w:t>完成情况</w:t>
            </w:r>
          </w:p>
        </w:tc>
        <w:tc>
          <w:tcPr>
            <w:tcW w:w="1706" w:type="dxa"/>
            <w:tcBorders>
              <w:top w:val="single" w:color="auto" w:sz="4" w:space="0"/>
              <w:left w:val="nil"/>
              <w:bottom w:val="single" w:color="auto" w:sz="4" w:space="0"/>
              <w:right w:val="single" w:color="auto" w:sz="4" w:space="0"/>
            </w:tcBorders>
            <w:vAlign w:val="center"/>
          </w:tcPr>
          <w:p w14:paraId="363923D4">
            <w:pPr>
              <w:jc w:val="center"/>
              <w:rPr>
                <w:rFonts w:ascii="宋体" w:hAnsi="宋体" w:cs="Calibri"/>
                <w:color w:val="auto"/>
                <w:szCs w:val="21"/>
                <w:highlight w:val="none"/>
              </w:rPr>
            </w:pPr>
            <w:r>
              <w:rPr>
                <w:rFonts w:hint="eastAsia" w:ascii="宋体" w:hAnsi="宋体"/>
                <w:color w:val="auto"/>
                <w:highlight w:val="none"/>
              </w:rPr>
              <w:t>备注</w:t>
            </w:r>
          </w:p>
        </w:tc>
      </w:tr>
      <w:tr w14:paraId="1ECB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05" w:type="dxa"/>
            <w:tcBorders>
              <w:top w:val="single" w:color="auto" w:sz="4" w:space="0"/>
              <w:left w:val="single" w:color="auto" w:sz="4" w:space="0"/>
              <w:bottom w:val="single" w:color="auto" w:sz="4" w:space="0"/>
              <w:right w:val="single" w:color="auto" w:sz="4" w:space="0"/>
            </w:tcBorders>
            <w:vAlign w:val="center"/>
          </w:tcPr>
          <w:p w14:paraId="32B36348">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5FA3B6C8">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6A25CC95">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6B47AA45">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3FD409FE">
            <w:pPr>
              <w:jc w:val="center"/>
              <w:rPr>
                <w:rFonts w:ascii="宋体" w:hAnsi="宋体" w:cs="Calibri"/>
                <w:color w:val="auto"/>
                <w:szCs w:val="21"/>
                <w:highlight w:val="none"/>
              </w:rPr>
            </w:pPr>
          </w:p>
        </w:tc>
      </w:tr>
      <w:tr w14:paraId="222A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705" w:type="dxa"/>
            <w:tcBorders>
              <w:top w:val="single" w:color="auto" w:sz="4" w:space="0"/>
              <w:left w:val="single" w:color="auto" w:sz="4" w:space="0"/>
              <w:bottom w:val="single" w:color="auto" w:sz="4" w:space="0"/>
              <w:right w:val="single" w:color="auto" w:sz="4" w:space="0"/>
            </w:tcBorders>
            <w:vAlign w:val="center"/>
          </w:tcPr>
          <w:p w14:paraId="6938D3EA">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2C2D392F">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2FB581C3">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708565DC">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04F83E40">
            <w:pPr>
              <w:jc w:val="center"/>
              <w:rPr>
                <w:rFonts w:ascii="宋体" w:hAnsi="宋体" w:cs="Calibri"/>
                <w:color w:val="auto"/>
                <w:szCs w:val="21"/>
                <w:highlight w:val="none"/>
              </w:rPr>
            </w:pPr>
          </w:p>
        </w:tc>
      </w:tr>
      <w:tr w14:paraId="7E18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05" w:type="dxa"/>
            <w:tcBorders>
              <w:top w:val="single" w:color="auto" w:sz="4" w:space="0"/>
              <w:left w:val="single" w:color="auto" w:sz="4" w:space="0"/>
              <w:bottom w:val="single" w:color="auto" w:sz="4" w:space="0"/>
              <w:right w:val="single" w:color="auto" w:sz="4" w:space="0"/>
            </w:tcBorders>
            <w:vAlign w:val="center"/>
          </w:tcPr>
          <w:p w14:paraId="3F2562CF">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54B638B5">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1040FF16">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666181FA">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5F7E3459">
            <w:pPr>
              <w:jc w:val="center"/>
              <w:rPr>
                <w:rFonts w:ascii="宋体" w:hAnsi="宋体" w:cs="Calibri"/>
                <w:color w:val="auto"/>
                <w:szCs w:val="21"/>
                <w:highlight w:val="none"/>
              </w:rPr>
            </w:pPr>
          </w:p>
        </w:tc>
      </w:tr>
      <w:tr w14:paraId="01ED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05" w:type="dxa"/>
            <w:tcBorders>
              <w:top w:val="single" w:color="auto" w:sz="4" w:space="0"/>
              <w:left w:val="single" w:color="auto" w:sz="4" w:space="0"/>
              <w:bottom w:val="single" w:color="auto" w:sz="4" w:space="0"/>
              <w:right w:val="single" w:color="auto" w:sz="4" w:space="0"/>
            </w:tcBorders>
            <w:vAlign w:val="center"/>
          </w:tcPr>
          <w:p w14:paraId="4BDF04D2">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01BBE48E">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57B5811C">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7FFD38A3">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46BA9585">
            <w:pPr>
              <w:jc w:val="center"/>
              <w:rPr>
                <w:rFonts w:ascii="宋体" w:hAnsi="宋体" w:cs="Calibri"/>
                <w:color w:val="auto"/>
                <w:szCs w:val="21"/>
                <w:highlight w:val="none"/>
              </w:rPr>
            </w:pPr>
          </w:p>
        </w:tc>
      </w:tr>
      <w:tr w14:paraId="6F2C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05" w:type="dxa"/>
            <w:tcBorders>
              <w:top w:val="single" w:color="auto" w:sz="4" w:space="0"/>
              <w:left w:val="single" w:color="auto" w:sz="4" w:space="0"/>
              <w:bottom w:val="single" w:color="auto" w:sz="4" w:space="0"/>
              <w:right w:val="single" w:color="auto" w:sz="4" w:space="0"/>
            </w:tcBorders>
            <w:vAlign w:val="center"/>
          </w:tcPr>
          <w:p w14:paraId="02ED5060">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32BE0F4B">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7CA4F4F8">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6DAACA05">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5EC515AA">
            <w:pPr>
              <w:jc w:val="center"/>
              <w:rPr>
                <w:rFonts w:ascii="宋体" w:hAnsi="宋体" w:cs="Calibri"/>
                <w:color w:val="auto"/>
                <w:szCs w:val="21"/>
                <w:highlight w:val="none"/>
              </w:rPr>
            </w:pPr>
          </w:p>
        </w:tc>
      </w:tr>
      <w:tr w14:paraId="5439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705" w:type="dxa"/>
            <w:tcBorders>
              <w:top w:val="single" w:color="auto" w:sz="4" w:space="0"/>
              <w:left w:val="single" w:color="auto" w:sz="4" w:space="0"/>
              <w:bottom w:val="single" w:color="auto" w:sz="4" w:space="0"/>
              <w:right w:val="single" w:color="auto" w:sz="4" w:space="0"/>
            </w:tcBorders>
            <w:vAlign w:val="center"/>
          </w:tcPr>
          <w:p w14:paraId="65ACA4B2">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78DF1908">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5C196936">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7A7D3D7B">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3398F290">
            <w:pPr>
              <w:jc w:val="center"/>
              <w:rPr>
                <w:rFonts w:ascii="宋体" w:hAnsi="宋体" w:cs="Calibri"/>
                <w:color w:val="auto"/>
                <w:szCs w:val="21"/>
                <w:highlight w:val="none"/>
              </w:rPr>
            </w:pPr>
          </w:p>
        </w:tc>
      </w:tr>
      <w:tr w14:paraId="0B56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05" w:type="dxa"/>
            <w:tcBorders>
              <w:top w:val="single" w:color="auto" w:sz="4" w:space="0"/>
              <w:left w:val="single" w:color="auto" w:sz="4" w:space="0"/>
              <w:bottom w:val="single" w:color="auto" w:sz="4" w:space="0"/>
              <w:right w:val="single" w:color="auto" w:sz="4" w:space="0"/>
            </w:tcBorders>
            <w:vAlign w:val="center"/>
          </w:tcPr>
          <w:p w14:paraId="4667017E">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2B16582B">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721C3205">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58C57373">
            <w:pPr>
              <w:jc w:val="center"/>
              <w:rPr>
                <w:rFonts w:ascii="宋体" w:hAnsi="宋体" w:cs="Calibri"/>
                <w:color w:val="auto"/>
                <w:szCs w:val="21"/>
                <w:highlight w:val="none"/>
              </w:rPr>
            </w:pPr>
          </w:p>
        </w:tc>
        <w:tc>
          <w:tcPr>
            <w:tcW w:w="1706" w:type="dxa"/>
            <w:tcBorders>
              <w:top w:val="single" w:color="auto" w:sz="4" w:space="0"/>
              <w:left w:val="nil"/>
              <w:bottom w:val="single" w:color="auto" w:sz="4" w:space="0"/>
              <w:right w:val="single" w:color="auto" w:sz="4" w:space="0"/>
            </w:tcBorders>
            <w:vAlign w:val="center"/>
          </w:tcPr>
          <w:p w14:paraId="133AC709">
            <w:pPr>
              <w:jc w:val="center"/>
              <w:rPr>
                <w:rFonts w:ascii="宋体" w:hAnsi="宋体" w:cs="Calibri"/>
                <w:color w:val="auto"/>
                <w:szCs w:val="21"/>
                <w:highlight w:val="none"/>
              </w:rPr>
            </w:pPr>
          </w:p>
        </w:tc>
      </w:tr>
    </w:tbl>
    <w:p w14:paraId="3EC517BA">
      <w:pPr>
        <w:rPr>
          <w:rFonts w:hint="eastAsia"/>
          <w:color w:val="auto"/>
          <w:highlight w:val="none"/>
        </w:rPr>
      </w:pPr>
      <w:r>
        <w:rPr>
          <w:rFonts w:hint="eastAsia"/>
          <w:b w:val="0"/>
          <w:bCs/>
          <w:color w:val="auto"/>
          <w:highlight w:val="none"/>
          <w:lang w:val="en-US" w:eastAsia="zh-CN"/>
        </w:rPr>
        <w:t>注：投标人应</w:t>
      </w:r>
      <w:r>
        <w:rPr>
          <w:rFonts w:hint="eastAsia"/>
          <w:b w:val="0"/>
          <w:bCs/>
          <w:color w:val="auto"/>
          <w:highlight w:val="none"/>
          <w:lang w:eastAsia="zh-CN"/>
        </w:rPr>
        <w:t>根据</w:t>
      </w:r>
      <w:r>
        <w:rPr>
          <w:rFonts w:hint="eastAsia"/>
          <w:b w:val="0"/>
          <w:bCs/>
          <w:color w:val="auto"/>
          <w:highlight w:val="none"/>
          <w:lang w:val="en-US" w:eastAsia="zh-CN"/>
        </w:rPr>
        <w:t>评审</w:t>
      </w:r>
      <w:r>
        <w:rPr>
          <w:rFonts w:hint="eastAsia"/>
          <w:b w:val="0"/>
          <w:bCs/>
          <w:color w:val="auto"/>
          <w:highlight w:val="none"/>
          <w:lang w:eastAsia="zh-CN"/>
        </w:rPr>
        <w:t>要求提供相应证明材料。</w:t>
      </w:r>
      <w:r>
        <w:rPr>
          <w:rFonts w:hint="eastAsia"/>
          <w:color w:val="auto"/>
          <w:highlight w:val="none"/>
        </w:rPr>
        <w:br w:type="page"/>
      </w:r>
    </w:p>
    <w:p w14:paraId="59F0D794">
      <w:pPr>
        <w:autoSpaceDE w:val="0"/>
        <w:autoSpaceDN w:val="0"/>
        <w:adjustRightInd w:val="0"/>
        <w:spacing w:line="466" w:lineRule="exact"/>
        <w:ind w:right="-20"/>
        <w:outlineLvl w:val="0"/>
        <w:rPr>
          <w:rFonts w:hint="eastAsia" w:ascii="宋体" w:hAnsi="宋体" w:eastAsia="宋体" w:cs="Times New Roman"/>
          <w:color w:val="auto"/>
          <w:spacing w:val="2"/>
          <w:position w:val="-1"/>
          <w:sz w:val="32"/>
          <w:szCs w:val="32"/>
          <w:highlight w:val="none"/>
          <w:lang w:eastAsia="zh-CN"/>
        </w:rPr>
      </w:pPr>
      <w:r>
        <w:rPr>
          <w:rFonts w:hint="eastAsia" w:ascii="宋体" w:hAnsi="宋体" w:eastAsia="宋体" w:cs="Times New Roman"/>
          <w:color w:val="auto"/>
          <w:spacing w:val="2"/>
          <w:position w:val="-1"/>
          <w:sz w:val="32"/>
          <w:szCs w:val="32"/>
          <w:highlight w:val="none"/>
          <w:lang w:eastAsia="zh-CN"/>
        </w:rPr>
        <w:t>格式八  企业获奖情况</w:t>
      </w:r>
    </w:p>
    <w:p w14:paraId="40D61FD2">
      <w:pPr>
        <w:rPr>
          <w:rFonts w:eastAsia="等线"/>
          <w:color w:val="auto"/>
          <w:highlight w:val="none"/>
          <w:lang w:eastAsia="zh-CN"/>
        </w:rPr>
      </w:pPr>
    </w:p>
    <w:p w14:paraId="0EAA49B7">
      <w:pPr>
        <w:jc w:val="center"/>
        <w:rPr>
          <w:rFonts w:ascii="宋体" w:hAnsi="宋体" w:eastAsia="宋体"/>
          <w:b w:val="0"/>
          <w:bCs/>
          <w:color w:val="auto"/>
          <w:spacing w:val="2"/>
          <w:position w:val="-1"/>
          <w:sz w:val="32"/>
          <w:szCs w:val="32"/>
          <w:highlight w:val="none"/>
          <w:lang w:eastAsia="zh-CN"/>
        </w:rPr>
      </w:pPr>
      <w:r>
        <w:rPr>
          <w:rFonts w:hint="eastAsia" w:ascii="宋体" w:hAnsi="宋体" w:eastAsia="宋体"/>
          <w:b w:val="0"/>
          <w:bCs/>
          <w:color w:val="auto"/>
          <w:spacing w:val="2"/>
          <w:position w:val="-1"/>
          <w:sz w:val="32"/>
          <w:szCs w:val="32"/>
          <w:highlight w:val="none"/>
          <w:lang w:eastAsia="zh-CN"/>
        </w:rPr>
        <w:t>企业获奖一览表</w:t>
      </w:r>
    </w:p>
    <w:p w14:paraId="747A7D3A">
      <w:pPr>
        <w:rPr>
          <w:rFonts w:ascii="宋体" w:hAnsi="宋体" w:eastAsia="宋体"/>
          <w:b w:val="0"/>
          <w:bCs/>
          <w:color w:val="auto"/>
          <w:spacing w:val="2"/>
          <w:position w:val="-1"/>
          <w:sz w:val="32"/>
          <w:szCs w:val="32"/>
          <w:highlight w:val="none"/>
          <w:lang w:eastAsia="zh-CN"/>
        </w:rPr>
      </w:pPr>
    </w:p>
    <w:tbl>
      <w:tblPr>
        <w:tblStyle w:val="23"/>
        <w:tblW w:w="918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2410"/>
        <w:gridCol w:w="1276"/>
        <w:gridCol w:w="1842"/>
        <w:gridCol w:w="1418"/>
        <w:gridCol w:w="1530"/>
      </w:tblGrid>
      <w:tr w14:paraId="1A8E0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6A681833">
            <w:pPr>
              <w:pStyle w:val="52"/>
              <w:rPr>
                <w:rFonts w:ascii="宋体" w:hAnsi="宋体"/>
                <w:b w:val="0"/>
                <w:bCs/>
                <w:color w:val="auto"/>
                <w:sz w:val="22"/>
                <w:highlight w:val="none"/>
              </w:rPr>
            </w:pPr>
            <w:r>
              <w:rPr>
                <w:rFonts w:hint="eastAsia" w:ascii="宋体" w:hAnsi="宋体"/>
                <w:b w:val="0"/>
                <w:bCs/>
                <w:color w:val="auto"/>
                <w:sz w:val="22"/>
                <w:highlight w:val="none"/>
              </w:rPr>
              <w:t>序号</w:t>
            </w:r>
          </w:p>
        </w:tc>
        <w:tc>
          <w:tcPr>
            <w:tcW w:w="2410" w:type="dxa"/>
            <w:vAlign w:val="center"/>
          </w:tcPr>
          <w:p w14:paraId="148B0CFC">
            <w:pPr>
              <w:pStyle w:val="52"/>
              <w:jc w:val="center"/>
              <w:rPr>
                <w:rFonts w:ascii="宋体" w:hAnsi="宋体"/>
                <w:b w:val="0"/>
                <w:bCs/>
                <w:color w:val="auto"/>
                <w:sz w:val="22"/>
                <w:highlight w:val="none"/>
              </w:rPr>
            </w:pPr>
            <w:r>
              <w:rPr>
                <w:rFonts w:hint="eastAsia" w:ascii="宋体" w:hAnsi="宋体"/>
                <w:b w:val="0"/>
                <w:bCs/>
                <w:color w:val="auto"/>
                <w:sz w:val="22"/>
                <w:highlight w:val="none"/>
              </w:rPr>
              <w:t>奖项级别</w:t>
            </w:r>
          </w:p>
        </w:tc>
        <w:tc>
          <w:tcPr>
            <w:tcW w:w="1276" w:type="dxa"/>
            <w:vAlign w:val="center"/>
          </w:tcPr>
          <w:p w14:paraId="05F5F475">
            <w:pPr>
              <w:pStyle w:val="52"/>
              <w:jc w:val="center"/>
              <w:rPr>
                <w:rFonts w:ascii="宋体" w:hAnsi="宋体"/>
                <w:b w:val="0"/>
                <w:bCs/>
                <w:color w:val="auto"/>
                <w:sz w:val="22"/>
                <w:highlight w:val="none"/>
              </w:rPr>
            </w:pPr>
            <w:r>
              <w:rPr>
                <w:rFonts w:hint="eastAsia" w:ascii="宋体" w:hAnsi="宋体"/>
                <w:b w:val="0"/>
                <w:bCs/>
                <w:color w:val="auto"/>
                <w:sz w:val="22"/>
                <w:highlight w:val="none"/>
              </w:rPr>
              <w:t>奖项名称</w:t>
            </w:r>
          </w:p>
        </w:tc>
        <w:tc>
          <w:tcPr>
            <w:tcW w:w="1842" w:type="dxa"/>
            <w:vAlign w:val="center"/>
          </w:tcPr>
          <w:p w14:paraId="4A526BF5">
            <w:pPr>
              <w:pStyle w:val="52"/>
              <w:jc w:val="center"/>
              <w:rPr>
                <w:rFonts w:ascii="宋体" w:hAnsi="宋体"/>
                <w:b w:val="0"/>
                <w:bCs/>
                <w:color w:val="auto"/>
                <w:sz w:val="22"/>
                <w:highlight w:val="none"/>
              </w:rPr>
            </w:pPr>
            <w:r>
              <w:rPr>
                <w:rFonts w:hint="eastAsia" w:ascii="宋体" w:hAnsi="宋体"/>
                <w:b w:val="0"/>
                <w:bCs/>
                <w:color w:val="auto"/>
                <w:sz w:val="22"/>
                <w:highlight w:val="none"/>
              </w:rPr>
              <w:t>获奖项目名称</w:t>
            </w:r>
          </w:p>
        </w:tc>
        <w:tc>
          <w:tcPr>
            <w:tcW w:w="1418" w:type="dxa"/>
            <w:vAlign w:val="center"/>
          </w:tcPr>
          <w:p w14:paraId="2732F91E">
            <w:pPr>
              <w:pStyle w:val="52"/>
              <w:ind w:firstLine="107" w:firstLineChars="49"/>
              <w:jc w:val="center"/>
              <w:rPr>
                <w:rFonts w:ascii="宋体" w:hAnsi="宋体"/>
                <w:b w:val="0"/>
                <w:bCs/>
                <w:color w:val="auto"/>
                <w:sz w:val="22"/>
                <w:highlight w:val="none"/>
              </w:rPr>
            </w:pPr>
            <w:r>
              <w:rPr>
                <w:rFonts w:hint="eastAsia" w:ascii="宋体" w:hAnsi="宋体"/>
                <w:b w:val="0"/>
                <w:bCs/>
                <w:color w:val="auto"/>
                <w:sz w:val="22"/>
                <w:highlight w:val="none"/>
              </w:rPr>
              <w:t>获奖时间</w:t>
            </w:r>
          </w:p>
        </w:tc>
        <w:tc>
          <w:tcPr>
            <w:tcW w:w="1530" w:type="dxa"/>
            <w:vAlign w:val="center"/>
          </w:tcPr>
          <w:p w14:paraId="682ACBF9">
            <w:pPr>
              <w:pStyle w:val="52"/>
              <w:jc w:val="center"/>
              <w:rPr>
                <w:rFonts w:ascii="宋体" w:hAnsi="宋体"/>
                <w:b w:val="0"/>
                <w:bCs/>
                <w:color w:val="auto"/>
                <w:sz w:val="22"/>
                <w:highlight w:val="none"/>
              </w:rPr>
            </w:pPr>
            <w:r>
              <w:rPr>
                <w:rFonts w:hint="eastAsia" w:ascii="宋体" w:hAnsi="宋体"/>
                <w:b w:val="0"/>
                <w:bCs/>
                <w:color w:val="auto"/>
                <w:sz w:val="22"/>
                <w:highlight w:val="none"/>
              </w:rPr>
              <w:t>授奖机构</w:t>
            </w:r>
          </w:p>
        </w:tc>
      </w:tr>
      <w:tr w14:paraId="0FC26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57BDF8B9">
            <w:pPr>
              <w:pStyle w:val="52"/>
              <w:jc w:val="center"/>
              <w:rPr>
                <w:rFonts w:ascii="宋体" w:hAnsi="宋体"/>
                <w:b w:val="0"/>
                <w:bCs/>
                <w:color w:val="auto"/>
                <w:sz w:val="22"/>
                <w:highlight w:val="none"/>
              </w:rPr>
            </w:pPr>
            <w:r>
              <w:rPr>
                <w:rFonts w:hint="eastAsia" w:ascii="宋体" w:hAnsi="宋体"/>
                <w:b w:val="0"/>
                <w:bCs/>
                <w:color w:val="auto"/>
                <w:sz w:val="22"/>
                <w:highlight w:val="none"/>
              </w:rPr>
              <w:t>1</w:t>
            </w:r>
          </w:p>
        </w:tc>
        <w:tc>
          <w:tcPr>
            <w:tcW w:w="2410" w:type="dxa"/>
            <w:vAlign w:val="center"/>
          </w:tcPr>
          <w:p w14:paraId="10C99F74">
            <w:pPr>
              <w:pStyle w:val="52"/>
              <w:jc w:val="center"/>
              <w:rPr>
                <w:rFonts w:ascii="宋体" w:hAnsi="宋体"/>
                <w:b w:val="0"/>
                <w:bCs/>
                <w:color w:val="auto"/>
                <w:sz w:val="24"/>
                <w:highlight w:val="none"/>
              </w:rPr>
            </w:pPr>
          </w:p>
        </w:tc>
        <w:tc>
          <w:tcPr>
            <w:tcW w:w="1276" w:type="dxa"/>
            <w:vAlign w:val="center"/>
          </w:tcPr>
          <w:p w14:paraId="3E108BB6">
            <w:pPr>
              <w:pStyle w:val="52"/>
              <w:jc w:val="center"/>
              <w:rPr>
                <w:rFonts w:ascii="宋体" w:hAnsi="宋体"/>
                <w:b w:val="0"/>
                <w:bCs/>
                <w:color w:val="auto"/>
                <w:sz w:val="24"/>
                <w:highlight w:val="none"/>
              </w:rPr>
            </w:pPr>
          </w:p>
        </w:tc>
        <w:tc>
          <w:tcPr>
            <w:tcW w:w="1842" w:type="dxa"/>
            <w:vAlign w:val="center"/>
          </w:tcPr>
          <w:p w14:paraId="33BBA08C">
            <w:pPr>
              <w:pStyle w:val="52"/>
              <w:jc w:val="center"/>
              <w:rPr>
                <w:rFonts w:ascii="宋体" w:hAnsi="宋体"/>
                <w:b w:val="0"/>
                <w:bCs/>
                <w:color w:val="auto"/>
                <w:sz w:val="24"/>
                <w:highlight w:val="none"/>
              </w:rPr>
            </w:pPr>
          </w:p>
        </w:tc>
        <w:tc>
          <w:tcPr>
            <w:tcW w:w="1418" w:type="dxa"/>
            <w:vAlign w:val="center"/>
          </w:tcPr>
          <w:p w14:paraId="1F0CEC3E">
            <w:pPr>
              <w:pStyle w:val="52"/>
              <w:ind w:firstLine="117" w:firstLineChars="49"/>
              <w:jc w:val="center"/>
              <w:rPr>
                <w:rFonts w:ascii="宋体" w:hAnsi="宋体"/>
                <w:b w:val="0"/>
                <w:bCs/>
                <w:color w:val="auto"/>
                <w:sz w:val="24"/>
                <w:highlight w:val="none"/>
              </w:rPr>
            </w:pPr>
          </w:p>
        </w:tc>
        <w:tc>
          <w:tcPr>
            <w:tcW w:w="1530" w:type="dxa"/>
            <w:vAlign w:val="center"/>
          </w:tcPr>
          <w:p w14:paraId="337A9217">
            <w:pPr>
              <w:pStyle w:val="52"/>
              <w:ind w:firstLine="482"/>
              <w:jc w:val="center"/>
              <w:rPr>
                <w:rFonts w:ascii="宋体" w:hAnsi="宋体"/>
                <w:b w:val="0"/>
                <w:bCs/>
                <w:color w:val="auto"/>
                <w:sz w:val="24"/>
                <w:highlight w:val="none"/>
              </w:rPr>
            </w:pPr>
          </w:p>
        </w:tc>
      </w:tr>
      <w:tr w14:paraId="465D6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7472B395">
            <w:pPr>
              <w:pStyle w:val="52"/>
              <w:jc w:val="center"/>
              <w:rPr>
                <w:rFonts w:ascii="宋体" w:hAnsi="宋体"/>
                <w:b w:val="0"/>
                <w:bCs/>
                <w:color w:val="auto"/>
                <w:sz w:val="22"/>
                <w:highlight w:val="none"/>
              </w:rPr>
            </w:pPr>
            <w:r>
              <w:rPr>
                <w:rFonts w:hint="eastAsia" w:ascii="宋体" w:hAnsi="宋体"/>
                <w:b w:val="0"/>
                <w:bCs/>
                <w:color w:val="auto"/>
                <w:sz w:val="22"/>
                <w:highlight w:val="none"/>
              </w:rPr>
              <w:t>2</w:t>
            </w:r>
          </w:p>
        </w:tc>
        <w:tc>
          <w:tcPr>
            <w:tcW w:w="2410" w:type="dxa"/>
            <w:vAlign w:val="center"/>
          </w:tcPr>
          <w:p w14:paraId="32ACE904">
            <w:pPr>
              <w:pStyle w:val="52"/>
              <w:jc w:val="center"/>
              <w:rPr>
                <w:rFonts w:ascii="宋体" w:hAnsi="宋体"/>
                <w:b w:val="0"/>
                <w:bCs/>
                <w:color w:val="auto"/>
                <w:sz w:val="24"/>
                <w:highlight w:val="none"/>
              </w:rPr>
            </w:pPr>
          </w:p>
        </w:tc>
        <w:tc>
          <w:tcPr>
            <w:tcW w:w="1276" w:type="dxa"/>
            <w:vAlign w:val="center"/>
          </w:tcPr>
          <w:p w14:paraId="7E8E25C7">
            <w:pPr>
              <w:pStyle w:val="52"/>
              <w:jc w:val="center"/>
              <w:rPr>
                <w:rFonts w:ascii="宋体" w:hAnsi="宋体"/>
                <w:b w:val="0"/>
                <w:bCs/>
                <w:color w:val="auto"/>
                <w:sz w:val="24"/>
                <w:highlight w:val="none"/>
              </w:rPr>
            </w:pPr>
          </w:p>
        </w:tc>
        <w:tc>
          <w:tcPr>
            <w:tcW w:w="1842" w:type="dxa"/>
            <w:vAlign w:val="center"/>
          </w:tcPr>
          <w:p w14:paraId="3FA9C00E">
            <w:pPr>
              <w:pStyle w:val="52"/>
              <w:jc w:val="center"/>
              <w:rPr>
                <w:rFonts w:ascii="宋体" w:hAnsi="宋体"/>
                <w:b w:val="0"/>
                <w:bCs/>
                <w:color w:val="auto"/>
                <w:sz w:val="24"/>
                <w:highlight w:val="none"/>
              </w:rPr>
            </w:pPr>
          </w:p>
        </w:tc>
        <w:tc>
          <w:tcPr>
            <w:tcW w:w="1418" w:type="dxa"/>
            <w:vAlign w:val="center"/>
          </w:tcPr>
          <w:p w14:paraId="6500DD3E">
            <w:pPr>
              <w:pStyle w:val="52"/>
              <w:ind w:firstLine="117" w:firstLineChars="49"/>
              <w:jc w:val="center"/>
              <w:rPr>
                <w:rFonts w:ascii="宋体" w:hAnsi="宋体"/>
                <w:b w:val="0"/>
                <w:bCs/>
                <w:color w:val="auto"/>
                <w:sz w:val="24"/>
                <w:highlight w:val="none"/>
              </w:rPr>
            </w:pPr>
          </w:p>
        </w:tc>
        <w:tc>
          <w:tcPr>
            <w:tcW w:w="1530" w:type="dxa"/>
            <w:vAlign w:val="center"/>
          </w:tcPr>
          <w:p w14:paraId="1ECF5217">
            <w:pPr>
              <w:pStyle w:val="52"/>
              <w:ind w:firstLine="482"/>
              <w:jc w:val="center"/>
              <w:rPr>
                <w:rFonts w:ascii="宋体" w:hAnsi="宋体"/>
                <w:b w:val="0"/>
                <w:bCs/>
                <w:color w:val="auto"/>
                <w:sz w:val="24"/>
                <w:highlight w:val="none"/>
              </w:rPr>
            </w:pPr>
          </w:p>
        </w:tc>
      </w:tr>
      <w:tr w14:paraId="6B6C7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45377286">
            <w:pPr>
              <w:pStyle w:val="52"/>
              <w:jc w:val="center"/>
              <w:rPr>
                <w:rFonts w:ascii="宋体" w:hAnsi="宋体"/>
                <w:b w:val="0"/>
                <w:bCs/>
                <w:color w:val="auto"/>
                <w:sz w:val="22"/>
                <w:highlight w:val="none"/>
              </w:rPr>
            </w:pPr>
            <w:r>
              <w:rPr>
                <w:rFonts w:hint="eastAsia" w:ascii="宋体" w:hAnsi="宋体"/>
                <w:b w:val="0"/>
                <w:bCs/>
                <w:color w:val="auto"/>
                <w:sz w:val="22"/>
                <w:highlight w:val="none"/>
              </w:rPr>
              <w:t>3</w:t>
            </w:r>
          </w:p>
        </w:tc>
        <w:tc>
          <w:tcPr>
            <w:tcW w:w="2410" w:type="dxa"/>
            <w:vAlign w:val="center"/>
          </w:tcPr>
          <w:p w14:paraId="06503872">
            <w:pPr>
              <w:pStyle w:val="52"/>
              <w:jc w:val="center"/>
              <w:rPr>
                <w:rFonts w:ascii="宋体" w:hAnsi="宋体"/>
                <w:b w:val="0"/>
                <w:bCs/>
                <w:color w:val="auto"/>
                <w:sz w:val="24"/>
                <w:highlight w:val="none"/>
              </w:rPr>
            </w:pPr>
          </w:p>
        </w:tc>
        <w:tc>
          <w:tcPr>
            <w:tcW w:w="1276" w:type="dxa"/>
            <w:vAlign w:val="center"/>
          </w:tcPr>
          <w:p w14:paraId="5DB1D43A">
            <w:pPr>
              <w:pStyle w:val="52"/>
              <w:jc w:val="center"/>
              <w:rPr>
                <w:rFonts w:ascii="宋体" w:hAnsi="宋体"/>
                <w:b w:val="0"/>
                <w:bCs/>
                <w:color w:val="auto"/>
                <w:sz w:val="24"/>
                <w:highlight w:val="none"/>
              </w:rPr>
            </w:pPr>
          </w:p>
        </w:tc>
        <w:tc>
          <w:tcPr>
            <w:tcW w:w="1842" w:type="dxa"/>
            <w:vAlign w:val="center"/>
          </w:tcPr>
          <w:p w14:paraId="7434BFA5">
            <w:pPr>
              <w:pStyle w:val="52"/>
              <w:jc w:val="center"/>
              <w:rPr>
                <w:rFonts w:ascii="宋体" w:hAnsi="宋体"/>
                <w:b w:val="0"/>
                <w:bCs/>
                <w:color w:val="auto"/>
                <w:sz w:val="24"/>
                <w:highlight w:val="none"/>
              </w:rPr>
            </w:pPr>
          </w:p>
        </w:tc>
        <w:tc>
          <w:tcPr>
            <w:tcW w:w="1418" w:type="dxa"/>
            <w:vAlign w:val="center"/>
          </w:tcPr>
          <w:p w14:paraId="47EC46AD">
            <w:pPr>
              <w:pStyle w:val="52"/>
              <w:ind w:firstLine="117" w:firstLineChars="49"/>
              <w:jc w:val="center"/>
              <w:rPr>
                <w:rFonts w:ascii="宋体" w:hAnsi="宋体"/>
                <w:b w:val="0"/>
                <w:bCs/>
                <w:color w:val="auto"/>
                <w:sz w:val="24"/>
                <w:highlight w:val="none"/>
              </w:rPr>
            </w:pPr>
          </w:p>
        </w:tc>
        <w:tc>
          <w:tcPr>
            <w:tcW w:w="1530" w:type="dxa"/>
            <w:vAlign w:val="center"/>
          </w:tcPr>
          <w:p w14:paraId="6AA2F411">
            <w:pPr>
              <w:pStyle w:val="52"/>
              <w:ind w:firstLine="482"/>
              <w:jc w:val="center"/>
              <w:rPr>
                <w:rFonts w:ascii="宋体" w:hAnsi="宋体"/>
                <w:b w:val="0"/>
                <w:bCs/>
                <w:color w:val="auto"/>
                <w:sz w:val="24"/>
                <w:highlight w:val="none"/>
              </w:rPr>
            </w:pPr>
          </w:p>
        </w:tc>
      </w:tr>
      <w:tr w14:paraId="1EF13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2E491B4B">
            <w:pPr>
              <w:pStyle w:val="52"/>
              <w:jc w:val="center"/>
              <w:rPr>
                <w:rFonts w:ascii="宋体" w:hAnsi="宋体"/>
                <w:b w:val="0"/>
                <w:bCs/>
                <w:color w:val="auto"/>
                <w:sz w:val="22"/>
                <w:highlight w:val="none"/>
              </w:rPr>
            </w:pPr>
            <w:r>
              <w:rPr>
                <w:rFonts w:hint="eastAsia" w:ascii="宋体" w:hAnsi="宋体"/>
                <w:b w:val="0"/>
                <w:bCs/>
                <w:color w:val="auto"/>
                <w:sz w:val="22"/>
                <w:highlight w:val="none"/>
              </w:rPr>
              <w:t>4</w:t>
            </w:r>
          </w:p>
        </w:tc>
        <w:tc>
          <w:tcPr>
            <w:tcW w:w="2410" w:type="dxa"/>
            <w:vAlign w:val="center"/>
          </w:tcPr>
          <w:p w14:paraId="4527C2A6">
            <w:pPr>
              <w:pStyle w:val="52"/>
              <w:jc w:val="center"/>
              <w:rPr>
                <w:rFonts w:ascii="宋体" w:hAnsi="宋体"/>
                <w:b w:val="0"/>
                <w:bCs/>
                <w:color w:val="auto"/>
                <w:sz w:val="24"/>
                <w:highlight w:val="none"/>
              </w:rPr>
            </w:pPr>
          </w:p>
        </w:tc>
        <w:tc>
          <w:tcPr>
            <w:tcW w:w="1276" w:type="dxa"/>
            <w:vAlign w:val="center"/>
          </w:tcPr>
          <w:p w14:paraId="0AAFA1F1">
            <w:pPr>
              <w:pStyle w:val="52"/>
              <w:jc w:val="center"/>
              <w:rPr>
                <w:rFonts w:ascii="宋体" w:hAnsi="宋体"/>
                <w:b w:val="0"/>
                <w:bCs/>
                <w:color w:val="auto"/>
                <w:sz w:val="24"/>
                <w:highlight w:val="none"/>
              </w:rPr>
            </w:pPr>
          </w:p>
        </w:tc>
        <w:tc>
          <w:tcPr>
            <w:tcW w:w="1842" w:type="dxa"/>
            <w:vAlign w:val="center"/>
          </w:tcPr>
          <w:p w14:paraId="5E21EF8B">
            <w:pPr>
              <w:pStyle w:val="52"/>
              <w:jc w:val="center"/>
              <w:rPr>
                <w:rFonts w:ascii="宋体" w:hAnsi="宋体"/>
                <w:b w:val="0"/>
                <w:bCs/>
                <w:color w:val="auto"/>
                <w:sz w:val="24"/>
                <w:highlight w:val="none"/>
              </w:rPr>
            </w:pPr>
          </w:p>
        </w:tc>
        <w:tc>
          <w:tcPr>
            <w:tcW w:w="1418" w:type="dxa"/>
            <w:vAlign w:val="center"/>
          </w:tcPr>
          <w:p w14:paraId="489A61B8">
            <w:pPr>
              <w:pStyle w:val="52"/>
              <w:ind w:firstLine="117" w:firstLineChars="49"/>
              <w:jc w:val="center"/>
              <w:rPr>
                <w:rFonts w:ascii="宋体" w:hAnsi="宋体"/>
                <w:b w:val="0"/>
                <w:bCs/>
                <w:color w:val="auto"/>
                <w:sz w:val="24"/>
                <w:highlight w:val="none"/>
              </w:rPr>
            </w:pPr>
          </w:p>
        </w:tc>
        <w:tc>
          <w:tcPr>
            <w:tcW w:w="1530" w:type="dxa"/>
            <w:vAlign w:val="center"/>
          </w:tcPr>
          <w:p w14:paraId="4A2EBF54">
            <w:pPr>
              <w:pStyle w:val="52"/>
              <w:ind w:firstLine="482"/>
              <w:jc w:val="center"/>
              <w:rPr>
                <w:rFonts w:ascii="宋体" w:hAnsi="宋体"/>
                <w:b w:val="0"/>
                <w:bCs/>
                <w:color w:val="auto"/>
                <w:sz w:val="24"/>
                <w:highlight w:val="none"/>
              </w:rPr>
            </w:pPr>
          </w:p>
        </w:tc>
      </w:tr>
      <w:tr w14:paraId="36972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3CAE9CEF">
            <w:pPr>
              <w:pStyle w:val="52"/>
              <w:jc w:val="center"/>
              <w:rPr>
                <w:rFonts w:ascii="宋体" w:hAnsi="宋体"/>
                <w:b w:val="0"/>
                <w:bCs/>
                <w:color w:val="auto"/>
                <w:sz w:val="22"/>
                <w:highlight w:val="none"/>
              </w:rPr>
            </w:pPr>
            <w:r>
              <w:rPr>
                <w:rFonts w:hint="eastAsia" w:ascii="宋体" w:hAnsi="宋体"/>
                <w:b w:val="0"/>
                <w:bCs/>
                <w:color w:val="auto"/>
                <w:sz w:val="22"/>
                <w:highlight w:val="none"/>
              </w:rPr>
              <w:t>5</w:t>
            </w:r>
          </w:p>
        </w:tc>
        <w:tc>
          <w:tcPr>
            <w:tcW w:w="2410" w:type="dxa"/>
            <w:vAlign w:val="center"/>
          </w:tcPr>
          <w:p w14:paraId="5928474F">
            <w:pPr>
              <w:pStyle w:val="52"/>
              <w:jc w:val="center"/>
              <w:rPr>
                <w:rFonts w:ascii="宋体" w:hAnsi="宋体"/>
                <w:b w:val="0"/>
                <w:bCs/>
                <w:color w:val="auto"/>
                <w:sz w:val="24"/>
                <w:highlight w:val="none"/>
              </w:rPr>
            </w:pPr>
          </w:p>
        </w:tc>
        <w:tc>
          <w:tcPr>
            <w:tcW w:w="1276" w:type="dxa"/>
            <w:vAlign w:val="center"/>
          </w:tcPr>
          <w:p w14:paraId="0B0490E3">
            <w:pPr>
              <w:pStyle w:val="52"/>
              <w:jc w:val="center"/>
              <w:rPr>
                <w:rFonts w:ascii="宋体" w:hAnsi="宋体"/>
                <w:b w:val="0"/>
                <w:bCs/>
                <w:color w:val="auto"/>
                <w:sz w:val="24"/>
                <w:highlight w:val="none"/>
              </w:rPr>
            </w:pPr>
          </w:p>
        </w:tc>
        <w:tc>
          <w:tcPr>
            <w:tcW w:w="1842" w:type="dxa"/>
            <w:vAlign w:val="center"/>
          </w:tcPr>
          <w:p w14:paraId="1D25198B">
            <w:pPr>
              <w:pStyle w:val="52"/>
              <w:jc w:val="center"/>
              <w:rPr>
                <w:rFonts w:ascii="宋体" w:hAnsi="宋体"/>
                <w:b w:val="0"/>
                <w:bCs/>
                <w:color w:val="auto"/>
                <w:sz w:val="24"/>
                <w:highlight w:val="none"/>
              </w:rPr>
            </w:pPr>
          </w:p>
        </w:tc>
        <w:tc>
          <w:tcPr>
            <w:tcW w:w="1418" w:type="dxa"/>
            <w:vAlign w:val="center"/>
          </w:tcPr>
          <w:p w14:paraId="1F38B776">
            <w:pPr>
              <w:pStyle w:val="52"/>
              <w:ind w:firstLine="117" w:firstLineChars="49"/>
              <w:jc w:val="center"/>
              <w:rPr>
                <w:rFonts w:ascii="宋体" w:hAnsi="宋体"/>
                <w:b w:val="0"/>
                <w:bCs/>
                <w:color w:val="auto"/>
                <w:sz w:val="24"/>
                <w:highlight w:val="none"/>
              </w:rPr>
            </w:pPr>
          </w:p>
        </w:tc>
        <w:tc>
          <w:tcPr>
            <w:tcW w:w="1530" w:type="dxa"/>
            <w:vAlign w:val="center"/>
          </w:tcPr>
          <w:p w14:paraId="6247A2C1">
            <w:pPr>
              <w:pStyle w:val="52"/>
              <w:ind w:firstLine="482"/>
              <w:jc w:val="center"/>
              <w:rPr>
                <w:rFonts w:ascii="宋体" w:hAnsi="宋体"/>
                <w:b w:val="0"/>
                <w:bCs/>
                <w:color w:val="auto"/>
                <w:sz w:val="24"/>
                <w:highlight w:val="none"/>
              </w:rPr>
            </w:pPr>
          </w:p>
        </w:tc>
      </w:tr>
      <w:tr w14:paraId="5C0EA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0C6D5502">
            <w:pPr>
              <w:pStyle w:val="52"/>
              <w:jc w:val="center"/>
              <w:rPr>
                <w:rFonts w:ascii="宋体" w:hAnsi="宋体"/>
                <w:b w:val="0"/>
                <w:bCs/>
                <w:color w:val="auto"/>
                <w:sz w:val="22"/>
                <w:highlight w:val="none"/>
              </w:rPr>
            </w:pPr>
            <w:r>
              <w:rPr>
                <w:rFonts w:hint="eastAsia" w:ascii="宋体" w:hAnsi="宋体"/>
                <w:b w:val="0"/>
                <w:bCs/>
                <w:color w:val="auto"/>
                <w:sz w:val="22"/>
                <w:highlight w:val="none"/>
              </w:rPr>
              <w:t>6</w:t>
            </w:r>
          </w:p>
        </w:tc>
        <w:tc>
          <w:tcPr>
            <w:tcW w:w="2410" w:type="dxa"/>
            <w:vAlign w:val="center"/>
          </w:tcPr>
          <w:p w14:paraId="2E326166">
            <w:pPr>
              <w:pStyle w:val="52"/>
              <w:jc w:val="center"/>
              <w:rPr>
                <w:rFonts w:ascii="宋体" w:hAnsi="宋体"/>
                <w:b w:val="0"/>
                <w:bCs/>
                <w:color w:val="auto"/>
                <w:sz w:val="24"/>
                <w:highlight w:val="none"/>
              </w:rPr>
            </w:pPr>
          </w:p>
        </w:tc>
        <w:tc>
          <w:tcPr>
            <w:tcW w:w="1276" w:type="dxa"/>
            <w:vAlign w:val="center"/>
          </w:tcPr>
          <w:p w14:paraId="37DFB877">
            <w:pPr>
              <w:pStyle w:val="52"/>
              <w:jc w:val="center"/>
              <w:rPr>
                <w:rFonts w:ascii="宋体" w:hAnsi="宋体"/>
                <w:b w:val="0"/>
                <w:bCs/>
                <w:color w:val="auto"/>
                <w:sz w:val="24"/>
                <w:highlight w:val="none"/>
              </w:rPr>
            </w:pPr>
          </w:p>
        </w:tc>
        <w:tc>
          <w:tcPr>
            <w:tcW w:w="1842" w:type="dxa"/>
            <w:vAlign w:val="center"/>
          </w:tcPr>
          <w:p w14:paraId="2FC8FB2F">
            <w:pPr>
              <w:pStyle w:val="52"/>
              <w:jc w:val="center"/>
              <w:rPr>
                <w:rFonts w:ascii="宋体" w:hAnsi="宋体"/>
                <w:b w:val="0"/>
                <w:bCs/>
                <w:color w:val="auto"/>
                <w:sz w:val="24"/>
                <w:highlight w:val="none"/>
              </w:rPr>
            </w:pPr>
          </w:p>
        </w:tc>
        <w:tc>
          <w:tcPr>
            <w:tcW w:w="1418" w:type="dxa"/>
            <w:vAlign w:val="center"/>
          </w:tcPr>
          <w:p w14:paraId="43BE9616">
            <w:pPr>
              <w:pStyle w:val="52"/>
              <w:ind w:firstLine="117" w:firstLineChars="49"/>
              <w:jc w:val="center"/>
              <w:rPr>
                <w:rFonts w:ascii="宋体" w:hAnsi="宋体"/>
                <w:b w:val="0"/>
                <w:bCs/>
                <w:color w:val="auto"/>
                <w:sz w:val="24"/>
                <w:highlight w:val="none"/>
              </w:rPr>
            </w:pPr>
          </w:p>
        </w:tc>
        <w:tc>
          <w:tcPr>
            <w:tcW w:w="1530" w:type="dxa"/>
            <w:vAlign w:val="center"/>
          </w:tcPr>
          <w:p w14:paraId="19C95EAA">
            <w:pPr>
              <w:pStyle w:val="52"/>
              <w:ind w:firstLine="482"/>
              <w:jc w:val="center"/>
              <w:rPr>
                <w:rFonts w:ascii="宋体" w:hAnsi="宋体"/>
                <w:b w:val="0"/>
                <w:bCs/>
                <w:color w:val="auto"/>
                <w:sz w:val="24"/>
                <w:highlight w:val="none"/>
              </w:rPr>
            </w:pPr>
          </w:p>
        </w:tc>
      </w:tr>
      <w:tr w14:paraId="4ECF1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043B22D7">
            <w:pPr>
              <w:pStyle w:val="52"/>
              <w:jc w:val="center"/>
              <w:rPr>
                <w:rFonts w:ascii="宋体" w:hAnsi="宋体"/>
                <w:b w:val="0"/>
                <w:bCs/>
                <w:color w:val="auto"/>
                <w:sz w:val="22"/>
                <w:highlight w:val="none"/>
              </w:rPr>
            </w:pPr>
            <w:r>
              <w:rPr>
                <w:rFonts w:hint="eastAsia" w:ascii="宋体" w:hAnsi="宋体"/>
                <w:b w:val="0"/>
                <w:bCs/>
                <w:color w:val="auto"/>
                <w:sz w:val="22"/>
                <w:highlight w:val="none"/>
              </w:rPr>
              <w:t>7</w:t>
            </w:r>
          </w:p>
        </w:tc>
        <w:tc>
          <w:tcPr>
            <w:tcW w:w="2410" w:type="dxa"/>
            <w:vAlign w:val="center"/>
          </w:tcPr>
          <w:p w14:paraId="184C274C">
            <w:pPr>
              <w:pStyle w:val="52"/>
              <w:jc w:val="center"/>
              <w:rPr>
                <w:rFonts w:ascii="宋体" w:hAnsi="宋体"/>
                <w:b w:val="0"/>
                <w:bCs/>
                <w:color w:val="auto"/>
                <w:sz w:val="24"/>
                <w:highlight w:val="none"/>
              </w:rPr>
            </w:pPr>
          </w:p>
        </w:tc>
        <w:tc>
          <w:tcPr>
            <w:tcW w:w="1276" w:type="dxa"/>
            <w:vAlign w:val="center"/>
          </w:tcPr>
          <w:p w14:paraId="0F0F030B">
            <w:pPr>
              <w:pStyle w:val="52"/>
              <w:jc w:val="center"/>
              <w:rPr>
                <w:rFonts w:ascii="宋体" w:hAnsi="宋体"/>
                <w:b w:val="0"/>
                <w:bCs/>
                <w:color w:val="auto"/>
                <w:sz w:val="24"/>
                <w:highlight w:val="none"/>
              </w:rPr>
            </w:pPr>
          </w:p>
        </w:tc>
        <w:tc>
          <w:tcPr>
            <w:tcW w:w="1842" w:type="dxa"/>
            <w:vAlign w:val="center"/>
          </w:tcPr>
          <w:p w14:paraId="563678E9">
            <w:pPr>
              <w:pStyle w:val="52"/>
              <w:jc w:val="center"/>
              <w:rPr>
                <w:rFonts w:ascii="宋体" w:hAnsi="宋体"/>
                <w:b w:val="0"/>
                <w:bCs/>
                <w:color w:val="auto"/>
                <w:sz w:val="24"/>
                <w:highlight w:val="none"/>
              </w:rPr>
            </w:pPr>
          </w:p>
        </w:tc>
        <w:tc>
          <w:tcPr>
            <w:tcW w:w="1418" w:type="dxa"/>
            <w:vAlign w:val="center"/>
          </w:tcPr>
          <w:p w14:paraId="6C33D2DA">
            <w:pPr>
              <w:pStyle w:val="52"/>
              <w:ind w:firstLine="117" w:firstLineChars="49"/>
              <w:jc w:val="center"/>
              <w:rPr>
                <w:rFonts w:ascii="宋体" w:hAnsi="宋体"/>
                <w:b w:val="0"/>
                <w:bCs/>
                <w:color w:val="auto"/>
                <w:sz w:val="24"/>
                <w:highlight w:val="none"/>
              </w:rPr>
            </w:pPr>
          </w:p>
        </w:tc>
        <w:tc>
          <w:tcPr>
            <w:tcW w:w="1530" w:type="dxa"/>
            <w:vAlign w:val="center"/>
          </w:tcPr>
          <w:p w14:paraId="687C6734">
            <w:pPr>
              <w:pStyle w:val="52"/>
              <w:ind w:firstLine="482"/>
              <w:jc w:val="center"/>
              <w:rPr>
                <w:rFonts w:ascii="宋体" w:hAnsi="宋体"/>
                <w:b w:val="0"/>
                <w:bCs/>
                <w:color w:val="auto"/>
                <w:sz w:val="24"/>
                <w:highlight w:val="none"/>
              </w:rPr>
            </w:pPr>
          </w:p>
        </w:tc>
      </w:tr>
      <w:tr w14:paraId="77866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18F6E5A9">
            <w:pPr>
              <w:pStyle w:val="52"/>
              <w:jc w:val="center"/>
              <w:rPr>
                <w:rFonts w:ascii="宋体" w:hAnsi="宋体"/>
                <w:b w:val="0"/>
                <w:bCs/>
                <w:color w:val="auto"/>
                <w:sz w:val="22"/>
                <w:highlight w:val="none"/>
              </w:rPr>
            </w:pPr>
            <w:r>
              <w:rPr>
                <w:rFonts w:hint="eastAsia" w:ascii="宋体" w:hAnsi="宋体"/>
                <w:b w:val="0"/>
                <w:bCs/>
                <w:color w:val="auto"/>
                <w:sz w:val="22"/>
                <w:highlight w:val="none"/>
              </w:rPr>
              <w:t>8</w:t>
            </w:r>
          </w:p>
        </w:tc>
        <w:tc>
          <w:tcPr>
            <w:tcW w:w="2410" w:type="dxa"/>
            <w:vAlign w:val="center"/>
          </w:tcPr>
          <w:p w14:paraId="39497845">
            <w:pPr>
              <w:pStyle w:val="52"/>
              <w:jc w:val="center"/>
              <w:rPr>
                <w:rFonts w:ascii="宋体" w:hAnsi="宋体"/>
                <w:b w:val="0"/>
                <w:bCs/>
                <w:color w:val="auto"/>
                <w:sz w:val="24"/>
                <w:highlight w:val="none"/>
              </w:rPr>
            </w:pPr>
          </w:p>
        </w:tc>
        <w:tc>
          <w:tcPr>
            <w:tcW w:w="1276" w:type="dxa"/>
            <w:vAlign w:val="center"/>
          </w:tcPr>
          <w:p w14:paraId="16B85A2E">
            <w:pPr>
              <w:pStyle w:val="52"/>
              <w:jc w:val="center"/>
              <w:rPr>
                <w:rFonts w:ascii="宋体" w:hAnsi="宋体"/>
                <w:b w:val="0"/>
                <w:bCs/>
                <w:color w:val="auto"/>
                <w:sz w:val="24"/>
                <w:highlight w:val="none"/>
              </w:rPr>
            </w:pPr>
          </w:p>
        </w:tc>
        <w:tc>
          <w:tcPr>
            <w:tcW w:w="1842" w:type="dxa"/>
            <w:vAlign w:val="center"/>
          </w:tcPr>
          <w:p w14:paraId="07AE821F">
            <w:pPr>
              <w:pStyle w:val="52"/>
              <w:jc w:val="center"/>
              <w:rPr>
                <w:rFonts w:ascii="宋体" w:hAnsi="宋体"/>
                <w:b w:val="0"/>
                <w:bCs/>
                <w:color w:val="auto"/>
                <w:sz w:val="24"/>
                <w:highlight w:val="none"/>
              </w:rPr>
            </w:pPr>
          </w:p>
        </w:tc>
        <w:tc>
          <w:tcPr>
            <w:tcW w:w="1418" w:type="dxa"/>
            <w:vAlign w:val="center"/>
          </w:tcPr>
          <w:p w14:paraId="1B81055F">
            <w:pPr>
              <w:pStyle w:val="52"/>
              <w:ind w:firstLine="117" w:firstLineChars="49"/>
              <w:jc w:val="center"/>
              <w:rPr>
                <w:rFonts w:ascii="宋体" w:hAnsi="宋体"/>
                <w:b w:val="0"/>
                <w:bCs/>
                <w:color w:val="auto"/>
                <w:sz w:val="24"/>
                <w:highlight w:val="none"/>
              </w:rPr>
            </w:pPr>
          </w:p>
        </w:tc>
        <w:tc>
          <w:tcPr>
            <w:tcW w:w="1530" w:type="dxa"/>
            <w:vAlign w:val="center"/>
          </w:tcPr>
          <w:p w14:paraId="170B83D5">
            <w:pPr>
              <w:pStyle w:val="52"/>
              <w:ind w:firstLine="482"/>
              <w:jc w:val="center"/>
              <w:rPr>
                <w:rFonts w:ascii="宋体" w:hAnsi="宋体"/>
                <w:b w:val="0"/>
                <w:bCs/>
                <w:color w:val="auto"/>
                <w:sz w:val="24"/>
                <w:highlight w:val="none"/>
              </w:rPr>
            </w:pPr>
          </w:p>
        </w:tc>
      </w:tr>
      <w:tr w14:paraId="28B75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1A7DD599">
            <w:pPr>
              <w:pStyle w:val="52"/>
              <w:jc w:val="center"/>
              <w:rPr>
                <w:rFonts w:ascii="宋体" w:hAnsi="宋体"/>
                <w:b w:val="0"/>
                <w:bCs/>
                <w:color w:val="auto"/>
                <w:sz w:val="22"/>
                <w:highlight w:val="none"/>
              </w:rPr>
            </w:pPr>
            <w:r>
              <w:rPr>
                <w:rFonts w:hint="eastAsia" w:ascii="宋体" w:hAnsi="宋体"/>
                <w:b w:val="0"/>
                <w:bCs/>
                <w:color w:val="auto"/>
                <w:sz w:val="22"/>
                <w:highlight w:val="none"/>
              </w:rPr>
              <w:t>9</w:t>
            </w:r>
          </w:p>
        </w:tc>
        <w:tc>
          <w:tcPr>
            <w:tcW w:w="2410" w:type="dxa"/>
            <w:vAlign w:val="center"/>
          </w:tcPr>
          <w:p w14:paraId="49FDD7FE">
            <w:pPr>
              <w:pStyle w:val="52"/>
              <w:jc w:val="center"/>
              <w:rPr>
                <w:rFonts w:ascii="宋体" w:hAnsi="宋体"/>
                <w:b w:val="0"/>
                <w:bCs/>
                <w:color w:val="auto"/>
                <w:sz w:val="24"/>
                <w:highlight w:val="none"/>
              </w:rPr>
            </w:pPr>
          </w:p>
        </w:tc>
        <w:tc>
          <w:tcPr>
            <w:tcW w:w="1276" w:type="dxa"/>
            <w:vAlign w:val="center"/>
          </w:tcPr>
          <w:p w14:paraId="21751CE8">
            <w:pPr>
              <w:pStyle w:val="52"/>
              <w:jc w:val="center"/>
              <w:rPr>
                <w:rFonts w:ascii="宋体" w:hAnsi="宋体"/>
                <w:b w:val="0"/>
                <w:bCs/>
                <w:color w:val="auto"/>
                <w:sz w:val="24"/>
                <w:highlight w:val="none"/>
              </w:rPr>
            </w:pPr>
          </w:p>
        </w:tc>
        <w:tc>
          <w:tcPr>
            <w:tcW w:w="1842" w:type="dxa"/>
            <w:vAlign w:val="center"/>
          </w:tcPr>
          <w:p w14:paraId="6BFC2E21">
            <w:pPr>
              <w:pStyle w:val="52"/>
              <w:jc w:val="center"/>
              <w:rPr>
                <w:rFonts w:ascii="宋体" w:hAnsi="宋体"/>
                <w:b w:val="0"/>
                <w:bCs/>
                <w:color w:val="auto"/>
                <w:sz w:val="24"/>
                <w:highlight w:val="none"/>
              </w:rPr>
            </w:pPr>
          </w:p>
        </w:tc>
        <w:tc>
          <w:tcPr>
            <w:tcW w:w="1418" w:type="dxa"/>
            <w:vAlign w:val="center"/>
          </w:tcPr>
          <w:p w14:paraId="4F808E77">
            <w:pPr>
              <w:pStyle w:val="52"/>
              <w:ind w:firstLine="117" w:firstLineChars="49"/>
              <w:jc w:val="center"/>
              <w:rPr>
                <w:rFonts w:ascii="宋体" w:hAnsi="宋体"/>
                <w:b w:val="0"/>
                <w:bCs/>
                <w:color w:val="auto"/>
                <w:sz w:val="24"/>
                <w:highlight w:val="none"/>
              </w:rPr>
            </w:pPr>
          </w:p>
        </w:tc>
        <w:tc>
          <w:tcPr>
            <w:tcW w:w="1530" w:type="dxa"/>
            <w:vAlign w:val="center"/>
          </w:tcPr>
          <w:p w14:paraId="05068544">
            <w:pPr>
              <w:pStyle w:val="52"/>
              <w:ind w:firstLine="482"/>
              <w:jc w:val="center"/>
              <w:rPr>
                <w:rFonts w:ascii="宋体" w:hAnsi="宋体"/>
                <w:b w:val="0"/>
                <w:bCs/>
                <w:color w:val="auto"/>
                <w:sz w:val="24"/>
                <w:highlight w:val="none"/>
              </w:rPr>
            </w:pPr>
          </w:p>
        </w:tc>
      </w:tr>
      <w:tr w14:paraId="7C8BC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3BC48372">
            <w:pPr>
              <w:pStyle w:val="52"/>
              <w:jc w:val="center"/>
              <w:rPr>
                <w:rFonts w:ascii="宋体" w:hAnsi="宋体"/>
                <w:b w:val="0"/>
                <w:bCs/>
                <w:color w:val="auto"/>
                <w:sz w:val="22"/>
                <w:highlight w:val="none"/>
              </w:rPr>
            </w:pPr>
            <w:r>
              <w:rPr>
                <w:rFonts w:hint="eastAsia" w:ascii="宋体" w:hAnsi="宋体"/>
                <w:b w:val="0"/>
                <w:bCs/>
                <w:color w:val="auto"/>
                <w:sz w:val="22"/>
                <w:highlight w:val="none"/>
              </w:rPr>
              <w:t>1</w:t>
            </w:r>
            <w:r>
              <w:rPr>
                <w:rFonts w:ascii="宋体" w:hAnsi="宋体"/>
                <w:b w:val="0"/>
                <w:bCs/>
                <w:color w:val="auto"/>
                <w:sz w:val="22"/>
                <w:highlight w:val="none"/>
              </w:rPr>
              <w:t>0</w:t>
            </w:r>
          </w:p>
        </w:tc>
        <w:tc>
          <w:tcPr>
            <w:tcW w:w="2410" w:type="dxa"/>
            <w:vAlign w:val="center"/>
          </w:tcPr>
          <w:p w14:paraId="42EB446B">
            <w:pPr>
              <w:pStyle w:val="52"/>
              <w:jc w:val="center"/>
              <w:rPr>
                <w:rFonts w:ascii="宋体" w:hAnsi="宋体"/>
                <w:b w:val="0"/>
                <w:bCs/>
                <w:color w:val="auto"/>
                <w:sz w:val="24"/>
                <w:highlight w:val="none"/>
              </w:rPr>
            </w:pPr>
          </w:p>
        </w:tc>
        <w:tc>
          <w:tcPr>
            <w:tcW w:w="1276" w:type="dxa"/>
            <w:vAlign w:val="center"/>
          </w:tcPr>
          <w:p w14:paraId="127536F3">
            <w:pPr>
              <w:pStyle w:val="52"/>
              <w:jc w:val="center"/>
              <w:rPr>
                <w:rFonts w:ascii="宋体" w:hAnsi="宋体"/>
                <w:b w:val="0"/>
                <w:bCs/>
                <w:color w:val="auto"/>
                <w:sz w:val="24"/>
                <w:highlight w:val="none"/>
              </w:rPr>
            </w:pPr>
          </w:p>
        </w:tc>
        <w:tc>
          <w:tcPr>
            <w:tcW w:w="1842" w:type="dxa"/>
            <w:vAlign w:val="center"/>
          </w:tcPr>
          <w:p w14:paraId="20DA7415">
            <w:pPr>
              <w:pStyle w:val="52"/>
              <w:jc w:val="center"/>
              <w:rPr>
                <w:rFonts w:ascii="宋体" w:hAnsi="宋体"/>
                <w:b w:val="0"/>
                <w:bCs/>
                <w:color w:val="auto"/>
                <w:sz w:val="24"/>
                <w:highlight w:val="none"/>
              </w:rPr>
            </w:pPr>
          </w:p>
        </w:tc>
        <w:tc>
          <w:tcPr>
            <w:tcW w:w="1418" w:type="dxa"/>
            <w:vAlign w:val="center"/>
          </w:tcPr>
          <w:p w14:paraId="52F105E6">
            <w:pPr>
              <w:pStyle w:val="52"/>
              <w:ind w:firstLine="117" w:firstLineChars="49"/>
              <w:jc w:val="center"/>
              <w:rPr>
                <w:rFonts w:ascii="宋体" w:hAnsi="宋体"/>
                <w:b w:val="0"/>
                <w:bCs/>
                <w:color w:val="auto"/>
                <w:sz w:val="24"/>
                <w:highlight w:val="none"/>
              </w:rPr>
            </w:pPr>
          </w:p>
        </w:tc>
        <w:tc>
          <w:tcPr>
            <w:tcW w:w="1530" w:type="dxa"/>
            <w:vAlign w:val="center"/>
          </w:tcPr>
          <w:p w14:paraId="6E9E60A4">
            <w:pPr>
              <w:pStyle w:val="52"/>
              <w:ind w:firstLine="482"/>
              <w:jc w:val="center"/>
              <w:rPr>
                <w:rFonts w:ascii="宋体" w:hAnsi="宋体"/>
                <w:b w:val="0"/>
                <w:bCs/>
                <w:color w:val="auto"/>
                <w:sz w:val="24"/>
                <w:highlight w:val="none"/>
              </w:rPr>
            </w:pPr>
          </w:p>
        </w:tc>
      </w:tr>
    </w:tbl>
    <w:p w14:paraId="0755822B">
      <w:pPr>
        <w:rPr>
          <w:b w:val="0"/>
          <w:bCs/>
          <w:color w:val="auto"/>
          <w:highlight w:val="none"/>
          <w:lang w:eastAsia="zh-CN"/>
        </w:rPr>
      </w:pPr>
      <w:r>
        <w:rPr>
          <w:rFonts w:hint="eastAsia"/>
          <w:b w:val="0"/>
          <w:bCs/>
          <w:color w:val="auto"/>
          <w:highlight w:val="none"/>
          <w:lang w:eastAsia="zh-CN"/>
        </w:rPr>
        <w:t>注：</w:t>
      </w:r>
      <w:r>
        <w:rPr>
          <w:rFonts w:hint="eastAsia"/>
          <w:b w:val="0"/>
          <w:bCs/>
          <w:color w:val="auto"/>
          <w:highlight w:val="none"/>
          <w:lang w:val="en-US" w:eastAsia="zh-CN"/>
        </w:rPr>
        <w:t>投标人应</w:t>
      </w:r>
      <w:r>
        <w:rPr>
          <w:rFonts w:hint="eastAsia"/>
          <w:b w:val="0"/>
          <w:bCs/>
          <w:color w:val="auto"/>
          <w:highlight w:val="none"/>
          <w:lang w:eastAsia="zh-CN"/>
        </w:rPr>
        <w:t>根据</w:t>
      </w:r>
      <w:r>
        <w:rPr>
          <w:rFonts w:hint="eastAsia"/>
          <w:b w:val="0"/>
          <w:bCs/>
          <w:color w:val="auto"/>
          <w:highlight w:val="none"/>
          <w:lang w:val="en-US" w:eastAsia="zh-CN"/>
        </w:rPr>
        <w:t>评审</w:t>
      </w:r>
      <w:r>
        <w:rPr>
          <w:rFonts w:hint="eastAsia"/>
          <w:b w:val="0"/>
          <w:bCs/>
          <w:color w:val="auto"/>
          <w:highlight w:val="none"/>
          <w:lang w:eastAsia="zh-CN"/>
        </w:rPr>
        <w:t>要求提供相应证明材料。</w:t>
      </w:r>
    </w:p>
    <w:p w14:paraId="1ACB9262">
      <w:pPr>
        <w:rPr>
          <w:rFonts w:hint="eastAsia" w:ascii="宋体" w:hAnsi="宋体"/>
          <w:b w:val="0"/>
          <w:bCs/>
          <w:color w:val="auto"/>
          <w:spacing w:val="2"/>
          <w:position w:val="-1"/>
          <w:sz w:val="32"/>
          <w:szCs w:val="32"/>
          <w:highlight w:val="none"/>
        </w:rPr>
      </w:pPr>
      <w:r>
        <w:rPr>
          <w:rFonts w:hint="eastAsia" w:ascii="宋体" w:hAnsi="宋体"/>
          <w:b w:val="0"/>
          <w:bCs/>
          <w:color w:val="auto"/>
          <w:spacing w:val="2"/>
          <w:position w:val="-1"/>
          <w:sz w:val="32"/>
          <w:szCs w:val="32"/>
          <w:highlight w:val="none"/>
        </w:rPr>
        <w:br w:type="page"/>
      </w:r>
    </w:p>
    <w:p w14:paraId="20250880">
      <w:pPr>
        <w:autoSpaceDE w:val="0"/>
        <w:autoSpaceDN w:val="0"/>
        <w:adjustRightInd w:val="0"/>
        <w:spacing w:line="466" w:lineRule="exact"/>
        <w:ind w:right="-20"/>
        <w:outlineLvl w:val="0"/>
        <w:rPr>
          <w:rFonts w:ascii="宋体" w:hAnsi="宋体"/>
          <w:color w:val="auto"/>
          <w:spacing w:val="2"/>
          <w:position w:val="-1"/>
          <w:sz w:val="32"/>
          <w:szCs w:val="32"/>
          <w:highlight w:val="none"/>
        </w:rPr>
      </w:pPr>
      <w:r>
        <w:rPr>
          <w:rFonts w:hint="eastAsia" w:ascii="宋体" w:hAnsi="宋体"/>
          <w:color w:val="auto"/>
          <w:spacing w:val="2"/>
          <w:position w:val="-1"/>
          <w:sz w:val="32"/>
          <w:szCs w:val="32"/>
          <w:highlight w:val="none"/>
        </w:rPr>
        <w:t>格式</w:t>
      </w:r>
      <w:r>
        <w:rPr>
          <w:rFonts w:hint="eastAsia" w:ascii="宋体" w:hAnsi="宋体"/>
          <w:color w:val="auto"/>
          <w:spacing w:val="2"/>
          <w:position w:val="-1"/>
          <w:sz w:val="32"/>
          <w:szCs w:val="32"/>
          <w:highlight w:val="none"/>
          <w:lang w:val="en-US" w:eastAsia="zh-CN"/>
        </w:rPr>
        <w:t>九</w:t>
      </w:r>
      <w:r>
        <w:rPr>
          <w:rFonts w:hint="eastAsia" w:ascii="宋体" w:hAnsi="宋体"/>
          <w:color w:val="auto"/>
          <w:spacing w:val="2"/>
          <w:position w:val="-1"/>
          <w:sz w:val="32"/>
          <w:szCs w:val="32"/>
          <w:highlight w:val="none"/>
        </w:rPr>
        <w:t>：其他资料</w:t>
      </w:r>
    </w:p>
    <w:p w14:paraId="3211A024">
      <w:pPr>
        <w:pStyle w:val="39"/>
        <w:ind w:left="1480" w:hanging="640"/>
        <w:rPr>
          <w:rFonts w:ascii="宋体" w:hAnsi="宋体" w:eastAsia="宋体"/>
          <w:b w:val="0"/>
          <w:color w:val="auto"/>
          <w:sz w:val="32"/>
          <w:szCs w:val="32"/>
          <w:highlight w:val="none"/>
          <w:lang w:eastAsia="zh-CN"/>
        </w:rPr>
      </w:pPr>
    </w:p>
    <w:p w14:paraId="436887DB">
      <w:pPr>
        <w:pStyle w:val="6"/>
        <w:jc w:val="center"/>
        <w:rPr>
          <w:rFonts w:ascii="宋体" w:hAnsi="宋体" w:eastAsia="宋体"/>
          <w:color w:val="auto"/>
          <w:kern w:val="2"/>
          <w:sz w:val="21"/>
          <w:szCs w:val="24"/>
          <w:highlight w:val="none"/>
          <w:lang w:eastAsia="zh-CN"/>
        </w:rPr>
      </w:pPr>
      <w:r>
        <w:rPr>
          <w:rFonts w:hint="eastAsia" w:ascii="宋体" w:hAnsi="宋体" w:eastAsia="宋体"/>
          <w:color w:val="auto"/>
          <w:kern w:val="2"/>
          <w:sz w:val="21"/>
          <w:szCs w:val="24"/>
          <w:highlight w:val="none"/>
          <w:lang w:eastAsia="zh-CN"/>
        </w:rPr>
        <w:t>其他资料（投标人认为需要提供的其他资料，自行编辑提供）</w:t>
      </w:r>
    </w:p>
    <w:p w14:paraId="05FE6FD7">
      <w:pPr>
        <w:pStyle w:val="6"/>
        <w:rPr>
          <w:rFonts w:ascii="宋体" w:hAnsi="宋体" w:eastAsia="宋体"/>
          <w:color w:val="auto"/>
          <w:kern w:val="2"/>
          <w:sz w:val="21"/>
          <w:szCs w:val="24"/>
          <w:highlight w:val="none"/>
          <w:lang w:eastAsia="zh-CN"/>
        </w:rPr>
      </w:pPr>
    </w:p>
    <w:p w14:paraId="175FCBB1">
      <w:pPr>
        <w:pStyle w:val="6"/>
        <w:rPr>
          <w:rFonts w:ascii="宋体" w:hAnsi="宋体" w:eastAsia="宋体"/>
          <w:color w:val="auto"/>
          <w:kern w:val="2"/>
          <w:sz w:val="21"/>
          <w:szCs w:val="24"/>
          <w:highlight w:val="none"/>
          <w:lang w:eastAsia="zh-CN"/>
        </w:rPr>
      </w:pPr>
    </w:p>
    <w:p w14:paraId="4E91001A">
      <w:pPr>
        <w:pStyle w:val="6"/>
        <w:rPr>
          <w:rFonts w:ascii="宋体" w:hAnsi="宋体" w:eastAsia="宋体"/>
          <w:color w:val="auto"/>
          <w:kern w:val="2"/>
          <w:sz w:val="21"/>
          <w:szCs w:val="24"/>
          <w:highlight w:val="none"/>
          <w:lang w:eastAsia="zh-CN"/>
        </w:rPr>
      </w:pPr>
    </w:p>
    <w:p w14:paraId="2F384490">
      <w:pPr>
        <w:pStyle w:val="6"/>
        <w:rPr>
          <w:rFonts w:ascii="宋体" w:hAnsi="宋体" w:eastAsia="宋体"/>
          <w:color w:val="auto"/>
          <w:kern w:val="2"/>
          <w:sz w:val="21"/>
          <w:szCs w:val="24"/>
          <w:highlight w:val="none"/>
          <w:lang w:eastAsia="zh-CN"/>
        </w:rPr>
      </w:pPr>
    </w:p>
    <w:p w14:paraId="6474DCC5">
      <w:pPr>
        <w:pStyle w:val="6"/>
        <w:rPr>
          <w:rFonts w:ascii="宋体" w:hAnsi="宋体" w:eastAsia="宋体"/>
          <w:color w:val="auto"/>
          <w:kern w:val="2"/>
          <w:sz w:val="21"/>
          <w:szCs w:val="24"/>
          <w:highlight w:val="none"/>
          <w:lang w:eastAsia="zh-CN"/>
        </w:rPr>
      </w:pPr>
    </w:p>
    <w:p w14:paraId="1990FF36">
      <w:pPr>
        <w:pStyle w:val="6"/>
        <w:rPr>
          <w:rFonts w:ascii="宋体" w:hAnsi="宋体" w:eastAsia="宋体"/>
          <w:color w:val="auto"/>
          <w:kern w:val="2"/>
          <w:sz w:val="21"/>
          <w:szCs w:val="24"/>
          <w:highlight w:val="none"/>
          <w:lang w:eastAsia="zh-CN"/>
        </w:rPr>
      </w:pPr>
    </w:p>
    <w:p w14:paraId="12C43965">
      <w:pPr>
        <w:pStyle w:val="6"/>
        <w:rPr>
          <w:rFonts w:ascii="宋体" w:hAnsi="宋体" w:eastAsia="宋体"/>
          <w:color w:val="auto"/>
          <w:kern w:val="2"/>
          <w:sz w:val="21"/>
          <w:szCs w:val="24"/>
          <w:highlight w:val="none"/>
          <w:lang w:eastAsia="zh-CN"/>
        </w:rPr>
      </w:pPr>
    </w:p>
    <w:p w14:paraId="52A1D2E1">
      <w:pPr>
        <w:pStyle w:val="6"/>
        <w:rPr>
          <w:rFonts w:ascii="宋体" w:hAnsi="宋体" w:eastAsia="宋体"/>
          <w:color w:val="auto"/>
          <w:kern w:val="2"/>
          <w:sz w:val="21"/>
          <w:szCs w:val="24"/>
          <w:highlight w:val="none"/>
          <w:lang w:eastAsia="zh-CN"/>
        </w:rPr>
      </w:pPr>
    </w:p>
    <w:p w14:paraId="62C2D0EA">
      <w:pPr>
        <w:pStyle w:val="6"/>
        <w:ind w:firstLine="0" w:firstLineChars="0"/>
        <w:rPr>
          <w:rFonts w:ascii="宋体" w:hAnsi="宋体" w:eastAsia="宋体"/>
          <w:color w:val="auto"/>
          <w:kern w:val="2"/>
          <w:sz w:val="21"/>
          <w:szCs w:val="24"/>
          <w:highlight w:val="none"/>
          <w:lang w:eastAsia="zh-CN"/>
        </w:rPr>
      </w:pPr>
    </w:p>
    <w:sectPr>
      <w:headerReference r:id="rId12" w:type="default"/>
      <w:footerReference r:id="rId13" w:type="default"/>
      <w:pgSz w:w="11906" w:h="16838"/>
      <w:pgMar w:top="680" w:right="1134" w:bottom="680" w:left="1134" w:header="851" w:footer="992" w:gutter="0"/>
      <w:pgBorders>
        <w:top w:val="none" w:sz="0" w:space="0"/>
        <w:left w:val="none" w:sz="0" w:space="0"/>
        <w:bottom w:val="none" w:sz="0" w:space="0"/>
        <w:right w:val="none" w:sz="0" w:space="0"/>
      </w:pgBorders>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1011">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2E64E">
    <w:pPr>
      <w:pStyle w:val="14"/>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1DCDF">
                          <w:pPr>
                            <w:pStyle w:val="14"/>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371DCDF">
                    <w:pPr>
                      <w:pStyle w:val="14"/>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4E4B3">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1460" cy="1924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51460" cy="192405"/>
                      </a:xfrm>
                      <a:prstGeom prst="rect">
                        <a:avLst/>
                      </a:prstGeom>
                      <a:noFill/>
                      <a:ln>
                        <a:noFill/>
                      </a:ln>
                      <a:effectLst/>
                    </wps:spPr>
                    <wps:txbx>
                      <w:txbxContent>
                        <w:p w14:paraId="5479BB77">
                          <w:pPr>
                            <w:spacing w:line="203" w:lineRule="exact"/>
                            <w:ind w:left="40"/>
                            <w:rPr>
                              <w:rFonts w:cs="Calibri"/>
                              <w:sz w:val="18"/>
                              <w:szCs w:val="18"/>
                            </w:rPr>
                          </w:pPr>
                          <w:r>
                            <w:rPr>
                              <w:sz w:val="18"/>
                              <w:szCs w:val="18"/>
                            </w:rPr>
                            <w:fldChar w:fldCharType="begin"/>
                          </w:r>
                          <w:r>
                            <w:rPr>
                              <w:w w:val="99"/>
                              <w:sz w:val="18"/>
                              <w:szCs w:val="18"/>
                            </w:rPr>
                            <w:instrText xml:space="preserve"> PAGE </w:instrText>
                          </w:r>
                          <w:r>
                            <w:rPr>
                              <w:sz w:val="18"/>
                              <w:szCs w:val="18"/>
                            </w:rPr>
                            <w:fldChar w:fldCharType="separate"/>
                          </w:r>
                          <w:r>
                            <w:rPr>
                              <w:w w:val="99"/>
                              <w:sz w:val="18"/>
                              <w:szCs w:val="18"/>
                            </w:rPr>
                            <w:t>30</w:t>
                          </w:r>
                          <w:r>
                            <w:rPr>
                              <w:sz w:val="18"/>
                              <w:szCs w:val="18"/>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5.15pt;width:19.8pt;mso-position-horizontal:center;mso-position-horizontal-relative:margin;z-index:251659264;mso-width-relative:page;mso-height-relative:page;" filled="f" stroked="f" coordsize="21600,21600" o:gfxdata="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CBH70wAAAAMBAAAPAAAAAAAAAAEAIAAAACIAAABkcnMvZG93bnJldi54bWxQSwECFAAU&#10;AAAACACHTuJAF4GXOL0BAAB/AwAADgAAAAAAAAABACAAAAAiAQAAZHJzL2Uyb0RvYy54bWxQSwUG&#10;AAAAAAYABgBZAQAAUQUAAAAA&#10;">
              <v:fill on="f" focussize="0,0"/>
              <v:stroke on="f"/>
              <v:imagedata o:title=""/>
              <o:lock v:ext="edit" aspectratio="f"/>
              <v:textbox inset="0mm,0mm,0mm,0mm">
                <w:txbxContent>
                  <w:p w14:paraId="5479BB77">
                    <w:pPr>
                      <w:spacing w:line="203" w:lineRule="exact"/>
                      <w:ind w:left="40"/>
                      <w:rPr>
                        <w:rFonts w:cs="Calibri"/>
                        <w:sz w:val="18"/>
                        <w:szCs w:val="18"/>
                      </w:rPr>
                    </w:pPr>
                    <w:r>
                      <w:rPr>
                        <w:sz w:val="18"/>
                        <w:szCs w:val="18"/>
                      </w:rPr>
                      <w:fldChar w:fldCharType="begin"/>
                    </w:r>
                    <w:r>
                      <w:rPr>
                        <w:w w:val="99"/>
                        <w:sz w:val="18"/>
                        <w:szCs w:val="18"/>
                      </w:rPr>
                      <w:instrText xml:space="preserve"> PAGE </w:instrText>
                    </w:r>
                    <w:r>
                      <w:rPr>
                        <w:sz w:val="18"/>
                        <w:szCs w:val="18"/>
                      </w:rPr>
                      <w:fldChar w:fldCharType="separate"/>
                    </w:r>
                    <w:r>
                      <w:rPr>
                        <w:w w:val="99"/>
                        <w:sz w:val="18"/>
                        <w:szCs w:val="18"/>
                      </w:rPr>
                      <w:t>30</w:t>
                    </w:r>
                    <w:r>
                      <w:rPr>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AADF0">
    <w:pPr>
      <w:spacing w:line="14" w:lineRule="auto"/>
      <w:rPr>
        <w:sz w:val="20"/>
        <w:szCs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3E7915">
                          <w:pPr>
                            <w:pStyle w:val="14"/>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2D3E7915">
                    <w:pPr>
                      <w:pStyle w:val="14"/>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A1EF4">
    <w:pPr>
      <w:pStyle w:val="14"/>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1FFA2">
                          <w:pPr>
                            <w:pStyle w:val="14"/>
                            <w:jc w:val="center"/>
                          </w:pPr>
                          <w:r>
                            <w:fldChar w:fldCharType="begin"/>
                          </w:r>
                          <w:r>
                            <w:instrText xml:space="preserve">PAGE   \* MERGEFORMAT</w:instrText>
                          </w:r>
                          <w:r>
                            <w:fldChar w:fldCharType="separate"/>
                          </w:r>
                          <w:r>
                            <w:rPr>
                              <w:lang w:val="zh-CN"/>
                            </w:rP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D81FFA2">
                    <w:pPr>
                      <w:pStyle w:val="14"/>
                      <w:jc w:val="center"/>
                    </w:pPr>
                    <w:r>
                      <w:fldChar w:fldCharType="begin"/>
                    </w:r>
                    <w:r>
                      <w:instrText xml:space="preserve">PAGE   \* MERGEFORMAT</w:instrText>
                    </w:r>
                    <w:r>
                      <w:fldChar w:fldCharType="separate"/>
                    </w:r>
                    <w:r>
                      <w:rPr>
                        <w:lang w:val="zh-CN"/>
                      </w:rPr>
                      <w:t>47</w:t>
                    </w:r>
                    <w:r>
                      <w:fldChar w:fldCharType="end"/>
                    </w:r>
                  </w:p>
                </w:txbxContent>
              </v:textbox>
            </v:shape>
          </w:pict>
        </mc:Fallback>
      </mc:AlternateContent>
    </w:r>
  </w:p>
  <w:p w14:paraId="58B12926">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6E61D">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35255" cy="16256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5255" cy="162560"/>
                      </a:xfrm>
                      <a:prstGeom prst="rect">
                        <a:avLst/>
                      </a:prstGeom>
                      <a:noFill/>
                      <a:ln w="9525">
                        <a:noFill/>
                      </a:ln>
                      <a:effectLst/>
                    </wps:spPr>
                    <wps:txbx>
                      <w:txbxContent>
                        <w:p w14:paraId="7E4EB488">
                          <w:pPr>
                            <w:jc w:val="center"/>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2336;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0cwdEAAAADAQAADwAAAAAAAAABACAA&#10;AAAiAAAAZHJzL2Rvd25yZXYueG1sUEsBAhQAFAAAAAgAh07iQLDN5OnbAQAArgMAAA4AAAAAAAAA&#10;AQAgAAAAIAEAAGRycy9lMm9Eb2MueG1sUEsFBgAAAAAGAAYAWQEAAG0FAAAAAA==&#10;">
              <v:fill on="f" focussize="0,0"/>
              <v:stroke on="f"/>
              <v:imagedata o:title=""/>
              <o:lock v:ext="edit" aspectratio="f"/>
              <v:textbox inset="0mm,0mm,0mm,0mm" style="mso-fit-shape-to-text:t;">
                <w:txbxContent>
                  <w:p w14:paraId="7E4EB488">
                    <w:pPr>
                      <w:jc w:val="center"/>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AAAB">
    <w:pPr>
      <w:pStyle w:val="14"/>
      <w:framePr w:wrap="around" w:vAnchor="text" w:hAnchor="margin" w:xAlign="center" w:yAlign="top"/>
      <w:rPr>
        <w:rStyle w:val="26"/>
      </w:rPr>
    </w:pPr>
    <w:r>
      <w:fldChar w:fldCharType="begin"/>
    </w:r>
    <w:r>
      <w:rPr>
        <w:rStyle w:val="26"/>
      </w:rPr>
      <w:instrText xml:space="preserve">PAGE  </w:instrText>
    </w:r>
    <w:r>
      <w:fldChar w:fldCharType="separate"/>
    </w:r>
    <w:r>
      <w:rPr>
        <w:rStyle w:val="26"/>
      </w:rPr>
      <w:t>21</w:t>
    </w:r>
    <w:r>
      <w:fldChar w:fldCharType="end"/>
    </w:r>
  </w:p>
  <w:p w14:paraId="05F91D7C">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5C5E8">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2B576D6">
                          <w:pPr>
                            <w:pStyle w:val="14"/>
                          </w:pPr>
                          <w:r>
                            <w:fldChar w:fldCharType="begin"/>
                          </w:r>
                          <w:r>
                            <w:rPr>
                              <w:rStyle w:val="26"/>
                            </w:rPr>
                            <w:instrText xml:space="preserve">PAGE  </w:instrText>
                          </w:r>
                          <w:r>
                            <w:fldChar w:fldCharType="separate"/>
                          </w:r>
                          <w:r>
                            <w:rPr>
                              <w:rStyle w:val="26"/>
                            </w:rPr>
                            <w:t>67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a2odgBAACwAwAADgAAAGRycy9lMm9Eb2MueG1srVNLbtswEN0XyB0I&#10;7mPJD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Xxrah2AEAALADAAAOAAAAAAAAAAEAIAAA&#10;AB4BAABkcnMvZTJvRG9jLnhtbFBLBQYAAAAABgAGAFkBAABoBQAAAAA=&#10;">
              <v:fill on="f" focussize="0,0"/>
              <v:stroke on="f"/>
              <v:imagedata o:title=""/>
              <o:lock v:ext="edit" aspectratio="f"/>
              <v:textbox inset="0mm,0mm,0mm,0mm" style="mso-fit-shape-to-text:t;">
                <w:txbxContent>
                  <w:p w14:paraId="02B576D6">
                    <w:pPr>
                      <w:pStyle w:val="14"/>
                    </w:pPr>
                    <w:r>
                      <w:fldChar w:fldCharType="begin"/>
                    </w:r>
                    <w:r>
                      <w:rPr>
                        <w:rStyle w:val="26"/>
                      </w:rPr>
                      <w:instrText xml:space="preserve">PAGE  </w:instrText>
                    </w:r>
                    <w:r>
                      <w:fldChar w:fldCharType="separate"/>
                    </w:r>
                    <w:r>
                      <w:rPr>
                        <w:rStyle w:val="26"/>
                      </w:rP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A6F1B">
    <w:pPr>
      <w:pStyle w:val="1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104B3">
    <w:pPr>
      <w:pStyle w:val="15"/>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8BFF8">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NzA3MTVmNjRjM2UyMzQ4MDczNzZhZmJiOWVmOGQifQ=="/>
  </w:docVars>
  <w:rsids>
    <w:rsidRoot w:val="306C596C"/>
    <w:rsid w:val="00043144"/>
    <w:rsid w:val="00073278"/>
    <w:rsid w:val="000A7104"/>
    <w:rsid w:val="000B44D3"/>
    <w:rsid w:val="00115DB3"/>
    <w:rsid w:val="001352D7"/>
    <w:rsid w:val="001364B4"/>
    <w:rsid w:val="00197E66"/>
    <w:rsid w:val="001A3CF3"/>
    <w:rsid w:val="001F77FD"/>
    <w:rsid w:val="00303C15"/>
    <w:rsid w:val="00494FFB"/>
    <w:rsid w:val="004A4092"/>
    <w:rsid w:val="004F3DE9"/>
    <w:rsid w:val="005E099C"/>
    <w:rsid w:val="007116A3"/>
    <w:rsid w:val="007F6C6F"/>
    <w:rsid w:val="00851737"/>
    <w:rsid w:val="008C49AE"/>
    <w:rsid w:val="00A571A4"/>
    <w:rsid w:val="00A62F2D"/>
    <w:rsid w:val="00AF1018"/>
    <w:rsid w:val="00B06E28"/>
    <w:rsid w:val="00B46918"/>
    <w:rsid w:val="00B658C6"/>
    <w:rsid w:val="00C12DE3"/>
    <w:rsid w:val="00C25390"/>
    <w:rsid w:val="00D21215"/>
    <w:rsid w:val="00E62AD6"/>
    <w:rsid w:val="00E645F8"/>
    <w:rsid w:val="00E8306F"/>
    <w:rsid w:val="00EE1B33"/>
    <w:rsid w:val="00F05477"/>
    <w:rsid w:val="00F76035"/>
    <w:rsid w:val="00F81282"/>
    <w:rsid w:val="00FC7E98"/>
    <w:rsid w:val="012670EA"/>
    <w:rsid w:val="012C687B"/>
    <w:rsid w:val="012F5F9F"/>
    <w:rsid w:val="01415CD2"/>
    <w:rsid w:val="014E1499"/>
    <w:rsid w:val="01537369"/>
    <w:rsid w:val="01610B3B"/>
    <w:rsid w:val="017F5A80"/>
    <w:rsid w:val="01903F7B"/>
    <w:rsid w:val="019C74D7"/>
    <w:rsid w:val="019E0983"/>
    <w:rsid w:val="01B834D9"/>
    <w:rsid w:val="01BD7A4F"/>
    <w:rsid w:val="01C20C8E"/>
    <w:rsid w:val="01D5719F"/>
    <w:rsid w:val="01DF7A0B"/>
    <w:rsid w:val="01FF1E15"/>
    <w:rsid w:val="02046644"/>
    <w:rsid w:val="02054F52"/>
    <w:rsid w:val="02084250"/>
    <w:rsid w:val="020E02AA"/>
    <w:rsid w:val="02123F76"/>
    <w:rsid w:val="02447828"/>
    <w:rsid w:val="024837DC"/>
    <w:rsid w:val="0250441F"/>
    <w:rsid w:val="02555ED9"/>
    <w:rsid w:val="02572D69"/>
    <w:rsid w:val="026779BA"/>
    <w:rsid w:val="02774155"/>
    <w:rsid w:val="028A4E3F"/>
    <w:rsid w:val="028D7B6F"/>
    <w:rsid w:val="029167E5"/>
    <w:rsid w:val="029D5D35"/>
    <w:rsid w:val="02A14633"/>
    <w:rsid w:val="02C60B85"/>
    <w:rsid w:val="031A4A2D"/>
    <w:rsid w:val="031A6E39"/>
    <w:rsid w:val="0320772D"/>
    <w:rsid w:val="032447BE"/>
    <w:rsid w:val="03314BB0"/>
    <w:rsid w:val="034026E5"/>
    <w:rsid w:val="037762BF"/>
    <w:rsid w:val="038D2598"/>
    <w:rsid w:val="039F0A2B"/>
    <w:rsid w:val="03CF75C5"/>
    <w:rsid w:val="03E56DE9"/>
    <w:rsid w:val="03EE3EEF"/>
    <w:rsid w:val="040C6722"/>
    <w:rsid w:val="04115E30"/>
    <w:rsid w:val="0414147C"/>
    <w:rsid w:val="042042C5"/>
    <w:rsid w:val="042E0790"/>
    <w:rsid w:val="04367644"/>
    <w:rsid w:val="046702C7"/>
    <w:rsid w:val="046B5540"/>
    <w:rsid w:val="046F0B92"/>
    <w:rsid w:val="04911A8C"/>
    <w:rsid w:val="04956F3E"/>
    <w:rsid w:val="04B477D9"/>
    <w:rsid w:val="04DD5D12"/>
    <w:rsid w:val="04F65CB8"/>
    <w:rsid w:val="04FA4B16"/>
    <w:rsid w:val="050E50E5"/>
    <w:rsid w:val="051F200B"/>
    <w:rsid w:val="056A6ABC"/>
    <w:rsid w:val="056F08F3"/>
    <w:rsid w:val="05922FA0"/>
    <w:rsid w:val="059B1E55"/>
    <w:rsid w:val="05B51E7D"/>
    <w:rsid w:val="05E03D0C"/>
    <w:rsid w:val="05FB1FC0"/>
    <w:rsid w:val="060B0995"/>
    <w:rsid w:val="060E1B6A"/>
    <w:rsid w:val="064029FC"/>
    <w:rsid w:val="064C13A1"/>
    <w:rsid w:val="06530982"/>
    <w:rsid w:val="06802552"/>
    <w:rsid w:val="068C5C42"/>
    <w:rsid w:val="06D118A6"/>
    <w:rsid w:val="06D26447"/>
    <w:rsid w:val="06D575E9"/>
    <w:rsid w:val="06E11AE9"/>
    <w:rsid w:val="06EB6E0C"/>
    <w:rsid w:val="06F40155"/>
    <w:rsid w:val="07041C7C"/>
    <w:rsid w:val="07056973"/>
    <w:rsid w:val="07470439"/>
    <w:rsid w:val="076444C8"/>
    <w:rsid w:val="07657ADD"/>
    <w:rsid w:val="07B70901"/>
    <w:rsid w:val="07D93108"/>
    <w:rsid w:val="07E8556F"/>
    <w:rsid w:val="07ED61C7"/>
    <w:rsid w:val="0805549D"/>
    <w:rsid w:val="08332819"/>
    <w:rsid w:val="08346591"/>
    <w:rsid w:val="083E47CA"/>
    <w:rsid w:val="0845254C"/>
    <w:rsid w:val="085B5BB1"/>
    <w:rsid w:val="086E76DE"/>
    <w:rsid w:val="08870595"/>
    <w:rsid w:val="089B1CC8"/>
    <w:rsid w:val="08AA0601"/>
    <w:rsid w:val="08EA41E9"/>
    <w:rsid w:val="08EC29C7"/>
    <w:rsid w:val="08EE4BCC"/>
    <w:rsid w:val="08F44AB4"/>
    <w:rsid w:val="090715AF"/>
    <w:rsid w:val="0939330D"/>
    <w:rsid w:val="09442803"/>
    <w:rsid w:val="09B05932"/>
    <w:rsid w:val="09B74C81"/>
    <w:rsid w:val="09B76BD4"/>
    <w:rsid w:val="09BE25B6"/>
    <w:rsid w:val="09D8260A"/>
    <w:rsid w:val="09DB4F16"/>
    <w:rsid w:val="09F343A6"/>
    <w:rsid w:val="09FC6CCA"/>
    <w:rsid w:val="09FE4B88"/>
    <w:rsid w:val="0A0C1573"/>
    <w:rsid w:val="0A1419E1"/>
    <w:rsid w:val="0A155635"/>
    <w:rsid w:val="0A2613A4"/>
    <w:rsid w:val="0A2D3298"/>
    <w:rsid w:val="0A525ED0"/>
    <w:rsid w:val="0A57475F"/>
    <w:rsid w:val="0A5E16A3"/>
    <w:rsid w:val="0A801619"/>
    <w:rsid w:val="0A9A1B2A"/>
    <w:rsid w:val="0AAF1EFF"/>
    <w:rsid w:val="0AB247F2"/>
    <w:rsid w:val="0AEB73DB"/>
    <w:rsid w:val="0AFA13CC"/>
    <w:rsid w:val="0AFF4C34"/>
    <w:rsid w:val="0B022976"/>
    <w:rsid w:val="0B1C57E6"/>
    <w:rsid w:val="0B220922"/>
    <w:rsid w:val="0B24469B"/>
    <w:rsid w:val="0B436E72"/>
    <w:rsid w:val="0B56752A"/>
    <w:rsid w:val="0B5F3925"/>
    <w:rsid w:val="0B826CB4"/>
    <w:rsid w:val="0BC366B3"/>
    <w:rsid w:val="0BCD3BA8"/>
    <w:rsid w:val="0BD25EA5"/>
    <w:rsid w:val="0C1B4F42"/>
    <w:rsid w:val="0C1B6152"/>
    <w:rsid w:val="0C3864CE"/>
    <w:rsid w:val="0C564D28"/>
    <w:rsid w:val="0C6F3D71"/>
    <w:rsid w:val="0C7F9CFC"/>
    <w:rsid w:val="0C886EAB"/>
    <w:rsid w:val="0C96783C"/>
    <w:rsid w:val="0CB87790"/>
    <w:rsid w:val="0CC51EAD"/>
    <w:rsid w:val="0CD65E68"/>
    <w:rsid w:val="0CF54541"/>
    <w:rsid w:val="0D1A0F24"/>
    <w:rsid w:val="0D295F98"/>
    <w:rsid w:val="0D2A6522"/>
    <w:rsid w:val="0D2D1BB9"/>
    <w:rsid w:val="0D7C6A10"/>
    <w:rsid w:val="0D815DD4"/>
    <w:rsid w:val="0D8D29CB"/>
    <w:rsid w:val="0DB75D3F"/>
    <w:rsid w:val="0DC22824"/>
    <w:rsid w:val="0DC56BE1"/>
    <w:rsid w:val="0DD24C4F"/>
    <w:rsid w:val="0DED16BC"/>
    <w:rsid w:val="0DF94579"/>
    <w:rsid w:val="0E1327A4"/>
    <w:rsid w:val="0E2844A2"/>
    <w:rsid w:val="0E29601E"/>
    <w:rsid w:val="0E407A3D"/>
    <w:rsid w:val="0E43308A"/>
    <w:rsid w:val="0E567261"/>
    <w:rsid w:val="0E7179A1"/>
    <w:rsid w:val="0E736CD5"/>
    <w:rsid w:val="0E7B2823"/>
    <w:rsid w:val="0E7B6CC7"/>
    <w:rsid w:val="0E8042DE"/>
    <w:rsid w:val="0EA92E5E"/>
    <w:rsid w:val="0EB21FBD"/>
    <w:rsid w:val="0EBB70C4"/>
    <w:rsid w:val="0EC1325A"/>
    <w:rsid w:val="0EC870E3"/>
    <w:rsid w:val="0ED308B1"/>
    <w:rsid w:val="0ED636A4"/>
    <w:rsid w:val="0ED64689"/>
    <w:rsid w:val="0EF03F85"/>
    <w:rsid w:val="0EF52EDC"/>
    <w:rsid w:val="0F0F11BE"/>
    <w:rsid w:val="0F0F238D"/>
    <w:rsid w:val="0F2476E9"/>
    <w:rsid w:val="0F2811FF"/>
    <w:rsid w:val="0F4065BF"/>
    <w:rsid w:val="0F5878D6"/>
    <w:rsid w:val="0F7A4EFF"/>
    <w:rsid w:val="0F813769"/>
    <w:rsid w:val="0FF79A79"/>
    <w:rsid w:val="1025458A"/>
    <w:rsid w:val="10261806"/>
    <w:rsid w:val="102D3FF1"/>
    <w:rsid w:val="103709CC"/>
    <w:rsid w:val="104135F9"/>
    <w:rsid w:val="1042171F"/>
    <w:rsid w:val="10544A92"/>
    <w:rsid w:val="10741C20"/>
    <w:rsid w:val="10AA73F0"/>
    <w:rsid w:val="10B97633"/>
    <w:rsid w:val="10BC2678"/>
    <w:rsid w:val="10C5247C"/>
    <w:rsid w:val="10C81F6C"/>
    <w:rsid w:val="10E50428"/>
    <w:rsid w:val="10E527AD"/>
    <w:rsid w:val="10E87F18"/>
    <w:rsid w:val="10F7015B"/>
    <w:rsid w:val="110079DA"/>
    <w:rsid w:val="11034D52"/>
    <w:rsid w:val="111041EF"/>
    <w:rsid w:val="111D7A93"/>
    <w:rsid w:val="112453F4"/>
    <w:rsid w:val="112B0DC3"/>
    <w:rsid w:val="11354F68"/>
    <w:rsid w:val="11366ED6"/>
    <w:rsid w:val="11447845"/>
    <w:rsid w:val="11550ABC"/>
    <w:rsid w:val="115B2212"/>
    <w:rsid w:val="11691059"/>
    <w:rsid w:val="11811765"/>
    <w:rsid w:val="11847C41"/>
    <w:rsid w:val="11A81B53"/>
    <w:rsid w:val="11C176E7"/>
    <w:rsid w:val="11DA1F57"/>
    <w:rsid w:val="11DD33A6"/>
    <w:rsid w:val="11DF64ED"/>
    <w:rsid w:val="11EB1F52"/>
    <w:rsid w:val="11F47F31"/>
    <w:rsid w:val="11FC1ECD"/>
    <w:rsid w:val="12555A81"/>
    <w:rsid w:val="125735A8"/>
    <w:rsid w:val="126600CC"/>
    <w:rsid w:val="126637EB"/>
    <w:rsid w:val="129B16E6"/>
    <w:rsid w:val="129E12BF"/>
    <w:rsid w:val="12B91B6C"/>
    <w:rsid w:val="12B96010"/>
    <w:rsid w:val="12BD53A8"/>
    <w:rsid w:val="12DB2225"/>
    <w:rsid w:val="12DE07BB"/>
    <w:rsid w:val="12E0359D"/>
    <w:rsid w:val="12FE7EC7"/>
    <w:rsid w:val="1300779B"/>
    <w:rsid w:val="13423E9B"/>
    <w:rsid w:val="1356560D"/>
    <w:rsid w:val="135670F6"/>
    <w:rsid w:val="135E08F9"/>
    <w:rsid w:val="137141F5"/>
    <w:rsid w:val="13963C5C"/>
    <w:rsid w:val="13A91BE1"/>
    <w:rsid w:val="13B133B7"/>
    <w:rsid w:val="13BA5B9C"/>
    <w:rsid w:val="13CB0BF4"/>
    <w:rsid w:val="13ED3E22"/>
    <w:rsid w:val="14211017"/>
    <w:rsid w:val="14224B11"/>
    <w:rsid w:val="143811B7"/>
    <w:rsid w:val="14601A66"/>
    <w:rsid w:val="146124BC"/>
    <w:rsid w:val="14653481"/>
    <w:rsid w:val="14853280"/>
    <w:rsid w:val="14952165"/>
    <w:rsid w:val="149C7544"/>
    <w:rsid w:val="14BB00C6"/>
    <w:rsid w:val="14C81A92"/>
    <w:rsid w:val="14CB2FEB"/>
    <w:rsid w:val="14EA0703"/>
    <w:rsid w:val="14F31800"/>
    <w:rsid w:val="14F43330"/>
    <w:rsid w:val="14F64B10"/>
    <w:rsid w:val="150D2643"/>
    <w:rsid w:val="15545B7C"/>
    <w:rsid w:val="155618F4"/>
    <w:rsid w:val="1556420D"/>
    <w:rsid w:val="155707C5"/>
    <w:rsid w:val="155D7953"/>
    <w:rsid w:val="15673B02"/>
    <w:rsid w:val="15A5287C"/>
    <w:rsid w:val="15B64A89"/>
    <w:rsid w:val="15F80BFE"/>
    <w:rsid w:val="15FE2A85"/>
    <w:rsid w:val="16161084"/>
    <w:rsid w:val="163B64BE"/>
    <w:rsid w:val="163E275F"/>
    <w:rsid w:val="16543395"/>
    <w:rsid w:val="166D5F59"/>
    <w:rsid w:val="16816E45"/>
    <w:rsid w:val="16897AA8"/>
    <w:rsid w:val="169F21B6"/>
    <w:rsid w:val="16C74A49"/>
    <w:rsid w:val="16CC2F63"/>
    <w:rsid w:val="171750B3"/>
    <w:rsid w:val="171C4DC0"/>
    <w:rsid w:val="171E28E6"/>
    <w:rsid w:val="17206E3D"/>
    <w:rsid w:val="1740460A"/>
    <w:rsid w:val="179F4EDB"/>
    <w:rsid w:val="17A50911"/>
    <w:rsid w:val="17A6653D"/>
    <w:rsid w:val="17A967EF"/>
    <w:rsid w:val="17C76AD9"/>
    <w:rsid w:val="17D00627"/>
    <w:rsid w:val="17FE4ED9"/>
    <w:rsid w:val="17FFEB3F"/>
    <w:rsid w:val="180C273E"/>
    <w:rsid w:val="181141F9"/>
    <w:rsid w:val="18153469"/>
    <w:rsid w:val="1821268E"/>
    <w:rsid w:val="1847522E"/>
    <w:rsid w:val="184A3267"/>
    <w:rsid w:val="18552337"/>
    <w:rsid w:val="18721BFE"/>
    <w:rsid w:val="187327BD"/>
    <w:rsid w:val="188330CB"/>
    <w:rsid w:val="18846779"/>
    <w:rsid w:val="189D5A8C"/>
    <w:rsid w:val="18B4748A"/>
    <w:rsid w:val="18C70012"/>
    <w:rsid w:val="18D60A86"/>
    <w:rsid w:val="1907198A"/>
    <w:rsid w:val="191775ED"/>
    <w:rsid w:val="19241D0A"/>
    <w:rsid w:val="19555F57"/>
    <w:rsid w:val="195B2D22"/>
    <w:rsid w:val="19686C2E"/>
    <w:rsid w:val="196D545F"/>
    <w:rsid w:val="196E436C"/>
    <w:rsid w:val="19870CDC"/>
    <w:rsid w:val="199863DB"/>
    <w:rsid w:val="199B1FCC"/>
    <w:rsid w:val="199B6E4C"/>
    <w:rsid w:val="19AF5A77"/>
    <w:rsid w:val="19C86B39"/>
    <w:rsid w:val="19D96F98"/>
    <w:rsid w:val="19DB4ABE"/>
    <w:rsid w:val="1A7A7E33"/>
    <w:rsid w:val="1A8E1B30"/>
    <w:rsid w:val="1A930EF5"/>
    <w:rsid w:val="1AB8095B"/>
    <w:rsid w:val="1ACC4407"/>
    <w:rsid w:val="1ADC6D40"/>
    <w:rsid w:val="1AE71241"/>
    <w:rsid w:val="1AF5284A"/>
    <w:rsid w:val="1B193AF0"/>
    <w:rsid w:val="1B1E2EB4"/>
    <w:rsid w:val="1B210BF7"/>
    <w:rsid w:val="1B211995"/>
    <w:rsid w:val="1B2F50C2"/>
    <w:rsid w:val="1B344438"/>
    <w:rsid w:val="1B405118"/>
    <w:rsid w:val="1B771271"/>
    <w:rsid w:val="1B7C7BDB"/>
    <w:rsid w:val="1B815DBB"/>
    <w:rsid w:val="1B81744D"/>
    <w:rsid w:val="1B9C5D53"/>
    <w:rsid w:val="1BAA5A55"/>
    <w:rsid w:val="1BAF6202"/>
    <w:rsid w:val="1BB50563"/>
    <w:rsid w:val="1BB62173"/>
    <w:rsid w:val="1BB92BDD"/>
    <w:rsid w:val="1BCC2910"/>
    <w:rsid w:val="1BCC2B44"/>
    <w:rsid w:val="1BD9502D"/>
    <w:rsid w:val="1BF81957"/>
    <w:rsid w:val="1C0A168B"/>
    <w:rsid w:val="1C0F4EF3"/>
    <w:rsid w:val="1C165083"/>
    <w:rsid w:val="1C3439EA"/>
    <w:rsid w:val="1C3B1844"/>
    <w:rsid w:val="1C484E87"/>
    <w:rsid w:val="1C56040F"/>
    <w:rsid w:val="1C6A2EE2"/>
    <w:rsid w:val="1C9677B9"/>
    <w:rsid w:val="1C974092"/>
    <w:rsid w:val="1C9B22E3"/>
    <w:rsid w:val="1CA4563B"/>
    <w:rsid w:val="1CC63804"/>
    <w:rsid w:val="1CC655B2"/>
    <w:rsid w:val="1CDA72AF"/>
    <w:rsid w:val="1CF2284B"/>
    <w:rsid w:val="1D102CD1"/>
    <w:rsid w:val="1D175E0D"/>
    <w:rsid w:val="1D2C34BA"/>
    <w:rsid w:val="1D3369BF"/>
    <w:rsid w:val="1D4A4C12"/>
    <w:rsid w:val="1D5D5CE8"/>
    <w:rsid w:val="1D6447C7"/>
    <w:rsid w:val="1D703ACD"/>
    <w:rsid w:val="1D750D86"/>
    <w:rsid w:val="1D7E5E8C"/>
    <w:rsid w:val="1DAF24EA"/>
    <w:rsid w:val="1DAF5154"/>
    <w:rsid w:val="1DB01DBE"/>
    <w:rsid w:val="1DB4365C"/>
    <w:rsid w:val="1DC72496"/>
    <w:rsid w:val="1DEC54EC"/>
    <w:rsid w:val="1DFB74DD"/>
    <w:rsid w:val="1E004AF3"/>
    <w:rsid w:val="1E177153"/>
    <w:rsid w:val="1E285DF8"/>
    <w:rsid w:val="1E2A4B1E"/>
    <w:rsid w:val="1E4060EB"/>
    <w:rsid w:val="1E875215"/>
    <w:rsid w:val="1EAC4C7B"/>
    <w:rsid w:val="1EC27FFB"/>
    <w:rsid w:val="1EEF37FC"/>
    <w:rsid w:val="1EF427F4"/>
    <w:rsid w:val="1EF54B7F"/>
    <w:rsid w:val="1EF67CA4"/>
    <w:rsid w:val="1F354C71"/>
    <w:rsid w:val="1F544D7D"/>
    <w:rsid w:val="1F5B2BB6"/>
    <w:rsid w:val="1F5E18DF"/>
    <w:rsid w:val="1F647304"/>
    <w:rsid w:val="1F7F2436"/>
    <w:rsid w:val="1F86727A"/>
    <w:rsid w:val="1FA17876"/>
    <w:rsid w:val="1FE72E30"/>
    <w:rsid w:val="1FFB37C4"/>
    <w:rsid w:val="202D2E21"/>
    <w:rsid w:val="202D3B9A"/>
    <w:rsid w:val="204F58BE"/>
    <w:rsid w:val="20745325"/>
    <w:rsid w:val="207B2B57"/>
    <w:rsid w:val="20B732A3"/>
    <w:rsid w:val="20B87907"/>
    <w:rsid w:val="20CD4FA8"/>
    <w:rsid w:val="20D00718"/>
    <w:rsid w:val="20D34741"/>
    <w:rsid w:val="20D67D2E"/>
    <w:rsid w:val="20FA011C"/>
    <w:rsid w:val="210A3544"/>
    <w:rsid w:val="211A56BD"/>
    <w:rsid w:val="21584C46"/>
    <w:rsid w:val="216A4BF3"/>
    <w:rsid w:val="2174035B"/>
    <w:rsid w:val="218B0B78"/>
    <w:rsid w:val="21B53E47"/>
    <w:rsid w:val="21CE6CB6"/>
    <w:rsid w:val="21D72053"/>
    <w:rsid w:val="21DF5A8A"/>
    <w:rsid w:val="220152DE"/>
    <w:rsid w:val="221943D6"/>
    <w:rsid w:val="221E3587"/>
    <w:rsid w:val="222C235B"/>
    <w:rsid w:val="22381E5D"/>
    <w:rsid w:val="22561152"/>
    <w:rsid w:val="22673393"/>
    <w:rsid w:val="227F4D69"/>
    <w:rsid w:val="22C32593"/>
    <w:rsid w:val="22C72083"/>
    <w:rsid w:val="22CA3922"/>
    <w:rsid w:val="22CD6F6E"/>
    <w:rsid w:val="22E76282"/>
    <w:rsid w:val="230C3F3A"/>
    <w:rsid w:val="231177A3"/>
    <w:rsid w:val="231E1A39"/>
    <w:rsid w:val="231E77CA"/>
    <w:rsid w:val="232079E6"/>
    <w:rsid w:val="23272B22"/>
    <w:rsid w:val="23394F8C"/>
    <w:rsid w:val="233D40F4"/>
    <w:rsid w:val="233F7E6C"/>
    <w:rsid w:val="23512ECE"/>
    <w:rsid w:val="235F29DD"/>
    <w:rsid w:val="23617646"/>
    <w:rsid w:val="236E69A3"/>
    <w:rsid w:val="2370037C"/>
    <w:rsid w:val="23757D31"/>
    <w:rsid w:val="237C0708"/>
    <w:rsid w:val="237C2E6E"/>
    <w:rsid w:val="23AB76E2"/>
    <w:rsid w:val="23C91E2B"/>
    <w:rsid w:val="23EE3BED"/>
    <w:rsid w:val="240F3CE2"/>
    <w:rsid w:val="242805EF"/>
    <w:rsid w:val="243472A5"/>
    <w:rsid w:val="24466FD8"/>
    <w:rsid w:val="24602F0B"/>
    <w:rsid w:val="24612217"/>
    <w:rsid w:val="249D3020"/>
    <w:rsid w:val="24AC6345"/>
    <w:rsid w:val="24D9609E"/>
    <w:rsid w:val="24DE0F1C"/>
    <w:rsid w:val="24EB1A43"/>
    <w:rsid w:val="24EC0364"/>
    <w:rsid w:val="25043F44"/>
    <w:rsid w:val="251D242F"/>
    <w:rsid w:val="25290C0F"/>
    <w:rsid w:val="252A68FA"/>
    <w:rsid w:val="254B0ECC"/>
    <w:rsid w:val="25536C6E"/>
    <w:rsid w:val="255B6BAA"/>
    <w:rsid w:val="25607EB6"/>
    <w:rsid w:val="25B15BA3"/>
    <w:rsid w:val="25BC57A4"/>
    <w:rsid w:val="25D86356"/>
    <w:rsid w:val="25EB42DB"/>
    <w:rsid w:val="26127ABA"/>
    <w:rsid w:val="261A27B1"/>
    <w:rsid w:val="26206F88"/>
    <w:rsid w:val="26235823"/>
    <w:rsid w:val="262F4BAF"/>
    <w:rsid w:val="262F4EF0"/>
    <w:rsid w:val="26387FD1"/>
    <w:rsid w:val="265E4AAD"/>
    <w:rsid w:val="26751DF6"/>
    <w:rsid w:val="268362C1"/>
    <w:rsid w:val="26890797"/>
    <w:rsid w:val="26B20955"/>
    <w:rsid w:val="26BA0BD4"/>
    <w:rsid w:val="26BB47F7"/>
    <w:rsid w:val="26E60B12"/>
    <w:rsid w:val="26E74AA2"/>
    <w:rsid w:val="271D04C4"/>
    <w:rsid w:val="27371426"/>
    <w:rsid w:val="2749316B"/>
    <w:rsid w:val="27501FAC"/>
    <w:rsid w:val="275639D6"/>
    <w:rsid w:val="276F6846"/>
    <w:rsid w:val="277B168E"/>
    <w:rsid w:val="278103B5"/>
    <w:rsid w:val="279F712B"/>
    <w:rsid w:val="27A97FAA"/>
    <w:rsid w:val="27C43B20"/>
    <w:rsid w:val="27DFAE9C"/>
    <w:rsid w:val="27E4184D"/>
    <w:rsid w:val="28011B94"/>
    <w:rsid w:val="28212236"/>
    <w:rsid w:val="285C01F9"/>
    <w:rsid w:val="28836A4D"/>
    <w:rsid w:val="288A7DDB"/>
    <w:rsid w:val="28C3509B"/>
    <w:rsid w:val="28D603D4"/>
    <w:rsid w:val="28D65731"/>
    <w:rsid w:val="28EB63A0"/>
    <w:rsid w:val="28F416F8"/>
    <w:rsid w:val="28F6564B"/>
    <w:rsid w:val="290B259E"/>
    <w:rsid w:val="290D4568"/>
    <w:rsid w:val="291C3D4F"/>
    <w:rsid w:val="291F1529"/>
    <w:rsid w:val="292D69B8"/>
    <w:rsid w:val="29332221"/>
    <w:rsid w:val="293F1222"/>
    <w:rsid w:val="29622B06"/>
    <w:rsid w:val="29657F00"/>
    <w:rsid w:val="29662C92"/>
    <w:rsid w:val="29722F5F"/>
    <w:rsid w:val="298760C9"/>
    <w:rsid w:val="298C6E54"/>
    <w:rsid w:val="29B570DA"/>
    <w:rsid w:val="29B669AE"/>
    <w:rsid w:val="29C60FDB"/>
    <w:rsid w:val="29D57D43"/>
    <w:rsid w:val="2A0D3496"/>
    <w:rsid w:val="2A1C4A45"/>
    <w:rsid w:val="2A2B739C"/>
    <w:rsid w:val="2A341CA9"/>
    <w:rsid w:val="2A344E28"/>
    <w:rsid w:val="2A3701FB"/>
    <w:rsid w:val="2A940C25"/>
    <w:rsid w:val="2AE61515"/>
    <w:rsid w:val="2AF05EF0"/>
    <w:rsid w:val="2AF17DAC"/>
    <w:rsid w:val="2B073965"/>
    <w:rsid w:val="2B2362C5"/>
    <w:rsid w:val="2B3E4F87"/>
    <w:rsid w:val="2B3F32EA"/>
    <w:rsid w:val="2B57369B"/>
    <w:rsid w:val="2B5D3585"/>
    <w:rsid w:val="2B642C2F"/>
    <w:rsid w:val="2B7B7EAF"/>
    <w:rsid w:val="2B894753"/>
    <w:rsid w:val="2B977CDD"/>
    <w:rsid w:val="2BAE2D24"/>
    <w:rsid w:val="2BB1742D"/>
    <w:rsid w:val="2BE204B3"/>
    <w:rsid w:val="2BF2400A"/>
    <w:rsid w:val="2C0313A8"/>
    <w:rsid w:val="2C0B2FE1"/>
    <w:rsid w:val="2C372028"/>
    <w:rsid w:val="2C424529"/>
    <w:rsid w:val="2C4C5F9B"/>
    <w:rsid w:val="2C4D184B"/>
    <w:rsid w:val="2C504E98"/>
    <w:rsid w:val="2C6C5DDF"/>
    <w:rsid w:val="2C6C77F8"/>
    <w:rsid w:val="2C733DEE"/>
    <w:rsid w:val="2CAB0320"/>
    <w:rsid w:val="2CF87A11"/>
    <w:rsid w:val="2D197980"/>
    <w:rsid w:val="2D202ABC"/>
    <w:rsid w:val="2D3A16A4"/>
    <w:rsid w:val="2D696646"/>
    <w:rsid w:val="2D6E788B"/>
    <w:rsid w:val="2D7D004E"/>
    <w:rsid w:val="2D811081"/>
    <w:rsid w:val="2DB651CE"/>
    <w:rsid w:val="2DB87198"/>
    <w:rsid w:val="2DCC071F"/>
    <w:rsid w:val="2DE41D3C"/>
    <w:rsid w:val="2DFF1639"/>
    <w:rsid w:val="2E044AAB"/>
    <w:rsid w:val="2E06707A"/>
    <w:rsid w:val="2E3F6F72"/>
    <w:rsid w:val="2E3F7AE8"/>
    <w:rsid w:val="2E4D699B"/>
    <w:rsid w:val="2E7D3F3E"/>
    <w:rsid w:val="2E942877"/>
    <w:rsid w:val="2EB060C2"/>
    <w:rsid w:val="2EC45814"/>
    <w:rsid w:val="2EDC05D9"/>
    <w:rsid w:val="2EDDD7E7"/>
    <w:rsid w:val="2EFFCCAE"/>
    <w:rsid w:val="2F212B1B"/>
    <w:rsid w:val="2F476200"/>
    <w:rsid w:val="2F52CF9D"/>
    <w:rsid w:val="2F650C5A"/>
    <w:rsid w:val="2F656EAC"/>
    <w:rsid w:val="2F7973C1"/>
    <w:rsid w:val="2F7D2448"/>
    <w:rsid w:val="2F7E3A90"/>
    <w:rsid w:val="2F854FD8"/>
    <w:rsid w:val="2F8813FA"/>
    <w:rsid w:val="2F8829A6"/>
    <w:rsid w:val="2F912537"/>
    <w:rsid w:val="2FB310C1"/>
    <w:rsid w:val="2FBD0A96"/>
    <w:rsid w:val="2FC75471"/>
    <w:rsid w:val="2FDB74D1"/>
    <w:rsid w:val="2FDFC1B2"/>
    <w:rsid w:val="2FDFEA83"/>
    <w:rsid w:val="2FE783EB"/>
    <w:rsid w:val="2FF919C9"/>
    <w:rsid w:val="2FFF6C10"/>
    <w:rsid w:val="30191A45"/>
    <w:rsid w:val="302C1778"/>
    <w:rsid w:val="30322AC0"/>
    <w:rsid w:val="303A20E7"/>
    <w:rsid w:val="30420F9B"/>
    <w:rsid w:val="304A68FD"/>
    <w:rsid w:val="304F7427"/>
    <w:rsid w:val="305331A8"/>
    <w:rsid w:val="305701CE"/>
    <w:rsid w:val="305F38FB"/>
    <w:rsid w:val="30601421"/>
    <w:rsid w:val="30627EF3"/>
    <w:rsid w:val="306C596C"/>
    <w:rsid w:val="30972947"/>
    <w:rsid w:val="30A21A3A"/>
    <w:rsid w:val="30A9101A"/>
    <w:rsid w:val="30A92DC8"/>
    <w:rsid w:val="30AC28B9"/>
    <w:rsid w:val="30CE282F"/>
    <w:rsid w:val="30D2231F"/>
    <w:rsid w:val="30DA5678"/>
    <w:rsid w:val="30F83C67"/>
    <w:rsid w:val="31077AEF"/>
    <w:rsid w:val="31245BB5"/>
    <w:rsid w:val="313A7EC4"/>
    <w:rsid w:val="313B3E82"/>
    <w:rsid w:val="3143321D"/>
    <w:rsid w:val="314952F1"/>
    <w:rsid w:val="3159659D"/>
    <w:rsid w:val="31684A32"/>
    <w:rsid w:val="318F4D46"/>
    <w:rsid w:val="31985960"/>
    <w:rsid w:val="31AB02A3"/>
    <w:rsid w:val="31C0486E"/>
    <w:rsid w:val="31C51E84"/>
    <w:rsid w:val="31CB6D6E"/>
    <w:rsid w:val="31CD3C67"/>
    <w:rsid w:val="31D64091"/>
    <w:rsid w:val="31D643DD"/>
    <w:rsid w:val="31E367AE"/>
    <w:rsid w:val="31F12C79"/>
    <w:rsid w:val="32012A3E"/>
    <w:rsid w:val="320D7387"/>
    <w:rsid w:val="322F5D32"/>
    <w:rsid w:val="323175BB"/>
    <w:rsid w:val="3240150B"/>
    <w:rsid w:val="32470AEB"/>
    <w:rsid w:val="32534EA6"/>
    <w:rsid w:val="325A7B16"/>
    <w:rsid w:val="3260395B"/>
    <w:rsid w:val="32785148"/>
    <w:rsid w:val="328371BC"/>
    <w:rsid w:val="32870EE7"/>
    <w:rsid w:val="32F26CA9"/>
    <w:rsid w:val="33010C9A"/>
    <w:rsid w:val="330B246B"/>
    <w:rsid w:val="33122EA7"/>
    <w:rsid w:val="33225C67"/>
    <w:rsid w:val="332537D6"/>
    <w:rsid w:val="333A19F2"/>
    <w:rsid w:val="33437504"/>
    <w:rsid w:val="336E3E55"/>
    <w:rsid w:val="339D2D41"/>
    <w:rsid w:val="33A14453"/>
    <w:rsid w:val="33CD5020"/>
    <w:rsid w:val="33CF6FEA"/>
    <w:rsid w:val="33D03FED"/>
    <w:rsid w:val="33D12D62"/>
    <w:rsid w:val="33D22636"/>
    <w:rsid w:val="33FF22A5"/>
    <w:rsid w:val="342B5D7A"/>
    <w:rsid w:val="34A107F2"/>
    <w:rsid w:val="34AA2C62"/>
    <w:rsid w:val="34AC4C1E"/>
    <w:rsid w:val="34B1337D"/>
    <w:rsid w:val="34C24459"/>
    <w:rsid w:val="34F15007"/>
    <w:rsid w:val="3513435D"/>
    <w:rsid w:val="351A4295"/>
    <w:rsid w:val="353510CF"/>
    <w:rsid w:val="355157DD"/>
    <w:rsid w:val="35563707"/>
    <w:rsid w:val="35571045"/>
    <w:rsid w:val="35815CBD"/>
    <w:rsid w:val="358636D8"/>
    <w:rsid w:val="3589212D"/>
    <w:rsid w:val="359D3DD6"/>
    <w:rsid w:val="35A46254"/>
    <w:rsid w:val="35AE1795"/>
    <w:rsid w:val="35C47D3F"/>
    <w:rsid w:val="35CB37E1"/>
    <w:rsid w:val="35D02BA5"/>
    <w:rsid w:val="35E0728C"/>
    <w:rsid w:val="35EA010B"/>
    <w:rsid w:val="35EC6B2E"/>
    <w:rsid w:val="35EF5721"/>
    <w:rsid w:val="35FC7E3E"/>
    <w:rsid w:val="36154A5C"/>
    <w:rsid w:val="36186CF3"/>
    <w:rsid w:val="36413AA3"/>
    <w:rsid w:val="365A616A"/>
    <w:rsid w:val="368220F2"/>
    <w:rsid w:val="369A29A7"/>
    <w:rsid w:val="36BB7799"/>
    <w:rsid w:val="36C61B0B"/>
    <w:rsid w:val="36D502F2"/>
    <w:rsid w:val="36D84EA5"/>
    <w:rsid w:val="36D8736D"/>
    <w:rsid w:val="36E239A8"/>
    <w:rsid w:val="36E91EA9"/>
    <w:rsid w:val="36F34D9D"/>
    <w:rsid w:val="36FF85AE"/>
    <w:rsid w:val="370C1750"/>
    <w:rsid w:val="37117919"/>
    <w:rsid w:val="37180CA8"/>
    <w:rsid w:val="37292428"/>
    <w:rsid w:val="372D6E3F"/>
    <w:rsid w:val="37324A70"/>
    <w:rsid w:val="373B2879"/>
    <w:rsid w:val="373F5302"/>
    <w:rsid w:val="37446E85"/>
    <w:rsid w:val="375F7EEC"/>
    <w:rsid w:val="37621F23"/>
    <w:rsid w:val="37672CBF"/>
    <w:rsid w:val="376856E5"/>
    <w:rsid w:val="376A757A"/>
    <w:rsid w:val="377079EB"/>
    <w:rsid w:val="37753A04"/>
    <w:rsid w:val="377FCEB6"/>
    <w:rsid w:val="378474D3"/>
    <w:rsid w:val="379729A8"/>
    <w:rsid w:val="37AA4E39"/>
    <w:rsid w:val="37FC36BF"/>
    <w:rsid w:val="380D00E1"/>
    <w:rsid w:val="380F4D97"/>
    <w:rsid w:val="38134257"/>
    <w:rsid w:val="383E54CF"/>
    <w:rsid w:val="38523D46"/>
    <w:rsid w:val="38533C6D"/>
    <w:rsid w:val="38680C78"/>
    <w:rsid w:val="386B035A"/>
    <w:rsid w:val="38995E18"/>
    <w:rsid w:val="38F233BB"/>
    <w:rsid w:val="38F31085"/>
    <w:rsid w:val="392E6561"/>
    <w:rsid w:val="39301553"/>
    <w:rsid w:val="39426BCC"/>
    <w:rsid w:val="394624FA"/>
    <w:rsid w:val="394C1C44"/>
    <w:rsid w:val="39521EA2"/>
    <w:rsid w:val="39604CDB"/>
    <w:rsid w:val="3964338F"/>
    <w:rsid w:val="39731FF1"/>
    <w:rsid w:val="39957EEF"/>
    <w:rsid w:val="39C1270B"/>
    <w:rsid w:val="39CD7B28"/>
    <w:rsid w:val="39D92970"/>
    <w:rsid w:val="39E15381"/>
    <w:rsid w:val="39E66E3B"/>
    <w:rsid w:val="39F34786"/>
    <w:rsid w:val="3A004FB1"/>
    <w:rsid w:val="3A154B40"/>
    <w:rsid w:val="3A1A5594"/>
    <w:rsid w:val="3A332B11"/>
    <w:rsid w:val="3A381BAC"/>
    <w:rsid w:val="3A3C2EFF"/>
    <w:rsid w:val="3A463375"/>
    <w:rsid w:val="3A8B1791"/>
    <w:rsid w:val="3A914FF9"/>
    <w:rsid w:val="3AA0348E"/>
    <w:rsid w:val="3AA94BD5"/>
    <w:rsid w:val="3AC56A51"/>
    <w:rsid w:val="3ADE5D64"/>
    <w:rsid w:val="3AFB6916"/>
    <w:rsid w:val="3B256105"/>
    <w:rsid w:val="3B286C5A"/>
    <w:rsid w:val="3B2F036E"/>
    <w:rsid w:val="3B331C0C"/>
    <w:rsid w:val="3B366613"/>
    <w:rsid w:val="3B491430"/>
    <w:rsid w:val="3B4F22FA"/>
    <w:rsid w:val="3B570312"/>
    <w:rsid w:val="3B651FE2"/>
    <w:rsid w:val="3B9F54CE"/>
    <w:rsid w:val="3B9F72A2"/>
    <w:rsid w:val="3BB6F035"/>
    <w:rsid w:val="3BBC60A6"/>
    <w:rsid w:val="3BC91F0E"/>
    <w:rsid w:val="3BD74C8E"/>
    <w:rsid w:val="3BDF3B42"/>
    <w:rsid w:val="3BED2703"/>
    <w:rsid w:val="3BEFA308"/>
    <w:rsid w:val="3BF16BC3"/>
    <w:rsid w:val="3BF55CF3"/>
    <w:rsid w:val="3BF68361"/>
    <w:rsid w:val="3BF71C6A"/>
    <w:rsid w:val="3C385050"/>
    <w:rsid w:val="3C4226DD"/>
    <w:rsid w:val="3C471F5A"/>
    <w:rsid w:val="3C4F6F1A"/>
    <w:rsid w:val="3C532300"/>
    <w:rsid w:val="3C696C92"/>
    <w:rsid w:val="3C6D55F2"/>
    <w:rsid w:val="3C7022EA"/>
    <w:rsid w:val="3C72786F"/>
    <w:rsid w:val="3C9457F9"/>
    <w:rsid w:val="3C99296C"/>
    <w:rsid w:val="3C9E5BA8"/>
    <w:rsid w:val="3CA37C09"/>
    <w:rsid w:val="3CB278D5"/>
    <w:rsid w:val="3CBB4F2E"/>
    <w:rsid w:val="3CDF6D0B"/>
    <w:rsid w:val="3CE138EA"/>
    <w:rsid w:val="3CEB2751"/>
    <w:rsid w:val="3D007DBA"/>
    <w:rsid w:val="3D0E6E15"/>
    <w:rsid w:val="3D412F1E"/>
    <w:rsid w:val="3D533A17"/>
    <w:rsid w:val="3D5D19CA"/>
    <w:rsid w:val="3D5FE911"/>
    <w:rsid w:val="3D6975A4"/>
    <w:rsid w:val="3D8A4BCE"/>
    <w:rsid w:val="3D8F2D6E"/>
    <w:rsid w:val="3D94095C"/>
    <w:rsid w:val="3DA768E2"/>
    <w:rsid w:val="3DBC05DF"/>
    <w:rsid w:val="3DBD3298"/>
    <w:rsid w:val="3DEC0798"/>
    <w:rsid w:val="3DEFCBB7"/>
    <w:rsid w:val="3DF15DAF"/>
    <w:rsid w:val="3DFFAF13"/>
    <w:rsid w:val="3E2C6DE7"/>
    <w:rsid w:val="3E500D27"/>
    <w:rsid w:val="3E66054B"/>
    <w:rsid w:val="3E691DE9"/>
    <w:rsid w:val="3E6B5B61"/>
    <w:rsid w:val="3E7942CE"/>
    <w:rsid w:val="3E915634"/>
    <w:rsid w:val="3E93F166"/>
    <w:rsid w:val="3EA6303D"/>
    <w:rsid w:val="3EA971BA"/>
    <w:rsid w:val="3EB50A34"/>
    <w:rsid w:val="3EB58C4D"/>
    <w:rsid w:val="3EC32C38"/>
    <w:rsid w:val="3EC55271"/>
    <w:rsid w:val="3EC7548D"/>
    <w:rsid w:val="3ED24749"/>
    <w:rsid w:val="3EDB2CE7"/>
    <w:rsid w:val="3F022FC2"/>
    <w:rsid w:val="3F0C10F2"/>
    <w:rsid w:val="3F1C1447"/>
    <w:rsid w:val="3F3D5E9F"/>
    <w:rsid w:val="3F453060"/>
    <w:rsid w:val="3F5633A0"/>
    <w:rsid w:val="3F5A279E"/>
    <w:rsid w:val="3F616E3A"/>
    <w:rsid w:val="3F7248EE"/>
    <w:rsid w:val="3F73B8DC"/>
    <w:rsid w:val="3F88086B"/>
    <w:rsid w:val="3F8823C7"/>
    <w:rsid w:val="3F8F3AD1"/>
    <w:rsid w:val="3F9B2476"/>
    <w:rsid w:val="3F9BCEFA"/>
    <w:rsid w:val="3F9F0707"/>
    <w:rsid w:val="3FC56946"/>
    <w:rsid w:val="3FF83425"/>
    <w:rsid w:val="3FFB2F15"/>
    <w:rsid w:val="3FFE2ED6"/>
    <w:rsid w:val="3FFE991D"/>
    <w:rsid w:val="3FFF47B3"/>
    <w:rsid w:val="400C0C7E"/>
    <w:rsid w:val="401364B0"/>
    <w:rsid w:val="40251D40"/>
    <w:rsid w:val="40442B0E"/>
    <w:rsid w:val="404B1364"/>
    <w:rsid w:val="404E74E8"/>
    <w:rsid w:val="40682CC9"/>
    <w:rsid w:val="408178BE"/>
    <w:rsid w:val="40866C82"/>
    <w:rsid w:val="408A3A0D"/>
    <w:rsid w:val="40CE4185"/>
    <w:rsid w:val="410D1152"/>
    <w:rsid w:val="410D4CAE"/>
    <w:rsid w:val="4139209D"/>
    <w:rsid w:val="413E130B"/>
    <w:rsid w:val="415442A5"/>
    <w:rsid w:val="418D4040"/>
    <w:rsid w:val="419D1708"/>
    <w:rsid w:val="419E624E"/>
    <w:rsid w:val="41A03D74"/>
    <w:rsid w:val="41A82000"/>
    <w:rsid w:val="4238123C"/>
    <w:rsid w:val="425D71BE"/>
    <w:rsid w:val="425F3425"/>
    <w:rsid w:val="42624F84"/>
    <w:rsid w:val="42727CA6"/>
    <w:rsid w:val="427D3C86"/>
    <w:rsid w:val="428216CB"/>
    <w:rsid w:val="42862F6A"/>
    <w:rsid w:val="428A2851"/>
    <w:rsid w:val="428B25BE"/>
    <w:rsid w:val="42937435"/>
    <w:rsid w:val="42A27C07"/>
    <w:rsid w:val="42A3182C"/>
    <w:rsid w:val="42BA0E65"/>
    <w:rsid w:val="42BE6BA7"/>
    <w:rsid w:val="42C10446"/>
    <w:rsid w:val="42C43A92"/>
    <w:rsid w:val="42CD0FC1"/>
    <w:rsid w:val="42CE66BF"/>
    <w:rsid w:val="42FE0D52"/>
    <w:rsid w:val="431C38CE"/>
    <w:rsid w:val="43232BE3"/>
    <w:rsid w:val="433429C6"/>
    <w:rsid w:val="43367FF4"/>
    <w:rsid w:val="434102C7"/>
    <w:rsid w:val="435B43F6"/>
    <w:rsid w:val="436D4129"/>
    <w:rsid w:val="43805C0B"/>
    <w:rsid w:val="43813731"/>
    <w:rsid w:val="43827BD5"/>
    <w:rsid w:val="43943464"/>
    <w:rsid w:val="439D4A0F"/>
    <w:rsid w:val="43AF32DF"/>
    <w:rsid w:val="43AF64F0"/>
    <w:rsid w:val="43FB163B"/>
    <w:rsid w:val="44123DA4"/>
    <w:rsid w:val="442C7B41"/>
    <w:rsid w:val="44376E3C"/>
    <w:rsid w:val="444E3BE8"/>
    <w:rsid w:val="4451295E"/>
    <w:rsid w:val="445552E9"/>
    <w:rsid w:val="445A3463"/>
    <w:rsid w:val="44667C74"/>
    <w:rsid w:val="446B5B00"/>
    <w:rsid w:val="446B68BB"/>
    <w:rsid w:val="44775260"/>
    <w:rsid w:val="447C2876"/>
    <w:rsid w:val="44901B43"/>
    <w:rsid w:val="44915BF6"/>
    <w:rsid w:val="44AB7024"/>
    <w:rsid w:val="44BE3578"/>
    <w:rsid w:val="44D426B2"/>
    <w:rsid w:val="44E87F0C"/>
    <w:rsid w:val="450B0205"/>
    <w:rsid w:val="45240FEF"/>
    <w:rsid w:val="4528231C"/>
    <w:rsid w:val="452A20C1"/>
    <w:rsid w:val="453C5F01"/>
    <w:rsid w:val="455507B6"/>
    <w:rsid w:val="45554E75"/>
    <w:rsid w:val="45874E64"/>
    <w:rsid w:val="45A33E32"/>
    <w:rsid w:val="45AC0F39"/>
    <w:rsid w:val="45C5024D"/>
    <w:rsid w:val="45CA2262"/>
    <w:rsid w:val="45DD1873"/>
    <w:rsid w:val="45DE1C3C"/>
    <w:rsid w:val="45F446C0"/>
    <w:rsid w:val="45FF5428"/>
    <w:rsid w:val="464078D3"/>
    <w:rsid w:val="46640D69"/>
    <w:rsid w:val="467A5ADD"/>
    <w:rsid w:val="468603E5"/>
    <w:rsid w:val="468E6F6C"/>
    <w:rsid w:val="468F066B"/>
    <w:rsid w:val="46924078"/>
    <w:rsid w:val="46933EA7"/>
    <w:rsid w:val="46A10DA5"/>
    <w:rsid w:val="46B81B60"/>
    <w:rsid w:val="46CF2718"/>
    <w:rsid w:val="474C5990"/>
    <w:rsid w:val="474E7F19"/>
    <w:rsid w:val="475A2C17"/>
    <w:rsid w:val="4760316A"/>
    <w:rsid w:val="476D7B5D"/>
    <w:rsid w:val="47B07BAA"/>
    <w:rsid w:val="47B57E4D"/>
    <w:rsid w:val="47D227AD"/>
    <w:rsid w:val="47E70BB6"/>
    <w:rsid w:val="47FC22BE"/>
    <w:rsid w:val="480155F8"/>
    <w:rsid w:val="4803556E"/>
    <w:rsid w:val="480A2581"/>
    <w:rsid w:val="48286816"/>
    <w:rsid w:val="48380575"/>
    <w:rsid w:val="48455675"/>
    <w:rsid w:val="484F3414"/>
    <w:rsid w:val="48521BAD"/>
    <w:rsid w:val="4858258C"/>
    <w:rsid w:val="48593977"/>
    <w:rsid w:val="486C6D18"/>
    <w:rsid w:val="486F19CC"/>
    <w:rsid w:val="487B4BF3"/>
    <w:rsid w:val="48C33E97"/>
    <w:rsid w:val="48DD6F82"/>
    <w:rsid w:val="491E4121"/>
    <w:rsid w:val="49345205"/>
    <w:rsid w:val="494E2307"/>
    <w:rsid w:val="49687EE9"/>
    <w:rsid w:val="497E1E4D"/>
    <w:rsid w:val="498319B0"/>
    <w:rsid w:val="49890704"/>
    <w:rsid w:val="498D6205"/>
    <w:rsid w:val="49946234"/>
    <w:rsid w:val="49A60395"/>
    <w:rsid w:val="49A8026C"/>
    <w:rsid w:val="49AE1DD3"/>
    <w:rsid w:val="49C1138B"/>
    <w:rsid w:val="49C61211"/>
    <w:rsid w:val="49D7054F"/>
    <w:rsid w:val="49DA3918"/>
    <w:rsid w:val="49E03350"/>
    <w:rsid w:val="49E43262"/>
    <w:rsid w:val="49F17862"/>
    <w:rsid w:val="4A010FC6"/>
    <w:rsid w:val="4A0A2486"/>
    <w:rsid w:val="4A174DEF"/>
    <w:rsid w:val="4A266DE0"/>
    <w:rsid w:val="4A8265D7"/>
    <w:rsid w:val="4A995804"/>
    <w:rsid w:val="4AA246B9"/>
    <w:rsid w:val="4AA93C99"/>
    <w:rsid w:val="4AAB4494"/>
    <w:rsid w:val="4AB0666C"/>
    <w:rsid w:val="4AC1073B"/>
    <w:rsid w:val="4AC73519"/>
    <w:rsid w:val="4AC960E9"/>
    <w:rsid w:val="4AD309EB"/>
    <w:rsid w:val="4ADA6548"/>
    <w:rsid w:val="4AEB42B2"/>
    <w:rsid w:val="4B01317C"/>
    <w:rsid w:val="4B052219"/>
    <w:rsid w:val="4B0C0336"/>
    <w:rsid w:val="4B106E7B"/>
    <w:rsid w:val="4B1732F9"/>
    <w:rsid w:val="4B1A06F3"/>
    <w:rsid w:val="4B271062"/>
    <w:rsid w:val="4B386DCB"/>
    <w:rsid w:val="4B633DAE"/>
    <w:rsid w:val="4B7659CB"/>
    <w:rsid w:val="4B7F5179"/>
    <w:rsid w:val="4B9506C1"/>
    <w:rsid w:val="4B96436D"/>
    <w:rsid w:val="4B9F20AD"/>
    <w:rsid w:val="4BBF129A"/>
    <w:rsid w:val="4C0118B3"/>
    <w:rsid w:val="4C073A5A"/>
    <w:rsid w:val="4C1415E6"/>
    <w:rsid w:val="4C1603E0"/>
    <w:rsid w:val="4C194E4E"/>
    <w:rsid w:val="4C341BD2"/>
    <w:rsid w:val="4C3B4DC5"/>
    <w:rsid w:val="4C765DFD"/>
    <w:rsid w:val="4C814795"/>
    <w:rsid w:val="4C895DB9"/>
    <w:rsid w:val="4C8C3872"/>
    <w:rsid w:val="4C9149E5"/>
    <w:rsid w:val="4CA4286F"/>
    <w:rsid w:val="4CA7245A"/>
    <w:rsid w:val="4CC40DB5"/>
    <w:rsid w:val="4CF80F08"/>
    <w:rsid w:val="4D07739D"/>
    <w:rsid w:val="4D227D33"/>
    <w:rsid w:val="4D3A5CC6"/>
    <w:rsid w:val="4D3E2FAE"/>
    <w:rsid w:val="4D442A75"/>
    <w:rsid w:val="4D4A7598"/>
    <w:rsid w:val="4D6934C1"/>
    <w:rsid w:val="4D7821B4"/>
    <w:rsid w:val="4D816C33"/>
    <w:rsid w:val="4D8D7AD3"/>
    <w:rsid w:val="4D907B8E"/>
    <w:rsid w:val="4DA953B3"/>
    <w:rsid w:val="4DBD581C"/>
    <w:rsid w:val="4DBF26D1"/>
    <w:rsid w:val="4DE27224"/>
    <w:rsid w:val="4E127DA7"/>
    <w:rsid w:val="4E263853"/>
    <w:rsid w:val="4E3917D8"/>
    <w:rsid w:val="4E405508"/>
    <w:rsid w:val="4E7445BE"/>
    <w:rsid w:val="4E863B24"/>
    <w:rsid w:val="4E88088F"/>
    <w:rsid w:val="4E9F706E"/>
    <w:rsid w:val="4EA83FDC"/>
    <w:rsid w:val="4EAD7AD0"/>
    <w:rsid w:val="4ED115C8"/>
    <w:rsid w:val="4ED71898"/>
    <w:rsid w:val="4EDD4E75"/>
    <w:rsid w:val="4EF15E6C"/>
    <w:rsid w:val="4EF70956"/>
    <w:rsid w:val="4EFE2B32"/>
    <w:rsid w:val="4F063B93"/>
    <w:rsid w:val="4F391364"/>
    <w:rsid w:val="4F3E6280"/>
    <w:rsid w:val="4F4C1097"/>
    <w:rsid w:val="4F5012C8"/>
    <w:rsid w:val="4F640757"/>
    <w:rsid w:val="4F7A5C04"/>
    <w:rsid w:val="4F7D515F"/>
    <w:rsid w:val="4F7F76BE"/>
    <w:rsid w:val="4FA90297"/>
    <w:rsid w:val="4FCE7CFE"/>
    <w:rsid w:val="4FDC237C"/>
    <w:rsid w:val="4FEFBBD0"/>
    <w:rsid w:val="4FF37764"/>
    <w:rsid w:val="500D6A78"/>
    <w:rsid w:val="50450C53"/>
    <w:rsid w:val="50504BB7"/>
    <w:rsid w:val="506D7517"/>
    <w:rsid w:val="50707007"/>
    <w:rsid w:val="5072704B"/>
    <w:rsid w:val="507A1C34"/>
    <w:rsid w:val="509176A9"/>
    <w:rsid w:val="50D64796"/>
    <w:rsid w:val="51022355"/>
    <w:rsid w:val="511B51C5"/>
    <w:rsid w:val="51624BA2"/>
    <w:rsid w:val="517542B1"/>
    <w:rsid w:val="518E0DA5"/>
    <w:rsid w:val="51984A67"/>
    <w:rsid w:val="519C4558"/>
    <w:rsid w:val="51A11B6E"/>
    <w:rsid w:val="51A451BA"/>
    <w:rsid w:val="51D97AFF"/>
    <w:rsid w:val="51E7154B"/>
    <w:rsid w:val="51F16987"/>
    <w:rsid w:val="51FBFAE8"/>
    <w:rsid w:val="51FE0D6E"/>
    <w:rsid w:val="5208399B"/>
    <w:rsid w:val="521F6422"/>
    <w:rsid w:val="52474DA5"/>
    <w:rsid w:val="524F1A19"/>
    <w:rsid w:val="527A416D"/>
    <w:rsid w:val="528721B3"/>
    <w:rsid w:val="52906AFF"/>
    <w:rsid w:val="52A31916"/>
    <w:rsid w:val="52DC4BAE"/>
    <w:rsid w:val="52DD4D4B"/>
    <w:rsid w:val="52DE3185"/>
    <w:rsid w:val="52DE46FC"/>
    <w:rsid w:val="52E5041A"/>
    <w:rsid w:val="52F3463A"/>
    <w:rsid w:val="5308363F"/>
    <w:rsid w:val="53112B15"/>
    <w:rsid w:val="531B6FE2"/>
    <w:rsid w:val="531E71EE"/>
    <w:rsid w:val="53426794"/>
    <w:rsid w:val="537D3F15"/>
    <w:rsid w:val="5394125E"/>
    <w:rsid w:val="53A019B1"/>
    <w:rsid w:val="53A83CF6"/>
    <w:rsid w:val="53AE0572"/>
    <w:rsid w:val="53B611D5"/>
    <w:rsid w:val="53CC33EA"/>
    <w:rsid w:val="53E775E0"/>
    <w:rsid w:val="53F06DDB"/>
    <w:rsid w:val="53F36F74"/>
    <w:rsid w:val="53F50225"/>
    <w:rsid w:val="53FD9591"/>
    <w:rsid w:val="54092845"/>
    <w:rsid w:val="5415239F"/>
    <w:rsid w:val="543A6075"/>
    <w:rsid w:val="54624EB9"/>
    <w:rsid w:val="547A712D"/>
    <w:rsid w:val="547D5CB3"/>
    <w:rsid w:val="548F2152"/>
    <w:rsid w:val="54BC4142"/>
    <w:rsid w:val="54CB5951"/>
    <w:rsid w:val="54E61BBB"/>
    <w:rsid w:val="54E7110D"/>
    <w:rsid w:val="54F57361"/>
    <w:rsid w:val="54FA3343"/>
    <w:rsid w:val="550541AA"/>
    <w:rsid w:val="5527238A"/>
    <w:rsid w:val="554121F3"/>
    <w:rsid w:val="554272CD"/>
    <w:rsid w:val="554F368F"/>
    <w:rsid w:val="555B64D8"/>
    <w:rsid w:val="55653A2B"/>
    <w:rsid w:val="55A41C2D"/>
    <w:rsid w:val="55AA001C"/>
    <w:rsid w:val="55AA4D69"/>
    <w:rsid w:val="55AF2CD7"/>
    <w:rsid w:val="55B44532"/>
    <w:rsid w:val="55C87F2E"/>
    <w:rsid w:val="55FE2CBA"/>
    <w:rsid w:val="56156687"/>
    <w:rsid w:val="561E7655"/>
    <w:rsid w:val="562059B9"/>
    <w:rsid w:val="563C1642"/>
    <w:rsid w:val="564F2321"/>
    <w:rsid w:val="56666EE2"/>
    <w:rsid w:val="56CF4AAF"/>
    <w:rsid w:val="56D8324A"/>
    <w:rsid w:val="56DB4C3A"/>
    <w:rsid w:val="56E2111D"/>
    <w:rsid w:val="56E35CBB"/>
    <w:rsid w:val="56E542AB"/>
    <w:rsid w:val="56FA0735"/>
    <w:rsid w:val="56FB363C"/>
    <w:rsid w:val="57033140"/>
    <w:rsid w:val="57036298"/>
    <w:rsid w:val="570606C5"/>
    <w:rsid w:val="57081D47"/>
    <w:rsid w:val="572648C3"/>
    <w:rsid w:val="572C4AF7"/>
    <w:rsid w:val="572E6CA7"/>
    <w:rsid w:val="574134AB"/>
    <w:rsid w:val="57415D3F"/>
    <w:rsid w:val="574DB4D3"/>
    <w:rsid w:val="57596A47"/>
    <w:rsid w:val="57603931"/>
    <w:rsid w:val="576C6869"/>
    <w:rsid w:val="576E7564"/>
    <w:rsid w:val="577915D9"/>
    <w:rsid w:val="578971D5"/>
    <w:rsid w:val="579B0E0D"/>
    <w:rsid w:val="57A10A0D"/>
    <w:rsid w:val="57B7551B"/>
    <w:rsid w:val="57D12A81"/>
    <w:rsid w:val="57E633BE"/>
    <w:rsid w:val="57EC3417"/>
    <w:rsid w:val="57EC5DE7"/>
    <w:rsid w:val="57F1749D"/>
    <w:rsid w:val="57FF9EFE"/>
    <w:rsid w:val="581550E8"/>
    <w:rsid w:val="58167B7A"/>
    <w:rsid w:val="58240E0E"/>
    <w:rsid w:val="582839E6"/>
    <w:rsid w:val="58297C40"/>
    <w:rsid w:val="58325E36"/>
    <w:rsid w:val="583C5BF3"/>
    <w:rsid w:val="58401886"/>
    <w:rsid w:val="58650891"/>
    <w:rsid w:val="58711B6E"/>
    <w:rsid w:val="5881407B"/>
    <w:rsid w:val="588B04D6"/>
    <w:rsid w:val="588C0756"/>
    <w:rsid w:val="58911DCF"/>
    <w:rsid w:val="58966D0D"/>
    <w:rsid w:val="589A60FF"/>
    <w:rsid w:val="58A43BDA"/>
    <w:rsid w:val="58B51D22"/>
    <w:rsid w:val="58B84B8A"/>
    <w:rsid w:val="58BA1767"/>
    <w:rsid w:val="58F6DF6E"/>
    <w:rsid w:val="59087210"/>
    <w:rsid w:val="592326D2"/>
    <w:rsid w:val="59353D2F"/>
    <w:rsid w:val="5940752E"/>
    <w:rsid w:val="595F5990"/>
    <w:rsid w:val="597DEF9B"/>
    <w:rsid w:val="59B42CD8"/>
    <w:rsid w:val="59CC52AE"/>
    <w:rsid w:val="59CD275E"/>
    <w:rsid w:val="59D40607"/>
    <w:rsid w:val="59D6612D"/>
    <w:rsid w:val="59EE4D9E"/>
    <w:rsid w:val="59F14D15"/>
    <w:rsid w:val="59F238A5"/>
    <w:rsid w:val="5A074538"/>
    <w:rsid w:val="5A296252"/>
    <w:rsid w:val="5A7FB14E"/>
    <w:rsid w:val="5A865DA5"/>
    <w:rsid w:val="5A8E4C59"/>
    <w:rsid w:val="5A9B2ED2"/>
    <w:rsid w:val="5AA505A9"/>
    <w:rsid w:val="5AA61A39"/>
    <w:rsid w:val="5AAC3332"/>
    <w:rsid w:val="5ACD5782"/>
    <w:rsid w:val="5ADB3AB4"/>
    <w:rsid w:val="5AFF1586"/>
    <w:rsid w:val="5B160669"/>
    <w:rsid w:val="5B331733"/>
    <w:rsid w:val="5B43001F"/>
    <w:rsid w:val="5B43467D"/>
    <w:rsid w:val="5B78295E"/>
    <w:rsid w:val="5B7B2B66"/>
    <w:rsid w:val="5B7C0F56"/>
    <w:rsid w:val="5B81031A"/>
    <w:rsid w:val="5BBC1352"/>
    <w:rsid w:val="5BC76675"/>
    <w:rsid w:val="5BE10DB9"/>
    <w:rsid w:val="5BE24471"/>
    <w:rsid w:val="5BF154A0"/>
    <w:rsid w:val="5BF1653A"/>
    <w:rsid w:val="5BF60D08"/>
    <w:rsid w:val="5BFA1B04"/>
    <w:rsid w:val="5BFB027A"/>
    <w:rsid w:val="5C146C73"/>
    <w:rsid w:val="5C295777"/>
    <w:rsid w:val="5C341831"/>
    <w:rsid w:val="5C3910BC"/>
    <w:rsid w:val="5C403D31"/>
    <w:rsid w:val="5C7929C3"/>
    <w:rsid w:val="5C86208C"/>
    <w:rsid w:val="5C900C58"/>
    <w:rsid w:val="5C9C05B9"/>
    <w:rsid w:val="5CB84210"/>
    <w:rsid w:val="5CE62B2B"/>
    <w:rsid w:val="5CEB4E87"/>
    <w:rsid w:val="5CF76AE6"/>
    <w:rsid w:val="5CFB5EAA"/>
    <w:rsid w:val="5D2418A5"/>
    <w:rsid w:val="5D3A654F"/>
    <w:rsid w:val="5D485594"/>
    <w:rsid w:val="5D4D2BAA"/>
    <w:rsid w:val="5D603429"/>
    <w:rsid w:val="5D7DCCBC"/>
    <w:rsid w:val="5D805C7A"/>
    <w:rsid w:val="5D861C18"/>
    <w:rsid w:val="5D9FBAFC"/>
    <w:rsid w:val="5DB00C01"/>
    <w:rsid w:val="5DB70023"/>
    <w:rsid w:val="5DC463E8"/>
    <w:rsid w:val="5DD67616"/>
    <w:rsid w:val="5E05722B"/>
    <w:rsid w:val="5E0E62FC"/>
    <w:rsid w:val="5E2B115E"/>
    <w:rsid w:val="5E6261E1"/>
    <w:rsid w:val="5E641CDC"/>
    <w:rsid w:val="5E6829AE"/>
    <w:rsid w:val="5E6F4DA2"/>
    <w:rsid w:val="5E930A90"/>
    <w:rsid w:val="5EB56224"/>
    <w:rsid w:val="5EBC027A"/>
    <w:rsid w:val="5ECB5E31"/>
    <w:rsid w:val="5ECB9D66"/>
    <w:rsid w:val="5ED32FCA"/>
    <w:rsid w:val="5ED370DF"/>
    <w:rsid w:val="5EE237C6"/>
    <w:rsid w:val="5EF84D97"/>
    <w:rsid w:val="5EFF7613"/>
    <w:rsid w:val="5F0220E2"/>
    <w:rsid w:val="5F166FCB"/>
    <w:rsid w:val="5F335DCF"/>
    <w:rsid w:val="5F357D99"/>
    <w:rsid w:val="5F3C1FE0"/>
    <w:rsid w:val="5F5E8005"/>
    <w:rsid w:val="5F6B37BB"/>
    <w:rsid w:val="5F8605F5"/>
    <w:rsid w:val="5F8811CD"/>
    <w:rsid w:val="5F956F50"/>
    <w:rsid w:val="5F964192"/>
    <w:rsid w:val="5FBF0F34"/>
    <w:rsid w:val="5FDF3861"/>
    <w:rsid w:val="5FE315A4"/>
    <w:rsid w:val="5FE61094"/>
    <w:rsid w:val="5FE7510C"/>
    <w:rsid w:val="5FEF1CF6"/>
    <w:rsid w:val="5FF940EC"/>
    <w:rsid w:val="60163069"/>
    <w:rsid w:val="601654D5"/>
    <w:rsid w:val="601849F0"/>
    <w:rsid w:val="601910DC"/>
    <w:rsid w:val="601C4AB5"/>
    <w:rsid w:val="6040276C"/>
    <w:rsid w:val="60423169"/>
    <w:rsid w:val="604B4EF0"/>
    <w:rsid w:val="60502B65"/>
    <w:rsid w:val="6051650D"/>
    <w:rsid w:val="605509A7"/>
    <w:rsid w:val="60560F73"/>
    <w:rsid w:val="60B849F9"/>
    <w:rsid w:val="60BB7D3E"/>
    <w:rsid w:val="60BC4B7A"/>
    <w:rsid w:val="60C90799"/>
    <w:rsid w:val="60DE12EA"/>
    <w:rsid w:val="60F50662"/>
    <w:rsid w:val="60F63E54"/>
    <w:rsid w:val="613025C6"/>
    <w:rsid w:val="613876CD"/>
    <w:rsid w:val="61587D6F"/>
    <w:rsid w:val="61614E76"/>
    <w:rsid w:val="616D4190"/>
    <w:rsid w:val="617C2D3A"/>
    <w:rsid w:val="61973C7D"/>
    <w:rsid w:val="619B2CBC"/>
    <w:rsid w:val="61C96577"/>
    <w:rsid w:val="61CD250B"/>
    <w:rsid w:val="61E15FB7"/>
    <w:rsid w:val="61E3588B"/>
    <w:rsid w:val="61FE4473"/>
    <w:rsid w:val="622D46BD"/>
    <w:rsid w:val="625059A0"/>
    <w:rsid w:val="627B2FD4"/>
    <w:rsid w:val="627C0B43"/>
    <w:rsid w:val="6280132C"/>
    <w:rsid w:val="629812AD"/>
    <w:rsid w:val="62A570F7"/>
    <w:rsid w:val="62AB1151"/>
    <w:rsid w:val="62E77411"/>
    <w:rsid w:val="633610B3"/>
    <w:rsid w:val="634837A4"/>
    <w:rsid w:val="63614889"/>
    <w:rsid w:val="636E5628"/>
    <w:rsid w:val="63843334"/>
    <w:rsid w:val="63854488"/>
    <w:rsid w:val="63B24188"/>
    <w:rsid w:val="63B4493D"/>
    <w:rsid w:val="63BC3470"/>
    <w:rsid w:val="63CD05A1"/>
    <w:rsid w:val="63FB6398"/>
    <w:rsid w:val="64066E20"/>
    <w:rsid w:val="64085A7D"/>
    <w:rsid w:val="64177A6E"/>
    <w:rsid w:val="643B1AE6"/>
    <w:rsid w:val="6454481E"/>
    <w:rsid w:val="645C1D5E"/>
    <w:rsid w:val="646D3391"/>
    <w:rsid w:val="6472739A"/>
    <w:rsid w:val="647632B5"/>
    <w:rsid w:val="64763304"/>
    <w:rsid w:val="648A0240"/>
    <w:rsid w:val="648D7D30"/>
    <w:rsid w:val="64947D16"/>
    <w:rsid w:val="64AD3F2E"/>
    <w:rsid w:val="64C002CD"/>
    <w:rsid w:val="64CC6647"/>
    <w:rsid w:val="64D63946"/>
    <w:rsid w:val="64F63B27"/>
    <w:rsid w:val="64FE5D81"/>
    <w:rsid w:val="6525440C"/>
    <w:rsid w:val="65294FC1"/>
    <w:rsid w:val="652F2B95"/>
    <w:rsid w:val="655B7FC6"/>
    <w:rsid w:val="65652A5B"/>
    <w:rsid w:val="65670581"/>
    <w:rsid w:val="65874A9D"/>
    <w:rsid w:val="65904BE8"/>
    <w:rsid w:val="659770B8"/>
    <w:rsid w:val="65982E30"/>
    <w:rsid w:val="65A13FE6"/>
    <w:rsid w:val="65E41BD1"/>
    <w:rsid w:val="65E47E23"/>
    <w:rsid w:val="663C396E"/>
    <w:rsid w:val="663E7534"/>
    <w:rsid w:val="66456B14"/>
    <w:rsid w:val="664663E8"/>
    <w:rsid w:val="66532A36"/>
    <w:rsid w:val="666A43E6"/>
    <w:rsid w:val="666D7E19"/>
    <w:rsid w:val="667E5B82"/>
    <w:rsid w:val="669C24AC"/>
    <w:rsid w:val="66B843BC"/>
    <w:rsid w:val="66C56337"/>
    <w:rsid w:val="66CE5E35"/>
    <w:rsid w:val="66D82B1B"/>
    <w:rsid w:val="66EC6F90"/>
    <w:rsid w:val="67002314"/>
    <w:rsid w:val="672506F4"/>
    <w:rsid w:val="6727621A"/>
    <w:rsid w:val="67283D40"/>
    <w:rsid w:val="67340937"/>
    <w:rsid w:val="6743454D"/>
    <w:rsid w:val="67550AA1"/>
    <w:rsid w:val="676254A4"/>
    <w:rsid w:val="677220A2"/>
    <w:rsid w:val="677600E0"/>
    <w:rsid w:val="67777F76"/>
    <w:rsid w:val="677C5E51"/>
    <w:rsid w:val="67987117"/>
    <w:rsid w:val="67A57B70"/>
    <w:rsid w:val="67A94E81"/>
    <w:rsid w:val="67EB28FC"/>
    <w:rsid w:val="67F72BAF"/>
    <w:rsid w:val="67FEDA8B"/>
    <w:rsid w:val="68913269"/>
    <w:rsid w:val="6894168D"/>
    <w:rsid w:val="689478DF"/>
    <w:rsid w:val="68B62BDC"/>
    <w:rsid w:val="68C853D0"/>
    <w:rsid w:val="68EF785A"/>
    <w:rsid w:val="68F71C1C"/>
    <w:rsid w:val="69197DE4"/>
    <w:rsid w:val="691E189E"/>
    <w:rsid w:val="694035C3"/>
    <w:rsid w:val="69504A2B"/>
    <w:rsid w:val="69652139"/>
    <w:rsid w:val="69A928F1"/>
    <w:rsid w:val="69BD2E65"/>
    <w:rsid w:val="69DF0155"/>
    <w:rsid w:val="69E00902"/>
    <w:rsid w:val="69E7343C"/>
    <w:rsid w:val="69F66377"/>
    <w:rsid w:val="69F74FA9"/>
    <w:rsid w:val="6A107439"/>
    <w:rsid w:val="6A3B195D"/>
    <w:rsid w:val="6A4E3ED8"/>
    <w:rsid w:val="6A7E25F5"/>
    <w:rsid w:val="6A8E477D"/>
    <w:rsid w:val="6A9811DC"/>
    <w:rsid w:val="6AAB0F10"/>
    <w:rsid w:val="6ABA2D6A"/>
    <w:rsid w:val="6AE14931"/>
    <w:rsid w:val="6AF428B7"/>
    <w:rsid w:val="6B036F9E"/>
    <w:rsid w:val="6B1809A5"/>
    <w:rsid w:val="6B256651"/>
    <w:rsid w:val="6B482C03"/>
    <w:rsid w:val="6B7B6EF8"/>
    <w:rsid w:val="6BE74F14"/>
    <w:rsid w:val="6BEA3CBA"/>
    <w:rsid w:val="6BEE37AA"/>
    <w:rsid w:val="6BF7B891"/>
    <w:rsid w:val="6BFC1DAD"/>
    <w:rsid w:val="6C2947E2"/>
    <w:rsid w:val="6C2979F2"/>
    <w:rsid w:val="6C3C4515"/>
    <w:rsid w:val="6C411B2C"/>
    <w:rsid w:val="6C6B0957"/>
    <w:rsid w:val="6C7D068A"/>
    <w:rsid w:val="6C830396"/>
    <w:rsid w:val="6C8934D3"/>
    <w:rsid w:val="6CB82ACD"/>
    <w:rsid w:val="6CF92DA5"/>
    <w:rsid w:val="6D0B3EE8"/>
    <w:rsid w:val="6D48513C"/>
    <w:rsid w:val="6D512B4B"/>
    <w:rsid w:val="6D65184A"/>
    <w:rsid w:val="6D8A7059"/>
    <w:rsid w:val="6DA73C10"/>
    <w:rsid w:val="6DA94B4F"/>
    <w:rsid w:val="6DB141CC"/>
    <w:rsid w:val="6DB657C7"/>
    <w:rsid w:val="6DCD0C1A"/>
    <w:rsid w:val="6DD4449B"/>
    <w:rsid w:val="6DDCA2AC"/>
    <w:rsid w:val="6DF66946"/>
    <w:rsid w:val="6E085B41"/>
    <w:rsid w:val="6E1A59A1"/>
    <w:rsid w:val="6E2038CC"/>
    <w:rsid w:val="6E227C51"/>
    <w:rsid w:val="6E2365B9"/>
    <w:rsid w:val="6E25722B"/>
    <w:rsid w:val="6E2A64EE"/>
    <w:rsid w:val="6E415A81"/>
    <w:rsid w:val="6E478CCF"/>
    <w:rsid w:val="6E526272"/>
    <w:rsid w:val="6E6C6C08"/>
    <w:rsid w:val="6E6D4619"/>
    <w:rsid w:val="6E7F5B55"/>
    <w:rsid w:val="6E8126B3"/>
    <w:rsid w:val="6E8A5020"/>
    <w:rsid w:val="6E9248C1"/>
    <w:rsid w:val="6E9E24E0"/>
    <w:rsid w:val="6EBC193D"/>
    <w:rsid w:val="6ECB7DD2"/>
    <w:rsid w:val="6ECC76A7"/>
    <w:rsid w:val="6EE3511C"/>
    <w:rsid w:val="6EE449F0"/>
    <w:rsid w:val="6EEF1D13"/>
    <w:rsid w:val="6EFDC14F"/>
    <w:rsid w:val="6F0230C8"/>
    <w:rsid w:val="6F2C399A"/>
    <w:rsid w:val="6F322997"/>
    <w:rsid w:val="6F343BCA"/>
    <w:rsid w:val="6F410095"/>
    <w:rsid w:val="6F491CD8"/>
    <w:rsid w:val="6F5372C3"/>
    <w:rsid w:val="6F6A3EB7"/>
    <w:rsid w:val="6F76710D"/>
    <w:rsid w:val="6F7FA7DC"/>
    <w:rsid w:val="6F8040FF"/>
    <w:rsid w:val="6F853F55"/>
    <w:rsid w:val="6FBF5457"/>
    <w:rsid w:val="6FC3279B"/>
    <w:rsid w:val="6FC43198"/>
    <w:rsid w:val="6FDE10DE"/>
    <w:rsid w:val="6FEF90B4"/>
    <w:rsid w:val="6FFC1207"/>
    <w:rsid w:val="7013079E"/>
    <w:rsid w:val="701B2694"/>
    <w:rsid w:val="704036A5"/>
    <w:rsid w:val="70470551"/>
    <w:rsid w:val="704C06FA"/>
    <w:rsid w:val="704C6CF1"/>
    <w:rsid w:val="706E3DA3"/>
    <w:rsid w:val="708475F5"/>
    <w:rsid w:val="70862203"/>
    <w:rsid w:val="708C17E3"/>
    <w:rsid w:val="708C533F"/>
    <w:rsid w:val="709008C4"/>
    <w:rsid w:val="70956FE4"/>
    <w:rsid w:val="70B35E58"/>
    <w:rsid w:val="70BFCC90"/>
    <w:rsid w:val="70DA5A6D"/>
    <w:rsid w:val="70E84C6C"/>
    <w:rsid w:val="70F353BF"/>
    <w:rsid w:val="70F74EAF"/>
    <w:rsid w:val="70FA5C7A"/>
    <w:rsid w:val="713F57D9"/>
    <w:rsid w:val="715B3690"/>
    <w:rsid w:val="71744751"/>
    <w:rsid w:val="718A7B9B"/>
    <w:rsid w:val="719C15B2"/>
    <w:rsid w:val="719E0AED"/>
    <w:rsid w:val="71EE199F"/>
    <w:rsid w:val="71F3D316"/>
    <w:rsid w:val="71F4319C"/>
    <w:rsid w:val="71F94C57"/>
    <w:rsid w:val="72001B41"/>
    <w:rsid w:val="720022E6"/>
    <w:rsid w:val="72115AE1"/>
    <w:rsid w:val="723764DA"/>
    <w:rsid w:val="725D2011"/>
    <w:rsid w:val="72710C91"/>
    <w:rsid w:val="727B38BE"/>
    <w:rsid w:val="729B7ABC"/>
    <w:rsid w:val="72B44E44"/>
    <w:rsid w:val="72BB015E"/>
    <w:rsid w:val="72CA520C"/>
    <w:rsid w:val="72D07765"/>
    <w:rsid w:val="72D54D7C"/>
    <w:rsid w:val="72DA7695"/>
    <w:rsid w:val="72EE28CB"/>
    <w:rsid w:val="72F71196"/>
    <w:rsid w:val="72F97861"/>
    <w:rsid w:val="72FF1356"/>
    <w:rsid w:val="73060561"/>
    <w:rsid w:val="73297649"/>
    <w:rsid w:val="733441CF"/>
    <w:rsid w:val="734737A0"/>
    <w:rsid w:val="734A8D0D"/>
    <w:rsid w:val="73564C7B"/>
    <w:rsid w:val="73577B45"/>
    <w:rsid w:val="73A34E7A"/>
    <w:rsid w:val="73AA2FF3"/>
    <w:rsid w:val="73BD73DB"/>
    <w:rsid w:val="73BE7F06"/>
    <w:rsid w:val="73DA5BBF"/>
    <w:rsid w:val="73E159A2"/>
    <w:rsid w:val="73E3796C"/>
    <w:rsid w:val="73EB241B"/>
    <w:rsid w:val="73F8A7B4"/>
    <w:rsid w:val="73FDD619"/>
    <w:rsid w:val="740D6797"/>
    <w:rsid w:val="740E2C9B"/>
    <w:rsid w:val="740F42BD"/>
    <w:rsid w:val="74140BBB"/>
    <w:rsid w:val="74422FDB"/>
    <w:rsid w:val="744736F3"/>
    <w:rsid w:val="745368A0"/>
    <w:rsid w:val="74597C2E"/>
    <w:rsid w:val="746960C4"/>
    <w:rsid w:val="746D588E"/>
    <w:rsid w:val="746FEE30"/>
    <w:rsid w:val="747653BE"/>
    <w:rsid w:val="74B75C45"/>
    <w:rsid w:val="74D92E12"/>
    <w:rsid w:val="74DB0643"/>
    <w:rsid w:val="74FF07D6"/>
    <w:rsid w:val="75183646"/>
    <w:rsid w:val="751D387F"/>
    <w:rsid w:val="751D4255"/>
    <w:rsid w:val="75243D99"/>
    <w:rsid w:val="753F51A9"/>
    <w:rsid w:val="75422296"/>
    <w:rsid w:val="75476980"/>
    <w:rsid w:val="75532DBB"/>
    <w:rsid w:val="755F3023"/>
    <w:rsid w:val="7561323F"/>
    <w:rsid w:val="756845CD"/>
    <w:rsid w:val="756D32B3"/>
    <w:rsid w:val="758B2048"/>
    <w:rsid w:val="75C335B1"/>
    <w:rsid w:val="75C37A55"/>
    <w:rsid w:val="75D27C98"/>
    <w:rsid w:val="75DA6B4D"/>
    <w:rsid w:val="7601057E"/>
    <w:rsid w:val="76051E1C"/>
    <w:rsid w:val="76124539"/>
    <w:rsid w:val="761E2EDE"/>
    <w:rsid w:val="76331700"/>
    <w:rsid w:val="763B583E"/>
    <w:rsid w:val="76500BBD"/>
    <w:rsid w:val="765DD1C1"/>
    <w:rsid w:val="765E152C"/>
    <w:rsid w:val="76676633"/>
    <w:rsid w:val="7669543B"/>
    <w:rsid w:val="767C74B3"/>
    <w:rsid w:val="76A72ED3"/>
    <w:rsid w:val="76B7BA23"/>
    <w:rsid w:val="76D4359C"/>
    <w:rsid w:val="76E539FB"/>
    <w:rsid w:val="770D5AC1"/>
    <w:rsid w:val="770F0E04"/>
    <w:rsid w:val="77204A34"/>
    <w:rsid w:val="774D7FEE"/>
    <w:rsid w:val="775A7F45"/>
    <w:rsid w:val="775DEDF6"/>
    <w:rsid w:val="77644920"/>
    <w:rsid w:val="77671F5F"/>
    <w:rsid w:val="77770AF7"/>
    <w:rsid w:val="777A6AAE"/>
    <w:rsid w:val="77884AB3"/>
    <w:rsid w:val="778B6351"/>
    <w:rsid w:val="77974CF6"/>
    <w:rsid w:val="77A16184"/>
    <w:rsid w:val="77AB7616"/>
    <w:rsid w:val="77BE011C"/>
    <w:rsid w:val="77CFB02D"/>
    <w:rsid w:val="77D27E07"/>
    <w:rsid w:val="77DB3D40"/>
    <w:rsid w:val="77EC3DB7"/>
    <w:rsid w:val="77ED0DBA"/>
    <w:rsid w:val="77FBF427"/>
    <w:rsid w:val="77FCEEFE"/>
    <w:rsid w:val="7803238B"/>
    <w:rsid w:val="780A3F99"/>
    <w:rsid w:val="78453CBC"/>
    <w:rsid w:val="78485FF0"/>
    <w:rsid w:val="786A4AD7"/>
    <w:rsid w:val="786D1EFA"/>
    <w:rsid w:val="78727803"/>
    <w:rsid w:val="78807F3E"/>
    <w:rsid w:val="788A485A"/>
    <w:rsid w:val="788E6722"/>
    <w:rsid w:val="78A7710D"/>
    <w:rsid w:val="78D110A7"/>
    <w:rsid w:val="78D83818"/>
    <w:rsid w:val="790F6B0E"/>
    <w:rsid w:val="79226841"/>
    <w:rsid w:val="794E7636"/>
    <w:rsid w:val="794F520C"/>
    <w:rsid w:val="794F57E8"/>
    <w:rsid w:val="795B2114"/>
    <w:rsid w:val="79652BD2"/>
    <w:rsid w:val="7973709D"/>
    <w:rsid w:val="79921C19"/>
    <w:rsid w:val="79B80F53"/>
    <w:rsid w:val="79C45B4A"/>
    <w:rsid w:val="79E3438D"/>
    <w:rsid w:val="79E47872"/>
    <w:rsid w:val="79FD1A8F"/>
    <w:rsid w:val="7A59072B"/>
    <w:rsid w:val="7A6419F8"/>
    <w:rsid w:val="7A786F71"/>
    <w:rsid w:val="7A820227"/>
    <w:rsid w:val="7AA371EC"/>
    <w:rsid w:val="7AAD7831"/>
    <w:rsid w:val="7AB7ABCF"/>
    <w:rsid w:val="7AB81AA1"/>
    <w:rsid w:val="7AB94274"/>
    <w:rsid w:val="7ACD2C21"/>
    <w:rsid w:val="7B133AD1"/>
    <w:rsid w:val="7B252618"/>
    <w:rsid w:val="7B3B2B9A"/>
    <w:rsid w:val="7B705F89"/>
    <w:rsid w:val="7B771B4D"/>
    <w:rsid w:val="7B914152"/>
    <w:rsid w:val="7BAE6AB2"/>
    <w:rsid w:val="7BBBF903"/>
    <w:rsid w:val="7BBF481B"/>
    <w:rsid w:val="7BC167E5"/>
    <w:rsid w:val="7BCB31C0"/>
    <w:rsid w:val="7BDA3403"/>
    <w:rsid w:val="7BDD18BA"/>
    <w:rsid w:val="7BE72388"/>
    <w:rsid w:val="7BE90162"/>
    <w:rsid w:val="7BF92B82"/>
    <w:rsid w:val="7BFA5853"/>
    <w:rsid w:val="7BFD5343"/>
    <w:rsid w:val="7BFF2E69"/>
    <w:rsid w:val="7C075B4D"/>
    <w:rsid w:val="7C1E59E5"/>
    <w:rsid w:val="7C2A51D8"/>
    <w:rsid w:val="7C2D4CD4"/>
    <w:rsid w:val="7C2D5C29"/>
    <w:rsid w:val="7C833A9B"/>
    <w:rsid w:val="7C9C2DAE"/>
    <w:rsid w:val="7CA40E87"/>
    <w:rsid w:val="7CB31958"/>
    <w:rsid w:val="7CBC6FAC"/>
    <w:rsid w:val="7CEA528D"/>
    <w:rsid w:val="7CF647CE"/>
    <w:rsid w:val="7CFE1373"/>
    <w:rsid w:val="7D00333D"/>
    <w:rsid w:val="7D017208"/>
    <w:rsid w:val="7D020E63"/>
    <w:rsid w:val="7D021039"/>
    <w:rsid w:val="7D0D15B6"/>
    <w:rsid w:val="7D123591"/>
    <w:rsid w:val="7D197F5B"/>
    <w:rsid w:val="7D354C5D"/>
    <w:rsid w:val="7D36082F"/>
    <w:rsid w:val="7D3F7641"/>
    <w:rsid w:val="7D470F6C"/>
    <w:rsid w:val="7D515947"/>
    <w:rsid w:val="7D5F5F6B"/>
    <w:rsid w:val="7D7E4804"/>
    <w:rsid w:val="7D9B9AB7"/>
    <w:rsid w:val="7DA95783"/>
    <w:rsid w:val="7DBE7642"/>
    <w:rsid w:val="7DDF3AEC"/>
    <w:rsid w:val="7DDF5855"/>
    <w:rsid w:val="7E0A5B87"/>
    <w:rsid w:val="7E0B01EB"/>
    <w:rsid w:val="7E17E7FE"/>
    <w:rsid w:val="7E2E2F16"/>
    <w:rsid w:val="7E3A462D"/>
    <w:rsid w:val="7E4436FD"/>
    <w:rsid w:val="7E575E95"/>
    <w:rsid w:val="7E6F667C"/>
    <w:rsid w:val="7E7713DD"/>
    <w:rsid w:val="7E7EBEC9"/>
    <w:rsid w:val="7EB937A4"/>
    <w:rsid w:val="7EC2380E"/>
    <w:rsid w:val="7ECC4D7D"/>
    <w:rsid w:val="7ED005DA"/>
    <w:rsid w:val="7EDE4B74"/>
    <w:rsid w:val="7EE1B2E8"/>
    <w:rsid w:val="7EEC26FB"/>
    <w:rsid w:val="7EEF5C43"/>
    <w:rsid w:val="7EF47042"/>
    <w:rsid w:val="7EFF7828"/>
    <w:rsid w:val="7F0A1577"/>
    <w:rsid w:val="7F0C11C7"/>
    <w:rsid w:val="7F2DCC0F"/>
    <w:rsid w:val="7F2F7F0A"/>
    <w:rsid w:val="7F381E1D"/>
    <w:rsid w:val="7F3DBA81"/>
    <w:rsid w:val="7F547970"/>
    <w:rsid w:val="7F7818B1"/>
    <w:rsid w:val="7F7D71C0"/>
    <w:rsid w:val="7F9A2311"/>
    <w:rsid w:val="7F9B734D"/>
    <w:rsid w:val="7F9DDBA2"/>
    <w:rsid w:val="7FA26627"/>
    <w:rsid w:val="7FBDF965"/>
    <w:rsid w:val="7FBF303C"/>
    <w:rsid w:val="7FBF816F"/>
    <w:rsid w:val="7FF151BF"/>
    <w:rsid w:val="7FF30F37"/>
    <w:rsid w:val="7FF5EC34"/>
    <w:rsid w:val="7FF78B87"/>
    <w:rsid w:val="7FFD55ED"/>
    <w:rsid w:val="7FFF4922"/>
    <w:rsid w:val="8BFFBDCF"/>
    <w:rsid w:val="9BC6E34B"/>
    <w:rsid w:val="9EFDFDD9"/>
    <w:rsid w:val="A2E9BF0A"/>
    <w:rsid w:val="AAF9B338"/>
    <w:rsid w:val="AC8FC665"/>
    <w:rsid w:val="ACFFF825"/>
    <w:rsid w:val="AFBF0474"/>
    <w:rsid w:val="B18B7562"/>
    <w:rsid w:val="B297F98E"/>
    <w:rsid w:val="B4AD5343"/>
    <w:rsid w:val="B5FFDB98"/>
    <w:rsid w:val="B6EF5E02"/>
    <w:rsid w:val="B7AFA21A"/>
    <w:rsid w:val="B7F7B89B"/>
    <w:rsid w:val="B8F79F9E"/>
    <w:rsid w:val="BBFDA9C6"/>
    <w:rsid w:val="BEFB7107"/>
    <w:rsid w:val="BF67A0D0"/>
    <w:rsid w:val="BF684F3A"/>
    <w:rsid w:val="BFAF4CD5"/>
    <w:rsid w:val="BFB652B4"/>
    <w:rsid w:val="BFDFD5BA"/>
    <w:rsid w:val="C3A8578B"/>
    <w:rsid w:val="C3FBAE6E"/>
    <w:rsid w:val="C56B322B"/>
    <w:rsid w:val="C57B1EDB"/>
    <w:rsid w:val="C77C02FA"/>
    <w:rsid w:val="CBCFF975"/>
    <w:rsid w:val="D3CFD681"/>
    <w:rsid w:val="D5BEF10E"/>
    <w:rsid w:val="D5FDBE8C"/>
    <w:rsid w:val="D76E090B"/>
    <w:rsid w:val="D7D3BE55"/>
    <w:rsid w:val="DB3F9407"/>
    <w:rsid w:val="DEFD9A87"/>
    <w:rsid w:val="DF6A5B11"/>
    <w:rsid w:val="DF773765"/>
    <w:rsid w:val="DF7E0C2E"/>
    <w:rsid w:val="DFA6634A"/>
    <w:rsid w:val="DFECF4C1"/>
    <w:rsid w:val="DFFFE5B0"/>
    <w:rsid w:val="E4DB8413"/>
    <w:rsid w:val="E5F539FC"/>
    <w:rsid w:val="E6F70932"/>
    <w:rsid w:val="E6F72D27"/>
    <w:rsid w:val="E7FD48C9"/>
    <w:rsid w:val="EBDC6FF3"/>
    <w:rsid w:val="EBFC4E88"/>
    <w:rsid w:val="ECAFB66D"/>
    <w:rsid w:val="ED5B1C77"/>
    <w:rsid w:val="EDED7DA5"/>
    <w:rsid w:val="EDFFA1B3"/>
    <w:rsid w:val="EEFB44C7"/>
    <w:rsid w:val="EEFE3201"/>
    <w:rsid w:val="EF3D0123"/>
    <w:rsid w:val="EF5F1A39"/>
    <w:rsid w:val="EF7F3C37"/>
    <w:rsid w:val="EFDE5E1E"/>
    <w:rsid w:val="EFF7B320"/>
    <w:rsid w:val="EFF94FE0"/>
    <w:rsid w:val="F17FC5DD"/>
    <w:rsid w:val="F1BD2C02"/>
    <w:rsid w:val="F1CE00F3"/>
    <w:rsid w:val="F1D514D9"/>
    <w:rsid w:val="F37F3E99"/>
    <w:rsid w:val="F5D74F7C"/>
    <w:rsid w:val="F5FFED76"/>
    <w:rsid w:val="F6DB8EBA"/>
    <w:rsid w:val="F76F5F08"/>
    <w:rsid w:val="F7BDEEF6"/>
    <w:rsid w:val="F7DD57E3"/>
    <w:rsid w:val="F7EDC300"/>
    <w:rsid w:val="F7EF8029"/>
    <w:rsid w:val="F7FF691E"/>
    <w:rsid w:val="FB0F0988"/>
    <w:rsid w:val="FB37C769"/>
    <w:rsid w:val="FB7D8AA4"/>
    <w:rsid w:val="FBDF3BBC"/>
    <w:rsid w:val="FBEBCBD8"/>
    <w:rsid w:val="FBF76E69"/>
    <w:rsid w:val="FBFE4152"/>
    <w:rsid w:val="FCF9B662"/>
    <w:rsid w:val="FCFB06E9"/>
    <w:rsid w:val="FCFE3075"/>
    <w:rsid w:val="FD535991"/>
    <w:rsid w:val="FD9BE8F8"/>
    <w:rsid w:val="FDAA5150"/>
    <w:rsid w:val="FDDBA678"/>
    <w:rsid w:val="FDDBE9D6"/>
    <w:rsid w:val="FDDEA388"/>
    <w:rsid w:val="FDF120E3"/>
    <w:rsid w:val="FDFD971D"/>
    <w:rsid w:val="FDFF190B"/>
    <w:rsid w:val="FE674BDB"/>
    <w:rsid w:val="FE6E18DE"/>
    <w:rsid w:val="FE7F8329"/>
    <w:rsid w:val="FE856CEB"/>
    <w:rsid w:val="FECD5E06"/>
    <w:rsid w:val="FEF7ADDF"/>
    <w:rsid w:val="FEFD9655"/>
    <w:rsid w:val="FEFE955E"/>
    <w:rsid w:val="FF2FED21"/>
    <w:rsid w:val="FF370FDE"/>
    <w:rsid w:val="FF533007"/>
    <w:rsid w:val="FF5D845B"/>
    <w:rsid w:val="FF5EB924"/>
    <w:rsid w:val="FF5FA289"/>
    <w:rsid w:val="FF6F5870"/>
    <w:rsid w:val="FF7762D3"/>
    <w:rsid w:val="FF7B0F7D"/>
    <w:rsid w:val="FFBF04F4"/>
    <w:rsid w:val="FFBF2382"/>
    <w:rsid w:val="FFD6A4D0"/>
    <w:rsid w:val="FFDADF68"/>
    <w:rsid w:val="FFDBCF82"/>
    <w:rsid w:val="FFEF2757"/>
    <w:rsid w:val="FFEF39BA"/>
    <w:rsid w:val="FFEF90EC"/>
    <w:rsid w:val="FFFB12A7"/>
    <w:rsid w:val="FFFB86C7"/>
    <w:rsid w:val="FFFBB14C"/>
    <w:rsid w:val="FFFED030"/>
    <w:rsid w:val="FFFFDB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ind w:left="3"/>
      <w:jc w:val="left"/>
      <w:outlineLvl w:val="1"/>
    </w:pPr>
    <w:rPr>
      <w:rFonts w:ascii="宋体" w:hAnsi="宋体"/>
      <w:kern w:val="0"/>
      <w:sz w:val="44"/>
      <w:szCs w:val="44"/>
      <w:lang w:eastAsia="en-US"/>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Calibri Light" w:hAnsi="Calibri Light"/>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firstLineChars="200"/>
      <w:jc w:val="left"/>
    </w:pPr>
    <w:rPr>
      <w:rFonts w:ascii="Times New Roman" w:hAnsi="Times New Roman" w:eastAsia="Calibri"/>
      <w:kern w:val="0"/>
      <w:sz w:val="22"/>
      <w:lang w:eastAsia="en-US"/>
    </w:rPr>
  </w:style>
  <w:style w:type="paragraph" w:styleId="7">
    <w:name w:val="annotation text"/>
    <w:basedOn w:val="1"/>
    <w:link w:val="43"/>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qFormat/>
    <w:uiPriority w:val="0"/>
    <w:pPr>
      <w:ind w:left="100"/>
      <w:jc w:val="left"/>
    </w:pPr>
    <w:rPr>
      <w:rFonts w:ascii="宋体" w:hAnsi="宋体"/>
      <w:kern w:val="0"/>
      <w:szCs w:val="21"/>
      <w:lang w:eastAsia="en-US"/>
    </w:rPr>
  </w:style>
  <w:style w:type="paragraph" w:styleId="10">
    <w:name w:val="Body Text Indent"/>
    <w:basedOn w:val="1"/>
    <w:next w:val="11"/>
    <w:qFormat/>
    <w:uiPriority w:val="0"/>
    <w:pPr>
      <w:spacing w:after="120"/>
      <w:ind w:left="420" w:leftChars="200"/>
      <w:jc w:val="left"/>
    </w:pPr>
    <w:rPr>
      <w:rFonts w:ascii="宋体" w:hAnsi="宋体"/>
      <w:kern w:val="0"/>
      <w:sz w:val="22"/>
      <w:lang w:eastAsia="en-US"/>
    </w:rPr>
  </w:style>
  <w:style w:type="paragraph" w:styleId="11">
    <w:name w:val="envelope return"/>
    <w:basedOn w:val="1"/>
    <w:qFormat/>
    <w:uiPriority w:val="0"/>
    <w:pPr>
      <w:snapToGrid w:val="0"/>
    </w:pPr>
    <w:rPr>
      <w:rFonts w:ascii="Arial" w:hAnsi="Arial"/>
      <w:szCs w:val="24"/>
    </w:rPr>
  </w:style>
  <w:style w:type="paragraph" w:styleId="12">
    <w:name w:val="Plain Text"/>
    <w:basedOn w:val="1"/>
    <w:qFormat/>
    <w:uiPriority w:val="0"/>
    <w:pPr>
      <w:jc w:val="left"/>
    </w:pPr>
    <w:rPr>
      <w:rFonts w:ascii="宋体" w:hAnsi="Courier New" w:eastAsia="Calibri"/>
      <w:kern w:val="0"/>
      <w:sz w:val="22"/>
      <w:szCs w:val="20"/>
      <w:lang w:eastAsia="en-US"/>
    </w:rPr>
  </w:style>
  <w:style w:type="paragraph" w:styleId="13">
    <w:name w:val="Balloon Text"/>
    <w:basedOn w:val="1"/>
    <w:link w:val="42"/>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39"/>
    <w:pPr>
      <w:jc w:val="left"/>
    </w:pPr>
    <w:rPr>
      <w:rFonts w:ascii="宋体" w:hAnsi="宋体"/>
      <w:kern w:val="0"/>
      <w:szCs w:val="21"/>
      <w:lang w:eastAsia="en-US"/>
    </w:rPr>
  </w:style>
  <w:style w:type="paragraph" w:styleId="17">
    <w:name w:val="toc 2"/>
    <w:basedOn w:val="1"/>
    <w:next w:val="1"/>
    <w:qFormat/>
    <w:uiPriority w:val="39"/>
    <w:pPr>
      <w:ind w:left="210"/>
    </w:pPr>
    <w:rPr>
      <w:rFonts w:cs="Calibri"/>
      <w:smallCaps/>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paragraph" w:styleId="19">
    <w:name w:val="Title"/>
    <w:basedOn w:val="1"/>
    <w:next w:val="1"/>
    <w:qFormat/>
    <w:uiPriority w:val="0"/>
    <w:pPr>
      <w:spacing w:before="240" w:after="60"/>
      <w:jc w:val="center"/>
      <w:outlineLvl w:val="0"/>
    </w:pPr>
    <w:rPr>
      <w:rFonts w:ascii="Cambria" w:hAnsi="Cambria"/>
      <w:b/>
      <w:bCs/>
      <w:kern w:val="0"/>
      <w:sz w:val="32"/>
      <w:szCs w:val="32"/>
      <w:lang w:eastAsia="en-US"/>
    </w:rPr>
  </w:style>
  <w:style w:type="paragraph" w:styleId="20">
    <w:name w:val="annotation subject"/>
    <w:basedOn w:val="7"/>
    <w:next w:val="7"/>
    <w:link w:val="44"/>
    <w:qFormat/>
    <w:uiPriority w:val="0"/>
    <w:rPr>
      <w:b/>
      <w:bCs/>
    </w:rPr>
  </w:style>
  <w:style w:type="paragraph" w:styleId="21">
    <w:name w:val="Body Text First Indent"/>
    <w:basedOn w:val="9"/>
    <w:unhideWhenUsed/>
    <w:qFormat/>
    <w:uiPriority w:val="99"/>
    <w:pPr>
      <w:ind w:firstLine="420" w:firstLineChars="100"/>
    </w:pPr>
  </w:style>
  <w:style w:type="paragraph" w:styleId="22">
    <w:name w:val="Body Text First Indent 2"/>
    <w:basedOn w:val="10"/>
    <w:qFormat/>
    <w:uiPriority w:val="0"/>
    <w:pPr>
      <w:ind w:firstLine="420"/>
    </w:pPr>
    <w:rPr>
      <w:rFonts w:ascii="Times New Roman" w:hAnsi="Calibri"/>
      <w:szCs w:val="24"/>
    </w:rPr>
  </w:style>
  <w:style w:type="character" w:styleId="25">
    <w:name w:val="Strong"/>
    <w:basedOn w:val="24"/>
    <w:qFormat/>
    <w:uiPriority w:val="0"/>
    <w:rPr>
      <w:b/>
      <w:bCs/>
      <w:color w:val="737373"/>
    </w:rPr>
  </w:style>
  <w:style w:type="character" w:styleId="26">
    <w:name w:val="page number"/>
    <w:qFormat/>
    <w:uiPriority w:val="0"/>
    <w:rPr>
      <w:rFonts w:ascii="Times New Roman" w:hAnsi="Times New Roman" w:eastAsia="宋体" w:cs="Times New Roman"/>
    </w:rPr>
  </w:style>
  <w:style w:type="character" w:styleId="27">
    <w:name w:val="FollowedHyperlink"/>
    <w:basedOn w:val="24"/>
    <w:qFormat/>
    <w:uiPriority w:val="0"/>
    <w:rPr>
      <w:rFonts w:hint="eastAsia" w:ascii="微软雅黑" w:hAnsi="微软雅黑" w:eastAsia="微软雅黑" w:cs="微软雅黑"/>
      <w:color w:val="337AB7"/>
      <w:u w:val="none"/>
    </w:rPr>
  </w:style>
  <w:style w:type="character" w:styleId="28">
    <w:name w:val="HTML Definition"/>
    <w:basedOn w:val="24"/>
    <w:qFormat/>
    <w:uiPriority w:val="0"/>
    <w:rPr>
      <w:i/>
      <w:iCs/>
    </w:rPr>
  </w:style>
  <w:style w:type="character" w:styleId="29">
    <w:name w:val="Hyperlink"/>
    <w:qFormat/>
    <w:uiPriority w:val="99"/>
    <w:rPr>
      <w:color w:val="0000FF"/>
      <w:u w:val="single"/>
    </w:rPr>
  </w:style>
  <w:style w:type="character" w:styleId="30">
    <w:name w:val="HTML Code"/>
    <w:basedOn w:val="24"/>
    <w:qFormat/>
    <w:uiPriority w:val="0"/>
    <w:rPr>
      <w:rFonts w:hint="default" w:ascii="Consolas" w:hAnsi="Consolas" w:eastAsia="Consolas" w:cs="Consolas"/>
      <w:color w:val="C7254E"/>
      <w:sz w:val="21"/>
      <w:szCs w:val="21"/>
      <w:bdr w:val="single" w:color="E1E1E1" w:sz="6" w:space="0"/>
      <w:shd w:val="clear" w:color="auto" w:fill="F9F2F4"/>
    </w:rPr>
  </w:style>
  <w:style w:type="character" w:styleId="31">
    <w:name w:val="annotation reference"/>
    <w:basedOn w:val="24"/>
    <w:qFormat/>
    <w:uiPriority w:val="0"/>
    <w:rPr>
      <w:sz w:val="21"/>
      <w:szCs w:val="21"/>
    </w:rPr>
  </w:style>
  <w:style w:type="character" w:styleId="32">
    <w:name w:val="HTML Keyboard"/>
    <w:basedOn w:val="24"/>
    <w:qFormat/>
    <w:uiPriority w:val="0"/>
    <w:rPr>
      <w:rFonts w:ascii="Consolas" w:hAnsi="Consolas" w:eastAsia="Consolas" w:cs="Consolas"/>
      <w:color w:val="FFFFFF"/>
      <w:sz w:val="21"/>
      <w:szCs w:val="21"/>
      <w:shd w:val="clear" w:color="auto" w:fill="333333"/>
    </w:rPr>
  </w:style>
  <w:style w:type="character" w:styleId="33">
    <w:name w:val="HTML Sample"/>
    <w:basedOn w:val="24"/>
    <w:qFormat/>
    <w:uiPriority w:val="0"/>
    <w:rPr>
      <w:rFonts w:hint="default" w:ascii="Consolas" w:hAnsi="Consolas" w:eastAsia="Consolas" w:cs="Consolas"/>
      <w:sz w:val="21"/>
      <w:szCs w:val="21"/>
    </w:rPr>
  </w:style>
  <w:style w:type="paragraph" w:customStyle="1" w:styleId="34">
    <w:name w:val="Table Paragraph"/>
    <w:basedOn w:val="1"/>
    <w:qFormat/>
    <w:uiPriority w:val="0"/>
    <w:pPr>
      <w:jc w:val="left"/>
    </w:pPr>
    <w:rPr>
      <w:rFonts w:ascii="Times New Roman" w:hAnsi="Times New Roman" w:eastAsia="Calibri"/>
      <w:kern w:val="0"/>
      <w:sz w:val="22"/>
      <w:lang w:eastAsia="en-US"/>
    </w:rPr>
  </w:style>
  <w:style w:type="paragraph" w:styleId="35">
    <w:name w:val="List Paragraph"/>
    <w:basedOn w:val="1"/>
    <w:qFormat/>
    <w:uiPriority w:val="34"/>
    <w:pPr>
      <w:jc w:val="left"/>
    </w:pPr>
    <w:rPr>
      <w:rFonts w:ascii="Times New Roman" w:hAnsi="Times New Roman" w:eastAsia="Calibri"/>
      <w:kern w:val="0"/>
      <w:sz w:val="22"/>
      <w:lang w:eastAsia="en-US"/>
    </w:rPr>
  </w:style>
  <w:style w:type="paragraph" w:customStyle="1" w:styleId="3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7">
    <w:name w:val="发文落款"/>
    <w:basedOn w:val="36"/>
    <w:qFormat/>
    <w:uiPriority w:val="0"/>
    <w:pPr>
      <w:ind w:left="4094" w:right="607" w:firstLine="0"/>
      <w:jc w:val="center"/>
    </w:pPr>
    <w:rPr>
      <w:rFonts w:ascii="Calibri" w:hAnsi="Calibri" w:eastAsia="宋体"/>
    </w:rPr>
  </w:style>
  <w:style w:type="paragraph" w:customStyle="1" w:styleId="38">
    <w:name w:val="文二"/>
    <w:basedOn w:val="1"/>
    <w:qFormat/>
    <w:uiPriority w:val="0"/>
    <w:pPr>
      <w:jc w:val="left"/>
    </w:pPr>
    <w:rPr>
      <w:rFonts w:ascii="宋体" w:hAnsi="宋体"/>
      <w:szCs w:val="21"/>
    </w:rPr>
  </w:style>
  <w:style w:type="paragraph" w:customStyle="1" w:styleId="39">
    <w:name w:val="正题"/>
    <w:basedOn w:val="40"/>
    <w:next w:val="40"/>
    <w:qFormat/>
    <w:uiPriority w:val="0"/>
    <w:pPr>
      <w:ind w:firstLine="0" w:firstLineChars="0"/>
      <w:jc w:val="center"/>
    </w:pPr>
    <w:rPr>
      <w:rFonts w:ascii="等线" w:hAnsi="等线" w:eastAsia="黑体"/>
      <w:b/>
      <w:sz w:val="36"/>
      <w:szCs w:val="36"/>
    </w:rPr>
  </w:style>
  <w:style w:type="paragraph" w:customStyle="1" w:styleId="40">
    <w:name w:val="文一"/>
    <w:basedOn w:val="1"/>
    <w:qFormat/>
    <w:uiPriority w:val="0"/>
    <w:pPr>
      <w:topLinePunct/>
      <w:adjustRightInd w:val="0"/>
      <w:snapToGrid w:val="0"/>
      <w:spacing w:line="360" w:lineRule="auto"/>
      <w:ind w:firstLine="200" w:firstLineChars="200"/>
      <w:jc w:val="left"/>
    </w:pPr>
    <w:rPr>
      <w:rFonts w:ascii="Times New Roman" w:hAnsi="Times New Roman" w:eastAsia="Calibri"/>
      <w:spacing w:val="4"/>
      <w:kern w:val="0"/>
      <w:sz w:val="24"/>
      <w:lang w:eastAsia="en-US"/>
    </w:rPr>
  </w:style>
  <w:style w:type="paragraph" w:customStyle="1" w:styleId="4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2">
    <w:name w:val="批注框文本 Char"/>
    <w:basedOn w:val="24"/>
    <w:link w:val="13"/>
    <w:qFormat/>
    <w:uiPriority w:val="0"/>
    <w:rPr>
      <w:rFonts w:ascii="Calibri" w:hAnsi="Calibri"/>
      <w:kern w:val="2"/>
      <w:sz w:val="18"/>
      <w:szCs w:val="18"/>
    </w:rPr>
  </w:style>
  <w:style w:type="character" w:customStyle="1" w:styleId="43">
    <w:name w:val="批注文字 Char"/>
    <w:basedOn w:val="24"/>
    <w:link w:val="7"/>
    <w:qFormat/>
    <w:uiPriority w:val="0"/>
    <w:rPr>
      <w:rFonts w:ascii="Calibri" w:hAnsi="Calibri"/>
      <w:kern w:val="2"/>
      <w:sz w:val="21"/>
      <w:szCs w:val="22"/>
    </w:rPr>
  </w:style>
  <w:style w:type="character" w:customStyle="1" w:styleId="44">
    <w:name w:val="批注主题 Char"/>
    <w:basedOn w:val="43"/>
    <w:link w:val="20"/>
    <w:qFormat/>
    <w:uiPriority w:val="0"/>
    <w:rPr>
      <w:rFonts w:ascii="Calibri" w:hAnsi="Calibri"/>
      <w:b/>
      <w:bCs/>
      <w:kern w:val="2"/>
      <w:sz w:val="21"/>
      <w:szCs w:val="22"/>
    </w:rPr>
  </w:style>
  <w:style w:type="character" w:customStyle="1" w:styleId="45">
    <w:name w:val="10"/>
    <w:basedOn w:val="24"/>
    <w:qFormat/>
    <w:uiPriority w:val="0"/>
    <w:rPr>
      <w:rFonts w:hint="default" w:ascii="Times New Roman" w:hAnsi="Times New Roman" w:cs="Times New Roman"/>
    </w:rPr>
  </w:style>
  <w:style w:type="character" w:customStyle="1" w:styleId="46">
    <w:name w:val="15"/>
    <w:basedOn w:val="24"/>
    <w:qFormat/>
    <w:uiPriority w:val="0"/>
    <w:rPr>
      <w:rFonts w:hint="default" w:ascii="Times New Roman" w:hAnsi="Times New Roman" w:cs="Times New Roman"/>
      <w:sz w:val="21"/>
      <w:szCs w:val="21"/>
    </w:rPr>
  </w:style>
  <w:style w:type="character" w:customStyle="1" w:styleId="47">
    <w:name w:val="title26"/>
    <w:basedOn w:val="24"/>
    <w:qFormat/>
    <w:uiPriority w:val="0"/>
  </w:style>
  <w:style w:type="character" w:customStyle="1" w:styleId="48">
    <w:name w:val="username"/>
    <w:basedOn w:val="24"/>
    <w:qFormat/>
    <w:uiPriority w:val="0"/>
  </w:style>
  <w:style w:type="character" w:customStyle="1" w:styleId="49">
    <w:name w:val="title2"/>
    <w:basedOn w:val="24"/>
    <w:qFormat/>
    <w:uiPriority w:val="0"/>
  </w:style>
  <w:style w:type="character" w:customStyle="1" w:styleId="50">
    <w:name w:val="title24"/>
    <w:basedOn w:val="24"/>
    <w:qFormat/>
    <w:uiPriority w:val="0"/>
  </w:style>
  <w:style w:type="character" w:customStyle="1" w:styleId="51">
    <w:name w:val="title21"/>
    <w:basedOn w:val="24"/>
    <w:qFormat/>
    <w:uiPriority w:val="0"/>
  </w:style>
  <w:style w:type="paragraph" w:customStyle="1" w:styleId="52">
    <w:name w:val="Normal_3_0"/>
    <w:qFormat/>
    <w:uiPriority w:val="0"/>
    <w:pPr>
      <w:widowControl w:val="0"/>
    </w:pPr>
    <w:rPr>
      <w:rFonts w:ascii="Times New Roman" w:hAnsi="Times New Roman" w:eastAsia="宋体" w:cs="Times New Roman"/>
      <w:kern w:val="2"/>
      <w:sz w:val="21"/>
      <w:szCs w:val="24"/>
      <w:lang w:val="en-US" w:eastAsia="zh-CN" w:bidi="ar-SA"/>
    </w:rPr>
  </w:style>
  <w:style w:type="paragraph" w:customStyle="1" w:styleId="53">
    <w:name w:val="Other|1"/>
    <w:basedOn w:val="1"/>
    <w:qFormat/>
    <w:uiPriority w:val="0"/>
    <w:pPr>
      <w:widowControl w:val="0"/>
      <w:shd w:val="clear" w:color="auto" w:fill="auto"/>
      <w:spacing w:line="228" w:lineRule="exact"/>
    </w:pPr>
    <w:rPr>
      <w:rFonts w:ascii="宋体" w:hAnsi="宋体" w:eastAsia="宋体" w:cs="宋体"/>
      <w:sz w:val="17"/>
      <w:szCs w:val="17"/>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20227</Words>
  <Characters>21484</Characters>
  <Lines>244</Lines>
  <Paragraphs>68</Paragraphs>
  <TotalTime>7</TotalTime>
  <ScaleCrop>false</ScaleCrop>
  <LinksUpToDate>false</LinksUpToDate>
  <CharactersWithSpaces>21720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2023-07-17T19:29:00Z</dcterms:created>
  <dc:creator>yunxing</dc:creator>
  <cp:lastModifiedBy>0</cp:lastModifiedBy>
  <dcterms:modified xsi:type="dcterms:W3CDTF">2025-10-29T08:17:46Z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9FDEF28BC4814BBA815A9D452F9CC7B8_13</vt:lpwstr>
  </property>
  <property fmtid="{D5CDD505-2E9C-101B-9397-08002B2CF9AE}" pid="4" name="KSOTemplateDocerSaveRecord">
    <vt:lpwstr>eyJoZGlkIjoiOWJlOTkzODliZGY3YTU2ZWNmYWVmNjAwNjMzZjFjMzUiLCJ1c2VySWQiOiIxMDE4MTExOTk5In0=</vt:lpwstr>
  </property>
</Properties>
</file>