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0" w:leftChars="0"/>
        <w:jc w:val="center"/>
        <w:rPr>
          <w:rFonts w:hint="eastAsia"/>
          <w:color w:val="auto"/>
          <w:sz w:val="44"/>
          <w:szCs w:val="44"/>
          <w:highlight w:val="none"/>
          <w:lang w:eastAsia="zh-CN"/>
        </w:rPr>
      </w:pPr>
    </w:p>
    <w:p>
      <w:pPr>
        <w:spacing w:line="360" w:lineRule="auto"/>
        <w:ind w:left="0" w:leftChars="0"/>
        <w:jc w:val="center"/>
        <w:rPr>
          <w:rFonts w:hint="eastAsia"/>
          <w:color w:val="auto"/>
          <w:sz w:val="44"/>
          <w:szCs w:val="44"/>
          <w:highlight w:val="none"/>
          <w:lang w:eastAsia="zh-CN"/>
        </w:rPr>
      </w:pPr>
    </w:p>
    <w:p>
      <w:pPr>
        <w:spacing w:line="360" w:lineRule="auto"/>
        <w:ind w:left="0" w:leftChars="0"/>
        <w:jc w:val="center"/>
        <w:rPr>
          <w:rFonts w:hint="eastAsia" w:eastAsia="宋体"/>
          <w:b/>
          <w:bCs/>
          <w:color w:val="auto"/>
          <w:sz w:val="36"/>
          <w:highlight w:val="none"/>
          <w:lang w:eastAsia="zh-CN"/>
        </w:rPr>
      </w:pPr>
      <w:r>
        <w:rPr>
          <w:rFonts w:hint="eastAsia"/>
          <w:b/>
          <w:bCs/>
          <w:color w:val="auto"/>
          <w:sz w:val="44"/>
          <w:szCs w:val="44"/>
          <w:highlight w:val="none"/>
          <w:lang w:eastAsia="zh-CN"/>
        </w:rPr>
        <w:t>民营科技园公交站场施工总承包项目</w:t>
      </w:r>
    </w:p>
    <w:p>
      <w:pPr>
        <w:spacing w:line="360" w:lineRule="auto"/>
        <w:ind w:left="359" w:leftChars="171"/>
        <w:jc w:val="center"/>
        <w:rPr>
          <w:color w:val="auto"/>
          <w:sz w:val="36"/>
          <w:highlight w:val="none"/>
        </w:rPr>
      </w:pPr>
    </w:p>
    <w:p>
      <w:pPr>
        <w:spacing w:line="360" w:lineRule="auto"/>
        <w:ind w:left="359" w:leftChars="171"/>
        <w:jc w:val="center"/>
        <w:rPr>
          <w:color w:val="auto"/>
          <w:sz w:val="36"/>
          <w:highlight w:val="none"/>
        </w:rPr>
      </w:pPr>
    </w:p>
    <w:p>
      <w:pPr>
        <w:spacing w:line="360" w:lineRule="auto"/>
        <w:ind w:left="359" w:leftChars="171"/>
        <w:jc w:val="center"/>
        <w:rPr>
          <w:rFonts w:hint="eastAsia"/>
          <w:color w:val="auto"/>
          <w:sz w:val="36"/>
          <w:highlight w:val="none"/>
        </w:rPr>
      </w:pPr>
    </w:p>
    <w:p>
      <w:pPr>
        <w:spacing w:line="360" w:lineRule="auto"/>
        <w:jc w:val="center"/>
        <w:rPr>
          <w:color w:val="auto"/>
          <w:sz w:val="36"/>
          <w:highlight w:val="none"/>
          <w:u w:val="single"/>
        </w:rPr>
      </w:pPr>
    </w:p>
    <w:p>
      <w:pPr>
        <w:pStyle w:val="2"/>
        <w:jc w:val="center"/>
        <w:rPr>
          <w:color w:val="auto"/>
          <w:sz w:val="36"/>
          <w:highlight w:val="none"/>
          <w:u w:val="single"/>
        </w:rPr>
      </w:pPr>
    </w:p>
    <w:p>
      <w:pPr>
        <w:spacing w:line="360" w:lineRule="auto"/>
        <w:jc w:val="center"/>
        <w:rPr>
          <w:rFonts w:hint="eastAsia" w:ascii="宋体" w:hAnsi="宋体"/>
          <w:b/>
          <w:bCs/>
          <w:color w:val="auto"/>
          <w:spacing w:val="26"/>
          <w:sz w:val="110"/>
          <w:szCs w:val="110"/>
          <w:highlight w:val="none"/>
        </w:rPr>
      </w:pPr>
      <w:r>
        <w:rPr>
          <w:rFonts w:hint="eastAsia" w:ascii="宋体" w:hAnsi="宋体"/>
          <w:b/>
          <w:bCs/>
          <w:color w:val="auto"/>
          <w:spacing w:val="26"/>
          <w:sz w:val="110"/>
          <w:szCs w:val="110"/>
          <w:highlight w:val="none"/>
        </w:rPr>
        <w:t>招标公告</w:t>
      </w:r>
    </w:p>
    <w:p>
      <w:pPr>
        <w:jc w:val="center"/>
        <w:rPr>
          <w:rFonts w:ascii="宋体" w:hAnsi="宋体"/>
          <w:b/>
          <w:color w:val="auto"/>
          <w:sz w:val="84"/>
          <w:szCs w:val="84"/>
          <w:highlight w:val="none"/>
        </w:rPr>
      </w:pPr>
    </w:p>
    <w:p>
      <w:pPr>
        <w:pStyle w:val="6"/>
        <w:rPr>
          <w:color w:val="auto"/>
          <w:highlight w:val="none"/>
        </w:rPr>
      </w:pPr>
    </w:p>
    <w:p>
      <w:pPr>
        <w:rPr>
          <w:color w:val="auto"/>
          <w:highlight w:val="none"/>
        </w:rPr>
      </w:pPr>
    </w:p>
    <w:p>
      <w:pPr>
        <w:pStyle w:val="6"/>
        <w:rPr>
          <w:rFonts w:hAnsi="宋体"/>
          <w:color w:val="auto"/>
          <w:sz w:val="52"/>
          <w:highlight w:val="none"/>
        </w:rPr>
      </w:pPr>
    </w:p>
    <w:p>
      <w:pPr>
        <w:spacing w:line="360" w:lineRule="auto"/>
        <w:rPr>
          <w:rFonts w:hint="eastAsia" w:ascii="宋体" w:hAnsi="宋体"/>
          <w:color w:val="auto"/>
          <w:sz w:val="30"/>
          <w:szCs w:val="30"/>
          <w:highlight w:val="none"/>
        </w:rPr>
      </w:pPr>
    </w:p>
    <w:p>
      <w:pPr>
        <w:spacing w:line="360" w:lineRule="auto"/>
        <w:ind w:firstLine="1285" w:firstLineChars="400"/>
        <w:rPr>
          <w:rFonts w:hint="eastAsia" w:ascii="宋体" w:hAnsi="宋体" w:cs="宋体"/>
          <w:b/>
          <w:bCs/>
          <w:color w:val="auto"/>
          <w:sz w:val="32"/>
          <w:szCs w:val="30"/>
          <w:highlight w:val="none"/>
          <w:lang w:val="zh-CN"/>
        </w:rPr>
      </w:pPr>
    </w:p>
    <w:p>
      <w:pPr>
        <w:spacing w:line="360" w:lineRule="auto"/>
        <w:ind w:firstLine="421" w:firstLineChars="131"/>
        <w:rPr>
          <w:rFonts w:hint="eastAsia" w:ascii="宋体" w:hAnsi="宋体" w:cs="宋体"/>
          <w:b/>
          <w:bCs/>
          <w:color w:val="auto"/>
          <w:sz w:val="32"/>
          <w:szCs w:val="30"/>
          <w:highlight w:val="none"/>
          <w:lang w:val="zh-CN"/>
        </w:rPr>
      </w:pPr>
      <w:r>
        <w:rPr>
          <w:rFonts w:hint="eastAsia" w:ascii="宋体" w:hAnsi="宋体" w:cs="宋体"/>
          <w:b/>
          <w:bCs/>
          <w:color w:val="auto"/>
          <w:sz w:val="32"/>
          <w:szCs w:val="30"/>
          <w:highlight w:val="none"/>
          <w:lang w:val="zh-CN"/>
        </w:rPr>
        <w:t xml:space="preserve">招   标   人：广州市交通站场建设管理中心有限公司 </w:t>
      </w:r>
    </w:p>
    <w:p>
      <w:pPr>
        <w:spacing w:line="360" w:lineRule="auto"/>
        <w:ind w:firstLine="421" w:firstLineChars="131"/>
        <w:rPr>
          <w:rFonts w:hint="eastAsia" w:ascii="宋体" w:hAnsi="宋体" w:eastAsia="宋体" w:cs="宋体"/>
          <w:b/>
          <w:bCs/>
          <w:color w:val="auto"/>
          <w:sz w:val="32"/>
          <w:szCs w:val="30"/>
          <w:highlight w:val="none"/>
          <w:lang w:val="en-US" w:eastAsia="zh-CN"/>
        </w:rPr>
      </w:pPr>
      <w:r>
        <w:rPr>
          <w:rFonts w:hint="eastAsia" w:ascii="宋体" w:hAnsi="宋体" w:cs="宋体"/>
          <w:b/>
          <w:bCs/>
          <w:color w:val="auto"/>
          <w:sz w:val="32"/>
          <w:szCs w:val="30"/>
          <w:highlight w:val="none"/>
          <w:lang w:val="zh-CN"/>
        </w:rPr>
        <w:t>招标代理机构：广州公交集团创新服务有限公司</w:t>
      </w:r>
    </w:p>
    <w:p>
      <w:pPr>
        <w:spacing w:line="360" w:lineRule="auto"/>
        <w:ind w:firstLine="421" w:firstLineChars="131"/>
        <w:jc w:val="both"/>
        <w:rPr>
          <w:rFonts w:eastAsia="楷体_GB2312"/>
          <w:b/>
          <w:bCs/>
          <w:color w:val="auto"/>
          <w:spacing w:val="26"/>
          <w:sz w:val="110"/>
          <w:szCs w:val="110"/>
          <w:highlight w:val="none"/>
        </w:rPr>
      </w:pPr>
      <w:r>
        <w:rPr>
          <w:rFonts w:hint="eastAsia" w:ascii="宋体" w:hAnsi="宋体" w:cs="宋体"/>
          <w:b/>
          <w:bCs/>
          <w:color w:val="auto"/>
          <w:sz w:val="32"/>
          <w:szCs w:val="30"/>
          <w:highlight w:val="none"/>
          <w:lang w:val="zh-CN"/>
        </w:rPr>
        <w:t>日        期：20</w:t>
      </w:r>
      <w:r>
        <w:rPr>
          <w:rFonts w:hint="eastAsia" w:ascii="宋体" w:hAnsi="宋体" w:cs="宋体"/>
          <w:b/>
          <w:bCs/>
          <w:color w:val="auto"/>
          <w:sz w:val="32"/>
          <w:szCs w:val="30"/>
          <w:highlight w:val="none"/>
        </w:rPr>
        <w:t>2</w:t>
      </w:r>
      <w:r>
        <w:rPr>
          <w:rFonts w:hint="eastAsia" w:ascii="宋体" w:hAnsi="宋体" w:cs="宋体"/>
          <w:b/>
          <w:bCs/>
          <w:color w:val="auto"/>
          <w:sz w:val="32"/>
          <w:szCs w:val="30"/>
          <w:highlight w:val="none"/>
          <w:lang w:val="en-US" w:eastAsia="zh-CN"/>
        </w:rPr>
        <w:t>5</w:t>
      </w:r>
      <w:r>
        <w:rPr>
          <w:rFonts w:hint="eastAsia" w:ascii="宋体" w:hAnsi="宋体" w:cs="宋体"/>
          <w:b/>
          <w:bCs/>
          <w:color w:val="auto"/>
          <w:sz w:val="32"/>
          <w:szCs w:val="30"/>
          <w:highlight w:val="none"/>
          <w:lang w:val="zh-CN"/>
        </w:rPr>
        <w:t>年</w:t>
      </w:r>
      <w:r>
        <w:rPr>
          <w:rFonts w:hint="eastAsia" w:ascii="宋体" w:hAnsi="宋体" w:cs="宋体"/>
          <w:b/>
          <w:bCs/>
          <w:color w:val="auto"/>
          <w:sz w:val="32"/>
          <w:szCs w:val="30"/>
          <w:highlight w:val="none"/>
          <w:lang w:val="en-US" w:eastAsia="zh-CN"/>
        </w:rPr>
        <w:t>10</w:t>
      </w:r>
      <w:r>
        <w:rPr>
          <w:rFonts w:hint="eastAsia" w:ascii="宋体" w:hAnsi="宋体" w:cs="宋体"/>
          <w:b/>
          <w:bCs/>
          <w:color w:val="auto"/>
          <w:sz w:val="32"/>
          <w:szCs w:val="30"/>
          <w:highlight w:val="none"/>
          <w:lang w:val="zh-CN"/>
        </w:rPr>
        <w:t>月</w:t>
      </w:r>
      <w:r>
        <w:rPr>
          <w:rFonts w:hint="eastAsia" w:ascii="宋体" w:hAnsi="宋体" w:cs="宋体"/>
          <w:b/>
          <w:bCs/>
          <w:color w:val="auto"/>
          <w:sz w:val="32"/>
          <w:szCs w:val="30"/>
          <w:highlight w:val="none"/>
          <w:u w:val="none"/>
          <w:lang w:val="en-US" w:eastAsia="zh-CN"/>
        </w:rPr>
        <w:t>28</w:t>
      </w:r>
      <w:r>
        <w:rPr>
          <w:rFonts w:hint="eastAsia" w:ascii="宋体" w:hAnsi="宋体" w:cs="宋体"/>
          <w:b/>
          <w:bCs/>
          <w:color w:val="auto"/>
          <w:sz w:val="32"/>
          <w:szCs w:val="30"/>
          <w:highlight w:val="none"/>
          <w:lang w:val="en-US" w:eastAsia="zh-CN"/>
        </w:rPr>
        <w:t>日</w:t>
      </w:r>
    </w:p>
    <w:p>
      <w:pPr>
        <w:spacing w:line="360" w:lineRule="auto"/>
        <w:jc w:val="center"/>
        <w:rPr>
          <w:color w:val="auto"/>
          <w:sz w:val="32"/>
          <w:highlight w:val="none"/>
        </w:rPr>
      </w:pPr>
    </w:p>
    <w:p>
      <w:pPr>
        <w:spacing w:line="360" w:lineRule="auto"/>
        <w:ind w:firstLine="2560" w:firstLineChars="800"/>
        <w:rPr>
          <w:color w:val="auto"/>
          <w:sz w:val="32"/>
          <w:highlight w:val="none"/>
        </w:rPr>
      </w:pPr>
    </w:p>
    <w:p>
      <w:pPr>
        <w:spacing w:line="360" w:lineRule="auto"/>
        <w:rPr>
          <w:color w:val="auto"/>
          <w:sz w:val="32"/>
          <w:szCs w:val="32"/>
          <w:highlight w:val="none"/>
        </w:rPr>
        <w:sectPr>
          <w:footerReference r:id="rId3" w:type="default"/>
          <w:footerReference r:id="rId4" w:type="even"/>
          <w:endnotePr>
            <w:numFmt w:val="decimal"/>
          </w:endnotePr>
          <w:pgSz w:w="11906" w:h="16838"/>
          <w:pgMar w:top="1440" w:right="1800" w:bottom="1440" w:left="1800" w:header="851" w:footer="992" w:gutter="0"/>
          <w:cols w:space="425" w:num="1"/>
          <w:docGrid w:type="lines" w:linePitch="312" w:charSpace="0"/>
        </w:sectPr>
      </w:pPr>
    </w:p>
    <w:p>
      <w:pPr>
        <w:pStyle w:val="8"/>
        <w:spacing w:line="480" w:lineRule="auto"/>
        <w:jc w:val="center"/>
        <w:rPr>
          <w:rFonts w:hint="eastAsia" w:eastAsia="宋体"/>
          <w:color w:val="auto"/>
          <w:sz w:val="32"/>
          <w:szCs w:val="32"/>
          <w:highlight w:val="none"/>
          <w:lang w:eastAsia="zh-CN"/>
        </w:rPr>
      </w:pPr>
      <w:r>
        <w:rPr>
          <w:rFonts w:hint="eastAsia"/>
          <w:color w:val="auto"/>
          <w:sz w:val="32"/>
          <w:szCs w:val="32"/>
          <w:highlight w:val="none"/>
          <w:lang w:eastAsia="zh-CN"/>
        </w:rPr>
        <w:t>民营科技园公交站场施工总承包项目</w:t>
      </w:r>
    </w:p>
    <w:p>
      <w:pPr>
        <w:pStyle w:val="8"/>
        <w:spacing w:line="480" w:lineRule="auto"/>
        <w:jc w:val="center"/>
        <w:rPr>
          <w:color w:val="auto"/>
          <w:sz w:val="32"/>
          <w:szCs w:val="32"/>
          <w:highlight w:val="none"/>
        </w:rPr>
      </w:pPr>
      <w:r>
        <w:rPr>
          <w:rFonts w:hint="eastAsia"/>
          <w:color w:val="auto"/>
          <w:sz w:val="32"/>
          <w:szCs w:val="32"/>
          <w:highlight w:val="none"/>
        </w:rPr>
        <w:t>招标公告</w:t>
      </w:r>
    </w:p>
    <w:p>
      <w:pPr>
        <w:spacing w:line="360" w:lineRule="auto"/>
        <w:ind w:left="120" w:leftChars="57" w:firstLine="417" w:firstLineChars="174"/>
        <w:rPr>
          <w:color w:val="auto"/>
          <w:sz w:val="24"/>
          <w:highlight w:val="none"/>
        </w:rPr>
      </w:pPr>
    </w:p>
    <w:p>
      <w:pPr>
        <w:spacing w:line="360" w:lineRule="auto"/>
        <w:ind w:left="120" w:leftChars="57" w:firstLine="417" w:firstLineChars="174"/>
        <w:rPr>
          <w:rFonts w:hint="eastAsia" w:ascii="宋体" w:hAnsi="宋体" w:cs="宋体"/>
          <w:color w:val="auto"/>
          <w:sz w:val="24"/>
          <w:highlight w:val="none"/>
        </w:rPr>
      </w:pPr>
      <w:r>
        <w:rPr>
          <w:color w:val="auto"/>
          <w:sz w:val="24"/>
          <w:highlight w:val="none"/>
        </w:rPr>
        <w:t xml:space="preserve"> </w:t>
      </w:r>
      <w:r>
        <w:rPr>
          <w:rFonts w:hint="eastAsia" w:ascii="宋体" w:hAnsi="宋体" w:cs="宋体"/>
          <w:color w:val="auto"/>
          <w:sz w:val="24"/>
          <w:highlight w:val="none"/>
        </w:rPr>
        <w:t>根据</w:t>
      </w:r>
      <w:r>
        <w:rPr>
          <w:rFonts w:hint="eastAsia" w:ascii="宋体" w:hAnsi="宋体" w:cs="宋体"/>
          <w:color w:val="auto"/>
          <w:sz w:val="24"/>
          <w:highlight w:val="none"/>
          <w:u w:val="single"/>
          <w:lang w:val="en-US" w:eastAsia="zh-CN"/>
        </w:rPr>
        <w:t>广东省企业投资项目备案证（2304-440111-17-01-967015）</w:t>
      </w:r>
      <w:r>
        <w:rPr>
          <w:rFonts w:hint="eastAsia" w:ascii="宋体" w:hAnsi="宋体" w:cs="宋体"/>
          <w:color w:val="auto"/>
          <w:sz w:val="24"/>
          <w:highlight w:val="none"/>
        </w:rPr>
        <w:t>批准，并且图纸和技术资料满足施工需要，</w:t>
      </w:r>
      <w:r>
        <w:rPr>
          <w:rFonts w:hint="eastAsia" w:ascii="宋体" w:hAnsi="宋体" w:cs="宋体"/>
          <w:color w:val="auto"/>
          <w:sz w:val="24"/>
          <w:highlight w:val="none"/>
          <w:u w:val="single"/>
        </w:rPr>
        <w:t>广州市交通站场建设管理中心有限公司</w:t>
      </w:r>
      <w:r>
        <w:rPr>
          <w:rFonts w:hint="eastAsia" w:ascii="宋体" w:hAnsi="宋体" w:cs="宋体"/>
          <w:color w:val="auto"/>
          <w:sz w:val="24"/>
          <w:highlight w:val="none"/>
        </w:rPr>
        <w:t>现对</w:t>
      </w:r>
      <w:r>
        <w:rPr>
          <w:rFonts w:hint="eastAsia" w:ascii="宋体" w:hAnsi="宋体" w:cs="宋体"/>
          <w:color w:val="auto"/>
          <w:sz w:val="24"/>
          <w:highlight w:val="none"/>
          <w:u w:val="single"/>
          <w:lang w:eastAsia="zh-CN"/>
        </w:rPr>
        <w:t>民营科技园公交站场施工总承包项目</w:t>
      </w:r>
      <w:r>
        <w:rPr>
          <w:rFonts w:hint="eastAsia" w:ascii="宋体" w:hAnsi="宋体" w:cs="宋体"/>
          <w:color w:val="auto"/>
          <w:sz w:val="24"/>
          <w:szCs w:val="24"/>
          <w:highlight w:val="none"/>
        </w:rPr>
        <w:t>工程</w:t>
      </w:r>
      <w:r>
        <w:rPr>
          <w:rFonts w:hint="eastAsia" w:ascii="宋体" w:hAnsi="宋体" w:cs="宋体"/>
          <w:color w:val="auto"/>
          <w:sz w:val="24"/>
          <w:highlight w:val="none"/>
        </w:rPr>
        <w:t>施工进行公开招标，选定承包人。</w:t>
      </w:r>
    </w:p>
    <w:p>
      <w:pPr>
        <w:tabs>
          <w:tab w:val="center" w:pos="4415"/>
        </w:tabs>
        <w:spacing w:line="360" w:lineRule="auto"/>
        <w:ind w:firstLine="537" w:firstLineChars="224"/>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一、工程名称：</w:t>
      </w:r>
      <w:r>
        <w:rPr>
          <w:rFonts w:hint="eastAsia" w:ascii="宋体" w:hAnsi="宋体" w:cs="宋体"/>
          <w:color w:val="auto"/>
          <w:sz w:val="24"/>
          <w:highlight w:val="none"/>
          <w:u w:val="single"/>
          <w:lang w:eastAsia="zh-CN"/>
        </w:rPr>
        <w:t>民营科技园公交站场施工总承包项目</w:t>
      </w:r>
    </w:p>
    <w:p>
      <w:pPr>
        <w:tabs>
          <w:tab w:val="center" w:pos="4415"/>
        </w:tabs>
        <w:spacing w:line="360" w:lineRule="auto"/>
        <w:ind w:firstLine="1017" w:firstLineChars="424"/>
        <w:rPr>
          <w:rFonts w:hint="eastAsia" w:ascii="宋体" w:hAnsi="宋体" w:eastAsia="宋体" w:cs="宋体"/>
          <w:color w:val="auto"/>
          <w:sz w:val="24"/>
          <w:highlight w:val="none"/>
          <w:u w:val="single"/>
          <w:lang w:val="en-US" w:eastAsia="zh-CN"/>
        </w:rPr>
      </w:pPr>
      <w:r>
        <w:rPr>
          <w:rFonts w:hint="eastAsia" w:ascii="宋体" w:hAnsi="宋体" w:cs="宋体"/>
          <w:color w:val="auto"/>
          <w:sz w:val="24"/>
          <w:highlight w:val="none"/>
        </w:rPr>
        <w:t>项目代码：</w:t>
      </w:r>
      <w:r>
        <w:rPr>
          <w:rFonts w:hint="eastAsia" w:ascii="宋体" w:hAnsi="宋体" w:cs="宋体"/>
          <w:color w:val="auto"/>
          <w:sz w:val="24"/>
          <w:highlight w:val="none"/>
          <w:u w:val="single"/>
          <w:lang w:val="en-US" w:eastAsia="zh-CN"/>
        </w:rPr>
        <w:t>2304-440111-17-01-967015</w:t>
      </w:r>
    </w:p>
    <w:p>
      <w:pPr>
        <w:tabs>
          <w:tab w:val="center" w:pos="4415"/>
        </w:tabs>
        <w:spacing w:line="360" w:lineRule="auto"/>
        <w:ind w:firstLine="537" w:firstLineChars="224"/>
        <w:rPr>
          <w:rFonts w:hint="eastAsia" w:ascii="宋体" w:hAnsi="宋体" w:eastAsia="宋体" w:cs="宋体"/>
          <w:color w:val="auto"/>
          <w:sz w:val="24"/>
          <w:szCs w:val="24"/>
          <w:highlight w:val="none"/>
          <w:u w:val="single"/>
          <w:lang w:eastAsia="zh-CN"/>
        </w:rPr>
      </w:pPr>
      <w:r>
        <w:rPr>
          <w:rFonts w:hint="eastAsia" w:ascii="宋体" w:hAnsi="宋体" w:cs="宋体"/>
          <w:color w:val="auto"/>
          <w:sz w:val="24"/>
          <w:highlight w:val="none"/>
        </w:rPr>
        <w:t>二、</w:t>
      </w:r>
      <w:r>
        <w:rPr>
          <w:rFonts w:hint="eastAsia" w:ascii="宋体" w:hAnsi="宋体" w:cs="宋体"/>
          <w:color w:val="auto"/>
          <w:sz w:val="24"/>
          <w:szCs w:val="24"/>
          <w:highlight w:val="none"/>
        </w:rPr>
        <w:t>招标单位：</w:t>
      </w:r>
      <w:r>
        <w:rPr>
          <w:rFonts w:hint="eastAsia" w:ascii="宋体" w:hAnsi="宋体" w:cs="宋体"/>
          <w:color w:val="auto"/>
          <w:sz w:val="24"/>
          <w:szCs w:val="24"/>
          <w:highlight w:val="none"/>
          <w:u w:val="single"/>
        </w:rPr>
        <w:t>广州市交通站场建设管理中心有限公司</w:t>
      </w:r>
    </w:p>
    <w:p>
      <w:pPr>
        <w:spacing w:line="360" w:lineRule="auto"/>
        <w:ind w:firstLine="1017" w:firstLineChars="424"/>
        <w:rPr>
          <w:rFonts w:hint="default" w:ascii="宋体" w:hAnsi="宋体" w:eastAsia="宋体" w:cs="宋体"/>
          <w:color w:val="auto"/>
          <w:sz w:val="24"/>
          <w:highlight w:val="none"/>
          <w:u w:val="singl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highlight w:val="none"/>
          <w:u w:val="single"/>
          <w:lang w:val="en-US" w:eastAsia="zh-CN"/>
        </w:rPr>
        <w:t>李工</w:t>
      </w:r>
      <w:r>
        <w:rPr>
          <w:rFonts w:hint="eastAsia" w:ascii="宋体" w:hAnsi="宋体" w:cs="宋体"/>
          <w:color w:val="auto"/>
          <w:sz w:val="24"/>
          <w:szCs w:val="24"/>
          <w:highlight w:val="none"/>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single"/>
        </w:rPr>
        <w:t>13924023721</w:t>
      </w:r>
    </w:p>
    <w:p>
      <w:pPr>
        <w:spacing w:line="360" w:lineRule="auto"/>
        <w:ind w:firstLine="1017" w:firstLineChars="424"/>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u w:val="none"/>
        </w:rPr>
        <w:t>联系地址：</w:t>
      </w:r>
      <w:r>
        <w:rPr>
          <w:rFonts w:hint="eastAsia" w:ascii="宋体" w:hAnsi="宋体" w:cs="宋体"/>
          <w:color w:val="auto"/>
          <w:sz w:val="24"/>
          <w:highlight w:val="none"/>
          <w:u w:val="single"/>
          <w:lang w:val="en-US" w:eastAsia="zh-CN"/>
        </w:rPr>
        <w:t>广州市黄埔区黄埔大道东884号南方智媒大厦27楼</w:t>
      </w:r>
    </w:p>
    <w:p>
      <w:pPr>
        <w:spacing w:line="360" w:lineRule="auto"/>
        <w:ind w:left="420" w:leftChars="200" w:firstLine="537" w:firstLineChars="224"/>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招标代理机构：</w:t>
      </w:r>
      <w:r>
        <w:rPr>
          <w:rFonts w:hint="eastAsia" w:ascii="宋体" w:hAnsi="宋体" w:cs="宋体"/>
          <w:color w:val="auto"/>
          <w:sz w:val="24"/>
          <w:highlight w:val="none"/>
          <w:u w:val="single"/>
        </w:rPr>
        <w:t>广州公交集团创新服务有限公司</w:t>
      </w:r>
    </w:p>
    <w:p>
      <w:pPr>
        <w:spacing w:line="360" w:lineRule="auto"/>
        <w:ind w:firstLine="537" w:firstLineChars="224"/>
        <w:rPr>
          <w:rFonts w:hint="eastAsia" w:ascii="宋体" w:hAnsi="宋体" w:cs="宋体"/>
          <w:color w:val="auto"/>
          <w:sz w:val="24"/>
          <w:highlight w:val="none"/>
          <w:u w:val="single"/>
        </w:rPr>
      </w:pPr>
      <w:r>
        <w:rPr>
          <w:rFonts w:hint="eastAsia" w:ascii="宋体" w:hAnsi="宋体" w:cs="宋体"/>
          <w:color w:val="auto"/>
          <w:sz w:val="24"/>
          <w:highlight w:val="none"/>
        </w:rPr>
        <w:t xml:space="preserve">    联系人：</w:t>
      </w:r>
      <w:r>
        <w:rPr>
          <w:rFonts w:hint="eastAsia" w:ascii="宋体" w:hAnsi="宋体" w:cs="宋体"/>
          <w:color w:val="auto"/>
          <w:sz w:val="24"/>
          <w:highlight w:val="none"/>
          <w:u w:val="single"/>
        </w:rPr>
        <w:t>柳工、陈工</w:t>
      </w:r>
      <w:r>
        <w:rPr>
          <w:rFonts w:hint="eastAsia" w:ascii="宋体" w:hAnsi="宋体" w:cs="宋体"/>
          <w:color w:val="auto"/>
          <w:sz w:val="24"/>
          <w:highlight w:val="none"/>
        </w:rPr>
        <w:t xml:space="preserve">           联系电话：</w:t>
      </w:r>
      <w:r>
        <w:rPr>
          <w:rFonts w:hint="eastAsia" w:ascii="宋体" w:hAnsi="宋体" w:cs="宋体"/>
          <w:color w:val="auto"/>
          <w:sz w:val="24"/>
          <w:highlight w:val="none"/>
          <w:u w:val="single"/>
        </w:rPr>
        <w:t>15013911511、18826480900</w:t>
      </w:r>
    </w:p>
    <w:p>
      <w:pPr>
        <w:spacing w:line="360" w:lineRule="auto"/>
        <w:ind w:firstLine="1015" w:firstLineChars="423"/>
        <w:rPr>
          <w:rFonts w:hint="eastAsia" w:ascii="宋体" w:hAnsi="宋体" w:cs="宋体"/>
          <w:color w:val="auto"/>
          <w:sz w:val="24"/>
          <w:highlight w:val="none"/>
          <w:u w:val="single"/>
        </w:rPr>
      </w:pPr>
      <w:r>
        <w:rPr>
          <w:rFonts w:hint="eastAsia" w:ascii="宋体" w:hAnsi="宋体" w:cs="宋体"/>
          <w:color w:val="auto"/>
          <w:sz w:val="24"/>
          <w:highlight w:val="none"/>
          <w:u w:val="none"/>
        </w:rPr>
        <w:t>联系地址：</w:t>
      </w:r>
      <w:r>
        <w:rPr>
          <w:rFonts w:hint="eastAsia" w:ascii="宋体" w:hAnsi="宋体" w:cs="宋体"/>
          <w:color w:val="auto"/>
          <w:sz w:val="24"/>
          <w:highlight w:val="none"/>
          <w:u w:val="single"/>
        </w:rPr>
        <w:t xml:space="preserve">广州市越秀区农林下路80号冠怡大厦7楼 </w:t>
      </w:r>
    </w:p>
    <w:p>
      <w:pPr>
        <w:spacing w:line="360" w:lineRule="auto"/>
        <w:ind w:firstLine="1015" w:firstLineChars="423"/>
        <w:rPr>
          <w:rFonts w:ascii="宋体" w:hAnsi="宋体" w:cs="宋体"/>
          <w:sz w:val="24"/>
          <w:szCs w:val="24"/>
          <w:highlight w:val="none"/>
        </w:rPr>
      </w:pPr>
      <w:r>
        <w:rPr>
          <w:rFonts w:hint="eastAsia" w:ascii="宋体" w:hAnsi="宋体" w:cs="宋体"/>
          <w:sz w:val="24"/>
          <w:szCs w:val="24"/>
          <w:highlight w:val="none"/>
        </w:rPr>
        <w:t>招标监督机构：</w:t>
      </w:r>
      <w:r>
        <w:rPr>
          <w:rFonts w:hint="eastAsia" w:ascii="宋体" w:hAnsi="宋体" w:cs="宋体"/>
          <w:sz w:val="24"/>
          <w:szCs w:val="24"/>
          <w:highlight w:val="none"/>
          <w:u w:val="single"/>
        </w:rPr>
        <w:t>广州市建设工程招标管理办公室</w:t>
      </w:r>
    </w:p>
    <w:p>
      <w:pPr>
        <w:spacing w:line="360" w:lineRule="auto"/>
        <w:ind w:firstLine="1015" w:firstLineChars="423"/>
        <w:rPr>
          <w:rFonts w:ascii="宋体" w:hAnsi="宋体" w:cs="宋体"/>
          <w:sz w:val="24"/>
          <w:szCs w:val="24"/>
          <w:highlight w:val="none"/>
          <w:u w:val="single"/>
        </w:rPr>
      </w:pPr>
      <w:r>
        <w:rPr>
          <w:rFonts w:hint="eastAsia" w:ascii="宋体" w:hAnsi="宋体" w:cs="宋体"/>
          <w:sz w:val="24"/>
          <w:szCs w:val="24"/>
          <w:highlight w:val="none"/>
        </w:rPr>
        <w:t>监督电话：</w:t>
      </w:r>
      <w:r>
        <w:rPr>
          <w:rFonts w:hint="eastAsia" w:ascii="宋体" w:hAnsi="宋体" w:cs="宋体"/>
          <w:sz w:val="24"/>
          <w:szCs w:val="24"/>
          <w:highlight w:val="none"/>
          <w:u w:val="single"/>
        </w:rPr>
        <w:t>020-28866220</w:t>
      </w:r>
    </w:p>
    <w:p>
      <w:pPr>
        <w:spacing w:line="360" w:lineRule="auto"/>
        <w:ind w:firstLine="1015" w:firstLineChars="423"/>
        <w:rPr>
          <w:rFonts w:hint="eastAsia"/>
          <w:color w:val="auto"/>
          <w:highlight w:val="none"/>
          <w:u w:val="single"/>
        </w:rPr>
      </w:pPr>
      <w:r>
        <w:rPr>
          <w:rFonts w:hint="eastAsia" w:ascii="宋体" w:hAnsi="宋体" w:cs="宋体"/>
          <w:sz w:val="24"/>
          <w:szCs w:val="24"/>
          <w:highlight w:val="none"/>
        </w:rPr>
        <w:t>联系地址：</w:t>
      </w:r>
      <w:r>
        <w:rPr>
          <w:rFonts w:hint="eastAsia" w:ascii="宋体" w:hAnsi="宋体" w:cs="宋体"/>
          <w:sz w:val="24"/>
          <w:szCs w:val="24"/>
          <w:highlight w:val="none"/>
          <w:u w:val="single"/>
        </w:rPr>
        <w:t>广州市天河区天润路333号3楼</w:t>
      </w:r>
    </w:p>
    <w:p>
      <w:pPr>
        <w:spacing w:line="360" w:lineRule="auto"/>
        <w:ind w:firstLine="537" w:firstLineChars="224"/>
        <w:rPr>
          <w:rFonts w:hint="eastAsia" w:ascii="宋体" w:hAnsi="宋体" w:cs="宋体"/>
          <w:bCs/>
          <w:color w:val="auto"/>
          <w:sz w:val="24"/>
          <w:highlight w:val="none"/>
          <w:u w:val="single"/>
        </w:rPr>
      </w:pPr>
      <w:r>
        <w:rPr>
          <w:rFonts w:hint="eastAsia" w:ascii="宋体" w:hAnsi="宋体" w:cs="宋体"/>
          <w:color w:val="auto"/>
          <w:sz w:val="24"/>
          <w:highlight w:val="none"/>
        </w:rPr>
        <w:t>三、建设地点：</w:t>
      </w:r>
      <w:r>
        <w:rPr>
          <w:rFonts w:hint="eastAsia" w:ascii="宋体" w:hAnsi="宋体" w:cs="宋体"/>
          <w:color w:val="auto"/>
          <w:sz w:val="24"/>
          <w:highlight w:val="none"/>
          <w:u w:val="single"/>
        </w:rPr>
        <w:t>广州市白云区太和镇科兴路北侧、草塘路西侧AB1207006地块。</w:t>
      </w:r>
    </w:p>
    <w:p>
      <w:pPr>
        <w:spacing w:line="360" w:lineRule="auto"/>
        <w:ind w:firstLine="537" w:firstLineChars="224"/>
        <w:rPr>
          <w:rFonts w:hint="eastAsia" w:ascii="宋体" w:hAnsi="宋体" w:cs="宋体"/>
          <w:color w:val="auto"/>
          <w:sz w:val="24"/>
          <w:highlight w:val="none"/>
          <w:u w:val="single"/>
          <w:lang w:val="en-US" w:eastAsia="zh-CN"/>
        </w:rPr>
      </w:pPr>
      <w:r>
        <w:rPr>
          <w:rFonts w:hint="eastAsia" w:ascii="宋体" w:hAnsi="宋体" w:cs="宋体"/>
          <w:color w:val="auto"/>
          <w:sz w:val="24"/>
          <w:highlight w:val="none"/>
        </w:rPr>
        <w:t>四、项目概况：</w:t>
      </w:r>
      <w:r>
        <w:rPr>
          <w:rFonts w:hint="eastAsia" w:ascii="宋体" w:hAnsi="宋体" w:cs="宋体"/>
          <w:color w:val="auto"/>
          <w:sz w:val="24"/>
          <w:highlight w:val="none"/>
          <w:u w:val="single"/>
        </w:rPr>
        <w:t>本项目位于广州市白云区太和镇科兴路北侧、草塘路西侧AB1207006地块。项目规划总用地面积4500平方米，规划建设公交站房1处，总建筑面积约</w:t>
      </w:r>
      <w:r>
        <w:rPr>
          <w:rFonts w:hint="eastAsia" w:ascii="宋体" w:hAnsi="宋体" w:cs="宋体"/>
          <w:color w:val="auto"/>
          <w:sz w:val="24"/>
          <w:highlight w:val="none"/>
          <w:u w:val="single"/>
          <w:lang w:eastAsia="zh-CN"/>
        </w:rPr>
        <w:t>784.58平方米</w:t>
      </w:r>
      <w:r>
        <w:rPr>
          <w:rFonts w:hint="eastAsia" w:ascii="宋体" w:hAnsi="宋体" w:cs="宋体"/>
          <w:color w:val="auto"/>
          <w:sz w:val="24"/>
          <w:highlight w:val="none"/>
          <w:u w:val="single"/>
        </w:rPr>
        <w:t>，其中计容建筑面积</w:t>
      </w:r>
      <w:r>
        <w:rPr>
          <w:rFonts w:hint="eastAsia" w:ascii="宋体" w:hAnsi="宋体" w:cs="宋体"/>
          <w:color w:val="auto"/>
          <w:sz w:val="24"/>
          <w:highlight w:val="none"/>
          <w:u w:val="single"/>
          <w:lang w:eastAsia="zh-CN"/>
        </w:rPr>
        <w:t>449.44</w:t>
      </w:r>
      <w:r>
        <w:rPr>
          <w:rFonts w:hint="eastAsia" w:ascii="宋体" w:hAnsi="宋体" w:cs="宋体"/>
          <w:color w:val="auto"/>
          <w:sz w:val="24"/>
          <w:highlight w:val="none"/>
          <w:u w:val="single"/>
        </w:rPr>
        <w:t>平方米，不计容建筑面积335.14平方米，绿地面积315.04平方米，公交车停车位20泊。建设内容包括公交站房、室外停车场及道路工程等</w:t>
      </w:r>
      <w:r>
        <w:rPr>
          <w:rFonts w:hint="eastAsia" w:ascii="宋体" w:hAnsi="宋体" w:cs="宋体"/>
          <w:color w:val="auto"/>
          <w:sz w:val="24"/>
          <w:highlight w:val="none"/>
          <w:u w:val="single"/>
          <w:lang w:val="en-US" w:eastAsia="zh-CN"/>
        </w:rPr>
        <w:t>。</w:t>
      </w:r>
    </w:p>
    <w:p>
      <w:pPr>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u w:val="single"/>
        </w:rPr>
        <w:t>具体项目规模及设计指标以最终确认的图纸为准。</w:t>
      </w:r>
    </w:p>
    <w:p>
      <w:pPr>
        <w:spacing w:line="360" w:lineRule="auto"/>
        <w:ind w:firstLine="537" w:firstLineChars="224"/>
        <w:outlineLvl w:val="0"/>
        <w:rPr>
          <w:rFonts w:hint="eastAsia" w:ascii="宋体" w:hAnsi="宋体" w:cs="宋体"/>
          <w:color w:val="auto"/>
          <w:sz w:val="24"/>
          <w:highlight w:val="none"/>
        </w:rPr>
      </w:pPr>
      <w:r>
        <w:rPr>
          <w:rFonts w:hint="eastAsia" w:ascii="宋体" w:hAnsi="宋体" w:cs="宋体"/>
          <w:color w:val="auto"/>
          <w:sz w:val="24"/>
          <w:highlight w:val="none"/>
        </w:rPr>
        <w:t>五、标段划分及各标段招标内容、规模和最高投标限价：</w:t>
      </w:r>
    </w:p>
    <w:p>
      <w:pPr>
        <w:spacing w:line="360" w:lineRule="auto"/>
        <w:ind w:firstLine="537" w:firstLineChars="224"/>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标段划分：</w:t>
      </w:r>
      <w:r>
        <w:rPr>
          <w:rFonts w:hint="eastAsia" w:ascii="宋体" w:hAnsi="宋体" w:cs="宋体"/>
          <w:color w:val="auto"/>
          <w:sz w:val="24"/>
          <w:highlight w:val="none"/>
          <w:u w:val="single"/>
        </w:rPr>
        <w:t>本工程划分为1个标段。</w:t>
      </w:r>
    </w:p>
    <w:p>
      <w:pPr>
        <w:spacing w:line="360" w:lineRule="auto"/>
        <w:ind w:firstLine="537" w:firstLineChars="224"/>
        <w:rPr>
          <w:rFonts w:hint="default" w:ascii="宋体" w:hAnsi="宋体" w:eastAsia="宋体" w:cs="宋体"/>
          <w:color w:val="auto"/>
          <w:sz w:val="24"/>
          <w:highlight w:val="none"/>
          <w:u w:val="single"/>
        </w:rPr>
      </w:pPr>
      <w:r>
        <w:rPr>
          <w:rFonts w:hint="eastAsia" w:ascii="宋体" w:hAnsi="宋体" w:cs="宋体"/>
          <w:color w:val="auto"/>
          <w:sz w:val="24"/>
          <w:szCs w:val="24"/>
          <w:highlight w:val="none"/>
        </w:rPr>
        <w:t>2</w:t>
      </w:r>
      <w:bookmarkStart w:id="0" w:name="OLE_LINK4"/>
      <w:bookmarkStart w:id="1" w:name="OLE_LINK2"/>
      <w:bookmarkStart w:id="2" w:name="OLE_LINK3"/>
      <w:r>
        <w:rPr>
          <w:rFonts w:hint="eastAsia" w:ascii="宋体" w:hAnsi="宋体" w:cs="宋体"/>
          <w:color w:val="auto"/>
          <w:sz w:val="24"/>
          <w:szCs w:val="24"/>
          <w:highlight w:val="none"/>
        </w:rPr>
        <w:t>、招标内容、规模</w:t>
      </w:r>
      <w:bookmarkEnd w:id="0"/>
      <w:bookmarkEnd w:id="1"/>
      <w:bookmarkEnd w:id="2"/>
      <w:r>
        <w:rPr>
          <w:rFonts w:hint="eastAsia" w:ascii="宋体" w:hAnsi="宋体" w:cs="宋体"/>
          <w:color w:val="auto"/>
          <w:sz w:val="24"/>
          <w:szCs w:val="24"/>
          <w:highlight w:val="none"/>
        </w:rPr>
        <w:t>：</w:t>
      </w:r>
      <w:r>
        <w:rPr>
          <w:rFonts w:hint="eastAsia" w:ascii="宋体" w:hAnsi="宋体" w:cs="宋体"/>
          <w:color w:val="auto"/>
          <w:sz w:val="24"/>
          <w:highlight w:val="none"/>
          <w:u w:val="single"/>
          <w:lang w:eastAsia="zh-CN"/>
        </w:rPr>
        <w:t>民营科技园公交站场施工总承包项目</w:t>
      </w:r>
      <w:r>
        <w:rPr>
          <w:rFonts w:hint="eastAsia" w:ascii="宋体" w:hAnsi="宋体" w:eastAsia="宋体" w:cs="宋体"/>
          <w:color w:val="auto"/>
          <w:sz w:val="24"/>
          <w:highlight w:val="none"/>
          <w:u w:val="single"/>
          <w:lang w:eastAsia="zh-CN"/>
        </w:rPr>
        <w:t>，</w:t>
      </w:r>
      <w:r>
        <w:rPr>
          <w:rFonts w:hint="default" w:ascii="宋体" w:hAnsi="宋体" w:eastAsia="宋体" w:cs="宋体"/>
          <w:color w:val="auto"/>
          <w:sz w:val="24"/>
          <w:highlight w:val="none"/>
          <w:u w:val="single"/>
        </w:rPr>
        <w:t>具体内容以工程量清单、施工图纸及有关资料为准。</w:t>
      </w:r>
    </w:p>
    <w:p>
      <w:pPr>
        <w:spacing w:line="480" w:lineRule="auto"/>
        <w:ind w:firstLine="537" w:firstLineChars="224"/>
        <w:rPr>
          <w:rFonts w:hint="eastAsia" w:ascii="宋体" w:hAnsi="宋体" w:cs="宋体"/>
          <w:color w:val="auto"/>
          <w:sz w:val="24"/>
          <w:szCs w:val="24"/>
          <w:highlight w:val="none"/>
          <w:u w:val="single"/>
          <w:lang w:eastAsia="zh-CN"/>
        </w:rPr>
      </w:pPr>
      <w:r>
        <w:rPr>
          <w:rFonts w:hint="eastAsia" w:ascii="宋体" w:hAnsi="宋体" w:cs="宋体"/>
          <w:color w:val="auto"/>
          <w:sz w:val="24"/>
          <w:szCs w:val="24"/>
          <w:highlight w:val="none"/>
        </w:rPr>
        <w:t>2.最高投标限价：</w:t>
      </w:r>
      <w:r>
        <w:rPr>
          <w:rFonts w:hint="eastAsia" w:ascii="宋体" w:hAnsi="宋体" w:cs="宋体"/>
          <w:color w:val="auto"/>
          <w:sz w:val="24"/>
          <w:szCs w:val="24"/>
          <w:highlight w:val="none"/>
          <w:u w:val="single"/>
        </w:rPr>
        <w:t>人民币6,065,299.89元。</w:t>
      </w:r>
      <w:r>
        <w:rPr>
          <w:rFonts w:ascii="宋体" w:hAnsi="宋体"/>
          <w:color w:val="auto"/>
          <w:sz w:val="24"/>
          <w:highlight w:val="none"/>
        </w:rPr>
        <w:t xml:space="preserve">  </w:t>
      </w:r>
    </w:p>
    <w:p>
      <w:pPr>
        <w:spacing w:line="480" w:lineRule="auto"/>
        <w:ind w:firstLine="537" w:firstLineChars="224"/>
        <w:rPr>
          <w:rFonts w:ascii="宋体" w:hAnsi="宋体"/>
          <w:color w:val="auto"/>
          <w:sz w:val="24"/>
          <w:highlight w:val="none"/>
          <w:u w:val="single"/>
        </w:rPr>
      </w:pPr>
      <w:r>
        <w:rPr>
          <w:rFonts w:hint="eastAsia" w:ascii="宋体" w:hAnsi="宋体"/>
          <w:color w:val="auto"/>
          <w:sz w:val="24"/>
          <w:highlight w:val="none"/>
        </w:rPr>
        <w:t>六、资金来源：</w:t>
      </w:r>
      <w:r>
        <w:rPr>
          <w:rFonts w:hint="eastAsia" w:ascii="宋体" w:hAnsi="宋体"/>
          <w:color w:val="auto"/>
          <w:sz w:val="24"/>
          <w:highlight w:val="none"/>
          <w:u w:val="single"/>
        </w:rPr>
        <w:t>企业自筹资金。</w:t>
      </w:r>
    </w:p>
    <w:p>
      <w:pPr>
        <w:spacing w:line="480" w:lineRule="auto"/>
        <w:ind w:left="120" w:leftChars="57" w:firstLine="417" w:firstLineChars="174"/>
        <w:rPr>
          <w:rFonts w:ascii="宋体"/>
          <w:color w:val="auto"/>
          <w:sz w:val="24"/>
          <w:highlight w:val="none"/>
        </w:rPr>
      </w:pPr>
      <w:r>
        <w:rPr>
          <w:rFonts w:hint="eastAsia" w:ascii="宋体" w:hAnsi="宋体"/>
          <w:color w:val="auto"/>
          <w:sz w:val="24"/>
          <w:highlight w:val="none"/>
        </w:rPr>
        <w:t>注：政府投资项目一律不得以建筑业企业带资承包的方式进行建设。</w:t>
      </w:r>
    </w:p>
    <w:p>
      <w:pPr>
        <w:snapToGrid w:val="0"/>
        <w:spacing w:line="480" w:lineRule="auto"/>
        <w:ind w:left="435"/>
        <w:rPr>
          <w:rFonts w:ascii="宋体" w:hAnsi="宋体" w:cs="宋体"/>
          <w:color w:val="auto"/>
          <w:sz w:val="24"/>
          <w:szCs w:val="24"/>
          <w:highlight w:val="none"/>
        </w:rPr>
      </w:pPr>
      <w:r>
        <w:rPr>
          <w:rFonts w:hint="eastAsia" w:ascii="宋体" w:hAnsi="宋体" w:cs="宋体"/>
          <w:color w:val="auto"/>
          <w:kern w:val="0"/>
          <w:sz w:val="24"/>
          <w:szCs w:val="24"/>
          <w:highlight w:val="none"/>
        </w:rPr>
        <w:t>七、</w:t>
      </w:r>
      <w:r>
        <w:rPr>
          <w:rFonts w:hint="eastAsia" w:ascii="宋体" w:hAnsi="宋体"/>
          <w:color w:val="auto"/>
          <w:sz w:val="24"/>
          <w:highlight w:val="none"/>
        </w:rPr>
        <w:t>公告发布日期、</w:t>
      </w:r>
      <w:r>
        <w:rPr>
          <w:rFonts w:hint="eastAsia" w:ascii="宋体" w:hAnsi="宋体" w:cs="宋体"/>
          <w:color w:val="auto"/>
          <w:sz w:val="24"/>
          <w:szCs w:val="24"/>
          <w:highlight w:val="none"/>
        </w:rPr>
        <w:t>递交投标文件时间与开标时间：</w:t>
      </w:r>
    </w:p>
    <w:p>
      <w:pPr>
        <w:widowControl/>
        <w:snapToGrid w:val="0"/>
        <w:spacing w:line="48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olor w:val="auto"/>
          <w:sz w:val="24"/>
          <w:highlight w:val="none"/>
        </w:rPr>
        <w:t>公告发布日期（含本日）：</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2025</w:t>
      </w:r>
      <w:r>
        <w:rPr>
          <w:rFonts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bookmarkStart w:id="3" w:name="_GoBack"/>
      <w:bookmarkEnd w:id="3"/>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 xml:space="preserve"> </w:t>
      </w:r>
      <w:r>
        <w:rPr>
          <w:rFonts w:hint="eastAsia" w:ascii="宋体" w:hAnsi="宋体"/>
          <w:color w:val="auto"/>
          <w:sz w:val="24"/>
          <w:highlight w:val="none"/>
        </w:rPr>
        <w:t>日</w:t>
      </w:r>
      <w:r>
        <w:rPr>
          <w:rFonts w:ascii="宋体" w:hAnsi="宋体"/>
          <w:color w:val="auto"/>
          <w:sz w:val="24"/>
          <w:highlight w:val="none"/>
        </w:rPr>
        <w:t xml:space="preserve">  </w:t>
      </w:r>
      <w:r>
        <w:rPr>
          <w:rFonts w:hint="eastAsia" w:ascii="宋体" w:hAnsi="宋体"/>
          <w:color w:val="auto"/>
          <w:sz w:val="24"/>
          <w:highlight w:val="none"/>
        </w:rPr>
        <w:t>至</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2025</w:t>
      </w:r>
      <w:r>
        <w:rPr>
          <w:rFonts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11</w:t>
      </w:r>
      <w:r>
        <w:rPr>
          <w:rFonts w:ascii="宋体" w:hAnsi="宋体"/>
          <w:color w:val="auto"/>
          <w:sz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p>
    <w:p>
      <w:pPr>
        <w:widowControl/>
        <w:snapToGrid w:val="0"/>
        <w:spacing w:line="48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凡有意参加投标者，请登录</w:t>
      </w:r>
      <w:r>
        <w:rPr>
          <w:rFonts w:hint="eastAsia" w:ascii="宋体" w:hAnsi="宋体" w:cs="宋体"/>
          <w:color w:val="auto"/>
          <w:sz w:val="24"/>
          <w:szCs w:val="24"/>
          <w:highlight w:val="none"/>
          <w:u w:val="single"/>
          <w:lang w:eastAsia="zh-CN"/>
        </w:rPr>
        <w:t>广州交易集团有限公司（</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rPr>
        <w:t>交易平台网站下载电子招标文件。</w:t>
      </w:r>
    </w:p>
    <w:p>
      <w:pPr>
        <w:widowControl/>
        <w:shd w:val="clear" w:color="auto" w:fill="FFFFFF"/>
        <w:snapToGrid w:val="0"/>
        <w:spacing w:line="480" w:lineRule="auto"/>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注：发布招标公告的时间为招标公告发出之日起至投标截止时间止。</w:t>
      </w:r>
    </w:p>
    <w:p>
      <w:pPr>
        <w:widowControl/>
        <w:shd w:val="clear" w:color="auto" w:fill="FFFFFF"/>
        <w:snapToGrid w:val="0"/>
        <w:spacing w:line="480" w:lineRule="auto"/>
        <w:ind w:left="809" w:leftChars="214" w:hanging="360" w:hangingChars="150"/>
        <w:jc w:val="left"/>
        <w:rPr>
          <w:rFonts w:ascii="宋体" w:hAnsi="宋体" w:cs="宋体"/>
          <w:color w:val="auto"/>
          <w:sz w:val="24"/>
          <w:szCs w:val="24"/>
          <w:highlight w:val="none"/>
        </w:rPr>
      </w:pPr>
      <w:r>
        <w:rPr>
          <w:rFonts w:hint="eastAsia" w:ascii="宋体" w:hAnsi="宋体" w:cs="宋体"/>
          <w:color w:val="auto"/>
          <w:sz w:val="24"/>
          <w:szCs w:val="24"/>
          <w:highlight w:val="none"/>
        </w:rPr>
        <w:t>2、递交投标文件起始时间：</w:t>
      </w:r>
      <w:r>
        <w:rPr>
          <w:rFonts w:hint="eastAsia" w:ascii="宋体" w:hAnsi="宋体"/>
          <w:color w:val="auto"/>
          <w:sz w:val="24"/>
          <w:szCs w:val="24"/>
          <w:highlight w:val="none"/>
          <w:u w:val="single"/>
          <w:lang w:eastAsia="zh-CN"/>
        </w:rPr>
        <w:t>2025</w:t>
      </w:r>
      <w:r>
        <w:rPr>
          <w:rFonts w:hint="eastAsia" w:ascii="宋体" w:hAnsi="宋体"/>
          <w:color w:val="auto"/>
          <w:sz w:val="24"/>
          <w:szCs w:val="24"/>
          <w:highlight w:val="none"/>
          <w:u w:val="none"/>
          <w:lang w:eastAsia="zh-CN"/>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00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00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分</w:t>
      </w:r>
      <w:r>
        <w:rPr>
          <w:rFonts w:hint="eastAsia" w:ascii="宋体" w:hAnsi="宋体" w:cs="宋体"/>
          <w:color w:val="auto"/>
          <w:sz w:val="24"/>
          <w:szCs w:val="24"/>
          <w:highlight w:val="none"/>
        </w:rPr>
        <w:t>；</w:t>
      </w:r>
    </w:p>
    <w:p>
      <w:pPr>
        <w:widowControl/>
        <w:shd w:val="clear" w:color="auto" w:fill="FFFFFF"/>
        <w:snapToGrid w:val="0"/>
        <w:spacing w:line="480" w:lineRule="auto"/>
        <w:ind w:left="764" w:leftChars="364" w:firstLine="1440" w:firstLineChars="600"/>
        <w:jc w:val="left"/>
        <w:rPr>
          <w:rFonts w:ascii="宋体" w:hAnsi="宋体" w:cs="宋体"/>
          <w:color w:val="auto"/>
          <w:sz w:val="24"/>
          <w:szCs w:val="24"/>
          <w:highlight w:val="none"/>
        </w:rPr>
      </w:pPr>
      <w:r>
        <w:rPr>
          <w:rFonts w:hint="eastAsia" w:ascii="宋体" w:hAnsi="宋体" w:cs="宋体"/>
          <w:color w:val="auto"/>
          <w:sz w:val="24"/>
          <w:szCs w:val="24"/>
          <w:highlight w:val="none"/>
        </w:rPr>
        <w:t>截止时间：</w:t>
      </w:r>
      <w:r>
        <w:rPr>
          <w:rFonts w:hint="eastAsia" w:ascii="宋体" w:hAnsi="宋体"/>
          <w:color w:val="auto"/>
          <w:sz w:val="24"/>
          <w:szCs w:val="24"/>
          <w:highlight w:val="none"/>
          <w:u w:val="single"/>
          <w:lang w:eastAsia="zh-CN"/>
        </w:rPr>
        <w:t>2025</w:t>
      </w:r>
      <w:r>
        <w:rPr>
          <w:rFonts w:hint="eastAsia" w:ascii="宋体" w:hAnsi="宋体"/>
          <w:color w:val="auto"/>
          <w:sz w:val="24"/>
          <w:szCs w:val="24"/>
          <w:highlight w:val="none"/>
          <w:u w:val="none"/>
          <w:lang w:eastAsia="zh-CN"/>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分</w:t>
      </w:r>
      <w:r>
        <w:rPr>
          <w:rFonts w:hint="eastAsia" w:ascii="宋体" w:hAnsi="宋体" w:cs="宋体"/>
          <w:color w:val="auto"/>
          <w:sz w:val="24"/>
          <w:szCs w:val="24"/>
          <w:highlight w:val="none"/>
        </w:rPr>
        <w:t>。</w:t>
      </w:r>
    </w:p>
    <w:p>
      <w:pPr>
        <w:widowControl/>
        <w:shd w:val="clear" w:color="auto" w:fill="FFFFFF"/>
        <w:snapToGrid w:val="0"/>
        <w:spacing w:line="480" w:lineRule="auto"/>
        <w:ind w:firstLine="48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3、开标开始时间：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eastAsia="zh-CN"/>
        </w:rPr>
        <w:t>2025</w:t>
      </w:r>
      <w:r>
        <w:rPr>
          <w:rFonts w:hint="eastAsia" w:ascii="宋体" w:hAnsi="宋体"/>
          <w:color w:val="auto"/>
          <w:sz w:val="24"/>
          <w:szCs w:val="24"/>
          <w:highlight w:val="none"/>
          <w:u w:val="none"/>
          <w:lang w:eastAsia="zh-CN"/>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分</w:t>
      </w:r>
      <w:r>
        <w:rPr>
          <w:rFonts w:hint="eastAsia" w:ascii="宋体" w:hAnsi="宋体" w:cs="宋体"/>
          <w:color w:val="auto"/>
          <w:sz w:val="24"/>
          <w:szCs w:val="24"/>
          <w:highlight w:val="none"/>
        </w:rPr>
        <w:t>。</w:t>
      </w:r>
    </w:p>
    <w:p>
      <w:pPr>
        <w:widowControl/>
        <w:shd w:val="clear" w:color="auto" w:fill="FFFFFF"/>
        <w:snapToGrid w:val="0"/>
        <w:spacing w:line="480" w:lineRule="auto"/>
        <w:jc w:val="left"/>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rPr>
        <w:t>4、递交投标文件截止时间与开标时间是否有变化，请密切留意招标答疑中的相关信息。递交投标文件截止时间后，开标时间因故推迟的，相关评标信息仍以原递交投标文件截止时间的信息为准。</w:t>
      </w:r>
    </w:p>
    <w:p>
      <w:pPr>
        <w:widowControl/>
        <w:snapToGrid w:val="0"/>
        <w:spacing w:line="480" w:lineRule="auto"/>
        <w:ind w:firstLine="480" w:firstLineChars="200"/>
        <w:jc w:val="left"/>
        <w:rPr>
          <w:rFonts w:ascii="宋体" w:hAnsi="宋体" w:cs="仿宋_GB2312"/>
          <w:color w:val="auto"/>
          <w:sz w:val="24"/>
          <w:szCs w:val="24"/>
          <w:highlight w:val="none"/>
        </w:rPr>
      </w:pPr>
      <w:r>
        <w:rPr>
          <w:rFonts w:hint="eastAsia" w:ascii="宋体" w:hAnsi="宋体" w:cs="宋体"/>
          <w:color w:val="auto"/>
          <w:sz w:val="24"/>
          <w:szCs w:val="24"/>
          <w:highlight w:val="none"/>
        </w:rPr>
        <w:t>5、</w:t>
      </w:r>
      <w:r>
        <w:rPr>
          <w:rFonts w:hint="eastAsia" w:ascii="宋体" w:hAnsi="宋体"/>
          <w:bCs/>
          <w:color w:val="auto"/>
          <w:sz w:val="24"/>
          <w:highlight w:val="none"/>
        </w:rPr>
        <w:t>投标人通过</w:t>
      </w:r>
      <w:r>
        <w:rPr>
          <w:rFonts w:hint="eastAsia" w:ascii="宋体" w:hAnsi="宋体"/>
          <w:color w:val="auto"/>
          <w:sz w:val="24"/>
          <w:highlight w:val="none"/>
          <w:u w:val="single"/>
          <w:lang w:eastAsia="zh-CN"/>
        </w:rPr>
        <w:t>广州交易集团有限公司（</w:t>
      </w:r>
      <w:r>
        <w:rPr>
          <w:rFonts w:hint="eastAsia"/>
          <w:color w:val="auto"/>
          <w:sz w:val="24"/>
          <w:szCs w:val="24"/>
          <w:highlight w:val="none"/>
          <w:u w:val="single"/>
        </w:rPr>
        <w:t>广州公共资源交易中心</w:t>
      </w:r>
      <w:r>
        <w:rPr>
          <w:rFonts w:hint="eastAsia" w:ascii="宋体" w:hAnsi="宋体"/>
          <w:color w:val="auto"/>
          <w:sz w:val="24"/>
          <w:highlight w:val="none"/>
          <w:u w:val="single"/>
          <w:lang w:eastAsia="zh-CN"/>
        </w:rPr>
        <w:t>）</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r>
        <w:rPr>
          <w:rFonts w:hint="eastAsia" w:ascii="宋体" w:hAnsi="宋体" w:cs="仿宋_GB2312"/>
          <w:color w:val="auto"/>
          <w:sz w:val="24"/>
          <w:szCs w:val="24"/>
          <w:highlight w:val="none"/>
        </w:rPr>
        <w:t>投标人应在递交投标文件截止时间前，登录</w:t>
      </w:r>
      <w:r>
        <w:rPr>
          <w:rFonts w:hint="eastAsia" w:ascii="宋体" w:hAnsi="宋体"/>
          <w:color w:val="auto"/>
          <w:sz w:val="24"/>
          <w:highlight w:val="none"/>
          <w:u w:val="single"/>
          <w:lang w:eastAsia="zh-CN"/>
        </w:rPr>
        <w:t>广州交易集团有限公司（</w:t>
      </w:r>
      <w:r>
        <w:rPr>
          <w:rFonts w:hint="eastAsia"/>
          <w:color w:val="auto"/>
          <w:sz w:val="24"/>
          <w:szCs w:val="24"/>
          <w:highlight w:val="none"/>
          <w:u w:val="single"/>
        </w:rPr>
        <w:t>广州公共资源交易中心</w:t>
      </w:r>
      <w:r>
        <w:rPr>
          <w:rFonts w:hint="eastAsia" w:ascii="宋体" w:hAnsi="宋体"/>
          <w:color w:val="auto"/>
          <w:sz w:val="24"/>
          <w:highlight w:val="none"/>
          <w:u w:val="single"/>
          <w:lang w:eastAsia="zh-CN"/>
        </w:rPr>
        <w:t>）</w:t>
      </w:r>
      <w:r>
        <w:rPr>
          <w:rFonts w:hint="eastAsia" w:ascii="宋体" w:hAnsi="宋体"/>
          <w:color w:val="auto"/>
          <w:sz w:val="24"/>
          <w:szCs w:val="24"/>
          <w:highlight w:val="none"/>
        </w:rPr>
        <w:t>交易平台</w:t>
      </w:r>
      <w:r>
        <w:rPr>
          <w:rFonts w:hint="eastAsia" w:ascii="宋体" w:hAnsi="宋体" w:cs="仿宋_GB2312"/>
          <w:color w:val="auto"/>
          <w:sz w:val="24"/>
          <w:szCs w:val="24"/>
          <w:highlight w:val="none"/>
        </w:rPr>
        <w:t>网站办理网上投标登记手续。按照交易平台关于全流程电子化项目的相关指南进行操作。详见：</w:t>
      </w:r>
      <w:r>
        <w:rPr>
          <w:rFonts w:hint="eastAsia" w:ascii="宋体" w:hAnsi="宋体" w:cs="仿宋_GB2312"/>
          <w:color w:val="auto"/>
          <w:sz w:val="24"/>
          <w:szCs w:val="24"/>
          <w:highlight w:val="none"/>
          <w:u w:val="single"/>
        </w:rPr>
        <w:t>广州交易集团有限公司（广州公共资源交易中心）</w:t>
      </w:r>
      <w:r>
        <w:rPr>
          <w:rFonts w:hint="eastAsia" w:ascii="宋体" w:hAnsi="宋体" w:cs="仿宋_GB2312"/>
          <w:color w:val="auto"/>
          <w:sz w:val="24"/>
          <w:szCs w:val="24"/>
          <w:highlight w:val="none"/>
          <w:u w:val="single"/>
          <w:lang w:eastAsia="zh-CN"/>
        </w:rPr>
        <w:t>网站</w:t>
      </w:r>
      <w:r>
        <w:rPr>
          <w:rFonts w:hint="eastAsia" w:ascii="宋体" w:hAnsi="宋体" w:cs="仿宋_GB2312"/>
          <w:color w:val="auto"/>
          <w:sz w:val="24"/>
          <w:szCs w:val="24"/>
          <w:highlight w:val="none"/>
        </w:rPr>
        <w:t xml:space="preserve">。 </w:t>
      </w:r>
    </w:p>
    <w:p>
      <w:pPr>
        <w:widowControl/>
        <w:snapToGrid w:val="0"/>
        <w:spacing w:line="48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6、在投标登记时，投标人应按要求在交易系统中填写《施工项目管理团队人员信息表》（详见附件二），表中的项目管理团队人员信息作为投标文件的一部分，将由交易系统提取后供各相关单位在中标人履约时进行比对、查核。</w:t>
      </w:r>
    </w:p>
    <w:p>
      <w:pPr>
        <w:widowControl/>
        <w:shd w:val="clear" w:color="auto" w:fill="FFFFFF"/>
        <w:snapToGrid w:val="0"/>
        <w:spacing w:line="480" w:lineRule="auto"/>
        <w:ind w:firstLine="480" w:firstLineChars="200"/>
        <w:jc w:val="left"/>
        <w:rPr>
          <w:rFonts w:ascii="宋体" w:cs="宋体"/>
          <w:color w:val="auto"/>
          <w:kern w:val="0"/>
          <w:sz w:val="24"/>
          <w:szCs w:val="24"/>
          <w:highlight w:val="none"/>
        </w:rPr>
      </w:pPr>
      <w:r>
        <w:rPr>
          <w:rFonts w:hint="eastAsia" w:ascii="宋体" w:hAnsi="宋体" w:cs="宋体"/>
          <w:color w:val="auto"/>
          <w:kern w:val="0"/>
          <w:sz w:val="24"/>
          <w:szCs w:val="24"/>
          <w:highlight w:val="none"/>
        </w:rPr>
        <w:t>八、招标文件获取方式：</w:t>
      </w:r>
    </w:p>
    <w:p>
      <w:pPr>
        <w:widowControl/>
        <w:shd w:val="clear" w:color="auto" w:fill="FFFFFF"/>
        <w:snapToGrid w:val="0"/>
        <w:spacing w:line="480" w:lineRule="auto"/>
        <w:ind w:firstLine="480" w:firstLineChars="200"/>
        <w:jc w:val="left"/>
        <w:rPr>
          <w:rFonts w:ascii="宋体" w:cs="宋体"/>
          <w:color w:val="auto"/>
          <w:kern w:val="0"/>
          <w:sz w:val="24"/>
          <w:szCs w:val="24"/>
          <w:highlight w:val="none"/>
        </w:rPr>
      </w:pPr>
      <w:r>
        <w:rPr>
          <w:rFonts w:hint="eastAsia" w:ascii="宋体" w:hAnsi="宋体" w:cs="宋体"/>
          <w:color w:val="auto"/>
          <w:kern w:val="0"/>
          <w:sz w:val="24"/>
          <w:szCs w:val="24"/>
          <w:highlight w:val="none"/>
        </w:rPr>
        <w:t>本项目招标文件随招标公告一并在</w:t>
      </w:r>
      <w:r>
        <w:rPr>
          <w:rFonts w:hint="eastAsia"/>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网站发布。招标文件</w:t>
      </w:r>
      <w:r>
        <w:rPr>
          <w:rFonts w:hint="eastAsia" w:ascii="宋体" w:hAnsi="宋体" w:cs="宋体"/>
          <w:color w:val="auto"/>
          <w:kern w:val="0"/>
          <w:sz w:val="24"/>
          <w:szCs w:val="24"/>
          <w:highlight w:val="none"/>
        </w:rPr>
        <w:t>一经在</w:t>
      </w:r>
      <w:r>
        <w:rPr>
          <w:rFonts w:hint="eastAsia"/>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发布，视为发售给投标人，招标文件由投标人自行在</w:t>
      </w:r>
      <w:r>
        <w:rPr>
          <w:rFonts w:hint="eastAsia"/>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网站下载。</w:t>
      </w:r>
    </w:p>
    <w:p>
      <w:pPr>
        <w:spacing w:line="480" w:lineRule="auto"/>
        <w:ind w:firstLine="537" w:firstLineChars="224"/>
        <w:rPr>
          <w:rFonts w:ascii="宋体"/>
          <w:color w:val="auto"/>
          <w:sz w:val="24"/>
          <w:highlight w:val="none"/>
        </w:rPr>
      </w:pPr>
      <w:r>
        <w:rPr>
          <w:rFonts w:hint="eastAsia" w:ascii="宋体" w:hAnsi="宋体"/>
          <w:color w:val="auto"/>
          <w:sz w:val="24"/>
          <w:highlight w:val="none"/>
        </w:rPr>
        <w:t>九、投标人合格条件：</w:t>
      </w:r>
    </w:p>
    <w:p>
      <w:pPr>
        <w:spacing w:line="480" w:lineRule="auto"/>
        <w:ind w:firstLine="537" w:firstLineChars="224"/>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、投标人参加投标的意思表达清楚，投标人代表被授权有效。</w:t>
      </w:r>
    </w:p>
    <w:p>
      <w:pPr>
        <w:spacing w:line="480" w:lineRule="auto"/>
        <w:ind w:firstLine="537" w:firstLineChars="224"/>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、投标人均具有独立法人资格，按国家法律经营。</w:t>
      </w:r>
    </w:p>
    <w:p>
      <w:pPr>
        <w:spacing w:line="480" w:lineRule="auto"/>
        <w:ind w:firstLine="537" w:firstLineChars="224"/>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、投标人均持有建设行政主管部门颁发的有效期内的企业资质证书及安全生产许可证；</w:t>
      </w:r>
    </w:p>
    <w:p>
      <w:pPr>
        <w:pStyle w:val="14"/>
        <w:spacing w:line="480" w:lineRule="auto"/>
        <w:ind w:firstLine="539"/>
        <w:rPr>
          <w:rFonts w:ascii="宋体" w:hAnsi="宋体" w:eastAsia="宋体"/>
          <w:color w:val="auto"/>
          <w:sz w:val="24"/>
          <w:szCs w:val="24"/>
          <w:highlight w:val="none"/>
        </w:rPr>
      </w:pPr>
      <w:r>
        <w:rPr>
          <w:rFonts w:ascii="宋体" w:hAnsi="宋体" w:eastAsia="宋体"/>
          <w:color w:val="auto"/>
          <w:sz w:val="24"/>
          <w:szCs w:val="24"/>
          <w:highlight w:val="none"/>
        </w:rPr>
        <w:t>4</w:t>
      </w:r>
      <w:r>
        <w:rPr>
          <w:rFonts w:hint="eastAsia" w:ascii="宋体" w:hAnsi="宋体" w:eastAsia="宋体"/>
          <w:color w:val="auto"/>
          <w:sz w:val="24"/>
          <w:szCs w:val="24"/>
          <w:highlight w:val="none"/>
        </w:rPr>
        <w:t>、投标人应具备以下资质：</w:t>
      </w:r>
    </w:p>
    <w:p>
      <w:pPr>
        <w:pStyle w:val="14"/>
        <w:spacing w:line="48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①投标人具有承接本工程所需的</w:t>
      </w:r>
      <w:r>
        <w:rPr>
          <w:rFonts w:hint="eastAsia" w:ascii="宋体" w:hAnsi="宋体" w:eastAsia="宋体"/>
          <w:color w:val="auto"/>
          <w:sz w:val="24"/>
          <w:szCs w:val="24"/>
          <w:highlight w:val="none"/>
          <w:u w:val="single"/>
        </w:rPr>
        <w:t>建筑工程施工总承包三级或以上资质</w:t>
      </w:r>
      <w:r>
        <w:rPr>
          <w:rFonts w:hint="eastAsia" w:ascii="宋体" w:hAnsi="宋体" w:eastAsia="宋体"/>
          <w:color w:val="auto"/>
          <w:sz w:val="24"/>
          <w:szCs w:val="24"/>
          <w:highlight w:val="none"/>
        </w:rPr>
        <w:t>；投标人拟担任本工程项目负责人的人员为：</w:t>
      </w:r>
      <w:r>
        <w:rPr>
          <w:rFonts w:hint="eastAsia" w:ascii="宋体" w:hAnsi="宋体" w:eastAsia="宋体"/>
          <w:color w:val="auto"/>
          <w:sz w:val="24"/>
          <w:szCs w:val="24"/>
          <w:highlight w:val="none"/>
          <w:u w:val="single"/>
        </w:rPr>
        <w:t>建筑工程专业二级或以上注册建造师</w:t>
      </w:r>
      <w:r>
        <w:rPr>
          <w:rFonts w:hint="eastAsia" w:ascii="宋体" w:hAnsi="宋体" w:eastAsia="宋体"/>
          <w:color w:val="auto"/>
          <w:sz w:val="24"/>
          <w:szCs w:val="24"/>
          <w:highlight w:val="none"/>
        </w:rPr>
        <w:t>；</w:t>
      </w:r>
    </w:p>
    <w:p>
      <w:pPr>
        <w:pStyle w:val="14"/>
        <w:spacing w:line="48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pPr>
        <w:pStyle w:val="14"/>
        <w:spacing w:line="480" w:lineRule="auto"/>
        <w:ind w:firstLine="480"/>
        <w:rPr>
          <w:rFonts w:ascii="宋体" w:hAnsi="宋体" w:eastAsia="宋体"/>
          <w:color w:val="auto"/>
          <w:sz w:val="24"/>
          <w:szCs w:val="24"/>
          <w:highlight w:val="none"/>
        </w:rPr>
      </w:pPr>
      <w:r>
        <w:rPr>
          <w:rFonts w:hint="eastAsia" w:ascii="宋体" w:hAnsi="宋体" w:eastAsia="宋体"/>
          <w:color w:val="auto"/>
          <w:sz w:val="24"/>
          <w:szCs w:val="24"/>
          <w:highlight w:val="none"/>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w:t>
      </w:r>
      <w:r>
        <w:rPr>
          <w:rFonts w:hint="eastAsia" w:ascii="宋体" w:hAnsi="宋体" w:eastAsia="宋体" w:cs="宋体"/>
          <w:color w:val="auto"/>
          <w:sz w:val="24"/>
          <w:szCs w:val="24"/>
          <w:highlight w:val="none"/>
        </w:rPr>
        <w:t>、《住建部做好企业资质证书换领和延续工作的通知》（建办市〔2023〕47号）</w:t>
      </w:r>
      <w:r>
        <w:rPr>
          <w:rFonts w:hint="eastAsia" w:ascii="宋体" w:hAnsi="宋体" w:eastAsia="宋体"/>
          <w:color w:val="auto"/>
          <w:sz w:val="24"/>
          <w:szCs w:val="24"/>
          <w:highlight w:val="none"/>
        </w:rPr>
        <w:t>、《广东省住房和城乡建设厅关于建设工程企业资质延续有关事项的通知》（粤建许函〔2023〕820号）等相关规定。根据上述文件的要求，投标人需办理企业资质有效期延续的，应当按照相关规定及时办理。</w:t>
      </w:r>
    </w:p>
    <w:p>
      <w:pPr>
        <w:pStyle w:val="14"/>
        <w:spacing w:line="480" w:lineRule="auto"/>
        <w:ind w:firstLine="480"/>
        <w:rPr>
          <w:rFonts w:ascii="宋体" w:hAnsi="宋体" w:eastAsia="宋体"/>
          <w:color w:val="auto"/>
          <w:sz w:val="24"/>
          <w:szCs w:val="24"/>
          <w:highlight w:val="none"/>
        </w:rPr>
      </w:pPr>
      <w:r>
        <w:rPr>
          <w:rFonts w:hint="eastAsia" w:ascii="宋体" w:hAnsi="宋体" w:eastAsia="宋体"/>
          <w:color w:val="auto"/>
          <w:sz w:val="24"/>
          <w:szCs w:val="24"/>
          <w:highlight w:val="none"/>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pPr>
        <w:pStyle w:val="14"/>
        <w:spacing w:line="480" w:lineRule="auto"/>
        <w:ind w:firstLine="480"/>
        <w:rPr>
          <w:rFonts w:ascii="宋体" w:hAnsi="宋体" w:eastAsia="宋体"/>
          <w:color w:val="auto"/>
          <w:sz w:val="24"/>
          <w:szCs w:val="24"/>
          <w:highlight w:val="none"/>
        </w:rPr>
      </w:pPr>
      <w:r>
        <w:rPr>
          <w:rFonts w:hint="eastAsia" w:ascii="宋体" w:hAnsi="宋体" w:eastAsia="宋体"/>
          <w:color w:val="auto"/>
          <w:sz w:val="24"/>
          <w:szCs w:val="24"/>
          <w:highlight w:val="non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pPr>
        <w:pStyle w:val="14"/>
        <w:spacing w:line="48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pPr>
        <w:pStyle w:val="14"/>
        <w:spacing w:line="48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5、项目负责</w:t>
      </w:r>
      <w:r>
        <w:rPr>
          <w:rFonts w:ascii="宋体" w:hAnsi="宋体" w:eastAsia="宋体"/>
          <w:color w:val="auto"/>
          <w:sz w:val="24"/>
          <w:szCs w:val="24"/>
          <w:highlight w:val="none"/>
        </w:rPr>
        <w:t>人持有安全</w:t>
      </w:r>
      <w:r>
        <w:rPr>
          <w:rFonts w:hint="eastAsia" w:ascii="宋体" w:hAnsi="宋体" w:eastAsia="宋体"/>
          <w:color w:val="auto"/>
          <w:sz w:val="24"/>
          <w:szCs w:val="24"/>
          <w:highlight w:val="none"/>
        </w:rPr>
        <w:t>生产</w:t>
      </w:r>
      <w:r>
        <w:rPr>
          <w:rFonts w:ascii="宋体" w:hAnsi="宋体" w:eastAsia="宋体"/>
          <w:color w:val="auto"/>
          <w:sz w:val="24"/>
          <w:szCs w:val="24"/>
          <w:highlight w:val="none"/>
        </w:rPr>
        <w:t>考核合格证（B类）或</w:t>
      </w:r>
      <w:r>
        <w:rPr>
          <w:rFonts w:hint="eastAsia" w:ascii="宋体" w:hAnsi="宋体" w:eastAsia="宋体"/>
          <w:color w:val="auto"/>
          <w:sz w:val="24"/>
          <w:szCs w:val="24"/>
          <w:highlight w:val="none"/>
        </w:rPr>
        <w:t>建筑施工企业项目负责人安全生产考核合格证书；</w:t>
      </w:r>
      <w:r>
        <w:rPr>
          <w:rFonts w:ascii="宋体" w:hAnsi="宋体" w:eastAsia="宋体"/>
          <w:color w:val="auto"/>
          <w:sz w:val="24"/>
          <w:szCs w:val="24"/>
          <w:highlight w:val="none"/>
        </w:rPr>
        <w:t xml:space="preserve"> </w:t>
      </w:r>
    </w:p>
    <w:p>
      <w:pPr>
        <w:pStyle w:val="14"/>
        <w:spacing w:line="480" w:lineRule="auto"/>
        <w:ind w:firstLine="480" w:firstLineChars="200"/>
        <w:rPr>
          <w:rFonts w:hint="eastAsia" w:ascii="宋体" w:hAnsi="宋体" w:eastAsia="宋体"/>
          <w:color w:val="auto"/>
          <w:sz w:val="24"/>
          <w:szCs w:val="24"/>
          <w:highlight w:val="none"/>
          <w:u w:val="single"/>
          <w:lang w:eastAsia="zh-CN"/>
        </w:rPr>
      </w:pPr>
      <w:r>
        <w:rPr>
          <w:rFonts w:hint="eastAsia" w:ascii="宋体" w:hAnsi="宋体" w:eastAsia="宋体"/>
          <w:color w:val="auto"/>
          <w:sz w:val="24"/>
          <w:szCs w:val="24"/>
          <w:highlight w:val="none"/>
        </w:rPr>
        <w:t>6、投标人拟担任本工程技术负责人的资格要求为：</w:t>
      </w:r>
      <w:r>
        <w:rPr>
          <w:rFonts w:hint="eastAsia" w:ascii="宋体" w:hAnsi="宋体" w:eastAsia="宋体"/>
          <w:color w:val="auto"/>
          <w:sz w:val="24"/>
          <w:szCs w:val="24"/>
          <w:highlight w:val="none"/>
          <w:u w:val="single"/>
        </w:rPr>
        <w:t>建筑工程类中级或以上技术职称</w:t>
      </w:r>
      <w:r>
        <w:rPr>
          <w:rFonts w:hint="eastAsia" w:ascii="宋体" w:hAnsi="宋体" w:eastAsia="宋体"/>
          <w:color w:val="auto"/>
          <w:sz w:val="24"/>
          <w:szCs w:val="24"/>
          <w:highlight w:val="none"/>
          <w:u w:val="single"/>
          <w:lang w:eastAsia="zh-CN"/>
        </w:rPr>
        <w:t>。</w:t>
      </w:r>
    </w:p>
    <w:p>
      <w:pPr>
        <w:spacing w:line="480" w:lineRule="auto"/>
        <w:ind w:firstLine="537" w:firstLineChars="224"/>
        <w:rPr>
          <w:rFonts w:ascii="宋体"/>
          <w:color w:val="auto"/>
          <w:kern w:val="0"/>
          <w:sz w:val="24"/>
          <w:highlight w:val="none"/>
        </w:rPr>
      </w:pPr>
      <w:r>
        <w:rPr>
          <w:rFonts w:hint="eastAsia" w:ascii="宋体" w:hAnsi="宋体"/>
          <w:color w:val="auto"/>
          <w:kern w:val="0"/>
          <w:sz w:val="24"/>
          <w:highlight w:val="none"/>
        </w:rPr>
        <w:t>7、</w:t>
      </w:r>
      <w:r>
        <w:rPr>
          <w:rFonts w:hint="eastAsia" w:ascii="宋体" w:hAnsi="宋体"/>
          <w:color w:val="auto"/>
          <w:sz w:val="24"/>
          <w:szCs w:val="24"/>
          <w:highlight w:val="none"/>
        </w:rPr>
        <w:t>专职安全员须具有安全生产考核合格证（</w:t>
      </w:r>
      <w:r>
        <w:rPr>
          <w:rFonts w:ascii="宋体" w:hAnsi="宋体"/>
          <w:color w:val="auto"/>
          <w:sz w:val="24"/>
          <w:szCs w:val="24"/>
          <w:highlight w:val="none"/>
        </w:rPr>
        <w:t>C</w:t>
      </w:r>
      <w:r>
        <w:rPr>
          <w:rFonts w:hint="eastAsia" w:ascii="宋体" w:hAnsi="宋体"/>
          <w:color w:val="auto"/>
          <w:sz w:val="24"/>
          <w:szCs w:val="24"/>
          <w:highlight w:val="none"/>
        </w:rPr>
        <w:t>类）</w:t>
      </w:r>
      <w:r>
        <w:rPr>
          <w:rFonts w:hint="eastAsia" w:ascii="宋体" w:hAnsi="宋体"/>
          <w:color w:val="auto"/>
          <w:kern w:val="0"/>
          <w:sz w:val="24"/>
          <w:highlight w:val="none"/>
        </w:rPr>
        <w:t>或建筑施工企业专职安全生产管理人员安全生产考核合格证书</w:t>
      </w:r>
      <w:r>
        <w:rPr>
          <w:rFonts w:hint="eastAsia" w:ascii="宋体" w:hAnsi="宋体"/>
          <w:color w:val="auto"/>
          <w:kern w:val="0"/>
          <w:sz w:val="24"/>
          <w:highlight w:val="none"/>
          <w:u w:val="single"/>
          <w:lang w:eastAsia="zh-CN"/>
        </w:rPr>
        <w:t>（</w:t>
      </w:r>
      <w:r>
        <w:rPr>
          <w:rFonts w:hint="eastAsia" w:ascii="宋体" w:hAnsi="宋体"/>
          <w:color w:val="auto"/>
          <w:kern w:val="0"/>
          <w:sz w:val="24"/>
          <w:highlight w:val="none"/>
          <w:u w:val="single"/>
          <w:lang w:val="en-US" w:eastAsia="zh-CN"/>
        </w:rPr>
        <w:t>C3</w:t>
      </w:r>
      <w:r>
        <w:rPr>
          <w:rFonts w:hint="eastAsia" w:ascii="宋体" w:hAnsi="宋体"/>
          <w:color w:val="auto"/>
          <w:kern w:val="0"/>
          <w:sz w:val="24"/>
          <w:highlight w:val="none"/>
          <w:u w:val="single"/>
          <w:lang w:eastAsia="zh-CN"/>
        </w:rPr>
        <w:t>）</w:t>
      </w:r>
      <w:r>
        <w:rPr>
          <w:rFonts w:hint="eastAsia" w:ascii="宋体" w:hAnsi="宋体"/>
          <w:color w:val="auto"/>
          <w:kern w:val="0"/>
          <w:sz w:val="24"/>
          <w:highlight w:val="none"/>
        </w:rPr>
        <w:t>。</w:t>
      </w:r>
    </w:p>
    <w:p>
      <w:pPr>
        <w:spacing w:line="480" w:lineRule="auto"/>
        <w:ind w:firstLine="537" w:firstLineChars="224"/>
        <w:rPr>
          <w:rFonts w:ascii="宋体"/>
          <w:color w:val="auto"/>
          <w:sz w:val="24"/>
          <w:highlight w:val="none"/>
        </w:rPr>
      </w:pPr>
      <w:r>
        <w:rPr>
          <w:rFonts w:hint="eastAsia" w:ascii="宋体" w:hAnsi="宋体"/>
          <w:color w:val="auto"/>
          <w:sz w:val="24"/>
          <w:highlight w:val="none"/>
          <w:lang w:val="en-US" w:eastAsia="zh-CN"/>
        </w:rPr>
        <w:t>8</w:t>
      </w:r>
      <w:r>
        <w:rPr>
          <w:rFonts w:hint="eastAsia" w:ascii="宋体" w:hAnsi="宋体"/>
          <w:color w:val="auto"/>
          <w:sz w:val="24"/>
          <w:highlight w:val="none"/>
        </w:rPr>
        <w:t>、投标人已按照附件一的内容签署的投标人声明。</w:t>
      </w:r>
    </w:p>
    <w:p>
      <w:pPr>
        <w:spacing w:line="480" w:lineRule="auto"/>
        <w:ind w:firstLine="537" w:firstLineChars="224"/>
        <w:rPr>
          <w:rFonts w:hint="eastAsia" w:ascii="宋体" w:hAnsi="宋体"/>
          <w:color w:val="auto"/>
          <w:sz w:val="24"/>
          <w:szCs w:val="24"/>
          <w:highlight w:val="none"/>
        </w:rPr>
      </w:pP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、关于联合体投标：本项目不允许联合体投标。</w:t>
      </w:r>
    </w:p>
    <w:p>
      <w:pPr>
        <w:spacing w:line="480" w:lineRule="auto"/>
        <w:ind w:firstLine="537" w:firstLineChars="224"/>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lang w:val="en-US" w:eastAsia="zh-CN"/>
        </w:rPr>
        <w:t>0</w:t>
      </w:r>
      <w:r>
        <w:rPr>
          <w:rFonts w:ascii="宋体" w:hAnsi="宋体"/>
          <w:color w:val="auto"/>
          <w:sz w:val="24"/>
          <w:highlight w:val="none"/>
        </w:rPr>
        <w:t>、资格审查前，投标人须在</w:t>
      </w:r>
      <w:r>
        <w:rPr>
          <w:rFonts w:hint="eastAsia" w:ascii="宋体" w:hAnsi="宋体"/>
          <w:color w:val="auto"/>
          <w:sz w:val="24"/>
          <w:highlight w:val="none"/>
        </w:rPr>
        <w:t>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w:t>
      </w:r>
      <w:r>
        <w:rPr>
          <w:rFonts w:ascii="宋体" w:hAnsi="宋体"/>
          <w:color w:val="auto"/>
          <w:sz w:val="24"/>
          <w:highlight w:val="none"/>
        </w:rPr>
        <w:t xml:space="preserve"> </w:t>
      </w:r>
      <w:r>
        <w:rPr>
          <w:rFonts w:hint="eastAsia" w:ascii="宋体" w:hAnsi="宋体"/>
          <w:color w:val="auto"/>
          <w:sz w:val="24"/>
          <w:highlight w:val="none"/>
        </w:rPr>
        <w:t>》</w:t>
      </w:r>
    </w:p>
    <w:p>
      <w:pPr>
        <w:spacing w:line="480" w:lineRule="auto"/>
        <w:ind w:firstLine="470" w:firstLineChars="224"/>
        <w:rPr>
          <w:rFonts w:ascii="宋体" w:hAnsi="宋体"/>
          <w:color w:val="auto"/>
          <w:sz w:val="24"/>
          <w:highlight w:val="none"/>
        </w:rPr>
      </w:pPr>
      <w:r>
        <w:rPr>
          <w:color w:val="auto"/>
          <w:highlight w:val="none"/>
        </w:rPr>
        <w:fldChar w:fldCharType="begin"/>
      </w:r>
      <w:r>
        <w:rPr>
          <w:color w:val="auto"/>
          <w:highlight w:val="none"/>
        </w:rPr>
        <w:instrText xml:space="preserve"> HYPERLINK "http://zfcj.gz.gov.cn/zwgk/zsdwxxgkzl/gzsjzyglfwzx/bszy/content/post_8484886.html）" </w:instrText>
      </w:r>
      <w:r>
        <w:rPr>
          <w:color w:val="auto"/>
          <w:highlight w:val="none"/>
        </w:rPr>
        <w:fldChar w:fldCharType="separate"/>
      </w:r>
      <w:r>
        <w:rPr>
          <w:rStyle w:val="13"/>
          <w:rFonts w:ascii="宋体" w:hAnsi="宋体"/>
          <w:color w:val="auto"/>
          <w:sz w:val="24"/>
          <w:highlight w:val="none"/>
        </w:rPr>
        <w:t>http://zfcj.gz.gov.cn/zwgk/zsdwxxgkzl/gzsjzyglfwzx/bszy/content/post_8484886.html）</w:t>
      </w:r>
      <w:r>
        <w:rPr>
          <w:rStyle w:val="13"/>
          <w:rFonts w:ascii="宋体" w:hAnsi="宋体"/>
          <w:color w:val="auto"/>
          <w:sz w:val="24"/>
          <w:highlight w:val="none"/>
        </w:rPr>
        <w:fldChar w:fldCharType="end"/>
      </w:r>
      <w:r>
        <w:rPr>
          <w:rStyle w:val="13"/>
          <w:rFonts w:hint="eastAsia" w:ascii="宋体" w:hAnsi="宋体"/>
          <w:color w:val="auto"/>
          <w:sz w:val="24"/>
          <w:highlight w:val="none"/>
        </w:rPr>
        <w:t>。</w:t>
      </w:r>
    </w:p>
    <w:p>
      <w:pPr>
        <w:spacing w:line="480" w:lineRule="auto"/>
        <w:ind w:firstLine="537" w:firstLineChars="224"/>
        <w:rPr>
          <w:rFonts w:ascii="宋体" w:hAnsi="宋体"/>
          <w:color w:val="auto"/>
          <w:sz w:val="24"/>
          <w:szCs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1</w:t>
      </w:r>
      <w:r>
        <w:rPr>
          <w:rFonts w:hint="eastAsia" w:ascii="宋体" w:hAnsi="宋体"/>
          <w:color w:val="auto"/>
          <w:sz w:val="24"/>
          <w:highlight w:val="none"/>
        </w:rPr>
        <w:t>、</w:t>
      </w:r>
      <w:r>
        <w:rPr>
          <w:rFonts w:hint="eastAsia" w:ascii="宋体" w:hAnsi="宋体"/>
          <w:color w:val="auto"/>
          <w:sz w:val="24"/>
          <w:szCs w:val="24"/>
          <w:highlight w:val="none"/>
        </w:rPr>
        <w:t>投标人未出现以下情形：与其它投标人的单位负责人为同一人或者存在控股、管理关系的（按投标人提供的《投标人声明》第</w:t>
      </w:r>
      <w:r>
        <w:rPr>
          <w:rFonts w:hint="eastAsia" w:ascii="宋体" w:hAnsi="宋体"/>
          <w:color w:val="auto"/>
          <w:sz w:val="24"/>
          <w:szCs w:val="24"/>
          <w:highlight w:val="none"/>
          <w:lang w:val="en-US" w:eastAsia="zh-CN"/>
        </w:rPr>
        <w:t>九</w:t>
      </w:r>
      <w:r>
        <w:rPr>
          <w:rFonts w:hint="eastAsia" w:ascii="宋体" w:hAnsi="宋体"/>
          <w:color w:val="auto"/>
          <w:sz w:val="24"/>
          <w:szCs w:val="24"/>
          <w:highlight w:val="none"/>
        </w:rPr>
        <w:t>条内容进行评审）。如不同投标申请人出现单位负责人为同一人或者存在控股、管理关系的情形，则</w:t>
      </w:r>
      <w:r>
        <w:rPr>
          <w:rFonts w:hint="eastAsia" w:ascii="宋体" w:hAnsi="宋体"/>
          <w:color w:val="auto"/>
          <w:sz w:val="24"/>
          <w:szCs w:val="24"/>
          <w:highlight w:val="none"/>
          <w:u w:val="single"/>
        </w:rPr>
        <w:t>相关投标均无效</w:t>
      </w:r>
      <w:r>
        <w:rPr>
          <w:rFonts w:hint="eastAsia" w:ascii="宋体" w:hAnsi="宋体"/>
          <w:color w:val="auto"/>
          <w:sz w:val="24"/>
          <w:szCs w:val="24"/>
          <w:highlight w:val="none"/>
        </w:rPr>
        <w:t>。</w:t>
      </w:r>
    </w:p>
    <w:p>
      <w:pPr>
        <w:spacing w:line="480" w:lineRule="auto"/>
        <w:ind w:firstLine="537" w:firstLineChars="224"/>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、未被列入拖欠农民工工资失信联合惩戒对象名单。</w:t>
      </w:r>
    </w:p>
    <w:p>
      <w:pPr>
        <w:pStyle w:val="9"/>
        <w:tabs>
          <w:tab w:val="left" w:pos="7380"/>
        </w:tabs>
        <w:spacing w:after="0" w:line="480" w:lineRule="auto"/>
        <w:ind w:firstLine="523" w:firstLineChars="218"/>
        <w:rPr>
          <w:rFonts w:ascii="宋体"/>
          <w:color w:val="auto"/>
          <w:sz w:val="24"/>
          <w:highlight w:val="none"/>
        </w:rPr>
      </w:pPr>
      <w:r>
        <w:rPr>
          <w:rFonts w:hint="eastAsia" w:ascii="宋体" w:hAnsi="宋体"/>
          <w:color w:val="auto"/>
          <w:sz w:val="24"/>
          <w:highlight w:val="none"/>
        </w:rPr>
        <w:t>注：未在招标公告第九条单列的资审合格条件，不作为资审不合格的依据。</w:t>
      </w:r>
    </w:p>
    <w:p>
      <w:pPr>
        <w:snapToGrid w:val="0"/>
        <w:spacing w:line="480" w:lineRule="auto"/>
        <w:ind w:firstLine="480" w:firstLineChars="200"/>
        <w:rPr>
          <w:rFonts w:ascii="宋体" w:cs="宋体"/>
          <w:color w:val="auto"/>
          <w:sz w:val="24"/>
          <w:szCs w:val="24"/>
          <w:highlight w:val="none"/>
        </w:rPr>
      </w:pPr>
      <w:r>
        <w:rPr>
          <w:rFonts w:hint="eastAsia" w:ascii="宋体" w:hAnsi="宋体" w:cs="宋体"/>
          <w:color w:val="auto"/>
          <w:sz w:val="24"/>
          <w:szCs w:val="24"/>
          <w:highlight w:val="none"/>
        </w:rPr>
        <w:t>十、资格审查方式：</w:t>
      </w:r>
    </w:p>
    <w:p>
      <w:pPr>
        <w:widowControl/>
        <w:snapToGrid w:val="0"/>
        <w:spacing w:line="480" w:lineRule="auto"/>
        <w:ind w:firstLine="480" w:firstLineChars="200"/>
        <w:rPr>
          <w:rFonts w:ascii="宋体" w:cs="宋体"/>
          <w:color w:val="auto"/>
          <w:sz w:val="24"/>
          <w:szCs w:val="24"/>
          <w:highlight w:val="none"/>
        </w:rPr>
      </w:pPr>
      <w:r>
        <w:rPr>
          <w:rFonts w:hint="eastAsia" w:ascii="宋体" w:hAnsi="宋体" w:cs="宋体"/>
          <w:color w:val="auto"/>
          <w:sz w:val="24"/>
          <w:szCs w:val="24"/>
          <w:highlight w:val="none"/>
        </w:rPr>
        <w:t>本工程采用资格后审方式，由评标委员会负责资格审查。</w:t>
      </w:r>
    </w:p>
    <w:p>
      <w:pPr>
        <w:snapToGrid w:val="0"/>
        <w:spacing w:line="480" w:lineRule="auto"/>
        <w:rPr>
          <w:rFonts w:ascii="宋体" w:hAnsi="宋体"/>
          <w:color w:val="auto"/>
          <w:sz w:val="24"/>
          <w:highlight w:val="none"/>
        </w:rPr>
      </w:pPr>
      <w:r>
        <w:rPr>
          <w:rFonts w:hint="eastAsia" w:ascii="宋体" w:hAnsi="宋体"/>
          <w:color w:val="auto"/>
          <w:sz w:val="24"/>
          <w:highlight w:val="none"/>
        </w:rPr>
        <w:t xml:space="preserve">    十一、资格审查结果将在</w:t>
      </w:r>
      <w:r>
        <w:rPr>
          <w:rFonts w:hint="eastAsia"/>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和广东省招标投标监管网公示，</w:t>
      </w:r>
      <w:r>
        <w:rPr>
          <w:rFonts w:hint="eastAsia" w:ascii="宋体" w:hAnsi="宋体"/>
          <w:bCs/>
          <w:color w:val="auto"/>
          <w:sz w:val="24"/>
          <w:highlight w:val="none"/>
        </w:rPr>
        <w:t>公示时间不得少于3日。</w:t>
      </w:r>
    </w:p>
    <w:p>
      <w:pPr>
        <w:snapToGrid w:val="0"/>
        <w:spacing w:line="480" w:lineRule="auto"/>
        <w:rPr>
          <w:rFonts w:ascii="宋体" w:hAnsi="宋体"/>
          <w:color w:val="auto"/>
          <w:sz w:val="24"/>
          <w:highlight w:val="none"/>
        </w:rPr>
      </w:pPr>
      <w:r>
        <w:rPr>
          <w:rFonts w:hint="eastAsia" w:ascii="宋体" w:hAnsi="宋体"/>
          <w:color w:val="auto"/>
          <w:sz w:val="24"/>
          <w:highlight w:val="none"/>
        </w:rPr>
        <w:t xml:space="preserve">    十二、满足资格审查合格条件的投标人不足 3 名或通过有效性审查的投标人不足3名时为招标失败。招标人分析招标失败原因，修正招标方案，报有关管理部门核准后，重新组织招标。</w:t>
      </w:r>
    </w:p>
    <w:p>
      <w:pPr>
        <w:spacing w:line="480" w:lineRule="auto"/>
        <w:ind w:firstLine="537" w:firstLineChars="224"/>
        <w:rPr>
          <w:rFonts w:ascii="宋体"/>
          <w:color w:val="auto"/>
          <w:sz w:val="24"/>
          <w:highlight w:val="none"/>
        </w:rPr>
      </w:pPr>
      <w:r>
        <w:rPr>
          <w:rFonts w:hint="eastAsia" w:ascii="宋体" w:hAnsi="宋体"/>
          <w:color w:val="auto"/>
          <w:sz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480" w:lineRule="auto"/>
        <w:ind w:firstLine="537" w:firstLineChars="224"/>
        <w:jc w:val="left"/>
        <w:rPr>
          <w:rFonts w:ascii="宋体" w:hAnsi="宋体"/>
          <w:color w:val="auto"/>
          <w:sz w:val="24"/>
          <w:highlight w:val="none"/>
        </w:rPr>
      </w:pPr>
      <w:r>
        <w:rPr>
          <w:rFonts w:hint="eastAsia" w:ascii="宋体" w:hAnsi="宋体"/>
          <w:color w:val="auto"/>
          <w:sz w:val="24"/>
          <w:highlight w:val="none"/>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480" w:lineRule="auto"/>
        <w:ind w:firstLine="537" w:firstLineChars="224"/>
        <w:rPr>
          <w:rFonts w:ascii="宋体"/>
          <w:color w:val="auto"/>
          <w:sz w:val="24"/>
          <w:szCs w:val="24"/>
          <w:highlight w:val="none"/>
        </w:rPr>
      </w:pPr>
      <w:r>
        <w:rPr>
          <w:rFonts w:hint="eastAsia" w:ascii="宋体" w:hAnsi="宋体"/>
          <w:color w:val="auto"/>
          <w:sz w:val="24"/>
          <w:highlight w:val="none"/>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pPr>
        <w:spacing w:line="480" w:lineRule="auto"/>
        <w:ind w:left="239" w:leftChars="114" w:firstLine="297" w:firstLineChars="124"/>
        <w:rPr>
          <w:rFonts w:ascii="宋体" w:hAnsi="宋体"/>
          <w:color w:val="auto"/>
          <w:sz w:val="24"/>
          <w:highlight w:val="none"/>
        </w:rPr>
      </w:pPr>
      <w:r>
        <w:rPr>
          <w:rFonts w:hint="eastAsia" w:ascii="宋体" w:hAnsi="宋体"/>
          <w:color w:val="auto"/>
          <w:sz w:val="24"/>
          <w:highlight w:val="none"/>
        </w:rPr>
        <w:t>十五、潜在投标人或利害关系人对本招标公告及招标文件有异议的，应当在投标截止时间10日前向招标人书面提出。</w:t>
      </w:r>
    </w:p>
    <w:p>
      <w:pPr>
        <w:spacing w:line="480" w:lineRule="auto"/>
        <w:ind w:left="239" w:leftChars="114" w:firstLine="297" w:firstLineChars="124"/>
        <w:rPr>
          <w:rFonts w:ascii="宋体" w:hAnsi="宋体"/>
          <w:color w:val="auto"/>
          <w:sz w:val="24"/>
          <w:highlight w:val="none"/>
          <w:u w:val="single"/>
        </w:rPr>
      </w:pPr>
      <w:r>
        <w:rPr>
          <w:rFonts w:hint="eastAsia" w:ascii="宋体" w:hAnsi="宋体"/>
          <w:color w:val="auto"/>
          <w:sz w:val="24"/>
          <w:highlight w:val="none"/>
        </w:rPr>
        <w:t>异议受理部门：广州市交通站场建设管理中心有限公司</w:t>
      </w:r>
    </w:p>
    <w:p>
      <w:pPr>
        <w:spacing w:line="480" w:lineRule="auto"/>
        <w:ind w:left="239" w:leftChars="114" w:firstLine="297" w:firstLineChars="124"/>
        <w:rPr>
          <w:rFonts w:hint="default" w:ascii="宋体" w:hAnsi="宋体" w:eastAsia="宋体"/>
          <w:color w:val="auto"/>
          <w:sz w:val="24"/>
          <w:highlight w:val="none"/>
          <w:lang w:val="en-US" w:eastAsia="zh-CN"/>
        </w:rPr>
      </w:pPr>
      <w:r>
        <w:rPr>
          <w:rFonts w:hint="eastAsia" w:ascii="宋体" w:hAnsi="宋体"/>
          <w:color w:val="auto"/>
          <w:sz w:val="24"/>
          <w:highlight w:val="none"/>
        </w:rPr>
        <w:t>异议受理电话：</w:t>
      </w:r>
      <w:r>
        <w:rPr>
          <w:rFonts w:hint="eastAsia" w:ascii="宋体" w:hAnsi="宋体"/>
          <w:color w:val="auto"/>
          <w:sz w:val="24"/>
          <w:highlight w:val="none"/>
          <w:u w:val="single"/>
          <w:lang w:val="en-US" w:eastAsia="zh-CN"/>
        </w:rPr>
        <w:t xml:space="preserve"> 81507399</w:t>
      </w:r>
    </w:p>
    <w:p>
      <w:pPr>
        <w:spacing w:line="360" w:lineRule="auto"/>
        <w:ind w:left="0" w:leftChars="0" w:firstLine="480" w:firstLineChars="200"/>
        <w:rPr>
          <w:rFonts w:hint="eastAsia" w:ascii="宋体" w:hAnsi="宋体"/>
          <w:color w:val="auto"/>
          <w:sz w:val="24"/>
          <w:highlight w:val="none"/>
          <w:u w:val="single"/>
          <w:lang w:val="en-US" w:eastAsia="zh-CN"/>
        </w:rPr>
      </w:pPr>
      <w:r>
        <w:rPr>
          <w:rFonts w:hint="eastAsia" w:ascii="宋体" w:hAnsi="宋体"/>
          <w:color w:val="auto"/>
          <w:sz w:val="24"/>
          <w:highlight w:val="none"/>
        </w:rPr>
        <w:t>地址：</w:t>
      </w:r>
      <w:r>
        <w:rPr>
          <w:rFonts w:hint="eastAsia" w:ascii="宋体" w:hAnsi="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广州市黄埔区黄埔大道东884号南方智媒大厦27楼</w:t>
      </w:r>
    </w:p>
    <w:p>
      <w:pPr>
        <w:spacing w:line="480" w:lineRule="auto"/>
        <w:ind w:left="239" w:leftChars="114" w:firstLine="297" w:firstLineChars="124"/>
        <w:rPr>
          <w:rFonts w:ascii="宋体" w:hAnsi="宋体"/>
          <w:color w:val="auto"/>
          <w:sz w:val="24"/>
          <w:highlight w:val="none"/>
        </w:rPr>
      </w:pPr>
      <w:r>
        <w:rPr>
          <w:rFonts w:hint="eastAsia" w:ascii="宋体" w:hAnsi="宋体"/>
          <w:color w:val="auto"/>
          <w:sz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480" w:lineRule="auto"/>
        <w:ind w:left="239" w:leftChars="114" w:firstLine="297" w:firstLineChars="124"/>
        <w:rPr>
          <w:rFonts w:ascii="宋体"/>
          <w:color w:val="auto"/>
          <w:sz w:val="24"/>
          <w:highlight w:val="none"/>
        </w:rPr>
      </w:pPr>
      <w:r>
        <w:rPr>
          <w:rFonts w:hint="eastAsia" w:ascii="宋体" w:hAnsi="宋体"/>
          <w:color w:val="auto"/>
          <w:sz w:val="24"/>
          <w:highlight w:val="none"/>
        </w:rPr>
        <w:t>十六、本公告在广州交易集团有限公司（广州公共资源交易中心）官网（网址：http://www.gzggzy.cn）、广州国企阳光采购信息发布平台（http://cg.gemas.com.cn/）</w:t>
      </w:r>
      <w:r>
        <w:rPr>
          <w:rFonts w:hint="eastAsia" w:ascii="宋体" w:hAnsi="宋体"/>
          <w:color w:val="auto"/>
          <w:sz w:val="24"/>
          <w:highlight w:val="none"/>
          <w:lang w:eastAsia="zh-CN"/>
        </w:rPr>
        <w:t>、</w:t>
      </w:r>
      <w:r>
        <w:rPr>
          <w:rFonts w:hint="eastAsia" w:ascii="宋体" w:hAnsi="宋体"/>
          <w:color w:val="auto"/>
          <w:sz w:val="24"/>
          <w:highlight w:val="none"/>
        </w:rPr>
        <w:t>广东省招标投标监管网（网址：</w:t>
      </w:r>
      <w:r>
        <w:rPr>
          <w:rFonts w:ascii="宋体" w:hAnsi="宋体"/>
          <w:color w:val="auto"/>
          <w:sz w:val="24"/>
          <w:highlight w:val="none"/>
        </w:rPr>
        <w:t>http://zbtb.gd.gov.cn</w:t>
      </w:r>
      <w:r>
        <w:rPr>
          <w:rFonts w:hint="eastAsia" w:ascii="宋体" w:hAnsi="宋体"/>
          <w:color w:val="auto"/>
          <w:sz w:val="24"/>
          <w:highlight w:val="none"/>
        </w:rPr>
        <w:t>）和中国招标投标公共服务平台（网址：http://www.cebpubservice.com/）</w:t>
      </w:r>
      <w:r>
        <w:rPr>
          <w:rFonts w:hint="eastAsia" w:ascii="宋体" w:hAnsi="宋体"/>
          <w:color w:val="auto"/>
          <w:sz w:val="24"/>
          <w:highlight w:val="none"/>
          <w:lang w:eastAsia="zh-CN"/>
        </w:rPr>
        <w:t>、广州市公共交通集团有限公司官网（www.gzbus.com）</w:t>
      </w:r>
      <w:r>
        <w:rPr>
          <w:rFonts w:hint="eastAsia" w:ascii="宋体" w:hAnsi="宋体"/>
          <w:color w:val="auto"/>
          <w:sz w:val="24"/>
          <w:highlight w:val="none"/>
        </w:rPr>
        <w:t>发布，本公告的修改、补充，在广州交易集团有限公司（广州公共资源交易中心）官网发布。</w:t>
      </w:r>
    </w:p>
    <w:p>
      <w:pPr>
        <w:spacing w:line="480" w:lineRule="auto"/>
        <w:ind w:firstLine="537" w:firstLineChars="224"/>
        <w:rPr>
          <w:rFonts w:ascii="宋体"/>
          <w:color w:val="auto"/>
          <w:sz w:val="24"/>
          <w:highlight w:val="none"/>
        </w:rPr>
      </w:pPr>
      <w:r>
        <w:rPr>
          <w:rFonts w:hint="eastAsia" w:ascii="宋体" w:hAnsi="宋体"/>
          <w:color w:val="auto"/>
          <w:sz w:val="24"/>
          <w:highlight w:val="none"/>
        </w:rPr>
        <w:t>十七、本招标公告及招标文件使用GZZB2018-3招标文件范本。本公告与范本内容不同之处均以下划线标明，所有标明下划线部分属于本公告的组成部分，同其他部分具有同样的效力。</w:t>
      </w:r>
    </w:p>
    <w:p>
      <w:pPr>
        <w:spacing w:line="480" w:lineRule="auto"/>
        <w:ind w:firstLine="537" w:firstLineChars="224"/>
        <w:rPr>
          <w:rFonts w:ascii="宋体" w:hAnsi="宋体"/>
          <w:b/>
          <w:bCs/>
          <w:color w:val="auto"/>
          <w:sz w:val="24"/>
          <w:highlight w:val="none"/>
        </w:rPr>
      </w:pPr>
      <w:r>
        <w:rPr>
          <w:rFonts w:hint="eastAsia" w:ascii="宋体" w:hAnsi="宋体"/>
          <w:color w:val="auto"/>
          <w:sz w:val="24"/>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20天。招标人应综合考虑节假日因素，合理确定投标人编制投标文件所需要的时间，如遇春节、五一、十一等长假，建议招标人结合项目特点和实际需要适当延长备标期。</w:t>
      </w:r>
    </w:p>
    <w:p>
      <w:pPr>
        <w:spacing w:line="480" w:lineRule="auto"/>
        <w:ind w:firstLine="537" w:firstLineChars="224"/>
        <w:rPr>
          <w:rFonts w:ascii="宋体"/>
          <w:color w:val="auto"/>
          <w:sz w:val="24"/>
          <w:highlight w:val="none"/>
        </w:rPr>
      </w:pPr>
      <w:r>
        <w:rPr>
          <w:rFonts w:hint="eastAsia" w:ascii="宋体"/>
          <w:color w:val="auto"/>
          <w:sz w:val="24"/>
          <w:highlight w:val="none"/>
        </w:rPr>
        <w:t>十九、 《投诉处理决定书》和《行政处理决定书》在</w:t>
      </w:r>
      <w:r>
        <w:rPr>
          <w:rFonts w:hint="eastAsia" w:ascii="宋体" w:hAnsi="宋体"/>
          <w:color w:val="auto"/>
          <w:sz w:val="24"/>
          <w:highlight w:val="none"/>
        </w:rPr>
        <w:t>广州市住房和城乡建设局</w:t>
      </w:r>
      <w:r>
        <w:rPr>
          <w:rFonts w:hint="eastAsia" w:ascii="宋体"/>
          <w:color w:val="auto"/>
          <w:sz w:val="24"/>
          <w:highlight w:val="none"/>
        </w:rPr>
        <w:t>网站上公布的，视为送达其他与决定书有关的当事人。</w:t>
      </w:r>
    </w:p>
    <w:p>
      <w:pPr>
        <w:widowControl/>
        <w:spacing w:line="480" w:lineRule="auto"/>
        <w:ind w:firstLine="537" w:firstLineChars="224"/>
        <w:jc w:val="left"/>
        <w:rPr>
          <w:rFonts w:ascii="宋体"/>
          <w:color w:val="auto"/>
          <w:sz w:val="24"/>
          <w:highlight w:val="none"/>
        </w:rPr>
      </w:pPr>
      <w:r>
        <w:rPr>
          <w:rFonts w:hint="eastAsia" w:ascii="宋体"/>
          <w:color w:val="auto"/>
          <w:sz w:val="24"/>
          <w:highlight w:val="none"/>
        </w:rPr>
        <w:t>特别提示：投标人在本项目招标人的工程项目中存在下列行为的，将被拒绝一定时期内参与招标人后续工程投标。（注：拒绝投标时限由招标人视严重程度确定，最低三个月起，自招标人发出通知之日起计）：</w:t>
      </w:r>
    </w:p>
    <w:p>
      <w:pPr>
        <w:widowControl/>
        <w:spacing w:line="480" w:lineRule="auto"/>
        <w:ind w:firstLine="537" w:firstLineChars="224"/>
        <w:jc w:val="left"/>
        <w:rPr>
          <w:rFonts w:ascii="宋体"/>
          <w:color w:val="auto"/>
          <w:sz w:val="24"/>
          <w:highlight w:val="none"/>
        </w:rPr>
      </w:pPr>
      <w:r>
        <w:rPr>
          <w:rFonts w:hint="eastAsia" w:ascii="宋体"/>
          <w:color w:val="auto"/>
          <w:sz w:val="24"/>
          <w:highlight w:val="none"/>
        </w:rPr>
        <w:t>1.将中标工程转包或者违法分包的；</w:t>
      </w:r>
    </w:p>
    <w:p>
      <w:pPr>
        <w:widowControl/>
        <w:spacing w:line="480" w:lineRule="auto"/>
        <w:ind w:firstLine="537" w:firstLineChars="224"/>
        <w:jc w:val="left"/>
        <w:rPr>
          <w:rFonts w:ascii="宋体"/>
          <w:color w:val="auto"/>
          <w:sz w:val="24"/>
          <w:highlight w:val="none"/>
        </w:rPr>
      </w:pPr>
      <w:r>
        <w:rPr>
          <w:rFonts w:hint="eastAsia" w:ascii="宋体"/>
          <w:color w:val="auto"/>
          <w:sz w:val="24"/>
          <w:highlight w:val="none"/>
        </w:rPr>
        <w:t>2.在中标工程中不执行质量、安全生产相关规定的，造成质量或安全事故的；</w:t>
      </w:r>
    </w:p>
    <w:p>
      <w:pPr>
        <w:widowControl/>
        <w:spacing w:line="480" w:lineRule="auto"/>
        <w:ind w:firstLine="537" w:firstLineChars="224"/>
        <w:jc w:val="left"/>
        <w:rPr>
          <w:rFonts w:ascii="宋体"/>
          <w:color w:val="auto"/>
          <w:sz w:val="24"/>
          <w:highlight w:val="none"/>
        </w:rPr>
      </w:pPr>
      <w:r>
        <w:rPr>
          <w:rFonts w:hint="eastAsia" w:ascii="宋体"/>
          <w:color w:val="auto"/>
          <w:sz w:val="24"/>
          <w:highlight w:val="none"/>
        </w:rPr>
        <w:t>3.出让投标资格的；</w:t>
      </w:r>
    </w:p>
    <w:p>
      <w:pPr>
        <w:widowControl/>
        <w:spacing w:line="480" w:lineRule="auto"/>
        <w:ind w:firstLine="537" w:firstLineChars="224"/>
        <w:jc w:val="left"/>
        <w:rPr>
          <w:rFonts w:ascii="宋体"/>
          <w:color w:val="auto"/>
          <w:sz w:val="24"/>
          <w:highlight w:val="none"/>
        </w:rPr>
      </w:pPr>
      <w:r>
        <w:rPr>
          <w:rFonts w:hint="eastAsia" w:ascii="宋体"/>
          <w:color w:val="auto"/>
          <w:sz w:val="24"/>
          <w:highlight w:val="none"/>
        </w:rPr>
        <w:t>4.存在围标或串标情形的；</w:t>
      </w:r>
    </w:p>
    <w:p>
      <w:pPr>
        <w:widowControl/>
        <w:spacing w:line="480" w:lineRule="auto"/>
        <w:ind w:firstLine="537" w:firstLineChars="224"/>
        <w:jc w:val="left"/>
        <w:rPr>
          <w:rFonts w:ascii="宋体"/>
          <w:color w:val="auto"/>
          <w:sz w:val="24"/>
          <w:highlight w:val="none"/>
        </w:rPr>
      </w:pPr>
      <w:r>
        <w:rPr>
          <w:rFonts w:hint="eastAsia" w:ascii="宋体"/>
          <w:color w:val="auto"/>
          <w:sz w:val="24"/>
          <w:highlight w:val="none"/>
        </w:rPr>
        <w:t>5.在投标文件中提供虚假材料的；</w:t>
      </w:r>
    </w:p>
    <w:p>
      <w:pPr>
        <w:widowControl/>
        <w:spacing w:line="480" w:lineRule="auto"/>
        <w:ind w:firstLine="537" w:firstLineChars="224"/>
        <w:jc w:val="left"/>
        <w:rPr>
          <w:rFonts w:ascii="宋体"/>
          <w:color w:val="auto"/>
          <w:sz w:val="24"/>
          <w:highlight w:val="none"/>
        </w:rPr>
      </w:pPr>
      <w:r>
        <w:rPr>
          <w:rFonts w:hint="eastAsia" w:ascii="宋体"/>
          <w:color w:val="auto"/>
          <w:sz w:val="24"/>
          <w:highlight w:val="none"/>
        </w:rPr>
        <w:t>6. 存在少放、不放业绩、奖项等客观评审资料，减少自身竞争力情形的；</w:t>
      </w:r>
    </w:p>
    <w:p>
      <w:pPr>
        <w:widowControl/>
        <w:spacing w:line="480" w:lineRule="auto"/>
        <w:ind w:firstLine="537" w:firstLineChars="224"/>
        <w:jc w:val="left"/>
        <w:rPr>
          <w:rFonts w:ascii="宋体"/>
          <w:color w:val="auto"/>
          <w:sz w:val="24"/>
          <w:highlight w:val="none"/>
        </w:rPr>
      </w:pPr>
      <w:r>
        <w:rPr>
          <w:rFonts w:hint="eastAsia" w:ascii="宋体"/>
          <w:color w:val="auto"/>
          <w:sz w:val="24"/>
          <w:highlight w:val="none"/>
        </w:rPr>
        <w:t>7.存在行贿情形的；</w:t>
      </w:r>
    </w:p>
    <w:p>
      <w:pPr>
        <w:widowControl/>
        <w:spacing w:line="480" w:lineRule="auto"/>
        <w:ind w:firstLine="537" w:firstLineChars="224"/>
        <w:jc w:val="left"/>
        <w:rPr>
          <w:rFonts w:ascii="宋体"/>
          <w:color w:val="auto"/>
          <w:sz w:val="24"/>
          <w:highlight w:val="none"/>
        </w:rPr>
      </w:pPr>
      <w:r>
        <w:rPr>
          <w:rFonts w:hint="eastAsia" w:ascii="宋体"/>
          <w:color w:val="auto"/>
          <w:sz w:val="24"/>
          <w:highlight w:val="none"/>
        </w:rPr>
        <w:t>8.拖欠农民工工资的；</w:t>
      </w:r>
    </w:p>
    <w:p>
      <w:pPr>
        <w:widowControl/>
        <w:spacing w:line="480" w:lineRule="auto"/>
        <w:ind w:firstLine="537" w:firstLineChars="224"/>
        <w:jc w:val="left"/>
        <w:rPr>
          <w:rFonts w:ascii="宋体"/>
          <w:color w:val="auto"/>
          <w:sz w:val="24"/>
          <w:highlight w:val="none"/>
        </w:rPr>
      </w:pPr>
      <w:r>
        <w:rPr>
          <w:rFonts w:hint="eastAsia" w:ascii="宋体"/>
          <w:color w:val="auto"/>
          <w:sz w:val="24"/>
          <w:highlight w:val="none"/>
        </w:rPr>
        <w:t>9.未按照国家、省、市有关建筑施工实名制管理和工人工资支付分账管理的规定执行，被行政监管部门处罚的；</w:t>
      </w:r>
    </w:p>
    <w:p>
      <w:pPr>
        <w:widowControl/>
        <w:spacing w:line="480" w:lineRule="auto"/>
        <w:ind w:firstLine="537" w:firstLineChars="224"/>
        <w:jc w:val="left"/>
        <w:rPr>
          <w:rFonts w:ascii="宋体"/>
          <w:color w:val="auto"/>
          <w:sz w:val="24"/>
          <w:highlight w:val="none"/>
        </w:rPr>
      </w:pPr>
      <w:r>
        <w:rPr>
          <w:rFonts w:hint="eastAsia" w:ascii="宋体"/>
          <w:color w:val="auto"/>
          <w:sz w:val="24"/>
          <w:highlight w:val="none"/>
        </w:rPr>
        <w:t>10.中标人在项目实施过程中选取的专业分包单位或劳务企业或劳务班组长与投标时不一致的（如有）；</w:t>
      </w:r>
    </w:p>
    <w:p>
      <w:pPr>
        <w:spacing w:line="480" w:lineRule="auto"/>
        <w:ind w:firstLine="537" w:firstLineChars="224"/>
        <w:rPr>
          <w:rFonts w:hint="eastAsia" w:ascii="宋体" w:eastAsia="宋体"/>
          <w:color w:val="auto"/>
          <w:sz w:val="24"/>
          <w:highlight w:val="none"/>
          <w:lang w:eastAsia="zh-CN"/>
        </w:rPr>
      </w:pPr>
      <w:r>
        <w:rPr>
          <w:rFonts w:hint="eastAsia" w:ascii="宋体"/>
          <w:color w:val="auto"/>
          <w:sz w:val="24"/>
          <w:highlight w:val="none"/>
        </w:rPr>
        <w:t>11.本项目投标时拟派的专职安全员在其他项目中有任职且在本项目开工前未完成更换确保专职安全员只在本项目上任职的</w:t>
      </w:r>
      <w:r>
        <w:rPr>
          <w:rFonts w:hint="eastAsia" w:ascii="宋体"/>
          <w:color w:val="auto"/>
          <w:sz w:val="24"/>
          <w:highlight w:val="none"/>
          <w:lang w:eastAsia="zh-CN"/>
        </w:rPr>
        <w:t>。</w:t>
      </w:r>
    </w:p>
    <w:p>
      <w:pPr>
        <w:spacing w:line="480" w:lineRule="auto"/>
        <w:ind w:right="1348" w:rightChars="642" w:firstLine="5760" w:firstLineChars="2400"/>
        <w:rPr>
          <w:rFonts w:ascii="宋体" w:hAnsi="宋体"/>
          <w:color w:val="auto"/>
          <w:sz w:val="24"/>
          <w:highlight w:val="none"/>
        </w:rPr>
      </w:pPr>
    </w:p>
    <w:p>
      <w:pPr>
        <w:pStyle w:val="2"/>
        <w:rPr>
          <w:color w:val="auto"/>
          <w:highlight w:val="none"/>
        </w:rPr>
      </w:pPr>
    </w:p>
    <w:p>
      <w:pPr>
        <w:spacing w:line="480" w:lineRule="auto"/>
        <w:ind w:firstLine="537" w:firstLineChars="224"/>
        <w:rPr>
          <w:rFonts w:ascii="宋体"/>
          <w:color w:val="auto"/>
          <w:sz w:val="24"/>
          <w:highlight w:val="none"/>
        </w:rPr>
        <w:sectPr>
          <w:endnotePr>
            <w:numFmt w:val="decimal"/>
          </w:endnotePr>
          <w:pgSz w:w="11906" w:h="16838"/>
          <w:pgMar w:top="1440" w:right="1800" w:bottom="1440" w:left="1800" w:header="851" w:footer="992" w:gutter="0"/>
          <w:cols w:space="425" w:num="1"/>
          <w:docGrid w:type="lines" w:linePitch="312" w:charSpace="0"/>
        </w:sectPr>
      </w:pPr>
    </w:p>
    <w:p>
      <w:pPr>
        <w:spacing w:line="360" w:lineRule="auto"/>
        <w:rPr>
          <w:b/>
          <w:color w:val="auto"/>
          <w:sz w:val="44"/>
          <w:highlight w:val="none"/>
        </w:rPr>
      </w:pPr>
      <w:r>
        <w:rPr>
          <w:rFonts w:hint="eastAsia" w:ascii="宋体" w:hAnsi="宋体"/>
          <w:color w:val="auto"/>
          <w:sz w:val="24"/>
          <w:highlight w:val="none"/>
        </w:rPr>
        <w:t>附件一：</w:t>
      </w:r>
    </w:p>
    <w:p>
      <w:pPr>
        <w:jc w:val="center"/>
        <w:rPr>
          <w:b/>
          <w:color w:val="auto"/>
          <w:sz w:val="44"/>
          <w:szCs w:val="44"/>
          <w:highlight w:val="none"/>
        </w:rPr>
      </w:pPr>
      <w:r>
        <w:rPr>
          <w:rFonts w:hint="eastAsia"/>
          <w:b/>
          <w:color w:val="auto"/>
          <w:kern w:val="0"/>
          <w:sz w:val="44"/>
          <w:szCs w:val="44"/>
          <w:highlight w:val="none"/>
        </w:rPr>
        <w:t>投标人</w:t>
      </w:r>
      <w:r>
        <w:rPr>
          <w:rFonts w:hint="eastAsia"/>
          <w:b/>
          <w:color w:val="auto"/>
          <w:sz w:val="44"/>
          <w:szCs w:val="44"/>
          <w:highlight w:val="none"/>
        </w:rPr>
        <w:t>声明</w:t>
      </w:r>
    </w:p>
    <w:p>
      <w:pPr>
        <w:jc w:val="center"/>
        <w:rPr>
          <w:b/>
          <w:color w:val="auto"/>
          <w:sz w:val="44"/>
          <w:szCs w:val="44"/>
          <w:highlight w:val="none"/>
        </w:rPr>
      </w:pPr>
    </w:p>
    <w:p>
      <w:pPr>
        <w:pStyle w:val="14"/>
        <w:spacing w:line="480" w:lineRule="auto"/>
        <w:ind w:firstLine="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广州市交通站场建设管理中心有限公司：</w:t>
      </w:r>
    </w:p>
    <w:p>
      <w:pPr>
        <w:pStyle w:val="14"/>
        <w:spacing w:line="480" w:lineRule="auto"/>
        <w:ind w:firstLine="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广州公交集团创新服务有限公司：</w:t>
      </w:r>
    </w:p>
    <w:p>
      <w:pPr>
        <w:pStyle w:val="14"/>
        <w:spacing w:line="480" w:lineRule="auto"/>
        <w:ind w:firstLine="0"/>
        <w:rPr>
          <w:rFonts w:ascii="宋体" w:hAnsi="宋体" w:eastAsia="宋体"/>
          <w:color w:val="auto"/>
          <w:sz w:val="21"/>
          <w:szCs w:val="21"/>
          <w:highlight w:val="none"/>
        </w:rPr>
      </w:pPr>
      <w:r>
        <w:rPr>
          <w:rFonts w:hint="eastAsia" w:ascii="宋体" w:hAnsi="宋体" w:eastAsia="宋体"/>
          <w:color w:val="auto"/>
          <w:sz w:val="21"/>
          <w:szCs w:val="21"/>
          <w:highlight w:val="none"/>
        </w:rPr>
        <w:t>建设行业主管部门：</w:t>
      </w:r>
    </w:p>
    <w:p>
      <w:pPr>
        <w:pStyle w:val="1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本公司就参加</w:t>
      </w:r>
      <w:r>
        <w:rPr>
          <w:rFonts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投标工作，作出郑重声明：</w:t>
      </w:r>
    </w:p>
    <w:p>
      <w:pPr>
        <w:pStyle w:val="1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一、本公司保证投标文件及其后提供的一切材料都是真实的。如我司成为本项目中标候选人，我司同意并授权招标人将我司投标文件商务部分的人员、业绩、奖项等资料进行公开。</w:t>
      </w:r>
    </w:p>
    <w:p>
      <w:pPr>
        <w:pStyle w:val="1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pPr>
        <w:pStyle w:val="1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三、本公司不存在下列情形之一：</w:t>
      </w:r>
    </w:p>
    <w:p>
      <w:pPr>
        <w:pStyle w:val="1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（一）为招标人不具有独立法人资格的附属机构（单位）；</w:t>
      </w:r>
    </w:p>
    <w:p>
      <w:pPr>
        <w:pStyle w:val="1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（二）为本标段前期准备提供设计或咨询服务或者与本项目设计人或提供咨询服务的机构存在隶属关系的；</w:t>
      </w:r>
    </w:p>
    <w:p>
      <w:pPr>
        <w:pStyle w:val="1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（三）为本标段监理人或者与本标段监理人存在隶属关系或者其他利害关系；</w:t>
      </w:r>
    </w:p>
    <w:p>
      <w:pPr>
        <w:pStyle w:val="1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（四）为本标段的代建人；</w:t>
      </w:r>
    </w:p>
    <w:p>
      <w:pPr>
        <w:pStyle w:val="1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（五）为本标段提供招标代理服务的；</w:t>
      </w:r>
    </w:p>
    <w:p>
      <w:pPr>
        <w:pStyle w:val="1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（六）与本标段的监理人或代建人或招标代理机构同为一个法定代表人的；</w:t>
      </w:r>
    </w:p>
    <w:p>
      <w:pPr>
        <w:pStyle w:val="1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（七）与本标段的监理人或代建人或招标代理机构互相控股或参股的；</w:t>
      </w:r>
    </w:p>
    <w:p>
      <w:pPr>
        <w:pStyle w:val="1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（八）与本标段的监理人或代建人或招标代理机构相互任职或工作的；</w:t>
      </w:r>
    </w:p>
    <w:p>
      <w:pPr>
        <w:pStyle w:val="1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（九）与本标段的检测机构有隶属关系或者其他利害关系；</w:t>
      </w:r>
    </w:p>
    <w:p>
      <w:pPr>
        <w:pStyle w:val="1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（十）与招标人存在利害关系且可能影响招标公正性； </w:t>
      </w:r>
    </w:p>
    <w:p>
      <w:pPr>
        <w:pStyle w:val="1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（十一）被依法暂停或取消投标资格的；（</w:t>
      </w:r>
      <w:r>
        <w:rPr>
          <w:rFonts w:hint="eastAsia" w:ascii="宋体" w:hAnsi="宋体" w:eastAsia="宋体"/>
          <w:color w:val="auto"/>
          <w:sz w:val="21"/>
          <w:szCs w:val="21"/>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olor w:val="auto"/>
          <w:sz w:val="21"/>
          <w:szCs w:val="21"/>
          <w:highlight w:val="none"/>
        </w:rPr>
        <w:t xml:space="preserve">） </w:t>
      </w:r>
    </w:p>
    <w:p>
      <w:pPr>
        <w:pStyle w:val="1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（十二）被责令停产停业、暂扣或者吊销许可证、暂扣或者吊销执照的（</w:t>
      </w:r>
      <w:r>
        <w:rPr>
          <w:rFonts w:hint="eastAsia" w:ascii="宋体" w:hAnsi="宋体" w:eastAsia="宋体"/>
          <w:color w:val="auto"/>
          <w:sz w:val="21"/>
          <w:szCs w:val="21"/>
          <w:highlight w:val="none"/>
          <w:lang w:val="zh-CN"/>
        </w:rPr>
        <w:t>本项事实应当以根据《中华人民共和国行政处罚法》依法作出并已经生效的行政处罚决定为认定依据。</w:t>
      </w:r>
      <w:r>
        <w:rPr>
          <w:rFonts w:hint="eastAsia" w:ascii="宋体" w:hAnsi="宋体" w:eastAsia="宋体"/>
          <w:color w:val="auto"/>
          <w:sz w:val="21"/>
          <w:szCs w:val="21"/>
          <w:highlight w:val="none"/>
        </w:rPr>
        <w:t>）；</w:t>
      </w:r>
    </w:p>
    <w:p>
      <w:pPr>
        <w:pStyle w:val="1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（十三）进入清算程序，或被宣布破产，或其他丧失履约能力的情形；</w:t>
      </w:r>
    </w:p>
    <w:p>
      <w:pPr>
        <w:pStyle w:val="1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（十四）在最近三年内有严重违约或重大工程质量问题的；（</w:t>
      </w:r>
      <w:r>
        <w:rPr>
          <w:rFonts w:hint="eastAsia" w:ascii="宋体" w:hAnsi="宋体" w:eastAsia="宋体"/>
          <w:color w:val="auto"/>
          <w:sz w:val="21"/>
          <w:szCs w:val="21"/>
          <w:highlight w:val="none"/>
          <w:lang w:val="zh-CN"/>
        </w:rPr>
        <w:t>“严重违约”事实应当以</w:t>
      </w:r>
      <w:r>
        <w:rPr>
          <w:rFonts w:hint="eastAsia" w:ascii="宋体" w:hAnsi="宋体" w:eastAsia="宋体"/>
          <w:color w:val="auto"/>
          <w:sz w:val="21"/>
          <w:szCs w:val="21"/>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1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（十五）法律法规规定的其他情形。</w:t>
      </w:r>
    </w:p>
    <w:p>
      <w:pPr>
        <w:pStyle w:val="14"/>
        <w:numPr>
          <w:ilvl w:val="0"/>
          <w:numId w:val="1"/>
        </w:numPr>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本公司保证：本项目拟派的项目负责人</w:t>
      </w:r>
      <w:r>
        <w:rPr>
          <w:rFonts w:hint="eastAsia" w:ascii="宋体" w:hAnsi="宋体" w:eastAsia="宋体"/>
          <w:b/>
          <w:bCs/>
          <w:color w:val="auto"/>
          <w:sz w:val="21"/>
          <w:szCs w:val="21"/>
          <w:highlight w:val="none"/>
        </w:rPr>
        <w:t>在投标截止时</w:t>
      </w:r>
      <w:r>
        <w:rPr>
          <w:rFonts w:hint="eastAsia" w:ascii="宋体" w:hAnsi="宋体" w:eastAsia="宋体"/>
          <w:color w:val="auto"/>
          <w:sz w:val="21"/>
          <w:szCs w:val="21"/>
          <w:highlight w:val="none"/>
        </w:rPr>
        <w:t>没有在其他在建项目中任施工单位项目负责人。</w:t>
      </w:r>
    </w:p>
    <w:p>
      <w:pPr>
        <w:pStyle w:val="14"/>
        <w:numPr>
          <w:ilvl w:val="0"/>
          <w:numId w:val="1"/>
        </w:numPr>
        <w:spacing w:line="480" w:lineRule="auto"/>
        <w:rPr>
          <w:rFonts w:ascii="宋体" w:hAnsi="宋体" w:eastAsia="宋体"/>
          <w:b w:val="0"/>
          <w:bCs w:val="0"/>
          <w:color w:val="auto"/>
          <w:sz w:val="21"/>
          <w:szCs w:val="21"/>
          <w:highlight w:val="none"/>
        </w:rPr>
      </w:pPr>
      <w:r>
        <w:rPr>
          <w:rFonts w:hint="eastAsia" w:ascii="宋体" w:hAnsi="宋体" w:eastAsia="宋体"/>
          <w:b w:val="0"/>
          <w:bCs w:val="0"/>
          <w:color w:val="auto"/>
          <w:sz w:val="21"/>
          <w:szCs w:val="21"/>
          <w:highlight w:val="none"/>
        </w:rPr>
        <w:t>本公司承诺：如本公司中标，本项目拟派专职安全员将只在本项目上任职，如专职安全在其他项目中已有任职的，本公司保证在开工前完成更换，确保专职安全员只在本项目上任职，否则将承担违约责任和法律责任。</w:t>
      </w:r>
    </w:p>
    <w:p>
      <w:pPr>
        <w:pStyle w:val="14"/>
        <w:numPr>
          <w:ilvl w:val="0"/>
          <w:numId w:val="1"/>
        </w:numPr>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1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七</w:t>
      </w:r>
      <w:r>
        <w:rPr>
          <w:rFonts w:hint="eastAsia" w:ascii="宋体" w:hAnsi="宋体" w:eastAsia="宋体"/>
          <w:color w:val="auto"/>
          <w:sz w:val="21"/>
          <w:szCs w:val="21"/>
          <w:highlight w:val="none"/>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1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八</w:t>
      </w:r>
      <w:r>
        <w:rPr>
          <w:rFonts w:hint="eastAsia" w:ascii="宋体" w:hAnsi="宋体" w:eastAsia="宋体"/>
          <w:color w:val="auto"/>
          <w:sz w:val="21"/>
          <w:szCs w:val="21"/>
          <w:highlight w:val="none"/>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pPr>
        <w:pStyle w:val="1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九</w:t>
      </w:r>
      <w:r>
        <w:rPr>
          <w:rFonts w:hint="eastAsia" w:ascii="宋体" w:hAnsi="宋体" w:eastAsia="宋体"/>
          <w:color w:val="auto"/>
          <w:sz w:val="21"/>
          <w:szCs w:val="21"/>
          <w:highlight w:val="none"/>
        </w:rPr>
        <w:t>、与本公司单位负责人为同一人或者与本公司存在控股、管理关系的其他单位包括：</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。（注：本条由投标人如实填写，如有，应列出全部满足招标公告资质要求的相关单位的名称；如无，则填写“无”。）</w:t>
      </w:r>
    </w:p>
    <w:p>
      <w:pPr>
        <w:pStyle w:val="1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十</w:t>
      </w:r>
      <w:r>
        <w:rPr>
          <w:rFonts w:hint="eastAsia" w:ascii="宋体" w:hAnsi="宋体" w:eastAsia="宋体"/>
          <w:color w:val="auto"/>
          <w:sz w:val="21"/>
          <w:szCs w:val="21"/>
          <w:highlight w:val="none"/>
        </w:rPr>
        <w:t>、本公司拟委派专职安全员兼任本工程的工地余泥渣土运输与排放管理员，严格遵守建设工程余泥渣土运输与排放管理制度，执行“一不准进、三不准出”规定，选择合法的余泥渣土运输单位及排放点。</w:t>
      </w:r>
    </w:p>
    <w:p>
      <w:pPr>
        <w:pStyle w:val="14"/>
        <w:spacing w:line="480" w:lineRule="auto"/>
        <w:ind w:firstLine="630" w:firstLineChars="300"/>
        <w:rPr>
          <w:rFonts w:ascii="宋体" w:hAnsi="宋体" w:eastAsia="宋体"/>
          <w:color w:val="auto"/>
          <w:sz w:val="21"/>
          <w:szCs w:val="21"/>
          <w:highlight w:val="none"/>
        </w:rPr>
      </w:pPr>
      <w:r>
        <w:rPr>
          <w:rFonts w:hint="eastAsia" w:ascii="宋体" w:hAnsi="宋体" w:eastAsia="宋体"/>
          <w:color w:val="auto"/>
          <w:sz w:val="21"/>
          <w:szCs w:val="21"/>
          <w:highlight w:val="none"/>
        </w:rPr>
        <w:t>十</w:t>
      </w:r>
      <w:r>
        <w:rPr>
          <w:rFonts w:hint="eastAsia" w:ascii="宋体" w:hAnsi="宋体" w:eastAsia="宋体"/>
          <w:color w:val="auto"/>
          <w:sz w:val="21"/>
          <w:szCs w:val="21"/>
          <w:highlight w:val="none"/>
          <w:lang w:val="en-US" w:eastAsia="zh-CN"/>
        </w:rPr>
        <w:t>一</w:t>
      </w:r>
      <w:r>
        <w:rPr>
          <w:rFonts w:hint="eastAsia" w:ascii="宋体" w:hAnsi="宋体" w:eastAsia="宋体"/>
          <w:color w:val="auto"/>
          <w:sz w:val="21"/>
          <w:szCs w:val="21"/>
          <w:highlight w:val="none"/>
        </w:rPr>
        <w:t>、本公司承诺，中标后将按招标人要求，积极响应广州市关于投身“百千万工程”的号召，主动参与建筑业结对帮扶。</w:t>
      </w:r>
    </w:p>
    <w:p>
      <w:pPr>
        <w:pStyle w:val="14"/>
        <w:spacing w:line="480" w:lineRule="auto"/>
        <w:ind w:firstLine="630" w:firstLineChars="300"/>
        <w:rPr>
          <w:rFonts w:ascii="宋体" w:hAnsi="宋体" w:eastAsia="宋体"/>
          <w:color w:val="auto"/>
          <w:sz w:val="21"/>
          <w:szCs w:val="21"/>
          <w:highlight w:val="none"/>
        </w:rPr>
      </w:pPr>
      <w:r>
        <w:rPr>
          <w:rFonts w:hint="eastAsia" w:ascii="宋体" w:hAnsi="宋体" w:eastAsia="宋体"/>
          <w:color w:val="auto"/>
          <w:sz w:val="21"/>
          <w:szCs w:val="21"/>
          <w:highlight w:val="none"/>
        </w:rPr>
        <w:t>十</w:t>
      </w:r>
      <w:r>
        <w:rPr>
          <w:rFonts w:hint="eastAsia" w:ascii="宋体" w:hAnsi="宋体" w:eastAsia="宋体"/>
          <w:color w:val="auto"/>
          <w:sz w:val="21"/>
          <w:szCs w:val="21"/>
          <w:highlight w:val="none"/>
          <w:lang w:val="en-US" w:eastAsia="zh-CN"/>
        </w:rPr>
        <w:t>二</w:t>
      </w:r>
      <w:r>
        <w:rPr>
          <w:rFonts w:hint="eastAsia" w:ascii="宋体" w:hAnsi="宋体" w:eastAsia="宋体"/>
          <w:color w:val="auto"/>
          <w:sz w:val="21"/>
          <w:szCs w:val="21"/>
          <w:highlight w:val="none"/>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14"/>
        <w:spacing w:line="480" w:lineRule="auto"/>
        <w:ind w:firstLine="630" w:firstLineChars="300"/>
        <w:rPr>
          <w:rFonts w:ascii="宋体" w:hAnsi="宋体" w:eastAsia="宋体"/>
          <w:color w:val="auto"/>
          <w:sz w:val="21"/>
          <w:szCs w:val="21"/>
          <w:highlight w:val="none"/>
        </w:rPr>
      </w:pPr>
      <w:r>
        <w:rPr>
          <w:rFonts w:hint="eastAsia" w:ascii="宋体" w:hAnsi="宋体" w:eastAsia="宋体"/>
          <w:color w:val="auto"/>
          <w:sz w:val="21"/>
          <w:szCs w:val="21"/>
          <w:highlight w:val="none"/>
        </w:rPr>
        <w:t>十</w:t>
      </w:r>
      <w:r>
        <w:rPr>
          <w:rFonts w:hint="eastAsia" w:ascii="宋体" w:hAnsi="宋体" w:eastAsia="宋体"/>
          <w:color w:val="auto"/>
          <w:sz w:val="21"/>
          <w:szCs w:val="21"/>
          <w:highlight w:val="none"/>
          <w:lang w:val="en-US" w:eastAsia="zh-CN"/>
        </w:rPr>
        <w:t>三</w:t>
      </w:r>
      <w:r>
        <w:rPr>
          <w:rFonts w:hint="eastAsia" w:ascii="宋体" w:hAnsi="宋体" w:eastAsia="宋体"/>
          <w:color w:val="auto"/>
          <w:sz w:val="21"/>
          <w:szCs w:val="21"/>
          <w:highlight w:val="none"/>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1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特此声明</w:t>
      </w:r>
    </w:p>
    <w:p>
      <w:pPr>
        <w:pStyle w:val="15"/>
        <w:spacing w:line="480" w:lineRule="auto"/>
        <w:ind w:left="0" w:right="1449"/>
        <w:rPr>
          <w:rFonts w:ascii="宋体" w:hAnsi="宋体" w:eastAsia="宋体"/>
          <w:color w:val="auto"/>
          <w:sz w:val="21"/>
          <w:szCs w:val="21"/>
          <w:highlight w:val="none"/>
        </w:rPr>
      </w:pPr>
      <w:r>
        <w:rPr>
          <w:rFonts w:hint="eastAsia" w:ascii="宋体" w:hAnsi="宋体" w:eastAsia="宋体"/>
          <w:color w:val="auto"/>
          <w:sz w:val="21"/>
          <w:szCs w:val="21"/>
          <w:highlight w:val="none"/>
        </w:rPr>
        <w:t>声明企业：</w:t>
      </w:r>
    </w:p>
    <w:p>
      <w:pPr>
        <w:pStyle w:val="14"/>
        <w:spacing w:line="480" w:lineRule="auto"/>
        <w:ind w:right="1179" w:firstLine="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项目负责人签字：</w:t>
      </w:r>
    </w:p>
    <w:p>
      <w:pPr>
        <w:pStyle w:val="14"/>
        <w:spacing w:line="480" w:lineRule="auto"/>
        <w:ind w:right="879" w:firstLine="1890" w:firstLineChars="9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技术负责人签字：</w:t>
      </w:r>
    </w:p>
    <w:p>
      <w:pPr>
        <w:pStyle w:val="14"/>
        <w:spacing w:line="480" w:lineRule="auto"/>
        <w:ind w:right="879" w:firstLine="1890" w:firstLineChars="900"/>
        <w:jc w:val="right"/>
        <w:rPr>
          <w:rFonts w:ascii="宋体" w:hAnsi="宋体" w:eastAsia="宋体"/>
          <w:color w:val="auto"/>
          <w:sz w:val="21"/>
          <w:szCs w:val="21"/>
          <w:highlight w:val="none"/>
        </w:rPr>
      </w:pPr>
      <w:r>
        <w:rPr>
          <w:rFonts w:hint="eastAsia" w:ascii="宋体" w:hAnsi="宋体" w:eastAsia="宋体"/>
          <w:color w:val="auto"/>
          <w:sz w:val="21"/>
          <w:szCs w:val="21"/>
          <w:highlight w:val="none"/>
        </w:rPr>
        <w:t>年</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月</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日</w:t>
      </w:r>
    </w:p>
    <w:p>
      <w:pPr>
        <w:spacing w:line="480" w:lineRule="auto"/>
        <w:rPr>
          <w:rFonts w:ascii="宋体"/>
          <w:color w:val="auto"/>
          <w:szCs w:val="21"/>
          <w:highlight w:val="none"/>
        </w:rPr>
      </w:pPr>
      <w:r>
        <w:rPr>
          <w:rFonts w:hint="eastAsia" w:ascii="宋体" w:hAnsi="宋体"/>
          <w:color w:val="auto"/>
          <w:szCs w:val="21"/>
          <w:highlight w:val="none"/>
        </w:rPr>
        <w:t xml:space="preserve">                                                    </w:t>
      </w:r>
    </w:p>
    <w:p>
      <w:pPr>
        <w:widowControl/>
        <w:snapToGrid w:val="0"/>
        <w:spacing w:line="480" w:lineRule="auto"/>
        <w:ind w:right="102"/>
        <w:jc w:val="left"/>
        <w:rPr>
          <w:rFonts w:ascii="宋体" w:hAnsi="宋体"/>
          <w:color w:val="auto"/>
          <w:szCs w:val="21"/>
          <w:highlight w:val="none"/>
        </w:rPr>
      </w:pPr>
      <w:r>
        <w:rPr>
          <w:rFonts w:hint="eastAsia" w:ascii="宋体" w:hAnsi="宋体"/>
          <w:color w:val="auto"/>
          <w:szCs w:val="21"/>
          <w:highlight w:val="none"/>
        </w:rPr>
        <w:t>注：招标人应当要求投标人的项目负责人和技术负责人签字。</w:t>
      </w:r>
    </w:p>
    <w:p>
      <w:pPr>
        <w:spacing w:line="360" w:lineRule="auto"/>
        <w:rPr>
          <w:b/>
          <w:color w:val="auto"/>
          <w:sz w:val="44"/>
          <w:szCs w:val="44"/>
          <w:highlight w:val="none"/>
        </w:rPr>
      </w:pPr>
      <w:r>
        <w:rPr>
          <w:rFonts w:ascii="宋体" w:hAnsi="宋体"/>
          <w:color w:val="auto"/>
          <w:szCs w:val="21"/>
          <w:highlight w:val="none"/>
        </w:rPr>
        <w:br w:type="page"/>
      </w:r>
      <w:r>
        <w:rPr>
          <w:rFonts w:hint="eastAsia" w:ascii="宋体" w:hAnsi="宋体" w:cs="宋体"/>
          <w:color w:val="auto"/>
          <w:sz w:val="24"/>
          <w:szCs w:val="24"/>
          <w:highlight w:val="none"/>
          <w:lang w:bidi="ar"/>
        </w:rPr>
        <w:t>附件二：</w:t>
      </w:r>
    </w:p>
    <w:p>
      <w:pPr>
        <w:jc w:val="center"/>
        <w:rPr>
          <w:rFonts w:ascii="Arial" w:hAnsi="Arial"/>
          <w:b/>
          <w:color w:val="auto"/>
          <w:kern w:val="44"/>
          <w:sz w:val="28"/>
          <w:szCs w:val="28"/>
          <w:highlight w:val="none"/>
        </w:rPr>
      </w:pPr>
      <w:r>
        <w:rPr>
          <w:rFonts w:hint="eastAsia" w:ascii="宋体" w:hAnsi="宋体" w:cs="宋体"/>
          <w:b/>
          <w:color w:val="auto"/>
          <w:kern w:val="44"/>
          <w:sz w:val="28"/>
          <w:szCs w:val="28"/>
          <w:highlight w:val="none"/>
          <w:lang w:bidi="ar"/>
        </w:rPr>
        <w:t>施工项目管理团队人员信息表</w:t>
      </w:r>
    </w:p>
    <w:p>
      <w:pPr>
        <w:rPr>
          <w:rFonts w:ascii="宋体" w:hAnsi="宋体"/>
          <w:color w:val="auto"/>
          <w:szCs w:val="21"/>
          <w:highlight w:val="none"/>
        </w:rPr>
      </w:pP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382"/>
        <w:gridCol w:w="2107"/>
        <w:gridCol w:w="1718"/>
        <w:gridCol w:w="2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87" w:type="pct"/>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811" w:type="pct"/>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姓名</w:t>
            </w:r>
          </w:p>
        </w:tc>
        <w:tc>
          <w:tcPr>
            <w:tcW w:w="1236" w:type="pct"/>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岗位</w:t>
            </w:r>
          </w:p>
        </w:tc>
        <w:tc>
          <w:tcPr>
            <w:tcW w:w="1008" w:type="pct"/>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职称</w:t>
            </w:r>
          </w:p>
        </w:tc>
        <w:tc>
          <w:tcPr>
            <w:tcW w:w="1556" w:type="pct"/>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职称证书或资格证书编号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87" w:type="pct"/>
            <w:noWrap/>
            <w:vAlign w:val="center"/>
          </w:tcPr>
          <w:p>
            <w:pPr>
              <w:widowControl/>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1</w:t>
            </w:r>
          </w:p>
        </w:tc>
        <w:tc>
          <w:tcPr>
            <w:tcW w:w="811" w:type="pct"/>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236" w:type="pct"/>
            <w:noWrap/>
            <w:vAlign w:val="center"/>
          </w:tcPr>
          <w:p>
            <w:pPr>
              <w:jc w:val="center"/>
              <w:rPr>
                <w:rFonts w:ascii="宋体" w:hAnsi="宋体" w:cs="宋体"/>
                <w:color w:val="auto"/>
                <w:kern w:val="0"/>
                <w:szCs w:val="21"/>
                <w:highlight w:val="none"/>
              </w:rPr>
            </w:pPr>
            <w:r>
              <w:rPr>
                <w:rFonts w:hint="eastAsia" w:ascii="宋体" w:hAnsi="宋体" w:cs="宋体"/>
                <w:color w:val="auto"/>
                <w:szCs w:val="21"/>
                <w:highlight w:val="none"/>
              </w:rPr>
              <w:t>技术负责人</w:t>
            </w:r>
          </w:p>
        </w:tc>
        <w:tc>
          <w:tcPr>
            <w:tcW w:w="1008" w:type="pct"/>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56" w:type="pct"/>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87" w:type="pct"/>
            <w:noWrap/>
            <w:vAlign w:val="center"/>
          </w:tcPr>
          <w:p>
            <w:pPr>
              <w:widowControl/>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2</w:t>
            </w:r>
          </w:p>
        </w:tc>
        <w:tc>
          <w:tcPr>
            <w:tcW w:w="811" w:type="pct"/>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107" w:type="dxa"/>
            <w:noWrap/>
            <w:vAlign w:val="center"/>
          </w:tcPr>
          <w:p>
            <w:pPr>
              <w:widowControl/>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安全负责人</w:t>
            </w:r>
          </w:p>
        </w:tc>
        <w:tc>
          <w:tcPr>
            <w:tcW w:w="1008" w:type="pct"/>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56" w:type="pct"/>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387" w:type="pct"/>
            <w:noWrap/>
            <w:vAlign w:val="center"/>
          </w:tcPr>
          <w:p>
            <w:pPr>
              <w:widowControl/>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3</w:t>
            </w:r>
          </w:p>
        </w:tc>
        <w:tc>
          <w:tcPr>
            <w:tcW w:w="811" w:type="pct"/>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107" w:type="dxa"/>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造价负责人　</w:t>
            </w:r>
          </w:p>
        </w:tc>
        <w:tc>
          <w:tcPr>
            <w:tcW w:w="1008" w:type="pct"/>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56" w:type="pct"/>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87" w:type="pct"/>
            <w:noWrap/>
            <w:vAlign w:val="center"/>
          </w:tcPr>
          <w:p>
            <w:pPr>
              <w:widowControl/>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4</w:t>
            </w:r>
          </w:p>
        </w:tc>
        <w:tc>
          <w:tcPr>
            <w:tcW w:w="811" w:type="pct"/>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236" w:type="pct"/>
            <w:noWrap/>
            <w:vAlign w:val="center"/>
          </w:tcPr>
          <w:p>
            <w:pPr>
              <w:widowControl/>
              <w:jc w:val="center"/>
              <w:rPr>
                <w:rFonts w:ascii="宋体" w:hAnsi="宋体" w:cs="宋体"/>
                <w:color w:val="auto"/>
                <w:kern w:val="0"/>
                <w:szCs w:val="21"/>
                <w:highlight w:val="none"/>
              </w:rPr>
            </w:pPr>
          </w:p>
        </w:tc>
        <w:tc>
          <w:tcPr>
            <w:tcW w:w="1008" w:type="pct"/>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56" w:type="pct"/>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387" w:type="pct"/>
            <w:noWrap/>
            <w:vAlign w:val="center"/>
          </w:tcPr>
          <w:p>
            <w:pPr>
              <w:widowControl/>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p>
        </w:tc>
        <w:tc>
          <w:tcPr>
            <w:tcW w:w="811" w:type="pct"/>
            <w:noWrap/>
            <w:vAlign w:val="center"/>
          </w:tcPr>
          <w:p>
            <w:pPr>
              <w:widowControl/>
              <w:jc w:val="center"/>
              <w:rPr>
                <w:rFonts w:hint="eastAsia" w:ascii="宋体" w:hAnsi="宋体" w:cs="宋体"/>
                <w:color w:val="auto"/>
                <w:kern w:val="0"/>
                <w:szCs w:val="21"/>
                <w:highlight w:val="none"/>
              </w:rPr>
            </w:pPr>
          </w:p>
        </w:tc>
        <w:tc>
          <w:tcPr>
            <w:tcW w:w="2107" w:type="dxa"/>
            <w:noWrap/>
            <w:vAlign w:val="center"/>
          </w:tcPr>
          <w:p>
            <w:pPr>
              <w:widowControl/>
              <w:jc w:val="center"/>
              <w:rPr>
                <w:rFonts w:hint="eastAsia" w:ascii="宋体" w:hAnsi="宋体" w:cs="宋体"/>
                <w:color w:val="auto"/>
                <w:kern w:val="0"/>
                <w:szCs w:val="21"/>
                <w:highlight w:val="none"/>
              </w:rPr>
            </w:pPr>
          </w:p>
        </w:tc>
        <w:tc>
          <w:tcPr>
            <w:tcW w:w="1008" w:type="pct"/>
            <w:noWrap/>
            <w:vAlign w:val="center"/>
          </w:tcPr>
          <w:p>
            <w:pPr>
              <w:widowControl/>
              <w:jc w:val="center"/>
              <w:rPr>
                <w:rFonts w:hint="eastAsia" w:ascii="宋体" w:hAnsi="宋体" w:cs="宋体"/>
                <w:color w:val="auto"/>
                <w:kern w:val="0"/>
                <w:szCs w:val="21"/>
                <w:highlight w:val="none"/>
              </w:rPr>
            </w:pPr>
          </w:p>
        </w:tc>
        <w:tc>
          <w:tcPr>
            <w:tcW w:w="1556" w:type="pct"/>
            <w:noWrap/>
            <w:vAlign w:val="center"/>
          </w:tcPr>
          <w:p>
            <w:pPr>
              <w:widowControl/>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387" w:type="pct"/>
            <w:noWrap/>
            <w:vAlign w:val="center"/>
          </w:tcPr>
          <w:p>
            <w:pPr>
              <w:widowControl/>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w:t>
            </w:r>
          </w:p>
        </w:tc>
        <w:tc>
          <w:tcPr>
            <w:tcW w:w="811" w:type="pct"/>
            <w:noWrap/>
            <w:vAlign w:val="center"/>
          </w:tcPr>
          <w:p>
            <w:pPr>
              <w:widowControl/>
              <w:jc w:val="center"/>
              <w:rPr>
                <w:rFonts w:hint="eastAsia" w:ascii="宋体" w:hAnsi="宋体" w:cs="宋体"/>
                <w:color w:val="auto"/>
                <w:kern w:val="0"/>
                <w:szCs w:val="21"/>
                <w:highlight w:val="none"/>
              </w:rPr>
            </w:pPr>
          </w:p>
        </w:tc>
        <w:tc>
          <w:tcPr>
            <w:tcW w:w="2107" w:type="dxa"/>
            <w:noWrap/>
            <w:vAlign w:val="center"/>
          </w:tcPr>
          <w:p>
            <w:pPr>
              <w:widowControl/>
              <w:jc w:val="center"/>
              <w:rPr>
                <w:rFonts w:hint="eastAsia" w:ascii="宋体" w:hAnsi="宋体" w:cs="宋体"/>
                <w:color w:val="auto"/>
                <w:kern w:val="0"/>
                <w:szCs w:val="21"/>
                <w:highlight w:val="none"/>
              </w:rPr>
            </w:pPr>
          </w:p>
        </w:tc>
        <w:tc>
          <w:tcPr>
            <w:tcW w:w="1008" w:type="pct"/>
            <w:noWrap/>
            <w:vAlign w:val="center"/>
          </w:tcPr>
          <w:p>
            <w:pPr>
              <w:widowControl/>
              <w:jc w:val="center"/>
              <w:rPr>
                <w:rFonts w:hint="eastAsia" w:ascii="宋体" w:hAnsi="宋体" w:cs="宋体"/>
                <w:color w:val="auto"/>
                <w:kern w:val="0"/>
                <w:szCs w:val="21"/>
                <w:highlight w:val="none"/>
              </w:rPr>
            </w:pPr>
          </w:p>
        </w:tc>
        <w:tc>
          <w:tcPr>
            <w:tcW w:w="1556" w:type="pct"/>
            <w:noWrap/>
            <w:vAlign w:val="center"/>
          </w:tcPr>
          <w:p>
            <w:pPr>
              <w:widowControl/>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87" w:type="pct"/>
            <w:noWrap/>
            <w:vAlign w:val="center"/>
          </w:tcPr>
          <w:p>
            <w:pPr>
              <w:widowControl/>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7</w:t>
            </w:r>
          </w:p>
        </w:tc>
        <w:tc>
          <w:tcPr>
            <w:tcW w:w="811" w:type="pct"/>
            <w:noWrap/>
            <w:vAlign w:val="center"/>
          </w:tcPr>
          <w:p>
            <w:pPr>
              <w:widowControl/>
              <w:jc w:val="center"/>
              <w:rPr>
                <w:rFonts w:hint="eastAsia" w:ascii="宋体" w:hAnsi="宋体" w:cs="宋体"/>
                <w:color w:val="auto"/>
                <w:kern w:val="0"/>
                <w:szCs w:val="21"/>
                <w:highlight w:val="none"/>
              </w:rPr>
            </w:pPr>
          </w:p>
        </w:tc>
        <w:tc>
          <w:tcPr>
            <w:tcW w:w="2107" w:type="dxa"/>
            <w:noWrap/>
            <w:vAlign w:val="center"/>
          </w:tcPr>
          <w:p>
            <w:pPr>
              <w:widowControl/>
              <w:jc w:val="center"/>
              <w:rPr>
                <w:rFonts w:hint="eastAsia" w:ascii="宋体" w:hAnsi="宋体" w:cs="宋体"/>
                <w:color w:val="auto"/>
                <w:kern w:val="0"/>
                <w:szCs w:val="21"/>
                <w:highlight w:val="none"/>
              </w:rPr>
            </w:pPr>
          </w:p>
        </w:tc>
        <w:tc>
          <w:tcPr>
            <w:tcW w:w="1008" w:type="pct"/>
            <w:noWrap/>
            <w:vAlign w:val="center"/>
          </w:tcPr>
          <w:p>
            <w:pPr>
              <w:widowControl/>
              <w:jc w:val="center"/>
              <w:rPr>
                <w:rFonts w:hint="eastAsia" w:ascii="宋体" w:hAnsi="宋体" w:cs="宋体"/>
                <w:color w:val="auto"/>
                <w:kern w:val="0"/>
                <w:szCs w:val="21"/>
                <w:highlight w:val="none"/>
              </w:rPr>
            </w:pPr>
          </w:p>
        </w:tc>
        <w:tc>
          <w:tcPr>
            <w:tcW w:w="1556" w:type="pct"/>
            <w:noWrap/>
            <w:vAlign w:val="center"/>
          </w:tcPr>
          <w:p>
            <w:pPr>
              <w:widowControl/>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87" w:type="pct"/>
            <w:noWrap/>
            <w:vAlign w:val="center"/>
          </w:tcPr>
          <w:p>
            <w:pPr>
              <w:widowControl/>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w:t>
            </w:r>
          </w:p>
        </w:tc>
        <w:tc>
          <w:tcPr>
            <w:tcW w:w="811" w:type="pct"/>
            <w:noWrap/>
            <w:vAlign w:val="center"/>
          </w:tcPr>
          <w:p>
            <w:pPr>
              <w:widowControl/>
              <w:jc w:val="center"/>
              <w:rPr>
                <w:rFonts w:hint="eastAsia" w:ascii="宋体" w:hAnsi="宋体" w:cs="宋体"/>
                <w:color w:val="auto"/>
                <w:kern w:val="0"/>
                <w:szCs w:val="21"/>
                <w:highlight w:val="none"/>
              </w:rPr>
            </w:pPr>
          </w:p>
        </w:tc>
        <w:tc>
          <w:tcPr>
            <w:tcW w:w="1236" w:type="pct"/>
            <w:noWrap/>
            <w:vAlign w:val="center"/>
          </w:tcPr>
          <w:p>
            <w:pPr>
              <w:widowControl/>
              <w:jc w:val="center"/>
              <w:rPr>
                <w:rFonts w:hint="eastAsia" w:ascii="宋体" w:hAnsi="宋体" w:cs="宋体"/>
                <w:color w:val="auto"/>
                <w:kern w:val="0"/>
                <w:szCs w:val="21"/>
                <w:highlight w:val="none"/>
              </w:rPr>
            </w:pPr>
          </w:p>
        </w:tc>
        <w:tc>
          <w:tcPr>
            <w:tcW w:w="1008" w:type="pct"/>
            <w:noWrap/>
            <w:vAlign w:val="center"/>
          </w:tcPr>
          <w:p>
            <w:pPr>
              <w:widowControl/>
              <w:jc w:val="center"/>
              <w:rPr>
                <w:rFonts w:hint="eastAsia" w:ascii="宋体" w:hAnsi="宋体" w:cs="宋体"/>
                <w:color w:val="auto"/>
                <w:kern w:val="0"/>
                <w:szCs w:val="21"/>
                <w:highlight w:val="none"/>
              </w:rPr>
            </w:pPr>
          </w:p>
        </w:tc>
        <w:tc>
          <w:tcPr>
            <w:tcW w:w="1556" w:type="pct"/>
            <w:noWrap/>
            <w:vAlign w:val="center"/>
          </w:tcPr>
          <w:p>
            <w:pPr>
              <w:widowControl/>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87" w:type="pct"/>
            <w:noWrap/>
            <w:vAlign w:val="center"/>
          </w:tcPr>
          <w:p>
            <w:pPr>
              <w:widowControl/>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w:t>
            </w:r>
          </w:p>
        </w:tc>
        <w:tc>
          <w:tcPr>
            <w:tcW w:w="811" w:type="pct"/>
            <w:noWrap/>
            <w:vAlign w:val="center"/>
          </w:tcPr>
          <w:p>
            <w:pPr>
              <w:widowControl/>
              <w:jc w:val="center"/>
              <w:rPr>
                <w:rFonts w:hint="eastAsia" w:ascii="宋体" w:hAnsi="宋体" w:cs="宋体"/>
                <w:color w:val="auto"/>
                <w:kern w:val="0"/>
                <w:szCs w:val="21"/>
                <w:highlight w:val="none"/>
              </w:rPr>
            </w:pPr>
          </w:p>
        </w:tc>
        <w:tc>
          <w:tcPr>
            <w:tcW w:w="1236" w:type="pct"/>
            <w:noWrap/>
            <w:vAlign w:val="center"/>
          </w:tcPr>
          <w:p>
            <w:pPr>
              <w:widowControl/>
              <w:jc w:val="center"/>
              <w:rPr>
                <w:rFonts w:hint="eastAsia"/>
                <w:color w:val="auto"/>
                <w:highlight w:val="none"/>
              </w:rPr>
            </w:pPr>
          </w:p>
        </w:tc>
        <w:tc>
          <w:tcPr>
            <w:tcW w:w="1008" w:type="pct"/>
            <w:noWrap/>
            <w:vAlign w:val="center"/>
          </w:tcPr>
          <w:p>
            <w:pPr>
              <w:widowControl/>
              <w:jc w:val="center"/>
              <w:rPr>
                <w:rFonts w:hint="eastAsia" w:ascii="宋体" w:hAnsi="宋体" w:cs="宋体"/>
                <w:color w:val="auto"/>
                <w:kern w:val="0"/>
                <w:szCs w:val="21"/>
                <w:highlight w:val="none"/>
              </w:rPr>
            </w:pPr>
          </w:p>
        </w:tc>
        <w:tc>
          <w:tcPr>
            <w:tcW w:w="1556" w:type="pct"/>
            <w:noWrap/>
            <w:vAlign w:val="center"/>
          </w:tcPr>
          <w:p>
            <w:pPr>
              <w:widowControl/>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87" w:type="pct"/>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811" w:type="pct"/>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236" w:type="pct"/>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08" w:type="pct"/>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56" w:type="pct"/>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6" w:hRule="atLeast"/>
          <w:jc w:val="center"/>
        </w:trPr>
        <w:tc>
          <w:tcPr>
            <w:tcW w:w="5000" w:type="pct"/>
            <w:gridSpan w:val="5"/>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备注：</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1、“岗位”要求</w:t>
            </w:r>
            <w:r>
              <w:rPr>
                <w:rFonts w:hint="eastAsia" w:ascii="宋体" w:hAnsi="宋体" w:cs="宋体"/>
                <w:b/>
                <w:bCs/>
                <w:color w:val="auto"/>
                <w:kern w:val="0"/>
                <w:szCs w:val="21"/>
                <w:highlight w:val="none"/>
              </w:rPr>
              <w:t>（除项目负责人和专职安全员外）</w:t>
            </w:r>
            <w:r>
              <w:rPr>
                <w:rFonts w:hint="eastAsia" w:ascii="宋体" w:hAnsi="宋体" w:cs="宋体"/>
                <w:color w:val="auto"/>
                <w:kern w:val="0"/>
                <w:szCs w:val="21"/>
                <w:highlight w:val="none"/>
              </w:rPr>
              <w:t>由招标人根据项目管理需要在本表备注中明确提出，如：拟派驻施工现场的技术负责人、质量负责人、安全负责人、造价负责人、土建工程师、机电工程师、给排水工程师、装饰装修工程师、造价工程师、质量工程师、施工员、质量员、安全员、资料员等。以上项目管理团队人员信息将由交易系统提取后供各相关单位在履约时比对、查核。</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14</w:t>
    </w:r>
    <w:r>
      <w:rPr>
        <w:rStyle w:val="12"/>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AC7DA"/>
    <w:multiLevelType w:val="singleLevel"/>
    <w:tmpl w:val="984AC7D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5MzI4ZjVmM2E4ZTdiNWFhNDQ0ZTdmZDljZDIyZGMifQ=="/>
  </w:docVars>
  <w:rsids>
    <w:rsidRoot w:val="08EA0198"/>
    <w:rsid w:val="001D76CB"/>
    <w:rsid w:val="02CE3392"/>
    <w:rsid w:val="0521129B"/>
    <w:rsid w:val="082355A3"/>
    <w:rsid w:val="08EA0198"/>
    <w:rsid w:val="0B2823DD"/>
    <w:rsid w:val="0CDF2D0A"/>
    <w:rsid w:val="175C0CC0"/>
    <w:rsid w:val="22647624"/>
    <w:rsid w:val="261C26E6"/>
    <w:rsid w:val="265E6894"/>
    <w:rsid w:val="2E161EAB"/>
    <w:rsid w:val="2F02378E"/>
    <w:rsid w:val="35455AB1"/>
    <w:rsid w:val="376A3496"/>
    <w:rsid w:val="3D08500D"/>
    <w:rsid w:val="47CE24DD"/>
    <w:rsid w:val="4BDF2047"/>
    <w:rsid w:val="50A35313"/>
    <w:rsid w:val="582A70F0"/>
    <w:rsid w:val="5BC63DFD"/>
    <w:rsid w:val="5DA1039B"/>
    <w:rsid w:val="5EDF63F4"/>
    <w:rsid w:val="62A0471C"/>
    <w:rsid w:val="693A600F"/>
    <w:rsid w:val="6A9E4064"/>
    <w:rsid w:val="728650C1"/>
    <w:rsid w:val="74635523"/>
    <w:rsid w:val="788536A9"/>
    <w:rsid w:val="7A7F0BD7"/>
    <w:rsid w:val="7D14463B"/>
    <w:rsid w:val="7E190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3"/>
    <w:qFormat/>
    <w:uiPriority w:val="0"/>
    <w:pPr>
      <w:keepNext/>
      <w:keepLines/>
      <w:spacing w:before="120" w:after="120" w:line="415" w:lineRule="auto"/>
      <w:ind w:left="454"/>
      <w:jc w:val="center"/>
      <w:outlineLvl w:val="1"/>
    </w:pPr>
    <w:rPr>
      <w:rFonts w:ascii="Arial" w:hAnsi="Arial"/>
      <w:b/>
      <w:color w:val="000000"/>
      <w:sz w:val="24"/>
      <w:szCs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pPr>
    <w:rPr>
      <w:rFonts w:ascii="Times New Roman" w:hAnsi="Times New Roman"/>
      <w:szCs w:val="20"/>
    </w:rPr>
  </w:style>
  <w:style w:type="paragraph" w:styleId="4">
    <w:name w:val="annotation text"/>
    <w:basedOn w:val="1"/>
    <w:qFormat/>
    <w:uiPriority w:val="0"/>
    <w:pPr>
      <w:spacing w:line="360" w:lineRule="auto"/>
      <w:ind w:firstLine="523" w:firstLineChars="218"/>
      <w:jc w:val="left"/>
    </w:pPr>
    <w:rPr>
      <w:rFonts w:ascii="宋体" w:hAnsi="宋体"/>
      <w:sz w:val="24"/>
      <w:szCs w:val="24"/>
    </w:rPr>
  </w:style>
  <w:style w:type="paragraph" w:styleId="5">
    <w:name w:val="Body Text"/>
    <w:basedOn w:val="1"/>
    <w:next w:val="1"/>
    <w:qFormat/>
    <w:uiPriority w:val="0"/>
    <w:pPr>
      <w:spacing w:after="120"/>
    </w:pPr>
    <w:rPr>
      <w:rFonts w:ascii="Times New Roman" w:hAnsi="Times New Roman"/>
      <w:szCs w:val="20"/>
    </w:rPr>
  </w:style>
  <w:style w:type="paragraph" w:styleId="6">
    <w:name w:val="Plain Text"/>
    <w:basedOn w:val="1"/>
    <w:next w:val="1"/>
    <w:qFormat/>
    <w:uiPriority w:val="0"/>
    <w:rPr>
      <w:rFonts w:ascii="宋体" w:hAnsi="Courier New"/>
      <w:szCs w:val="20"/>
    </w:r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Body Text 2"/>
    <w:basedOn w:val="1"/>
    <w:qFormat/>
    <w:uiPriority w:val="0"/>
    <w:rPr>
      <w:rFonts w:ascii="宋体" w:hAnsi="宋体"/>
      <w:szCs w:val="24"/>
      <w:u w:val="single"/>
    </w:rPr>
  </w:style>
  <w:style w:type="paragraph" w:styleId="9">
    <w:name w:val="Body Text First Indent"/>
    <w:basedOn w:val="5"/>
    <w:qFormat/>
    <w:uiPriority w:val="0"/>
    <w:pPr>
      <w:ind w:firstLine="420"/>
    </w:pPr>
  </w:style>
  <w:style w:type="character" w:styleId="12">
    <w:name w:val="page number"/>
    <w:qFormat/>
    <w:uiPriority w:val="0"/>
    <w:rPr>
      <w:rFonts w:cs="Times New Roman"/>
    </w:rPr>
  </w:style>
  <w:style w:type="character" w:styleId="13">
    <w:name w:val="Hyperlink"/>
    <w:qFormat/>
    <w:uiPriority w:val="99"/>
    <w:rPr>
      <w:color w:val="0000FF"/>
      <w:u w:val="single"/>
    </w:rPr>
  </w:style>
  <w:style w:type="paragraph" w:customStyle="1" w:styleId="1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5">
    <w:name w:val="发文落款"/>
    <w:basedOn w:val="14"/>
    <w:qFormat/>
    <w:uiPriority w:val="0"/>
    <w:pPr>
      <w:ind w:left="4094" w:right="607" w:firstLine="0"/>
      <w:jc w:val="center"/>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7830</Words>
  <Characters>8307</Characters>
  <Lines>0</Lines>
  <Paragraphs>0</Paragraphs>
  <TotalTime>35</TotalTime>
  <ScaleCrop>false</ScaleCrop>
  <LinksUpToDate>false</LinksUpToDate>
  <CharactersWithSpaces>8591</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2025-09-16T06:19:00Z</dcterms:created>
  <dc:creator>叶冠中</dc:creator>
  <cp:lastModifiedBy>ALiu666666漢鑫啊</cp:lastModifiedBy>
  <dcterms:modified xsi:type="dcterms:W3CDTF">2025-10-28T09:58:33Z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29F7D2B3B73343C596F3E6D506DB99ED</vt:lpwstr>
  </property>
  <property fmtid="{D5CDD505-2E9C-101B-9397-08002B2CF9AE}" pid="4" name="KSOTemplateDocerSaveRecord">
    <vt:lpwstr>eyJoZGlkIjoiZmY4NzU2OWE5MjhjZmEwZTJmNDU3NmIxMTIwNWYxZDUiLCJ1c2VySWQiOiIyODY0MDYxNTkifQ==</vt:lpwstr>
  </property>
</Properties>
</file>