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color w:val="000000" w:themeColor="text1"/>
          <w14:textFill>
            <w14:solidFill>
              <w14:schemeClr w14:val="tx1"/>
            </w14:solidFill>
          </w14:textFill>
        </w:rPr>
      </w:pPr>
    </w:p>
    <w:p>
      <w:pPr>
        <w:spacing w:line="360" w:lineRule="auto"/>
        <w:ind w:left="359" w:leftChars="171"/>
        <w:jc w:val="left"/>
        <w:rPr>
          <w:rFonts w:ascii="宋体"/>
          <w:b/>
          <w:bCs/>
          <w:color w:val="000000" w:themeColor="text1"/>
          <w:spacing w:val="40"/>
          <w:sz w:val="44"/>
          <w:szCs w:val="44"/>
          <w14:textFill>
            <w14:solidFill>
              <w14:schemeClr w14:val="tx1"/>
            </w14:solidFill>
          </w14:textFill>
        </w:rPr>
      </w:pPr>
    </w:p>
    <w:p>
      <w:pPr>
        <w:spacing w:line="360" w:lineRule="auto"/>
        <w:jc w:val="center"/>
        <w:rPr>
          <w:rFonts w:hint="eastAsia" w:eastAsia="宋体"/>
          <w:color w:val="000000" w:themeColor="text1"/>
          <w:sz w:val="52"/>
          <w:szCs w:val="52"/>
          <w:u w:val="single"/>
          <w:lang w:eastAsia="zh-CN"/>
          <w14:textFill>
            <w14:solidFill>
              <w14:schemeClr w14:val="tx1"/>
            </w14:solidFill>
          </w14:textFill>
        </w:rPr>
      </w:pPr>
      <w:r>
        <w:rPr>
          <w:rFonts w:hint="eastAsia" w:ascii="宋体"/>
          <w:b/>
          <w:bCs/>
          <w:color w:val="000000" w:themeColor="text1"/>
          <w:spacing w:val="40"/>
          <w:sz w:val="52"/>
          <w:szCs w:val="52"/>
          <w:lang w:eastAsia="zh-CN"/>
          <w14:textFill>
            <w14:solidFill>
              <w14:schemeClr w14:val="tx1"/>
            </w14:solidFill>
          </w14:textFill>
        </w:rPr>
        <w:t>民营科技园公交站场施工总承包项目</w:t>
      </w:r>
    </w:p>
    <w:p>
      <w:pPr>
        <w:spacing w:line="360" w:lineRule="auto"/>
        <w:jc w:val="center"/>
        <w:rPr>
          <w:rFonts w:eastAsia="楷体_GB2312"/>
          <w:b/>
          <w:bCs/>
          <w:color w:val="000000" w:themeColor="text1"/>
          <w:spacing w:val="26"/>
          <w:sz w:val="110"/>
          <w:szCs w:val="110"/>
          <w14:textFill>
            <w14:solidFill>
              <w14:schemeClr w14:val="tx1"/>
            </w14:solidFill>
          </w14:textFill>
        </w:rPr>
      </w:pPr>
    </w:p>
    <w:p>
      <w:pPr>
        <w:spacing w:line="360" w:lineRule="auto"/>
        <w:jc w:val="center"/>
        <w:rPr>
          <w:rFonts w:eastAsia="楷体_GB2312"/>
          <w:b/>
          <w:bCs/>
          <w:color w:val="000000" w:themeColor="text1"/>
          <w:spacing w:val="26"/>
          <w:sz w:val="110"/>
          <w:szCs w:val="110"/>
          <w14:textFill>
            <w14:solidFill>
              <w14:schemeClr w14:val="tx1"/>
            </w14:solidFill>
          </w14:textFill>
        </w:rPr>
      </w:pPr>
    </w:p>
    <w:p>
      <w:pPr>
        <w:spacing w:line="360" w:lineRule="auto"/>
        <w:jc w:val="center"/>
        <w:rPr>
          <w:rFonts w:eastAsia="楷体_GB2312"/>
          <w:b/>
          <w:bCs/>
          <w:color w:val="000000" w:themeColor="text1"/>
          <w:spacing w:val="26"/>
          <w:sz w:val="110"/>
          <w:szCs w:val="110"/>
          <w14:textFill>
            <w14:solidFill>
              <w14:schemeClr w14:val="tx1"/>
            </w14:solidFill>
          </w14:textFill>
        </w:rPr>
      </w:pPr>
      <w:r>
        <w:rPr>
          <w:rFonts w:hint="eastAsia" w:eastAsia="楷体_GB2312"/>
          <w:b/>
          <w:bCs/>
          <w:color w:val="000000" w:themeColor="text1"/>
          <w:spacing w:val="26"/>
          <w:sz w:val="110"/>
          <w:szCs w:val="110"/>
          <w14:textFill>
            <w14:solidFill>
              <w14:schemeClr w14:val="tx1"/>
            </w14:solidFill>
          </w14:textFill>
        </w:rPr>
        <w:t>招标文件</w:t>
      </w:r>
    </w:p>
    <w:p>
      <w:pPr>
        <w:spacing w:line="360" w:lineRule="auto"/>
        <w:jc w:val="center"/>
        <w:rPr>
          <w:color w:val="000000" w:themeColor="text1"/>
          <w:sz w:val="32"/>
          <w14:textFill>
            <w14:solidFill>
              <w14:schemeClr w14:val="tx1"/>
            </w14:solidFill>
          </w14:textFill>
        </w:rPr>
      </w:pPr>
    </w:p>
    <w:p>
      <w:pPr>
        <w:spacing w:line="360" w:lineRule="auto"/>
        <w:ind w:firstLine="2560" w:firstLineChars="800"/>
        <w:rPr>
          <w:color w:val="000000" w:themeColor="text1"/>
          <w:sz w:val="32"/>
          <w14:textFill>
            <w14:solidFill>
              <w14:schemeClr w14:val="tx1"/>
            </w14:solidFill>
          </w14:textFill>
        </w:rPr>
      </w:pPr>
    </w:p>
    <w:p>
      <w:pPr>
        <w:spacing w:line="360" w:lineRule="auto"/>
        <w:rPr>
          <w:color w:val="000000" w:themeColor="text1"/>
          <w:sz w:val="52"/>
          <w14:textFill>
            <w14:solidFill>
              <w14:schemeClr w14:val="tx1"/>
            </w14:solidFill>
          </w14:textFill>
        </w:rPr>
      </w:pPr>
    </w:p>
    <w:p>
      <w:pPr>
        <w:pStyle w:val="21"/>
        <w:rPr>
          <w:color w:val="000000" w:themeColor="text1"/>
          <w:sz w:val="52"/>
          <w14:textFill>
            <w14:solidFill>
              <w14:schemeClr w14:val="tx1"/>
            </w14:solidFill>
          </w14:textFill>
        </w:rPr>
      </w:pPr>
    </w:p>
    <w:p>
      <w:pPr>
        <w:spacing w:line="360" w:lineRule="auto"/>
        <w:rPr>
          <w:color w:val="000000" w:themeColor="text1"/>
          <w:sz w:val="52"/>
          <w14:textFill>
            <w14:solidFill>
              <w14:schemeClr w14:val="tx1"/>
            </w14:solidFill>
          </w14:textFill>
        </w:rPr>
      </w:pPr>
    </w:p>
    <w:p>
      <w:pPr>
        <w:spacing w:line="360" w:lineRule="auto"/>
        <w:ind w:firstLine="842" w:firstLineChars="262"/>
        <w:rPr>
          <w:rFonts w:hint="eastAsia" w:ascii="宋体" w:hAnsi="宋体" w:cs="宋体"/>
          <w:b/>
          <w:bCs/>
          <w:sz w:val="32"/>
          <w:szCs w:val="30"/>
          <w:lang w:val="zh-CN"/>
        </w:rPr>
      </w:pPr>
      <w:r>
        <w:rPr>
          <w:rFonts w:hint="eastAsia" w:ascii="宋体" w:hAnsi="宋体" w:cs="宋体"/>
          <w:b/>
          <w:bCs/>
          <w:sz w:val="32"/>
          <w:szCs w:val="30"/>
          <w:lang w:val="zh-CN"/>
        </w:rPr>
        <w:t xml:space="preserve">招   标   人：广州市交通站场建设管理中心有限公司 </w:t>
      </w:r>
    </w:p>
    <w:p>
      <w:pPr>
        <w:spacing w:line="360" w:lineRule="auto"/>
        <w:ind w:firstLine="842" w:firstLineChars="262"/>
        <w:rPr>
          <w:rFonts w:hint="eastAsia" w:ascii="宋体" w:hAnsi="宋体" w:cs="宋体"/>
          <w:b/>
          <w:bCs/>
          <w:sz w:val="32"/>
          <w:szCs w:val="30"/>
        </w:rPr>
      </w:pPr>
      <w:r>
        <w:rPr>
          <w:rFonts w:hint="eastAsia" w:ascii="宋体" w:hAnsi="宋体" w:cs="宋体"/>
          <w:b/>
          <w:bCs/>
          <w:sz w:val="32"/>
          <w:szCs w:val="30"/>
          <w:lang w:val="zh-CN"/>
        </w:rPr>
        <w:t>招标代理机构：广州公交集团创新服务有限公司</w:t>
      </w:r>
    </w:p>
    <w:p>
      <w:pPr>
        <w:spacing w:line="360" w:lineRule="auto"/>
        <w:ind w:firstLine="945"/>
        <w:rPr>
          <w:color w:val="000000" w:themeColor="text1"/>
          <w:sz w:val="32"/>
          <w14:textFill>
            <w14:solidFill>
              <w14:schemeClr w14:val="tx1"/>
            </w14:solidFill>
          </w14:textFill>
        </w:rPr>
      </w:pPr>
      <w:r>
        <w:rPr>
          <w:rFonts w:hint="eastAsia" w:ascii="宋体" w:hAnsi="宋体" w:cs="宋体"/>
          <w:b/>
          <w:bCs/>
          <w:sz w:val="32"/>
          <w:szCs w:val="30"/>
          <w:lang w:val="zh-CN"/>
        </w:rPr>
        <w:t>日        期：20</w:t>
      </w:r>
      <w:r>
        <w:rPr>
          <w:rFonts w:hint="eastAsia" w:ascii="宋体" w:hAnsi="宋体" w:cs="宋体"/>
          <w:b/>
          <w:bCs/>
          <w:sz w:val="32"/>
          <w:szCs w:val="30"/>
        </w:rPr>
        <w:t>25</w:t>
      </w:r>
      <w:r>
        <w:rPr>
          <w:rFonts w:hint="eastAsia" w:ascii="宋体" w:hAnsi="宋体" w:cs="宋体"/>
          <w:b/>
          <w:bCs/>
          <w:sz w:val="32"/>
          <w:szCs w:val="30"/>
          <w:lang w:val="zh-CN"/>
        </w:rPr>
        <w:t>年</w:t>
      </w:r>
      <w:r>
        <w:rPr>
          <w:rFonts w:hint="eastAsia" w:ascii="宋体" w:hAnsi="宋体" w:cs="宋体"/>
          <w:b/>
          <w:bCs/>
          <w:sz w:val="32"/>
          <w:szCs w:val="30"/>
          <w:lang w:val="en-US" w:eastAsia="zh-CN"/>
        </w:rPr>
        <w:t>10</w:t>
      </w:r>
      <w:r>
        <w:rPr>
          <w:rFonts w:hint="eastAsia" w:ascii="宋体" w:hAnsi="宋体" w:cs="宋体"/>
          <w:b/>
          <w:bCs/>
          <w:sz w:val="32"/>
          <w:szCs w:val="30"/>
          <w:lang w:val="zh-CN"/>
        </w:rPr>
        <w:t>月</w:t>
      </w:r>
      <w:r>
        <w:rPr>
          <w:rFonts w:hint="eastAsia" w:ascii="宋体" w:hAnsi="宋体" w:cs="宋体"/>
          <w:b/>
          <w:bCs/>
          <w:sz w:val="32"/>
          <w:szCs w:val="30"/>
          <w:u w:val="none"/>
          <w:lang w:val="en-US" w:eastAsia="zh-CN"/>
        </w:rPr>
        <w:t>28</w:t>
      </w:r>
      <w:r>
        <w:rPr>
          <w:rFonts w:hint="eastAsia" w:ascii="宋体" w:hAnsi="宋体" w:cs="宋体"/>
          <w:b/>
          <w:bCs/>
          <w:sz w:val="32"/>
          <w:szCs w:val="30"/>
        </w:rPr>
        <w:t>日</w:t>
      </w:r>
    </w:p>
    <w:p>
      <w:pPr>
        <w:jc w:val="center"/>
        <w:rPr>
          <w:rStyle w:val="43"/>
          <w:rFonts w:hint="eastAsia" w:ascii="黑体" w:hAnsi="黑体" w:eastAsia="黑体" w:cs="黑体"/>
          <w:b/>
          <w:bCs/>
          <w:color w:val="000000" w:themeColor="text1"/>
          <w:sz w:val="32"/>
          <w:szCs w:val="32"/>
          <w:u w:val="none"/>
          <w14:textFill>
            <w14:solidFill>
              <w14:schemeClr w14:val="tx1"/>
            </w14:solidFill>
          </w14:textFill>
        </w:rPr>
        <w:sectPr>
          <w:footerReference r:id="rId7" w:type="first"/>
          <w:headerReference r:id="rId3" w:type="default"/>
          <w:footerReference r:id="rId5" w:type="default"/>
          <w:headerReference r:id="rId4" w:type="even"/>
          <w:footerReference r:id="rId6" w:type="even"/>
          <w:endnotePr>
            <w:numFmt w:val="decimal"/>
          </w:endnotePr>
          <w:pgSz w:w="11906" w:h="16838"/>
          <w:pgMar w:top="1440" w:right="1077" w:bottom="1440" w:left="1077" w:header="851" w:footer="907" w:gutter="0"/>
          <w:cols w:space="425" w:num="1"/>
          <w:titlePg/>
          <w:docGrid w:type="lines" w:linePitch="312" w:charSpace="0"/>
        </w:sectPr>
      </w:pPr>
    </w:p>
    <w:p>
      <w:pPr>
        <w:jc w:val="center"/>
        <w:rPr>
          <w:rFonts w:hint="eastAsia" w:ascii="黑体" w:hAnsi="黑体" w:eastAsia="黑体" w:cs="黑体"/>
          <w:b/>
          <w:caps/>
          <w:color w:val="000000" w:themeColor="text1"/>
          <w:kern w:val="0"/>
          <w:sz w:val="32"/>
          <w:szCs w:val="32"/>
          <w14:textFill>
            <w14:solidFill>
              <w14:schemeClr w14:val="tx1"/>
            </w14:solidFill>
          </w14:textFill>
        </w:rPr>
      </w:pPr>
      <w:r>
        <w:rPr>
          <w:rStyle w:val="43"/>
          <w:rFonts w:hint="eastAsia" w:ascii="黑体" w:hAnsi="黑体" w:eastAsia="黑体" w:cs="黑体"/>
          <w:b/>
          <w:bCs/>
          <w:color w:val="000000" w:themeColor="text1"/>
          <w:sz w:val="32"/>
          <w:szCs w:val="32"/>
          <w:u w:val="none"/>
          <w14:textFill>
            <w14:solidFill>
              <w14:schemeClr w14:val="tx1"/>
            </w14:solidFill>
          </w14:textFill>
        </w:rPr>
        <w:t>目  录</w:t>
      </w:r>
    </w:p>
    <w:p>
      <w:pPr>
        <w:pStyle w:val="28"/>
        <w:tabs>
          <w:tab w:val="right" w:leader="dot" w:pos="9070"/>
          <w:tab w:val="clear" w:pos="9060"/>
        </w:tabs>
        <w:rPr>
          <w:rFonts w:hint="eastAsia"/>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TOC \o "1-3" \h \z \u </w:instrText>
      </w:r>
      <w:r>
        <w:rPr>
          <w:color w:val="000000" w:themeColor="text1"/>
          <w14:textFill>
            <w14:solidFill>
              <w14:schemeClr w14:val="tx1"/>
            </w14:solidFill>
          </w14:textFill>
        </w:rPr>
        <w:fldChar w:fldCharType="separate"/>
      </w:r>
      <w:r>
        <w:fldChar w:fldCharType="begin"/>
      </w:r>
      <w:r>
        <w:instrText xml:space="preserve"> HYPERLINK \l "_Toc1622" </w:instrText>
      </w:r>
      <w:r>
        <w:fldChar w:fldCharType="separate"/>
      </w:r>
      <w:r>
        <w:rPr>
          <w:rFonts w:hint="eastAsia"/>
        </w:rPr>
        <w:t>第一章</w:t>
      </w:r>
      <w:r>
        <w:t xml:space="preserve">  </w:t>
      </w:r>
      <w:r>
        <w:rPr>
          <w:rFonts w:hint="eastAsia"/>
        </w:rPr>
        <w:t>投标须知</w:t>
      </w:r>
      <w:r>
        <w:tab/>
      </w:r>
      <w:r>
        <w:fldChar w:fldCharType="begin"/>
      </w:r>
      <w:r>
        <w:instrText xml:space="preserve"> PAGEREF _Toc1622 \h </w:instrText>
      </w:r>
      <w:r>
        <w:fldChar w:fldCharType="separate"/>
      </w:r>
      <w:r>
        <w:t>2</w:t>
      </w:r>
      <w:r>
        <w:fldChar w:fldCharType="end"/>
      </w:r>
      <w:r>
        <w:fldChar w:fldCharType="end"/>
      </w:r>
    </w:p>
    <w:p>
      <w:pPr>
        <w:pStyle w:val="28"/>
        <w:tabs>
          <w:tab w:val="right" w:leader="dot" w:pos="9070"/>
          <w:tab w:val="clear" w:pos="9060"/>
        </w:tabs>
        <w:ind w:firstLine="480" w:firstLineChars="200"/>
      </w:pPr>
      <w:r>
        <w:fldChar w:fldCharType="begin"/>
      </w:r>
      <w:r>
        <w:instrText xml:space="preserve"> HYPERLINK \l "_Toc22966" </w:instrText>
      </w:r>
      <w:r>
        <w:fldChar w:fldCharType="separate"/>
      </w:r>
      <w:r>
        <w:rPr>
          <w:rFonts w:hint="eastAsia"/>
        </w:rPr>
        <w:t>一、投标须知前附表</w:t>
      </w:r>
      <w:r>
        <w:tab/>
      </w:r>
      <w:r>
        <w:fldChar w:fldCharType="begin"/>
      </w:r>
      <w:r>
        <w:instrText xml:space="preserve"> PAGEREF _Toc22966 \h </w:instrText>
      </w:r>
      <w:r>
        <w:fldChar w:fldCharType="separate"/>
      </w:r>
      <w:r>
        <w:t>2</w:t>
      </w:r>
      <w:r>
        <w:fldChar w:fldCharType="end"/>
      </w:r>
      <w:r>
        <w:fldChar w:fldCharType="end"/>
      </w:r>
    </w:p>
    <w:p>
      <w:pPr>
        <w:pStyle w:val="28"/>
        <w:tabs>
          <w:tab w:val="right" w:leader="dot" w:pos="9070"/>
          <w:tab w:val="clear" w:pos="9060"/>
        </w:tabs>
        <w:ind w:firstLine="480" w:firstLineChars="200"/>
      </w:pPr>
      <w:r>
        <w:fldChar w:fldCharType="begin"/>
      </w:r>
      <w:r>
        <w:instrText xml:space="preserve"> HYPERLINK \l "_Toc6428" </w:instrText>
      </w:r>
      <w:r>
        <w:fldChar w:fldCharType="separate"/>
      </w:r>
      <w:r>
        <w:rPr>
          <w:rFonts w:hint="eastAsia"/>
        </w:rPr>
        <w:t>二、投标须知修改表</w:t>
      </w:r>
      <w:r>
        <w:tab/>
      </w:r>
      <w:r>
        <w:fldChar w:fldCharType="begin"/>
      </w:r>
      <w:r>
        <w:instrText xml:space="preserve"> PAGEREF _Toc6428 \h </w:instrText>
      </w:r>
      <w:r>
        <w:fldChar w:fldCharType="separate"/>
      </w:r>
      <w:r>
        <w:t>9</w:t>
      </w:r>
      <w:r>
        <w:fldChar w:fldCharType="end"/>
      </w:r>
      <w:r>
        <w:fldChar w:fldCharType="end"/>
      </w:r>
    </w:p>
    <w:p>
      <w:pPr>
        <w:pStyle w:val="28"/>
        <w:tabs>
          <w:tab w:val="right" w:leader="dot" w:pos="9070"/>
          <w:tab w:val="clear" w:pos="9060"/>
        </w:tabs>
        <w:ind w:firstLine="480" w:firstLineChars="200"/>
      </w:pPr>
      <w:r>
        <w:fldChar w:fldCharType="begin"/>
      </w:r>
      <w:r>
        <w:instrText xml:space="preserve"> HYPERLINK \l "_Toc25354" </w:instrText>
      </w:r>
      <w:r>
        <w:fldChar w:fldCharType="separate"/>
      </w:r>
      <w:r>
        <w:rPr>
          <w:rFonts w:hint="eastAsia"/>
        </w:rPr>
        <w:t>三、投标须知通用条款</w:t>
      </w:r>
      <w:r>
        <w:tab/>
      </w:r>
      <w:r>
        <w:fldChar w:fldCharType="begin"/>
      </w:r>
      <w:r>
        <w:instrText xml:space="preserve"> PAGEREF _Toc25354 \h </w:instrText>
      </w:r>
      <w:r>
        <w:fldChar w:fldCharType="separate"/>
      </w:r>
      <w:r>
        <w:t>20</w:t>
      </w:r>
      <w:r>
        <w:fldChar w:fldCharType="end"/>
      </w:r>
      <w:r>
        <w:fldChar w:fldCharType="end"/>
      </w:r>
    </w:p>
    <w:p>
      <w:pPr>
        <w:pStyle w:val="28"/>
        <w:tabs>
          <w:tab w:val="right" w:leader="dot" w:pos="9070"/>
          <w:tab w:val="clear" w:pos="9060"/>
        </w:tabs>
        <w:ind w:firstLine="960" w:firstLineChars="400"/>
      </w:pPr>
      <w:r>
        <w:fldChar w:fldCharType="begin"/>
      </w:r>
      <w:r>
        <w:instrText xml:space="preserve"> HYPERLINK \l "_Toc3791" </w:instrText>
      </w:r>
      <w:r>
        <w:fldChar w:fldCharType="separate"/>
      </w:r>
      <w:r>
        <w:rPr>
          <w:rFonts w:hint="eastAsia"/>
        </w:rPr>
        <w:t>（一）总则</w:t>
      </w:r>
      <w:r>
        <w:tab/>
      </w:r>
      <w:r>
        <w:fldChar w:fldCharType="begin"/>
      </w:r>
      <w:r>
        <w:instrText xml:space="preserve"> PAGEREF _Toc3791 \h </w:instrText>
      </w:r>
      <w:r>
        <w:fldChar w:fldCharType="separate"/>
      </w:r>
      <w:r>
        <w:t>20</w:t>
      </w:r>
      <w:r>
        <w:fldChar w:fldCharType="end"/>
      </w:r>
      <w:r>
        <w:fldChar w:fldCharType="end"/>
      </w:r>
    </w:p>
    <w:p>
      <w:pPr>
        <w:pStyle w:val="28"/>
        <w:tabs>
          <w:tab w:val="right" w:leader="dot" w:pos="9070"/>
          <w:tab w:val="clear" w:pos="9060"/>
        </w:tabs>
        <w:ind w:firstLine="960" w:firstLineChars="400"/>
      </w:pPr>
      <w:r>
        <w:fldChar w:fldCharType="begin"/>
      </w:r>
      <w:r>
        <w:instrText xml:space="preserve"> HYPERLINK \l "_Toc18687" </w:instrText>
      </w:r>
      <w:r>
        <w:fldChar w:fldCharType="separate"/>
      </w:r>
      <w:r>
        <w:rPr>
          <w:rFonts w:hint="eastAsia"/>
        </w:rPr>
        <w:t>（二）招标文件</w:t>
      </w:r>
      <w:r>
        <w:tab/>
      </w:r>
      <w:r>
        <w:fldChar w:fldCharType="begin"/>
      </w:r>
      <w:r>
        <w:instrText xml:space="preserve"> PAGEREF _Toc18687 \h </w:instrText>
      </w:r>
      <w:r>
        <w:fldChar w:fldCharType="separate"/>
      </w:r>
      <w:r>
        <w:t>21</w:t>
      </w:r>
      <w:r>
        <w:fldChar w:fldCharType="end"/>
      </w:r>
      <w:r>
        <w:fldChar w:fldCharType="end"/>
      </w:r>
    </w:p>
    <w:p>
      <w:pPr>
        <w:pStyle w:val="28"/>
        <w:tabs>
          <w:tab w:val="right" w:leader="dot" w:pos="9070"/>
          <w:tab w:val="clear" w:pos="9060"/>
        </w:tabs>
        <w:ind w:firstLine="960" w:firstLineChars="400"/>
      </w:pPr>
      <w:r>
        <w:fldChar w:fldCharType="begin"/>
      </w:r>
      <w:r>
        <w:instrText xml:space="preserve"> HYPERLINK \l "_Toc4967" </w:instrText>
      </w:r>
      <w:r>
        <w:fldChar w:fldCharType="separate"/>
      </w:r>
      <w:r>
        <w:rPr>
          <w:rFonts w:hint="eastAsia"/>
        </w:rPr>
        <w:t>（三）投标文件的编制</w:t>
      </w:r>
      <w:r>
        <w:tab/>
      </w:r>
      <w:r>
        <w:fldChar w:fldCharType="begin"/>
      </w:r>
      <w:r>
        <w:instrText xml:space="preserve"> PAGEREF _Toc4967 \h </w:instrText>
      </w:r>
      <w:r>
        <w:fldChar w:fldCharType="separate"/>
      </w:r>
      <w:r>
        <w:t>22</w:t>
      </w:r>
      <w:r>
        <w:fldChar w:fldCharType="end"/>
      </w:r>
      <w:r>
        <w:fldChar w:fldCharType="end"/>
      </w:r>
    </w:p>
    <w:p>
      <w:pPr>
        <w:pStyle w:val="28"/>
        <w:tabs>
          <w:tab w:val="right" w:leader="dot" w:pos="9070"/>
          <w:tab w:val="clear" w:pos="9060"/>
        </w:tabs>
        <w:ind w:firstLine="960" w:firstLineChars="400"/>
      </w:pPr>
      <w:r>
        <w:fldChar w:fldCharType="begin"/>
      </w:r>
      <w:r>
        <w:instrText xml:space="preserve"> HYPERLINK \l "_Toc29945" </w:instrText>
      </w:r>
      <w:r>
        <w:fldChar w:fldCharType="separate"/>
      </w:r>
      <w:r>
        <w:rPr>
          <w:rFonts w:hint="eastAsia"/>
        </w:rPr>
        <w:t>（四）投标文件的提交</w:t>
      </w:r>
      <w:r>
        <w:tab/>
      </w:r>
      <w:r>
        <w:fldChar w:fldCharType="begin"/>
      </w:r>
      <w:r>
        <w:instrText xml:space="preserve"> PAGEREF _Toc29945 \h </w:instrText>
      </w:r>
      <w:r>
        <w:fldChar w:fldCharType="separate"/>
      </w:r>
      <w:r>
        <w:t>29</w:t>
      </w:r>
      <w:r>
        <w:fldChar w:fldCharType="end"/>
      </w:r>
      <w:r>
        <w:fldChar w:fldCharType="end"/>
      </w:r>
    </w:p>
    <w:p>
      <w:pPr>
        <w:pStyle w:val="28"/>
        <w:tabs>
          <w:tab w:val="right" w:leader="dot" w:pos="9070"/>
          <w:tab w:val="clear" w:pos="9060"/>
        </w:tabs>
        <w:ind w:firstLine="960" w:firstLineChars="400"/>
      </w:pPr>
      <w:r>
        <w:fldChar w:fldCharType="begin"/>
      </w:r>
      <w:r>
        <w:instrText xml:space="preserve"> HYPERLINK \l "_Toc19157" </w:instrText>
      </w:r>
      <w:r>
        <w:fldChar w:fldCharType="separate"/>
      </w:r>
      <w:r>
        <w:rPr>
          <w:rFonts w:hint="eastAsia"/>
        </w:rPr>
        <w:t>（五）开标、评标、定标及合同签定</w:t>
      </w:r>
      <w:r>
        <w:tab/>
      </w:r>
      <w:r>
        <w:fldChar w:fldCharType="begin"/>
      </w:r>
      <w:r>
        <w:instrText xml:space="preserve"> PAGEREF _Toc19157 \h </w:instrText>
      </w:r>
      <w:r>
        <w:fldChar w:fldCharType="separate"/>
      </w:r>
      <w:r>
        <w:t>31</w:t>
      </w:r>
      <w:r>
        <w:fldChar w:fldCharType="end"/>
      </w:r>
      <w:r>
        <w:fldChar w:fldCharType="end"/>
      </w:r>
    </w:p>
    <w:p>
      <w:pPr>
        <w:pStyle w:val="28"/>
        <w:tabs>
          <w:tab w:val="right" w:leader="dot" w:pos="9070"/>
          <w:tab w:val="clear" w:pos="9060"/>
        </w:tabs>
        <w:rPr>
          <w:rFonts w:hint="eastAsia"/>
        </w:rPr>
      </w:pPr>
      <w:r>
        <w:fldChar w:fldCharType="begin"/>
      </w:r>
      <w:r>
        <w:instrText xml:space="preserve"> HYPERLINK \l "_Toc25278" </w:instrText>
      </w:r>
      <w:r>
        <w:fldChar w:fldCharType="separate"/>
      </w:r>
      <w:r>
        <w:rPr>
          <w:rFonts w:hint="eastAsia"/>
        </w:rPr>
        <w:t>第二章</w:t>
      </w:r>
      <w:r>
        <w:t xml:space="preserve">  </w:t>
      </w:r>
      <w:r>
        <w:rPr>
          <w:rFonts w:hint="eastAsia"/>
        </w:rPr>
        <w:t>开标、评标及定标办法</w:t>
      </w:r>
      <w:r>
        <w:tab/>
      </w:r>
      <w:r>
        <w:fldChar w:fldCharType="begin"/>
      </w:r>
      <w:r>
        <w:instrText xml:space="preserve"> PAGEREF _Toc25278 \h </w:instrText>
      </w:r>
      <w:r>
        <w:fldChar w:fldCharType="separate"/>
      </w:r>
      <w:r>
        <w:t>33</w:t>
      </w:r>
      <w:r>
        <w:fldChar w:fldCharType="end"/>
      </w:r>
      <w:r>
        <w:fldChar w:fldCharType="end"/>
      </w:r>
    </w:p>
    <w:p>
      <w:pPr>
        <w:pStyle w:val="28"/>
        <w:tabs>
          <w:tab w:val="right" w:leader="dot" w:pos="9070"/>
          <w:tab w:val="clear" w:pos="9060"/>
        </w:tabs>
        <w:ind w:firstLine="480" w:firstLineChars="200"/>
        <w:rPr>
          <w:rFonts w:hint="eastAsia"/>
        </w:rPr>
      </w:pPr>
      <w:r>
        <w:rPr>
          <w:rFonts w:hint="eastAsia"/>
        </w:rPr>
        <w:fldChar w:fldCharType="begin"/>
      </w:r>
      <w:r>
        <w:rPr>
          <w:rFonts w:hint="eastAsia"/>
        </w:rPr>
        <w:instrText xml:space="preserve"> HYPERLINK \l "_Toc29430" </w:instrText>
      </w:r>
      <w:r>
        <w:rPr>
          <w:rFonts w:hint="eastAsia"/>
        </w:rPr>
        <w:fldChar w:fldCharType="separate"/>
      </w:r>
      <w:r>
        <w:rPr>
          <w:rFonts w:hint="eastAsia"/>
        </w:rPr>
        <w:t>一、开标、评标及定标办法修改表</w:t>
      </w:r>
      <w:r>
        <w:rPr>
          <w:rFonts w:hint="eastAsia"/>
        </w:rPr>
        <w:tab/>
      </w:r>
      <w:r>
        <w:rPr>
          <w:rFonts w:hint="eastAsia"/>
        </w:rPr>
        <w:fldChar w:fldCharType="begin"/>
      </w:r>
      <w:r>
        <w:rPr>
          <w:rFonts w:hint="eastAsia"/>
        </w:rPr>
        <w:instrText xml:space="preserve"> PAGEREF _Toc29430 \h </w:instrText>
      </w:r>
      <w:r>
        <w:rPr>
          <w:rFonts w:hint="eastAsia"/>
        </w:rPr>
        <w:fldChar w:fldCharType="separate"/>
      </w:r>
      <w:r>
        <w:rPr>
          <w:rFonts w:hint="eastAsia"/>
        </w:rPr>
        <w:t>33</w:t>
      </w:r>
      <w:r>
        <w:rPr>
          <w:rFonts w:hint="eastAsia"/>
        </w:rPr>
        <w:fldChar w:fldCharType="end"/>
      </w:r>
      <w:r>
        <w:rPr>
          <w:rFonts w:hint="eastAsia"/>
        </w:rPr>
        <w:fldChar w:fldCharType="end"/>
      </w:r>
    </w:p>
    <w:p>
      <w:pPr>
        <w:pStyle w:val="28"/>
        <w:tabs>
          <w:tab w:val="right" w:leader="dot" w:pos="9070"/>
          <w:tab w:val="clear" w:pos="9060"/>
        </w:tabs>
        <w:ind w:firstLine="480" w:firstLineChars="200"/>
      </w:pPr>
      <w:r>
        <w:rPr>
          <w:rFonts w:hint="eastAsia"/>
        </w:rPr>
        <w:fldChar w:fldCharType="begin"/>
      </w:r>
      <w:r>
        <w:rPr>
          <w:rFonts w:hint="eastAsia"/>
        </w:rPr>
        <w:instrText xml:space="preserve"> HYPERLINK \l "_Toc3360" </w:instrText>
      </w:r>
      <w:r>
        <w:rPr>
          <w:rFonts w:hint="eastAsia"/>
        </w:rPr>
        <w:fldChar w:fldCharType="separate"/>
      </w:r>
      <w:r>
        <w:rPr>
          <w:rFonts w:hint="eastAsia"/>
        </w:rPr>
        <w:t>二、开标、评标及定标办法通用条款</w:t>
      </w:r>
      <w:r>
        <w:rPr>
          <w:rFonts w:hint="eastAsia"/>
        </w:rPr>
        <w:tab/>
      </w:r>
      <w:r>
        <w:rPr>
          <w:rFonts w:hint="eastAsia"/>
        </w:rPr>
        <w:fldChar w:fldCharType="begin"/>
      </w:r>
      <w:r>
        <w:rPr>
          <w:rFonts w:hint="eastAsia"/>
        </w:rPr>
        <w:instrText xml:space="preserve"> PAGEREF _Toc3360 \h </w:instrText>
      </w:r>
      <w:r>
        <w:rPr>
          <w:rFonts w:hint="eastAsia"/>
        </w:rPr>
        <w:fldChar w:fldCharType="separate"/>
      </w:r>
      <w:r>
        <w:rPr>
          <w:rFonts w:hint="eastAsia"/>
        </w:rPr>
        <w:t>37</w:t>
      </w:r>
      <w:r>
        <w:rPr>
          <w:rFonts w:hint="eastAsia"/>
        </w:rPr>
        <w:fldChar w:fldCharType="end"/>
      </w:r>
      <w:r>
        <w:rPr>
          <w:rFonts w:hint="eastAsia"/>
        </w:rPr>
        <w:fldChar w:fldCharType="end"/>
      </w:r>
    </w:p>
    <w:p>
      <w:pPr>
        <w:pStyle w:val="28"/>
        <w:tabs>
          <w:tab w:val="right" w:leader="dot" w:pos="9070"/>
          <w:tab w:val="clear" w:pos="9060"/>
        </w:tabs>
        <w:ind w:firstLine="960" w:firstLineChars="400"/>
        <w:rPr>
          <w:rFonts w:hint="eastAsia"/>
        </w:rPr>
      </w:pPr>
      <w:r>
        <w:rPr>
          <w:rFonts w:hint="eastAsia"/>
        </w:rPr>
        <w:fldChar w:fldCharType="begin"/>
      </w:r>
      <w:r>
        <w:rPr>
          <w:rFonts w:hint="eastAsia"/>
        </w:rPr>
        <w:instrText xml:space="preserve"> HYPERLINK \l "_Toc9758" </w:instrText>
      </w:r>
      <w:r>
        <w:rPr>
          <w:rFonts w:hint="eastAsia"/>
        </w:rPr>
        <w:fldChar w:fldCharType="separate"/>
      </w:r>
      <w:r>
        <w:rPr>
          <w:rFonts w:hint="eastAsia"/>
        </w:rPr>
        <w:t>（一）总则</w:t>
      </w:r>
      <w:r>
        <w:rPr>
          <w:rFonts w:hint="eastAsia"/>
        </w:rPr>
        <w:tab/>
      </w:r>
      <w:r>
        <w:rPr>
          <w:rFonts w:hint="eastAsia"/>
        </w:rPr>
        <w:fldChar w:fldCharType="begin"/>
      </w:r>
      <w:r>
        <w:rPr>
          <w:rFonts w:hint="eastAsia"/>
        </w:rPr>
        <w:instrText xml:space="preserve"> PAGEREF _Toc9758 \h </w:instrText>
      </w:r>
      <w:r>
        <w:rPr>
          <w:rFonts w:hint="eastAsia"/>
        </w:rPr>
        <w:fldChar w:fldCharType="separate"/>
      </w:r>
      <w:r>
        <w:rPr>
          <w:rFonts w:hint="eastAsia"/>
        </w:rPr>
        <w:t>37</w:t>
      </w:r>
      <w:r>
        <w:rPr>
          <w:rFonts w:hint="eastAsia"/>
        </w:rPr>
        <w:fldChar w:fldCharType="end"/>
      </w:r>
      <w:r>
        <w:rPr>
          <w:rFonts w:hint="eastAsia"/>
        </w:rPr>
        <w:fldChar w:fldCharType="end"/>
      </w:r>
    </w:p>
    <w:p>
      <w:pPr>
        <w:pStyle w:val="28"/>
        <w:tabs>
          <w:tab w:val="right" w:leader="dot" w:pos="9070"/>
          <w:tab w:val="clear" w:pos="9060"/>
        </w:tabs>
        <w:ind w:firstLine="960" w:firstLineChars="400"/>
        <w:rPr>
          <w:rFonts w:hint="eastAsia"/>
        </w:rPr>
      </w:pPr>
      <w:r>
        <w:rPr>
          <w:rFonts w:hint="eastAsia"/>
        </w:rPr>
        <w:fldChar w:fldCharType="begin"/>
      </w:r>
      <w:r>
        <w:rPr>
          <w:rFonts w:hint="eastAsia"/>
        </w:rPr>
        <w:instrText xml:space="preserve"> HYPERLINK \l "_Toc3296" </w:instrText>
      </w:r>
      <w:r>
        <w:rPr>
          <w:rFonts w:hint="eastAsia"/>
        </w:rPr>
        <w:fldChar w:fldCharType="separate"/>
      </w:r>
      <w:r>
        <w:rPr>
          <w:rFonts w:hint="eastAsia"/>
        </w:rPr>
        <w:t>（二）开标评标办法程序和细则</w:t>
      </w:r>
      <w:r>
        <w:rPr>
          <w:rFonts w:hint="eastAsia"/>
        </w:rPr>
        <w:tab/>
      </w:r>
      <w:r>
        <w:rPr>
          <w:rFonts w:hint="eastAsia"/>
        </w:rPr>
        <w:fldChar w:fldCharType="begin"/>
      </w:r>
      <w:r>
        <w:rPr>
          <w:rFonts w:hint="eastAsia"/>
        </w:rPr>
        <w:instrText xml:space="preserve"> PAGEREF _Toc3296 \h </w:instrText>
      </w:r>
      <w:r>
        <w:rPr>
          <w:rFonts w:hint="eastAsia"/>
        </w:rPr>
        <w:fldChar w:fldCharType="separate"/>
      </w:r>
      <w:r>
        <w:rPr>
          <w:rFonts w:hint="eastAsia"/>
        </w:rPr>
        <w:t>40</w:t>
      </w:r>
      <w:r>
        <w:rPr>
          <w:rFonts w:hint="eastAsia"/>
        </w:rPr>
        <w:fldChar w:fldCharType="end"/>
      </w:r>
      <w:r>
        <w:rPr>
          <w:rFonts w:hint="eastAsia"/>
        </w:rPr>
        <w:fldChar w:fldCharType="end"/>
      </w:r>
    </w:p>
    <w:p>
      <w:pPr>
        <w:pStyle w:val="28"/>
        <w:tabs>
          <w:tab w:val="right" w:leader="dot" w:pos="9070"/>
          <w:tab w:val="clear" w:pos="9060"/>
        </w:tabs>
        <w:ind w:firstLine="960" w:firstLineChars="400"/>
      </w:pPr>
      <w:r>
        <w:rPr>
          <w:rFonts w:hint="eastAsia"/>
        </w:rPr>
        <w:fldChar w:fldCharType="begin"/>
      </w:r>
      <w:r>
        <w:rPr>
          <w:rFonts w:hint="eastAsia"/>
        </w:rPr>
        <w:instrText xml:space="preserve"> HYPERLINK \l "_Toc19160" </w:instrText>
      </w:r>
      <w:r>
        <w:rPr>
          <w:rFonts w:hint="eastAsia"/>
        </w:rPr>
        <w:fldChar w:fldCharType="separate"/>
      </w:r>
      <w:r>
        <w:rPr>
          <w:rFonts w:hint="eastAsia"/>
        </w:rPr>
        <w:t>可选办法六（适合综合评分法三，技术标与经济标同时开启）</w:t>
      </w:r>
      <w:r>
        <w:rPr>
          <w:rFonts w:hint="eastAsia"/>
        </w:rPr>
        <w:tab/>
      </w:r>
      <w:r>
        <w:rPr>
          <w:rFonts w:hint="eastAsia"/>
        </w:rPr>
        <w:fldChar w:fldCharType="begin"/>
      </w:r>
      <w:r>
        <w:rPr>
          <w:rFonts w:hint="eastAsia"/>
        </w:rPr>
        <w:instrText xml:space="preserve"> PAGEREF _Toc19160 \h </w:instrText>
      </w:r>
      <w:r>
        <w:rPr>
          <w:rFonts w:hint="eastAsia"/>
        </w:rPr>
        <w:fldChar w:fldCharType="separate"/>
      </w:r>
      <w:r>
        <w:rPr>
          <w:rFonts w:hint="eastAsia"/>
        </w:rPr>
        <w:t>40</w:t>
      </w:r>
      <w:r>
        <w:rPr>
          <w:rFonts w:hint="eastAsia"/>
        </w:rPr>
        <w:fldChar w:fldCharType="end"/>
      </w:r>
      <w:r>
        <w:rPr>
          <w:rFonts w:hint="eastAsia"/>
        </w:rPr>
        <w:fldChar w:fldCharType="end"/>
      </w:r>
    </w:p>
    <w:p>
      <w:pPr>
        <w:pStyle w:val="28"/>
        <w:tabs>
          <w:tab w:val="right" w:leader="dot" w:pos="9070"/>
          <w:tab w:val="clear" w:pos="9060"/>
        </w:tabs>
        <w:rPr>
          <w:rFonts w:hint="eastAsia"/>
        </w:rPr>
      </w:pPr>
      <w:r>
        <w:rPr>
          <w:rFonts w:hint="eastAsia"/>
        </w:rPr>
        <w:fldChar w:fldCharType="begin"/>
      </w:r>
      <w:r>
        <w:rPr>
          <w:rFonts w:hint="eastAsia"/>
        </w:rPr>
        <w:instrText xml:space="preserve"> HYPERLINK \l "_Toc25573" </w:instrText>
      </w:r>
      <w:r>
        <w:rPr>
          <w:rFonts w:hint="eastAsia"/>
        </w:rPr>
        <w:fldChar w:fldCharType="separate"/>
      </w:r>
      <w:r>
        <w:rPr>
          <w:rFonts w:hint="eastAsia"/>
        </w:rPr>
        <w:t>第三章  合同条款</w:t>
      </w:r>
      <w:r>
        <w:rPr>
          <w:rFonts w:hint="eastAsia"/>
        </w:rPr>
        <w:tab/>
      </w:r>
      <w:r>
        <w:rPr>
          <w:rFonts w:hint="eastAsia"/>
        </w:rPr>
        <w:fldChar w:fldCharType="begin"/>
      </w:r>
      <w:r>
        <w:rPr>
          <w:rFonts w:hint="eastAsia"/>
        </w:rPr>
        <w:instrText xml:space="preserve"> PAGEREF _Toc25573 \h </w:instrText>
      </w:r>
      <w:r>
        <w:rPr>
          <w:rFonts w:hint="eastAsia"/>
        </w:rPr>
        <w:fldChar w:fldCharType="separate"/>
      </w:r>
      <w:r>
        <w:rPr>
          <w:rFonts w:hint="eastAsia"/>
        </w:rPr>
        <w:t>57</w:t>
      </w:r>
      <w:r>
        <w:rPr>
          <w:rFonts w:hint="eastAsia"/>
        </w:rPr>
        <w:fldChar w:fldCharType="end"/>
      </w:r>
      <w:r>
        <w:rPr>
          <w:rFonts w:hint="eastAsia"/>
        </w:rPr>
        <w:fldChar w:fldCharType="end"/>
      </w:r>
    </w:p>
    <w:p>
      <w:pPr>
        <w:pStyle w:val="28"/>
        <w:tabs>
          <w:tab w:val="right" w:leader="dot" w:pos="9070"/>
          <w:tab w:val="clear" w:pos="9060"/>
        </w:tabs>
        <w:rPr>
          <w:rFonts w:hint="eastAsia"/>
        </w:rPr>
      </w:pPr>
      <w:r>
        <w:rPr>
          <w:rFonts w:hint="eastAsia"/>
        </w:rPr>
        <w:fldChar w:fldCharType="begin"/>
      </w:r>
      <w:r>
        <w:rPr>
          <w:rFonts w:hint="eastAsia"/>
        </w:rPr>
        <w:instrText xml:space="preserve"> HYPERLINK \l "_Toc25299" </w:instrText>
      </w:r>
      <w:r>
        <w:rPr>
          <w:rFonts w:hint="eastAsia"/>
        </w:rPr>
        <w:fldChar w:fldCharType="separate"/>
      </w:r>
      <w:r>
        <w:rPr>
          <w:rFonts w:hint="eastAsia"/>
        </w:rPr>
        <w:t>第四章  投标文件格式</w:t>
      </w:r>
      <w:r>
        <w:rPr>
          <w:rFonts w:hint="eastAsia"/>
        </w:rPr>
        <w:tab/>
      </w:r>
      <w:r>
        <w:rPr>
          <w:rFonts w:hint="eastAsia"/>
        </w:rPr>
        <w:fldChar w:fldCharType="begin"/>
      </w:r>
      <w:r>
        <w:rPr>
          <w:rFonts w:hint="eastAsia"/>
        </w:rPr>
        <w:instrText xml:space="preserve"> PAGEREF _Toc25299 \h </w:instrText>
      </w:r>
      <w:r>
        <w:rPr>
          <w:rFonts w:hint="eastAsia"/>
        </w:rPr>
        <w:fldChar w:fldCharType="separate"/>
      </w:r>
      <w:r>
        <w:rPr>
          <w:rFonts w:hint="eastAsia"/>
        </w:rPr>
        <w:t>58</w:t>
      </w:r>
      <w:r>
        <w:rPr>
          <w:rFonts w:hint="eastAsia"/>
        </w:rPr>
        <w:fldChar w:fldCharType="end"/>
      </w:r>
      <w:r>
        <w:rPr>
          <w:rFonts w:hint="eastAsia"/>
        </w:rPr>
        <w:fldChar w:fldCharType="end"/>
      </w:r>
    </w:p>
    <w:p>
      <w:pPr>
        <w:pStyle w:val="28"/>
        <w:tabs>
          <w:tab w:val="right" w:leader="dot" w:pos="9070"/>
          <w:tab w:val="clear" w:pos="9060"/>
        </w:tabs>
        <w:rPr>
          <w:rFonts w:hint="eastAsia"/>
        </w:rPr>
      </w:pPr>
      <w:r>
        <w:rPr>
          <w:rFonts w:hint="eastAsia"/>
        </w:rPr>
        <w:fldChar w:fldCharType="begin"/>
      </w:r>
      <w:r>
        <w:rPr>
          <w:rFonts w:hint="eastAsia"/>
        </w:rPr>
        <w:instrText xml:space="preserve"> HYPERLINK \l "_Toc16626" </w:instrText>
      </w:r>
      <w:r>
        <w:rPr>
          <w:rFonts w:hint="eastAsia"/>
        </w:rPr>
        <w:fldChar w:fldCharType="separate"/>
      </w:r>
      <w:r>
        <w:rPr>
          <w:rFonts w:hint="eastAsia"/>
        </w:rPr>
        <w:t>第五章  技术条件（工程建设标准）</w:t>
      </w:r>
      <w:r>
        <w:rPr>
          <w:rFonts w:hint="eastAsia"/>
        </w:rPr>
        <w:tab/>
      </w:r>
      <w:r>
        <w:rPr>
          <w:rFonts w:hint="eastAsia"/>
        </w:rPr>
        <w:fldChar w:fldCharType="begin"/>
      </w:r>
      <w:r>
        <w:rPr>
          <w:rFonts w:hint="eastAsia"/>
        </w:rPr>
        <w:instrText xml:space="preserve"> PAGEREF _Toc16626 \h </w:instrText>
      </w:r>
      <w:r>
        <w:rPr>
          <w:rFonts w:hint="eastAsia"/>
        </w:rPr>
        <w:fldChar w:fldCharType="separate"/>
      </w:r>
      <w:r>
        <w:rPr>
          <w:rFonts w:hint="eastAsia"/>
        </w:rPr>
        <w:t>81</w:t>
      </w:r>
      <w:r>
        <w:rPr>
          <w:rFonts w:hint="eastAsia"/>
        </w:rPr>
        <w:fldChar w:fldCharType="end"/>
      </w:r>
      <w:r>
        <w:rPr>
          <w:rFonts w:hint="eastAsia"/>
        </w:rPr>
        <w:fldChar w:fldCharType="end"/>
      </w:r>
    </w:p>
    <w:p>
      <w:pPr>
        <w:pStyle w:val="28"/>
        <w:tabs>
          <w:tab w:val="right" w:leader="dot" w:pos="9070"/>
          <w:tab w:val="clear" w:pos="9060"/>
        </w:tabs>
        <w:rPr>
          <w:rFonts w:hint="eastAsia"/>
        </w:rPr>
      </w:pPr>
      <w:r>
        <w:rPr>
          <w:rFonts w:hint="eastAsia"/>
        </w:rPr>
        <w:fldChar w:fldCharType="begin"/>
      </w:r>
      <w:r>
        <w:rPr>
          <w:rFonts w:hint="eastAsia"/>
        </w:rPr>
        <w:instrText xml:space="preserve"> HYPERLINK \l "_Toc29832" </w:instrText>
      </w:r>
      <w:r>
        <w:rPr>
          <w:rFonts w:hint="eastAsia"/>
        </w:rPr>
        <w:fldChar w:fldCharType="separate"/>
      </w:r>
      <w:r>
        <w:rPr>
          <w:rFonts w:hint="eastAsia"/>
        </w:rPr>
        <w:t>第六章  图纸及勘察资料</w:t>
      </w:r>
      <w:r>
        <w:rPr>
          <w:rFonts w:hint="eastAsia"/>
        </w:rPr>
        <w:tab/>
      </w:r>
      <w:r>
        <w:rPr>
          <w:rFonts w:hint="eastAsia"/>
        </w:rPr>
        <w:fldChar w:fldCharType="begin"/>
      </w:r>
      <w:r>
        <w:rPr>
          <w:rFonts w:hint="eastAsia"/>
        </w:rPr>
        <w:instrText xml:space="preserve"> PAGEREF _Toc29832 \h </w:instrText>
      </w:r>
      <w:r>
        <w:rPr>
          <w:rFonts w:hint="eastAsia"/>
        </w:rPr>
        <w:fldChar w:fldCharType="separate"/>
      </w:r>
      <w:r>
        <w:rPr>
          <w:rFonts w:hint="eastAsia"/>
        </w:rPr>
        <w:t>106</w:t>
      </w:r>
      <w:r>
        <w:rPr>
          <w:rFonts w:hint="eastAsia"/>
        </w:rPr>
        <w:fldChar w:fldCharType="end"/>
      </w:r>
      <w:r>
        <w:rPr>
          <w:rFonts w:hint="eastAsia"/>
        </w:rPr>
        <w:fldChar w:fldCharType="end"/>
      </w:r>
    </w:p>
    <w:p>
      <w:pPr>
        <w:pStyle w:val="28"/>
        <w:tabs>
          <w:tab w:val="right" w:leader="dot" w:pos="9070"/>
          <w:tab w:val="clear" w:pos="9060"/>
        </w:tabs>
        <w:rPr>
          <w:rFonts w:hint="eastAsia"/>
        </w:rPr>
      </w:pPr>
      <w:r>
        <w:rPr>
          <w:rFonts w:hint="eastAsia"/>
        </w:rPr>
        <w:fldChar w:fldCharType="begin"/>
      </w:r>
      <w:r>
        <w:rPr>
          <w:rFonts w:hint="eastAsia"/>
        </w:rPr>
        <w:instrText xml:space="preserve"> HYPERLINK \l "_Toc13553" </w:instrText>
      </w:r>
      <w:r>
        <w:rPr>
          <w:rFonts w:hint="eastAsia"/>
        </w:rPr>
        <w:fldChar w:fldCharType="separate"/>
      </w:r>
      <w:r>
        <w:rPr>
          <w:rFonts w:hint="eastAsia"/>
        </w:rPr>
        <w:t>第七章  工程量清单</w:t>
      </w:r>
      <w:r>
        <w:rPr>
          <w:rFonts w:hint="eastAsia"/>
        </w:rPr>
        <w:tab/>
      </w:r>
      <w:r>
        <w:rPr>
          <w:rFonts w:hint="eastAsia"/>
        </w:rPr>
        <w:fldChar w:fldCharType="begin"/>
      </w:r>
      <w:r>
        <w:rPr>
          <w:rFonts w:hint="eastAsia"/>
        </w:rPr>
        <w:instrText xml:space="preserve"> PAGEREF _Toc13553 \h </w:instrText>
      </w:r>
      <w:r>
        <w:rPr>
          <w:rFonts w:hint="eastAsia"/>
        </w:rPr>
        <w:fldChar w:fldCharType="separate"/>
      </w:r>
      <w:r>
        <w:rPr>
          <w:rFonts w:hint="eastAsia"/>
        </w:rPr>
        <w:t>107</w:t>
      </w:r>
      <w:r>
        <w:rPr>
          <w:rFonts w:hint="eastAsia"/>
        </w:rPr>
        <w:fldChar w:fldCharType="end"/>
      </w:r>
      <w:r>
        <w:rPr>
          <w:rFonts w:hint="eastAsia"/>
        </w:rPr>
        <w:fldChar w:fldCharType="end"/>
      </w:r>
    </w:p>
    <w:p>
      <w:pPr>
        <w:pStyle w:val="28"/>
        <w:tabs>
          <w:tab w:val="right" w:leader="dot" w:pos="9070"/>
          <w:tab w:val="clear" w:pos="9060"/>
        </w:tabs>
        <w:rPr>
          <w:rFonts w:hint="eastAsia"/>
        </w:rPr>
      </w:pPr>
      <w:r>
        <w:rPr>
          <w:rFonts w:hint="eastAsia"/>
        </w:rPr>
        <w:fldChar w:fldCharType="begin"/>
      </w:r>
      <w:r>
        <w:rPr>
          <w:rFonts w:hint="eastAsia"/>
        </w:rPr>
        <w:instrText xml:space="preserve"> HYPERLINK \l "_Toc7951" </w:instrText>
      </w:r>
      <w:r>
        <w:rPr>
          <w:rFonts w:hint="eastAsia"/>
        </w:rPr>
        <w:fldChar w:fldCharType="separate"/>
      </w:r>
      <w:r>
        <w:rPr>
          <w:rFonts w:hint="eastAsia"/>
        </w:rPr>
        <w:t>第八章  最高投标限价</w:t>
      </w:r>
      <w:r>
        <w:rPr>
          <w:rFonts w:hint="eastAsia"/>
        </w:rPr>
        <w:tab/>
      </w:r>
      <w:r>
        <w:rPr>
          <w:rFonts w:hint="eastAsia"/>
        </w:rPr>
        <w:fldChar w:fldCharType="begin"/>
      </w:r>
      <w:r>
        <w:rPr>
          <w:rFonts w:hint="eastAsia"/>
        </w:rPr>
        <w:instrText xml:space="preserve"> PAGEREF _Toc7951 \h </w:instrText>
      </w:r>
      <w:r>
        <w:rPr>
          <w:rFonts w:hint="eastAsia"/>
        </w:rPr>
        <w:fldChar w:fldCharType="separate"/>
      </w:r>
      <w:r>
        <w:rPr>
          <w:rFonts w:hint="eastAsia"/>
        </w:rPr>
        <w:t>108</w:t>
      </w:r>
      <w:r>
        <w:rPr>
          <w:rFonts w:hint="eastAsia"/>
        </w:rPr>
        <w:fldChar w:fldCharType="end"/>
      </w:r>
      <w:r>
        <w:rPr>
          <w:rFonts w:hint="eastAsia"/>
        </w:rPr>
        <w:fldChar w:fldCharType="end"/>
      </w:r>
    </w:p>
    <w:p>
      <w:pPr>
        <w:pStyle w:val="3"/>
        <w:rPr>
          <w:color w:val="000000" w:themeColor="text1"/>
          <w14:textFill>
            <w14:solidFill>
              <w14:schemeClr w14:val="tx1"/>
            </w14:solidFill>
          </w14:textFill>
        </w:rPr>
      </w:pPr>
      <w:r>
        <w:rPr>
          <w:color w:val="000000" w:themeColor="text1"/>
          <w14:textFill>
            <w14:solidFill>
              <w14:schemeClr w14:val="tx1"/>
            </w14:solidFill>
          </w14:textFill>
        </w:rPr>
        <w:fldChar w:fldCharType="end"/>
      </w:r>
      <w:bookmarkStart w:id="0" w:name="_Toc2272545"/>
      <w:bookmarkStart w:id="1" w:name="_Toc21525489"/>
      <w:bookmarkStart w:id="2" w:name="_Toc1622"/>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3"/>
        <w:rPr>
          <w:rFonts w:hint="eastAsia" w:ascii="黑体" w:hAnsi="黑体" w:eastAsia="黑体" w:cs="黑体"/>
          <w:color w:val="000000" w:themeColor="text1"/>
          <w:sz w:val="36"/>
          <w:szCs w:val="36"/>
          <w14:textFill>
            <w14:solidFill>
              <w14:schemeClr w14:val="tx1"/>
            </w14:solidFill>
          </w14:textFill>
        </w:rPr>
      </w:pPr>
      <w:r>
        <w:rPr>
          <w:rFonts w:hint="eastAsia" w:ascii="黑体" w:hAnsi="黑体" w:eastAsia="黑体" w:cs="黑体"/>
          <w:color w:val="000000" w:themeColor="text1"/>
          <w:sz w:val="36"/>
          <w:szCs w:val="36"/>
          <w14:textFill>
            <w14:solidFill>
              <w14:schemeClr w14:val="tx1"/>
            </w14:solidFill>
          </w14:textFill>
        </w:rPr>
        <w:t>第一章  投标须知</w:t>
      </w:r>
      <w:bookmarkEnd w:id="0"/>
      <w:bookmarkEnd w:id="1"/>
      <w:bookmarkEnd w:id="2"/>
    </w:p>
    <w:p>
      <w:pPr>
        <w:pStyle w:val="2"/>
        <w:rPr>
          <w:rFonts w:hint="eastAsia" w:ascii="黑体" w:hAnsi="黑体" w:eastAsia="黑体" w:cs="黑体"/>
          <w:color w:val="000000" w:themeColor="text1"/>
          <w:sz w:val="32"/>
          <w:szCs w:val="32"/>
          <w14:textFill>
            <w14:solidFill>
              <w14:schemeClr w14:val="tx1"/>
            </w14:solidFill>
          </w14:textFill>
        </w:rPr>
      </w:pPr>
      <w:bookmarkStart w:id="3" w:name="_Toc22966"/>
      <w:bookmarkStart w:id="4" w:name="_Toc2272546"/>
      <w:bookmarkStart w:id="5" w:name="_Toc21525490"/>
      <w:r>
        <w:rPr>
          <w:rFonts w:hint="eastAsia" w:ascii="黑体" w:hAnsi="黑体" w:eastAsia="黑体" w:cs="黑体"/>
          <w:color w:val="000000" w:themeColor="text1"/>
          <w:sz w:val="32"/>
          <w:szCs w:val="32"/>
          <w14:textFill>
            <w14:solidFill>
              <w14:schemeClr w14:val="tx1"/>
            </w14:solidFill>
          </w14:textFill>
        </w:rPr>
        <w:t>一、投标须知前附表</w:t>
      </w:r>
      <w:bookmarkEnd w:id="3"/>
      <w:bookmarkEnd w:id="4"/>
      <w:bookmarkEnd w:id="5"/>
    </w:p>
    <w:p>
      <w:pPr>
        <w:pStyle w:val="9"/>
        <w:spacing w:line="360" w:lineRule="auto"/>
        <w:ind w:firstLine="482" w:firstLineChars="200"/>
        <w:rPr>
          <w:rFonts w:hint="eastAsia"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36"/>
        <w:tblW w:w="9858"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981"/>
        <w:gridCol w:w="1810"/>
        <w:gridCol w:w="636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66" w:hRule="atLeast"/>
          <w:tblHeader/>
        </w:trPr>
        <w:tc>
          <w:tcPr>
            <w:tcW w:w="702" w:type="dxa"/>
            <w:tcBorders>
              <w:top w:val="double" w:color="auto" w:sz="4" w:space="0"/>
              <w:left w:val="double" w:color="auto" w:sz="4" w:space="0"/>
              <w:bottom w:val="single" w:color="auto" w:sz="4" w:space="0"/>
              <w:right w:val="single" w:color="auto" w:sz="4" w:space="0"/>
            </w:tcBorders>
            <w:vAlign w:val="center"/>
          </w:tcPr>
          <w:p>
            <w:pPr>
              <w:rPr>
                <w:rFonts w:hint="eastAsia" w:ascii="宋体" w:hAnsi="宋体"/>
                <w:szCs w:val="21"/>
              </w:rPr>
            </w:pPr>
            <w:r>
              <w:rPr>
                <w:rFonts w:hint="eastAsia" w:ascii="宋体" w:hAnsi="宋体"/>
                <w:szCs w:val="21"/>
              </w:rPr>
              <w:t>项目</w:t>
            </w:r>
          </w:p>
        </w:tc>
        <w:tc>
          <w:tcPr>
            <w:tcW w:w="981" w:type="dxa"/>
            <w:tcBorders>
              <w:top w:val="double" w:color="auto" w:sz="4" w:space="0"/>
              <w:left w:val="single" w:color="auto" w:sz="4" w:space="0"/>
              <w:bottom w:val="single" w:color="auto" w:sz="4" w:space="0"/>
              <w:right w:val="single" w:color="auto" w:sz="4" w:space="0"/>
            </w:tcBorders>
            <w:vAlign w:val="center"/>
          </w:tcPr>
          <w:p>
            <w:pPr>
              <w:rPr>
                <w:rFonts w:hint="eastAsia" w:ascii="宋体" w:hAnsi="宋体"/>
                <w:szCs w:val="21"/>
              </w:rPr>
            </w:pPr>
            <w:r>
              <w:rPr>
                <w:rFonts w:hint="eastAsia" w:ascii="宋体" w:hAnsi="宋体"/>
                <w:szCs w:val="21"/>
              </w:rPr>
              <w:t>条款号</w:t>
            </w:r>
          </w:p>
        </w:tc>
        <w:tc>
          <w:tcPr>
            <w:tcW w:w="1810" w:type="dxa"/>
            <w:tcBorders>
              <w:top w:val="double" w:color="auto" w:sz="4" w:space="0"/>
              <w:left w:val="single" w:color="auto" w:sz="4" w:space="0"/>
              <w:bottom w:val="single" w:color="auto" w:sz="4" w:space="0"/>
              <w:right w:val="single" w:color="auto" w:sz="4" w:space="0"/>
            </w:tcBorders>
            <w:vAlign w:val="center"/>
          </w:tcPr>
          <w:p>
            <w:pPr>
              <w:ind w:firstLine="458"/>
              <w:rPr>
                <w:rFonts w:hint="eastAsia" w:ascii="宋体" w:hAnsi="宋体"/>
                <w:szCs w:val="21"/>
              </w:rPr>
            </w:pPr>
            <w:r>
              <w:rPr>
                <w:rFonts w:hint="eastAsia" w:ascii="宋体" w:hAnsi="宋体"/>
                <w:szCs w:val="21"/>
              </w:rPr>
              <w:t>内容</w:t>
            </w:r>
          </w:p>
        </w:tc>
        <w:tc>
          <w:tcPr>
            <w:tcW w:w="6365" w:type="dxa"/>
            <w:tcBorders>
              <w:top w:val="double" w:color="auto" w:sz="4" w:space="0"/>
              <w:left w:val="single" w:color="auto" w:sz="4" w:space="0"/>
              <w:bottom w:val="single" w:color="auto" w:sz="4" w:space="0"/>
              <w:right w:val="double" w:color="auto" w:sz="4" w:space="0"/>
            </w:tcBorders>
            <w:vAlign w:val="center"/>
          </w:tcPr>
          <w:p>
            <w:pPr>
              <w:pStyle w:val="22"/>
              <w:ind w:firstLine="458"/>
              <w:jc w:val="center"/>
              <w:rPr>
                <w:rFonts w:hint="eastAsia" w:ascii="宋体" w:hAnsi="宋体"/>
                <w:szCs w:val="21"/>
              </w:rPr>
            </w:pPr>
            <w:r>
              <w:rPr>
                <w:rFonts w:hint="eastAsia" w:ascii="宋体" w:hAnsi="宋体"/>
                <w:szCs w:val="21"/>
              </w:rPr>
              <w:t>说明与要求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607"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szCs w:val="21"/>
              </w:rPr>
            </w:pPr>
            <w:r>
              <w:rPr>
                <w:rFonts w:ascii="宋体" w:hAnsi="宋体"/>
                <w:szCs w:val="21"/>
              </w:rPr>
              <w:t>1</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ascii="宋体" w:hAnsi="宋体"/>
                <w:szCs w:val="21"/>
              </w:rPr>
              <w:t>1</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Cs w:val="21"/>
              </w:rPr>
            </w:pPr>
            <w:r>
              <w:rPr>
                <w:rFonts w:hint="eastAsia" w:ascii="宋体" w:hAnsi="宋体"/>
                <w:szCs w:val="21"/>
              </w:rPr>
              <w:t>定义</w:t>
            </w:r>
          </w:p>
        </w:tc>
        <w:tc>
          <w:tcPr>
            <w:tcW w:w="6365" w:type="dxa"/>
            <w:tcBorders>
              <w:top w:val="single" w:color="auto" w:sz="4" w:space="0"/>
              <w:left w:val="single" w:color="auto" w:sz="4" w:space="0"/>
              <w:bottom w:val="single" w:color="auto" w:sz="4" w:space="0"/>
              <w:right w:val="double" w:color="auto" w:sz="4" w:space="0"/>
            </w:tcBorders>
            <w:vAlign w:val="center"/>
          </w:tcPr>
          <w:p>
            <w:pPr>
              <w:spacing w:line="360" w:lineRule="auto"/>
              <w:rPr>
                <w:rFonts w:hint="eastAsia" w:ascii="宋体" w:hAnsi="宋体" w:eastAsia="宋体"/>
                <w:szCs w:val="21"/>
                <w:lang w:eastAsia="zh-CN"/>
              </w:rPr>
            </w:pPr>
            <w:r>
              <w:rPr>
                <w:rFonts w:hint="eastAsia" w:ascii="宋体" w:hAnsi="宋体"/>
                <w:szCs w:val="21"/>
              </w:rPr>
              <w:t>招标人（即发包人）：</w:t>
            </w:r>
            <w:r>
              <w:rPr>
                <w:rFonts w:hint="eastAsia" w:ascii="宋体" w:hAnsi="宋体"/>
                <w:szCs w:val="21"/>
                <w:u w:val="single"/>
                <w:lang w:eastAsia="zh-CN"/>
              </w:rPr>
              <w:t>广州市交通站场建设管理中心有限公司</w:t>
            </w:r>
          </w:p>
          <w:p>
            <w:pPr>
              <w:spacing w:line="360" w:lineRule="auto"/>
              <w:rPr>
                <w:rFonts w:hint="eastAsia" w:ascii="宋体" w:hAnsi="宋体"/>
                <w:szCs w:val="21"/>
              </w:rPr>
            </w:pPr>
            <w:r>
              <w:rPr>
                <w:rFonts w:hint="eastAsia" w:ascii="宋体" w:hAnsi="宋体"/>
                <w:szCs w:val="21"/>
              </w:rPr>
              <w:t>招标代理：</w:t>
            </w:r>
            <w:r>
              <w:rPr>
                <w:rFonts w:ascii="宋体" w:hAnsi="宋体"/>
                <w:szCs w:val="21"/>
                <w:u w:val="single"/>
              </w:rPr>
              <w:t xml:space="preserve"> </w:t>
            </w:r>
            <w:r>
              <w:rPr>
                <w:rFonts w:hint="eastAsia" w:ascii="宋体" w:hAnsi="宋体"/>
                <w:szCs w:val="21"/>
                <w:u w:val="single"/>
                <w:lang w:eastAsia="zh-CN"/>
              </w:rPr>
              <w:t>广州公交集团创新服务有限公司</w:t>
            </w:r>
            <w:r>
              <w:rPr>
                <w:rFonts w:ascii="宋体" w:hAnsi="宋体"/>
                <w:szCs w:val="21"/>
                <w:u w:val="single"/>
              </w:rPr>
              <w:t xml:space="preserve"> </w:t>
            </w:r>
          </w:p>
          <w:p>
            <w:pPr>
              <w:spacing w:line="360" w:lineRule="auto"/>
              <w:rPr>
                <w:rFonts w:hint="eastAsia" w:ascii="宋体" w:hAnsi="宋体"/>
                <w:szCs w:val="21"/>
              </w:rPr>
            </w:pPr>
            <w:r>
              <w:rPr>
                <w:rFonts w:hint="eastAsia" w:ascii="宋体" w:hAnsi="宋体"/>
                <w:szCs w:val="21"/>
              </w:rPr>
              <w:t>设计单位：</w:t>
            </w:r>
            <w:r>
              <w:rPr>
                <w:rFonts w:ascii="宋体" w:hAnsi="宋体"/>
                <w:szCs w:val="21"/>
                <w:u w:val="single"/>
              </w:rPr>
              <w:t xml:space="preserve"> </w:t>
            </w:r>
            <w:r>
              <w:rPr>
                <w:rFonts w:hint="eastAsia" w:ascii="宋体" w:hAnsi="宋体"/>
                <w:szCs w:val="21"/>
                <w:u w:val="single"/>
                <w:lang w:eastAsia="zh-CN"/>
              </w:rPr>
              <w:t>广州市设计院集团有限公司</w:t>
            </w:r>
            <w:r>
              <w:rPr>
                <w:rFonts w:ascii="宋体" w:hAnsi="宋体"/>
                <w:szCs w:val="21"/>
                <w:u w:val="single"/>
              </w:rPr>
              <w:t xml:space="preserve"> </w:t>
            </w:r>
          </w:p>
          <w:p>
            <w:pPr>
              <w:spacing w:line="360" w:lineRule="auto"/>
              <w:rPr>
                <w:rFonts w:hint="eastAsia" w:ascii="宋体" w:hAnsi="宋体"/>
                <w:szCs w:val="21"/>
                <w:u w:val="single"/>
              </w:rPr>
            </w:pPr>
            <w:r>
              <w:rPr>
                <w:rFonts w:hint="eastAsia" w:ascii="宋体" w:hAnsi="宋体"/>
                <w:szCs w:val="21"/>
              </w:rPr>
              <w:t>监理单位：</w:t>
            </w:r>
            <w:r>
              <w:rPr>
                <w:rFonts w:ascii="宋体" w:hAnsi="宋体"/>
                <w:szCs w:val="21"/>
                <w:u w:val="single"/>
              </w:rPr>
              <w:t xml:space="preserve">    </w:t>
            </w:r>
            <w:r>
              <w:rPr>
                <w:rFonts w:hint="eastAsia" w:ascii="宋体" w:hAnsi="宋体"/>
                <w:szCs w:val="21"/>
                <w:u w:val="single"/>
                <w:lang w:val="en-US" w:eastAsia="zh-CN"/>
              </w:rPr>
              <w:t xml:space="preserve"> </w:t>
            </w:r>
            <w:r>
              <w:rPr>
                <w:rFonts w:ascii="宋体" w:hAnsi="宋体"/>
                <w:szCs w:val="21"/>
                <w:u w:val="single"/>
              </w:rPr>
              <w:t xml:space="preserve">  </w:t>
            </w:r>
            <w:r>
              <w:rPr>
                <w:rFonts w:hint="eastAsia" w:ascii="宋体" w:hAnsi="宋体"/>
                <w:szCs w:val="21"/>
                <w:u w:val="single"/>
                <w:lang w:val="en-US" w:eastAsia="zh-CN"/>
              </w:rPr>
              <w:t>/</w:t>
            </w:r>
            <w:r>
              <w:rPr>
                <w:rFonts w:ascii="宋体" w:hAnsi="宋体"/>
                <w:szCs w:val="21"/>
                <w:u w:val="single"/>
              </w:rPr>
              <w:t xml:space="preserve">          </w:t>
            </w:r>
          </w:p>
          <w:p>
            <w:pPr>
              <w:spacing w:line="360" w:lineRule="auto"/>
              <w:rPr>
                <w:rFonts w:hint="eastAsia" w:ascii="宋体" w:hAnsi="宋体"/>
                <w:szCs w:val="21"/>
              </w:rPr>
            </w:pPr>
            <w:r>
              <w:rPr>
                <w:rFonts w:hint="eastAsia" w:ascii="宋体" w:hAnsi="宋体"/>
                <w:szCs w:val="21"/>
              </w:rPr>
              <w:t>检测机构：</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u w:val="single"/>
                <w:lang w:val="en-US" w:eastAsia="zh-CN"/>
              </w:rPr>
              <w:t>/</w:t>
            </w:r>
            <w:r>
              <w:rPr>
                <w:rFonts w:hint="eastAsia" w:ascii="宋体" w:hAnsi="宋体"/>
                <w:szCs w:val="21"/>
                <w:u w:val="singl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szCs w:val="21"/>
              </w:rPr>
            </w:pPr>
            <w:r>
              <w:rPr>
                <w:rFonts w:ascii="宋体" w:hAnsi="宋体"/>
                <w:szCs w:val="21"/>
              </w:rPr>
              <w:t>2</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Cs w:val="21"/>
              </w:rPr>
            </w:pPr>
            <w:r>
              <w:rPr>
                <w:rFonts w:hint="eastAsia" w:ascii="宋体" w:hAnsi="宋体"/>
                <w:szCs w:val="21"/>
              </w:rPr>
              <w:t>工程名称</w:t>
            </w:r>
          </w:p>
        </w:tc>
        <w:tc>
          <w:tcPr>
            <w:tcW w:w="6365" w:type="dxa"/>
            <w:tcBorders>
              <w:top w:val="single" w:color="auto" w:sz="4" w:space="0"/>
              <w:left w:val="single" w:color="auto" w:sz="4" w:space="0"/>
              <w:bottom w:val="single" w:color="auto" w:sz="4" w:space="0"/>
              <w:right w:val="double" w:color="auto" w:sz="4" w:space="0"/>
            </w:tcBorders>
            <w:vAlign w:val="center"/>
          </w:tcPr>
          <w:p>
            <w:pPr>
              <w:spacing w:line="360" w:lineRule="auto"/>
              <w:rPr>
                <w:rFonts w:hint="eastAsia" w:ascii="宋体" w:hAnsi="宋体" w:eastAsia="宋体"/>
                <w:szCs w:val="21"/>
                <w:u w:val="single"/>
                <w:lang w:eastAsia="zh-CN"/>
              </w:rPr>
            </w:pPr>
            <w:r>
              <w:rPr>
                <w:rFonts w:hint="eastAsia" w:ascii="宋体" w:hAnsi="宋体"/>
                <w:szCs w:val="21"/>
                <w:u w:val="single"/>
                <w:lang w:eastAsia="zh-CN"/>
              </w:rPr>
              <w:t>民营科技园公交站场施工总承包项目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szCs w:val="21"/>
              </w:rPr>
            </w:pPr>
            <w:r>
              <w:rPr>
                <w:rFonts w:ascii="宋体" w:hAnsi="宋体"/>
                <w:szCs w:val="21"/>
              </w:rPr>
              <w:t>3</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Cs w:val="21"/>
              </w:rPr>
            </w:pPr>
            <w:r>
              <w:rPr>
                <w:rFonts w:hint="eastAsia" w:ascii="宋体" w:hAnsi="宋体"/>
                <w:szCs w:val="21"/>
              </w:rPr>
              <w:t>建设地点</w:t>
            </w:r>
          </w:p>
        </w:tc>
        <w:tc>
          <w:tcPr>
            <w:tcW w:w="6365" w:type="dxa"/>
            <w:tcBorders>
              <w:top w:val="single" w:color="auto" w:sz="4" w:space="0"/>
              <w:left w:val="single" w:color="auto" w:sz="4" w:space="0"/>
              <w:bottom w:val="single" w:color="auto" w:sz="4" w:space="0"/>
              <w:right w:val="double" w:color="auto" w:sz="4" w:space="0"/>
            </w:tcBorders>
            <w:vAlign w:val="center"/>
          </w:tcPr>
          <w:p>
            <w:pPr>
              <w:spacing w:line="360" w:lineRule="auto"/>
              <w:rPr>
                <w:rFonts w:hint="eastAsia" w:ascii="宋体" w:hAnsi="宋体"/>
                <w:szCs w:val="21"/>
                <w:u w:val="single"/>
              </w:rPr>
            </w:pPr>
            <w:r>
              <w:rPr>
                <w:rFonts w:hint="eastAsia" w:ascii="宋体" w:hAnsi="宋体"/>
                <w:szCs w:val="21"/>
                <w:u w:val="single"/>
              </w:rPr>
              <w:t>广州市白云区太和镇科兴路北侧、草塘路西侧AB1207006地块</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szCs w:val="21"/>
              </w:rPr>
            </w:pPr>
            <w:r>
              <w:rPr>
                <w:rFonts w:ascii="宋体" w:hAnsi="宋体"/>
                <w:szCs w:val="21"/>
              </w:rPr>
              <w:t>4</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Cs w:val="21"/>
              </w:rPr>
            </w:pPr>
            <w:r>
              <w:rPr>
                <w:rFonts w:hint="eastAsia" w:ascii="宋体" w:hAnsi="宋体"/>
                <w:szCs w:val="21"/>
              </w:rPr>
              <w:t>建设规模</w:t>
            </w:r>
          </w:p>
        </w:tc>
        <w:tc>
          <w:tcPr>
            <w:tcW w:w="6365" w:type="dxa"/>
            <w:tcBorders>
              <w:top w:val="single" w:color="auto" w:sz="4" w:space="0"/>
              <w:left w:val="single" w:color="auto" w:sz="4" w:space="0"/>
              <w:bottom w:val="single" w:color="auto" w:sz="4" w:space="0"/>
              <w:right w:val="double" w:color="auto" w:sz="4" w:space="0"/>
            </w:tcBorders>
            <w:vAlign w:val="center"/>
          </w:tcPr>
          <w:p>
            <w:pPr>
              <w:spacing w:line="360" w:lineRule="auto"/>
              <w:rPr>
                <w:rFonts w:hint="eastAsia" w:ascii="宋体" w:hAnsi="宋体"/>
                <w:szCs w:val="21"/>
                <w:u w:val="single"/>
              </w:rPr>
            </w:pPr>
            <w:r>
              <w:rPr>
                <w:rFonts w:hint="eastAsia" w:ascii="宋体" w:hAnsi="宋体"/>
                <w:szCs w:val="21"/>
                <w:u w:val="single"/>
              </w:rPr>
              <w:t>详见招标公告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szCs w:val="21"/>
              </w:rPr>
            </w:pPr>
            <w:r>
              <w:rPr>
                <w:rFonts w:ascii="宋体" w:hAnsi="宋体"/>
                <w:szCs w:val="21"/>
              </w:rPr>
              <w:t>5</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Cs w:val="21"/>
              </w:rPr>
            </w:pPr>
            <w:r>
              <w:rPr>
                <w:rFonts w:hint="eastAsia" w:ascii="宋体" w:hAnsi="宋体"/>
                <w:szCs w:val="21"/>
              </w:rPr>
              <w:t>承包方式</w:t>
            </w:r>
          </w:p>
        </w:tc>
        <w:tc>
          <w:tcPr>
            <w:tcW w:w="6365" w:type="dxa"/>
            <w:tcBorders>
              <w:top w:val="single" w:color="auto" w:sz="4" w:space="0"/>
              <w:left w:val="single" w:color="auto" w:sz="4" w:space="0"/>
              <w:bottom w:val="single" w:color="auto" w:sz="4" w:space="0"/>
              <w:right w:val="double" w:color="auto" w:sz="4" w:space="0"/>
            </w:tcBorders>
            <w:vAlign w:val="center"/>
          </w:tcPr>
          <w:p>
            <w:pPr>
              <w:spacing w:line="360" w:lineRule="auto"/>
            </w:pPr>
            <w:r>
              <w:rPr>
                <w:rFonts w:hint="eastAsia" w:ascii="宋体" w:hAnsi="宋体"/>
                <w:szCs w:val="21"/>
                <w:lang w:val="en-US" w:eastAsia="zh-CN"/>
              </w:rPr>
              <w:t>本工程实行以工程量清单综合单价包干，绿色施工安全防护措施费总价包干，未提及的其他任何费用均不计取。（专用条款另有约定的除外），工程量按实结算。投标人根据招标人提供的工程量清单、图纸等有关资料，结合工程现场实际情况、工程性质、工程特点等要求，包人工、包材料、包机械、包深化设计、包工期、包质量、包安全生产、包文明施工（确保工程无重大安全事故，确保现场安全文明施工）、包对本工程相关的协调及配合服务、包验收移交、包保修，同时包括成品保护、垃圾外运（按广州市的相关规定进行清运）、清洗施工现场等全部内容，达到规范验收要求。完成后，负责编制竣工文件。具体详见本项目施工合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szCs w:val="21"/>
              </w:rPr>
            </w:pPr>
            <w:r>
              <w:rPr>
                <w:rFonts w:ascii="宋体" w:hAnsi="宋体"/>
                <w:szCs w:val="21"/>
              </w:rPr>
              <w:t>6</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Cs w:val="21"/>
              </w:rPr>
            </w:pPr>
            <w:r>
              <w:rPr>
                <w:rFonts w:hint="eastAsia" w:ascii="宋体" w:hAnsi="宋体"/>
                <w:szCs w:val="21"/>
              </w:rPr>
              <w:t>质量标准</w:t>
            </w:r>
          </w:p>
        </w:tc>
        <w:tc>
          <w:tcPr>
            <w:tcW w:w="6365" w:type="dxa"/>
            <w:tcBorders>
              <w:top w:val="single" w:color="auto" w:sz="4" w:space="0"/>
              <w:left w:val="single" w:color="auto" w:sz="4" w:space="0"/>
              <w:bottom w:val="single" w:color="auto" w:sz="4" w:space="0"/>
              <w:right w:val="double" w:color="auto" w:sz="4" w:space="0"/>
            </w:tcBorders>
            <w:vAlign w:val="center"/>
          </w:tcPr>
          <w:p>
            <w:pPr>
              <w:spacing w:line="360" w:lineRule="auto"/>
              <w:rPr>
                <w:rFonts w:hint="eastAsia" w:ascii="宋体" w:hAnsi="宋体"/>
                <w:szCs w:val="21"/>
                <w:u w:val="single"/>
              </w:rPr>
            </w:pPr>
            <w:r>
              <w:rPr>
                <w:rFonts w:hint="eastAsia" w:ascii="宋体" w:hAnsi="宋体"/>
                <w:szCs w:val="21"/>
                <w:u w:val="single"/>
              </w:rPr>
              <w:t>合格</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szCs w:val="21"/>
              </w:rPr>
            </w:pPr>
            <w:r>
              <w:rPr>
                <w:rFonts w:ascii="宋体" w:hAnsi="宋体"/>
                <w:szCs w:val="21"/>
              </w:rPr>
              <w:t>7</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Cs w:val="21"/>
              </w:rPr>
            </w:pPr>
            <w:r>
              <w:rPr>
                <w:rFonts w:hint="eastAsia" w:ascii="宋体" w:hAnsi="宋体"/>
                <w:szCs w:val="21"/>
              </w:rPr>
              <w:t>招标范围</w:t>
            </w:r>
          </w:p>
        </w:tc>
        <w:tc>
          <w:tcPr>
            <w:tcW w:w="6365" w:type="dxa"/>
            <w:tcBorders>
              <w:top w:val="single" w:color="auto" w:sz="4" w:space="0"/>
              <w:left w:val="single" w:color="auto" w:sz="4" w:space="0"/>
              <w:bottom w:val="single" w:color="auto" w:sz="4" w:space="0"/>
              <w:right w:val="double" w:color="auto" w:sz="4" w:space="0"/>
            </w:tcBorders>
            <w:vAlign w:val="center"/>
          </w:tcPr>
          <w:p>
            <w:pPr>
              <w:spacing w:line="360" w:lineRule="auto"/>
              <w:rPr>
                <w:rFonts w:hint="eastAsia" w:ascii="宋体" w:hAnsi="宋体"/>
                <w:szCs w:val="21"/>
                <w:u w:val="single"/>
              </w:rPr>
            </w:pPr>
            <w:r>
              <w:rPr>
                <w:rFonts w:hint="eastAsia" w:ascii="宋体" w:hAnsi="宋体"/>
                <w:szCs w:val="21"/>
                <w:u w:val="single"/>
              </w:rPr>
              <w:t>详见招标公告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szCs w:val="21"/>
              </w:rPr>
            </w:pPr>
            <w:r>
              <w:rPr>
                <w:rFonts w:ascii="宋体" w:hAnsi="宋体"/>
                <w:szCs w:val="21"/>
              </w:rPr>
              <w:t>8</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Cs w:val="21"/>
              </w:rPr>
            </w:pPr>
            <w:r>
              <w:rPr>
                <w:rFonts w:hint="eastAsia" w:ascii="宋体" w:hAnsi="宋体"/>
                <w:szCs w:val="21"/>
              </w:rPr>
              <w:t>工期要求</w:t>
            </w:r>
          </w:p>
        </w:tc>
        <w:tc>
          <w:tcPr>
            <w:tcW w:w="6365" w:type="dxa"/>
            <w:tcBorders>
              <w:top w:val="single" w:color="auto" w:sz="4" w:space="0"/>
              <w:left w:val="single" w:color="auto" w:sz="4" w:space="0"/>
              <w:bottom w:val="single" w:color="auto" w:sz="4" w:space="0"/>
              <w:right w:val="double" w:color="auto" w:sz="4" w:space="0"/>
            </w:tcBorders>
            <w:vAlign w:val="center"/>
          </w:tcPr>
          <w:p>
            <w:pPr>
              <w:spacing w:line="360" w:lineRule="auto"/>
              <w:rPr>
                <w:rFonts w:hint="eastAsia" w:ascii="宋体" w:hAnsi="宋体"/>
                <w:szCs w:val="21"/>
              </w:rPr>
            </w:pPr>
            <w:r>
              <w:rPr>
                <w:rFonts w:hint="eastAsia" w:ascii="宋体" w:hAnsi="宋体"/>
                <w:szCs w:val="21"/>
              </w:rPr>
              <w:t>2025年</w:t>
            </w:r>
            <w:r>
              <w:rPr>
                <w:rFonts w:hint="eastAsia" w:ascii="宋体" w:hAnsi="宋体"/>
                <w:szCs w:val="21"/>
                <w:lang w:val="en-US" w:eastAsia="zh-CN"/>
              </w:rPr>
              <w:t>12</w:t>
            </w:r>
            <w:r>
              <w:rPr>
                <w:rFonts w:hint="eastAsia" w:ascii="宋体" w:hAnsi="宋体"/>
                <w:szCs w:val="21"/>
              </w:rPr>
              <w:t>月计划开工(具体以监理开工令或开工报告为准)，至工程施工总承包任务完成且完成竣工验收，施工总工期：</w:t>
            </w:r>
            <w:r>
              <w:rPr>
                <w:rFonts w:hint="eastAsia" w:ascii="宋体" w:hAnsi="宋体"/>
                <w:szCs w:val="21"/>
                <w:lang w:val="en-US" w:eastAsia="zh-CN"/>
              </w:rPr>
              <w:t>240</w:t>
            </w:r>
            <w:r>
              <w:rPr>
                <w:rFonts w:hint="eastAsia" w:ascii="宋体" w:hAnsi="宋体"/>
                <w:szCs w:val="21"/>
              </w:rPr>
              <w:t>日历天。</w:t>
            </w:r>
            <w:r>
              <w:rPr>
                <w:rFonts w:ascii="宋体" w:hAnsi="宋体"/>
                <w:szCs w:val="21"/>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szCs w:val="21"/>
              </w:rPr>
            </w:pPr>
            <w:r>
              <w:rPr>
                <w:rFonts w:ascii="宋体" w:hAnsi="宋体"/>
                <w:szCs w:val="21"/>
              </w:rPr>
              <w:t>9</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ascii="宋体" w:hAnsi="宋体"/>
                <w:szCs w:val="21"/>
              </w:rPr>
              <w:t>3.1</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Cs w:val="21"/>
              </w:rPr>
            </w:pPr>
            <w:r>
              <w:rPr>
                <w:rFonts w:hint="eastAsia" w:ascii="宋体" w:hAnsi="宋体"/>
                <w:szCs w:val="21"/>
              </w:rPr>
              <w:t>资金来源</w:t>
            </w:r>
          </w:p>
        </w:tc>
        <w:tc>
          <w:tcPr>
            <w:tcW w:w="6365" w:type="dxa"/>
            <w:tcBorders>
              <w:top w:val="single" w:color="auto" w:sz="4" w:space="0"/>
              <w:left w:val="single" w:color="auto" w:sz="4" w:space="0"/>
              <w:bottom w:val="single" w:color="auto" w:sz="4" w:space="0"/>
              <w:right w:val="double" w:color="auto" w:sz="4" w:space="0"/>
            </w:tcBorders>
            <w:vAlign w:val="center"/>
          </w:tcPr>
          <w:p>
            <w:pPr>
              <w:spacing w:line="360" w:lineRule="auto"/>
              <w:rPr>
                <w:rFonts w:hint="eastAsia" w:ascii="宋体" w:hAnsi="宋体"/>
                <w:szCs w:val="21"/>
                <w:u w:val="single"/>
              </w:rPr>
            </w:pPr>
            <w:r>
              <w:rPr>
                <w:rFonts w:hint="eastAsia" w:ascii="宋体" w:hAnsi="宋体"/>
                <w:szCs w:val="21"/>
                <w:u w:val="single"/>
              </w:rPr>
              <w:t>企业自筹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szCs w:val="21"/>
              </w:rPr>
            </w:pPr>
            <w:r>
              <w:rPr>
                <w:rFonts w:ascii="宋体" w:hAnsi="宋体"/>
                <w:szCs w:val="21"/>
              </w:rPr>
              <w:t>10</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ascii="宋体" w:hAnsi="宋体"/>
                <w:szCs w:val="21"/>
              </w:rPr>
              <w:t>4.1</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Cs w:val="21"/>
              </w:rPr>
            </w:pPr>
            <w:r>
              <w:rPr>
                <w:rFonts w:hint="eastAsia" w:ascii="宋体" w:hAnsi="宋体"/>
                <w:szCs w:val="21"/>
              </w:rPr>
              <w:t>投标人资质等级及项目负责人等级要求</w:t>
            </w:r>
          </w:p>
        </w:tc>
        <w:tc>
          <w:tcPr>
            <w:tcW w:w="6365" w:type="dxa"/>
            <w:tcBorders>
              <w:top w:val="single" w:color="auto" w:sz="4" w:space="0"/>
              <w:left w:val="single" w:color="auto" w:sz="4" w:space="0"/>
              <w:bottom w:val="single" w:color="auto" w:sz="4" w:space="0"/>
              <w:right w:val="double" w:color="auto" w:sz="4" w:space="0"/>
            </w:tcBorders>
            <w:vAlign w:val="center"/>
          </w:tcPr>
          <w:p>
            <w:pPr>
              <w:spacing w:line="360" w:lineRule="auto"/>
              <w:rPr>
                <w:rFonts w:hint="eastAsia" w:ascii="宋体" w:hAnsi="宋体"/>
                <w:szCs w:val="21"/>
              </w:rPr>
            </w:pPr>
            <w:r>
              <w:rPr>
                <w:rFonts w:hint="eastAsia" w:ascii="宋体" w:hAnsi="宋体"/>
                <w:szCs w:val="21"/>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szCs w:val="21"/>
              </w:rPr>
            </w:pPr>
            <w:r>
              <w:rPr>
                <w:rFonts w:ascii="宋体" w:hAnsi="宋体"/>
                <w:szCs w:val="21"/>
              </w:rPr>
              <w:t>11</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jc w:val="center"/>
              <w:rPr>
                <w:rFonts w:hint="eastAsia"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Cs w:val="21"/>
              </w:rPr>
            </w:pPr>
            <w:r>
              <w:rPr>
                <w:rFonts w:hint="eastAsia" w:ascii="宋体" w:hAnsi="宋体"/>
                <w:szCs w:val="21"/>
              </w:rPr>
              <w:t>资格审查方式</w:t>
            </w:r>
          </w:p>
        </w:tc>
        <w:tc>
          <w:tcPr>
            <w:tcW w:w="6365" w:type="dxa"/>
            <w:tcBorders>
              <w:top w:val="single" w:color="auto" w:sz="4" w:space="0"/>
              <w:left w:val="single" w:color="auto" w:sz="4" w:space="0"/>
              <w:bottom w:val="single" w:color="auto" w:sz="4" w:space="0"/>
              <w:right w:val="double" w:color="auto" w:sz="4" w:space="0"/>
            </w:tcBorders>
            <w:vAlign w:val="center"/>
          </w:tcPr>
          <w:p>
            <w:pPr>
              <w:spacing w:line="360" w:lineRule="auto"/>
              <w:rPr>
                <w:rFonts w:hint="eastAsia" w:ascii="宋体" w:hAnsi="宋体"/>
                <w:szCs w:val="21"/>
              </w:rPr>
            </w:pPr>
            <w:r>
              <w:rPr>
                <w:rFonts w:hint="eastAsia" w:ascii="宋体" w:hAnsi="宋体"/>
                <w:szCs w:val="21"/>
              </w:rPr>
              <w:t>详见本工程招标公告。具体内容以工程量清单、施工招标图纸及有关资料为准。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szCs w:val="21"/>
              </w:rPr>
            </w:pPr>
            <w:r>
              <w:rPr>
                <w:rFonts w:ascii="宋体" w:hAnsi="宋体"/>
                <w:szCs w:val="21"/>
              </w:rPr>
              <w:t>12</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ascii="宋体" w:hAnsi="宋体"/>
                <w:szCs w:val="21"/>
              </w:rPr>
              <w:t>13.1</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Cs w:val="21"/>
              </w:rPr>
            </w:pPr>
            <w:r>
              <w:rPr>
                <w:rFonts w:hint="eastAsia" w:ascii="宋体" w:hAnsi="宋体"/>
                <w:szCs w:val="21"/>
              </w:rPr>
              <w:t>报价以及单价和总价计算方式</w:t>
            </w:r>
          </w:p>
        </w:tc>
        <w:tc>
          <w:tcPr>
            <w:tcW w:w="6365" w:type="dxa"/>
            <w:tcBorders>
              <w:top w:val="single" w:color="auto" w:sz="4" w:space="0"/>
              <w:left w:val="single" w:color="auto" w:sz="4" w:space="0"/>
              <w:bottom w:val="single" w:color="auto" w:sz="4" w:space="0"/>
              <w:right w:val="double" w:color="auto" w:sz="4" w:space="0"/>
            </w:tcBorders>
            <w:vAlign w:val="center"/>
          </w:tcPr>
          <w:p>
            <w:pPr>
              <w:spacing w:line="360" w:lineRule="auto"/>
              <w:rPr>
                <w:rFonts w:hint="eastAsia" w:ascii="宋体" w:hAnsi="宋体"/>
                <w:szCs w:val="21"/>
              </w:rPr>
            </w:pPr>
            <w:r>
              <w:rPr>
                <w:rFonts w:hint="eastAsia" w:ascii="宋体" w:hAnsi="宋体"/>
                <w:szCs w:val="21"/>
              </w:rPr>
              <w:t>工程量清单计价。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szCs w:val="21"/>
              </w:rPr>
            </w:pPr>
            <w:r>
              <w:rPr>
                <w:rFonts w:ascii="宋体" w:hAnsi="宋体"/>
                <w:szCs w:val="21"/>
              </w:rPr>
              <w:t>13</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ascii="宋体" w:hAnsi="宋体"/>
                <w:szCs w:val="21"/>
              </w:rPr>
              <w:t>15.1</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Cs w:val="21"/>
              </w:rPr>
            </w:pPr>
            <w:r>
              <w:rPr>
                <w:rFonts w:hint="eastAsia" w:ascii="宋体" w:hAnsi="宋体"/>
                <w:szCs w:val="21"/>
              </w:rPr>
              <w:t>投标有效期</w:t>
            </w:r>
          </w:p>
        </w:tc>
        <w:tc>
          <w:tcPr>
            <w:tcW w:w="6365" w:type="dxa"/>
            <w:tcBorders>
              <w:top w:val="single" w:color="auto" w:sz="4" w:space="0"/>
              <w:left w:val="single" w:color="auto" w:sz="4" w:space="0"/>
              <w:bottom w:val="single" w:color="auto" w:sz="4" w:space="0"/>
              <w:right w:val="double" w:color="auto" w:sz="4" w:space="0"/>
            </w:tcBorders>
            <w:vAlign w:val="center"/>
          </w:tcPr>
          <w:p>
            <w:pPr>
              <w:spacing w:line="360" w:lineRule="auto"/>
              <w:rPr>
                <w:rFonts w:hint="eastAsia" w:ascii="宋体" w:hAnsi="宋体"/>
                <w:szCs w:val="21"/>
                <w:u w:val="single"/>
              </w:rPr>
            </w:pPr>
            <w:r>
              <w:rPr>
                <w:rFonts w:hint="eastAsia" w:ascii="宋体" w:hAnsi="宋体"/>
                <w:szCs w:val="21"/>
                <w:u w:val="single"/>
              </w:rPr>
              <w:t>120</w:t>
            </w:r>
            <w:r>
              <w:rPr>
                <w:rFonts w:hint="eastAsia" w:ascii="宋体" w:hAnsi="宋体"/>
                <w:szCs w:val="21"/>
              </w:rPr>
              <w:t>日历天。（从投标截止之日计起）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szCs w:val="21"/>
              </w:rPr>
            </w:pPr>
            <w:r>
              <w:rPr>
                <w:rFonts w:ascii="宋体" w:hAnsi="宋体"/>
                <w:szCs w:val="21"/>
              </w:rPr>
              <w:t>14</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ascii="宋体" w:hAnsi="宋体"/>
                <w:szCs w:val="21"/>
              </w:rPr>
              <w:t>16.1</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Cs w:val="21"/>
              </w:rPr>
            </w:pPr>
            <w:r>
              <w:rPr>
                <w:rFonts w:hint="eastAsia" w:ascii="宋体" w:hAnsi="宋体"/>
                <w:szCs w:val="21"/>
              </w:rPr>
              <w:t>投标保证金</w:t>
            </w:r>
          </w:p>
        </w:tc>
        <w:tc>
          <w:tcPr>
            <w:tcW w:w="6365" w:type="dxa"/>
            <w:tcBorders>
              <w:top w:val="single" w:color="auto" w:sz="4" w:space="0"/>
              <w:left w:val="single" w:color="auto" w:sz="4" w:space="0"/>
              <w:bottom w:val="single" w:color="auto" w:sz="4" w:space="0"/>
              <w:right w:val="double" w:color="auto" w:sz="4" w:space="0"/>
            </w:tcBorders>
            <w:vAlign w:val="center"/>
          </w:tcPr>
          <w:p>
            <w:pPr>
              <w:spacing w:line="360" w:lineRule="auto"/>
            </w:pPr>
            <w:r>
              <w:rPr>
                <w:rFonts w:hint="eastAsia"/>
              </w:rPr>
              <w:t>方式二：</w:t>
            </w:r>
            <w:r>
              <w:rPr>
                <w:rFonts w:hint="eastAsia"/>
                <w:highlight w:val="none"/>
                <w:lang w:val="en-US" w:eastAsia="zh-CN"/>
              </w:rPr>
              <w:t>12</w:t>
            </w:r>
            <w:r>
              <w:rPr>
                <w:rFonts w:hint="eastAsia"/>
                <w:highlight w:val="none"/>
              </w:rPr>
              <w:t>万元人民币，</w:t>
            </w:r>
            <w:r>
              <w:rPr>
                <w:rFonts w:hint="eastAsia"/>
              </w:rPr>
              <w:t>缴纳时间在投标截止时间之前。</w:t>
            </w:r>
          </w:p>
          <w:p>
            <w:pPr>
              <w:spacing w:line="360" w:lineRule="auto"/>
            </w:pPr>
            <w:r>
              <w:rPr>
                <w:rFonts w:hint="eastAsia"/>
              </w:rPr>
              <w:t>投标保证金可采用现金、支票、投标保函、投标保证保险、专业工程担保公司担保等方式缴纳投标保证金，须在递交投标文件截止时间前完成缴纳。</w:t>
            </w:r>
          </w:p>
          <w:p>
            <w:pPr>
              <w:spacing w:line="360" w:lineRule="auto"/>
            </w:pPr>
            <w:r>
              <w:rPr>
                <w:rFonts w:hint="eastAsia"/>
              </w:rPr>
              <w:t>1、如采用现金或者支票形式提交的，投标保证金从投标人基本账户递交，由广州公共资源交易中心代收。具体操作要求详见广州公共资源交易中心有关指引，递交事宜请自行咨询交易中心；请各投标人在投标文件递交截止时间前按上述金额递交至广州公共资源交易中心，到账情况以开标时广州公共资源交易中心数据库查询的信息为准。</w:t>
            </w:r>
          </w:p>
          <w:p>
            <w:pPr>
              <w:spacing w:line="360" w:lineRule="auto"/>
            </w:pPr>
            <w:r>
              <w:rPr>
                <w:rFonts w:hint="eastAsia"/>
              </w:rPr>
              <w:t>2、如采用投标保函、投标保证保险、专业工程担保公司担保等形式提交投标保证金的，在开标前不强制要求提交纸质原件，由中标候选人在中标候选人公示前提交并在网上公示，但投标人应在投标文件中提交投标保函或投标保证保险等的扫描件并加盖投标人电子印章。如投标人选择在开标前提交纸质原件的，可在投标截止时间前单独密封递交至开标室（时间及地点同递交投标文件备用光盘的时间及地点）。</w:t>
            </w:r>
          </w:p>
          <w:p>
            <w:pPr>
              <w:spacing w:line="360" w:lineRule="auto"/>
            </w:pPr>
            <w:r>
              <w:rPr>
                <w:rFonts w:hint="eastAsia"/>
              </w:rPr>
              <w:t>3、如采用电子保函方式提交投标保证金，具体操作详见《广州公共资源交易中心关于开通电子保函服务功能的通知》（http://www.gzggzy.cn/jtgg/822128.jhtml）</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szCs w:val="21"/>
              </w:rPr>
            </w:pPr>
            <w:r>
              <w:rPr>
                <w:rFonts w:ascii="宋体" w:hAnsi="宋体"/>
                <w:szCs w:val="21"/>
              </w:rPr>
              <w:t>15</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ascii="宋体" w:hAnsi="宋体"/>
                <w:szCs w:val="21"/>
              </w:rPr>
              <w:t>5</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Cs w:val="21"/>
              </w:rPr>
            </w:pPr>
            <w:r>
              <w:rPr>
                <w:rFonts w:hint="eastAsia" w:ascii="宋体" w:hAnsi="宋体"/>
                <w:szCs w:val="21"/>
              </w:rPr>
              <w:t>踏勘现场</w:t>
            </w:r>
          </w:p>
        </w:tc>
        <w:tc>
          <w:tcPr>
            <w:tcW w:w="6365" w:type="dxa"/>
            <w:tcBorders>
              <w:top w:val="single" w:color="auto" w:sz="4" w:space="0"/>
              <w:left w:val="single" w:color="auto" w:sz="4" w:space="0"/>
              <w:bottom w:val="single" w:color="auto" w:sz="4" w:space="0"/>
              <w:right w:val="double" w:color="auto" w:sz="4" w:space="0"/>
            </w:tcBorders>
            <w:vAlign w:val="center"/>
          </w:tcPr>
          <w:p>
            <w:pPr>
              <w:pStyle w:val="22"/>
              <w:spacing w:line="360" w:lineRule="auto"/>
              <w:rPr>
                <w:rFonts w:hint="eastAsia" w:ascii="宋体" w:hAnsi="宋体"/>
                <w:szCs w:val="21"/>
              </w:rPr>
            </w:pPr>
            <w:r>
              <w:rPr>
                <w:rFonts w:hint="eastAsia" w:ascii="宋体" w:hAnsi="宋体"/>
                <w:szCs w:val="21"/>
              </w:rPr>
              <w:t xml:space="preserve">招标人不集中组织，由投标人自行踏勘。 </w:t>
            </w:r>
            <w:r>
              <w:rPr>
                <w:rFonts w:ascii="宋体" w:hAnsi="宋体"/>
                <w:szCs w:val="21"/>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szCs w:val="21"/>
              </w:rPr>
            </w:pPr>
            <w:r>
              <w:rPr>
                <w:rFonts w:ascii="宋体" w:hAnsi="宋体"/>
                <w:szCs w:val="21"/>
              </w:rPr>
              <w:t>16</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ascii="宋体" w:hAnsi="宋体"/>
                <w:szCs w:val="21"/>
              </w:rPr>
              <w:t>8</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Cs w:val="21"/>
              </w:rPr>
            </w:pPr>
            <w:r>
              <w:rPr>
                <w:rFonts w:hint="eastAsia" w:ascii="宋体" w:hAnsi="宋体"/>
                <w:szCs w:val="21"/>
              </w:rPr>
              <w:t>投标答疑</w:t>
            </w:r>
          </w:p>
        </w:tc>
        <w:tc>
          <w:tcPr>
            <w:tcW w:w="6365" w:type="dxa"/>
            <w:tcBorders>
              <w:top w:val="single" w:color="auto" w:sz="4" w:space="0"/>
              <w:left w:val="single" w:color="auto" w:sz="4" w:space="0"/>
              <w:bottom w:val="single" w:color="auto" w:sz="4" w:space="0"/>
              <w:right w:val="double" w:color="auto" w:sz="4" w:space="0"/>
            </w:tcBorders>
            <w:vAlign w:val="center"/>
          </w:tcPr>
          <w:p>
            <w:pPr>
              <w:spacing w:line="360" w:lineRule="auto"/>
              <w:rPr>
                <w:rFonts w:hint="eastAsia" w:ascii="宋体" w:hAnsi="宋体"/>
                <w:szCs w:val="21"/>
              </w:rPr>
            </w:pPr>
            <w:r>
              <w:rPr>
                <w:rFonts w:hint="eastAsia" w:ascii="宋体" w:hAnsi="宋体"/>
                <w:szCs w:val="21"/>
              </w:rPr>
              <w:t>疑问提交时间：在递</w:t>
            </w:r>
            <w:r>
              <w:rPr>
                <w:rFonts w:hint="eastAsia" w:ascii="宋体" w:hAnsi="宋体"/>
                <w:szCs w:val="21"/>
                <w:u w:val="single"/>
              </w:rPr>
              <w:t>交投标文件截止日期前18日</w:t>
            </w:r>
            <w:r>
              <w:rPr>
                <w:rFonts w:hint="eastAsia" w:ascii="宋体" w:hAnsi="宋体"/>
                <w:szCs w:val="21"/>
              </w:rPr>
              <w:t>；</w:t>
            </w:r>
          </w:p>
          <w:p>
            <w:pPr>
              <w:spacing w:line="360" w:lineRule="auto"/>
              <w:rPr>
                <w:rFonts w:hint="eastAsia" w:ascii="宋体" w:hAnsi="宋体"/>
                <w:szCs w:val="21"/>
              </w:rPr>
            </w:pPr>
            <w:r>
              <w:rPr>
                <w:rFonts w:hint="eastAsia" w:ascii="宋体" w:hAnsi="宋体"/>
                <w:szCs w:val="21"/>
              </w:rPr>
              <w:t>形式：投标人的疑问通过</w:t>
            </w:r>
            <w:r>
              <w:rPr>
                <w:rFonts w:hint="eastAsia" w:ascii="宋体" w:hAnsi="宋体"/>
                <w:szCs w:val="21"/>
                <w:u w:val="single"/>
              </w:rPr>
              <w:t>广州交易集团有限公司（广州公共资源交易中心）</w:t>
            </w:r>
            <w:r>
              <w:rPr>
                <w:rFonts w:hint="eastAsia" w:ascii="宋体" w:hAnsi="宋体"/>
                <w:szCs w:val="21"/>
              </w:rPr>
              <w:t>交易平台提交。</w:t>
            </w:r>
          </w:p>
          <w:p>
            <w:pPr>
              <w:spacing w:line="360" w:lineRule="auto"/>
              <w:rPr>
                <w:rFonts w:hint="eastAsia" w:ascii="宋体" w:hAnsi="宋体"/>
                <w:szCs w:val="21"/>
              </w:rPr>
            </w:pPr>
            <w:r>
              <w:rPr>
                <w:rFonts w:hint="eastAsia" w:ascii="宋体" w:hAnsi="宋体"/>
                <w:szCs w:val="21"/>
              </w:rPr>
              <w:t>具体要求：按照交易平台关于全流程电子化项目的相关指南进行操作，详见：</w:t>
            </w:r>
            <w:r>
              <w:rPr>
                <w:rFonts w:hint="eastAsia" w:ascii="宋体" w:hAnsi="宋体"/>
                <w:szCs w:val="21"/>
                <w:u w:val="single"/>
              </w:rPr>
              <w:t>广州交易集团有限公司（广州公共资源交易中心）交易平台指引</w:t>
            </w:r>
            <w:r>
              <w:rPr>
                <w:rFonts w:hint="eastAsia" w:ascii="宋体" w:hAnsi="宋体"/>
                <w:szCs w:val="21"/>
              </w:rPr>
              <w:t>。提问一律不得署名。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szCs w:val="21"/>
              </w:rPr>
            </w:pPr>
            <w:r>
              <w:rPr>
                <w:rFonts w:ascii="宋体" w:hAnsi="宋体"/>
                <w:szCs w:val="21"/>
              </w:rPr>
              <w:t>1</w:t>
            </w:r>
            <w:r>
              <w:rPr>
                <w:rFonts w:hint="eastAsia" w:ascii="宋体" w:hAnsi="宋体"/>
                <w:szCs w:val="21"/>
              </w:rPr>
              <w:t>7</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20</w:t>
            </w:r>
            <w:r>
              <w:rPr>
                <w:rFonts w:ascii="宋体" w:hAnsi="宋体"/>
                <w:szCs w:val="21"/>
              </w:rPr>
              <w:t>.1</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Cs w:val="21"/>
              </w:rPr>
            </w:pPr>
            <w:r>
              <w:rPr>
                <w:rFonts w:hint="eastAsia" w:ascii="宋体" w:hAnsi="宋体"/>
                <w:szCs w:val="21"/>
              </w:rPr>
              <w:t>投标截止时间</w:t>
            </w:r>
          </w:p>
        </w:tc>
        <w:tc>
          <w:tcPr>
            <w:tcW w:w="6365" w:type="dxa"/>
            <w:tcBorders>
              <w:top w:val="single" w:color="auto" w:sz="4" w:space="0"/>
              <w:left w:val="single" w:color="auto" w:sz="4" w:space="0"/>
              <w:bottom w:val="single" w:color="auto" w:sz="4" w:space="0"/>
              <w:right w:val="double" w:color="auto" w:sz="4" w:space="0"/>
            </w:tcBorders>
            <w:vAlign w:val="center"/>
          </w:tcPr>
          <w:p>
            <w:pPr>
              <w:spacing w:line="360" w:lineRule="auto"/>
              <w:rPr>
                <w:rFonts w:hint="eastAsia" w:ascii="宋体" w:hAnsi="宋体"/>
                <w:strike/>
                <w:szCs w:val="21"/>
              </w:rPr>
            </w:pP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r>
              <w:rPr>
                <w:rFonts w:ascii="宋体" w:hAnsi="宋体"/>
                <w:szCs w:val="21"/>
                <w:u w:val="single"/>
              </w:rPr>
              <w:t xml:space="preserve">   </w:t>
            </w:r>
            <w:r>
              <w:rPr>
                <w:rFonts w:hint="eastAsia" w:ascii="宋体" w:hAnsi="宋体"/>
                <w:szCs w:val="21"/>
              </w:rPr>
              <w:t>时（北京时间）。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18</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ascii="宋体" w:hAnsi="宋体"/>
                <w:szCs w:val="21"/>
              </w:rPr>
              <w:t>20.1</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Cs w:val="21"/>
              </w:rPr>
            </w:pPr>
            <w:r>
              <w:rPr>
                <w:rFonts w:hint="eastAsia" w:ascii="宋体" w:hAnsi="宋体"/>
                <w:szCs w:val="21"/>
              </w:rPr>
              <w:t>开标开始时间和地点</w:t>
            </w:r>
          </w:p>
        </w:tc>
        <w:tc>
          <w:tcPr>
            <w:tcW w:w="6365" w:type="dxa"/>
            <w:tcBorders>
              <w:top w:val="single" w:color="auto" w:sz="4" w:space="0"/>
              <w:left w:val="single" w:color="auto" w:sz="4" w:space="0"/>
              <w:bottom w:val="single" w:color="auto" w:sz="4" w:space="0"/>
              <w:right w:val="double" w:color="auto" w:sz="4" w:space="0"/>
            </w:tcBorders>
            <w:vAlign w:val="center"/>
          </w:tcPr>
          <w:p>
            <w:pPr>
              <w:widowControl/>
              <w:spacing w:line="360" w:lineRule="auto"/>
              <w:jc w:val="left"/>
              <w:rPr>
                <w:rFonts w:hint="eastAsia" w:ascii="宋体" w:hAnsi="宋体" w:cs="宋体"/>
                <w:bCs/>
                <w:kern w:val="0"/>
                <w:szCs w:val="21"/>
              </w:rPr>
            </w:pPr>
            <w:r>
              <w:rPr>
                <w:rFonts w:hint="eastAsia" w:ascii="宋体" w:hAnsi="宋体" w:cs="宋体"/>
                <w:bCs/>
                <w:kern w:val="0"/>
                <w:szCs w:val="21"/>
              </w:rPr>
              <w:t>（技术标和经济标同时开标）</w:t>
            </w:r>
          </w:p>
          <w:p>
            <w:pPr>
              <w:widowControl/>
              <w:spacing w:line="360" w:lineRule="auto"/>
              <w:jc w:val="left"/>
              <w:rPr>
                <w:rFonts w:hint="eastAsia" w:ascii="宋体" w:hAnsi="宋体" w:cs="宋体"/>
                <w:bCs/>
                <w:kern w:val="0"/>
                <w:szCs w:val="21"/>
              </w:rPr>
            </w:pPr>
            <w:r>
              <w:rPr>
                <w:rFonts w:hint="eastAsia" w:ascii="宋体" w:hAnsi="宋体" w:cs="宋体"/>
                <w:bCs/>
                <w:kern w:val="0"/>
                <w:szCs w:val="21"/>
              </w:rPr>
              <w:t>1、开标开始时间：</w:t>
            </w:r>
            <w:r>
              <w:rPr>
                <w:rFonts w:hint="eastAsia" w:ascii="宋体" w:hAnsi="宋体" w:cs="宋体"/>
                <w:bCs/>
                <w:kern w:val="0"/>
                <w:szCs w:val="21"/>
                <w:u w:val="single"/>
              </w:rPr>
              <w:t xml:space="preserve">     </w:t>
            </w:r>
            <w:r>
              <w:rPr>
                <w:rFonts w:hint="eastAsia" w:ascii="宋体" w:hAnsi="宋体" w:cs="宋体"/>
                <w:bCs/>
                <w:kern w:val="0"/>
                <w:szCs w:val="21"/>
              </w:rPr>
              <w:t>年</w:t>
            </w:r>
            <w:r>
              <w:rPr>
                <w:rFonts w:hint="eastAsia" w:ascii="宋体" w:hAnsi="宋体" w:cs="宋体"/>
                <w:bCs/>
                <w:kern w:val="0"/>
                <w:szCs w:val="21"/>
                <w:u w:val="single"/>
              </w:rPr>
              <w:t xml:space="preserve">   </w:t>
            </w:r>
            <w:r>
              <w:rPr>
                <w:rFonts w:hint="eastAsia" w:ascii="宋体" w:hAnsi="宋体" w:cs="宋体"/>
                <w:bCs/>
                <w:kern w:val="0"/>
                <w:szCs w:val="21"/>
              </w:rPr>
              <w:t>月</w:t>
            </w:r>
            <w:r>
              <w:rPr>
                <w:rFonts w:hint="eastAsia" w:ascii="宋体" w:hAnsi="宋体" w:cs="宋体"/>
                <w:bCs/>
                <w:kern w:val="0"/>
                <w:szCs w:val="21"/>
                <w:u w:val="single"/>
              </w:rPr>
              <w:t xml:space="preserve">   </w:t>
            </w:r>
            <w:r>
              <w:rPr>
                <w:rFonts w:hint="eastAsia" w:ascii="宋体" w:hAnsi="宋体" w:cs="宋体"/>
                <w:bCs/>
                <w:kern w:val="0"/>
                <w:szCs w:val="21"/>
              </w:rPr>
              <w:t>日</w:t>
            </w:r>
            <w:r>
              <w:rPr>
                <w:rFonts w:hint="eastAsia" w:ascii="宋体" w:hAnsi="宋体" w:cs="宋体"/>
                <w:bCs/>
                <w:kern w:val="0"/>
                <w:szCs w:val="21"/>
                <w:u w:val="single"/>
              </w:rPr>
              <w:t xml:space="preserve">   </w:t>
            </w:r>
            <w:r>
              <w:rPr>
                <w:rFonts w:hint="eastAsia" w:ascii="宋体" w:hAnsi="宋体" w:cs="宋体"/>
                <w:bCs/>
                <w:kern w:val="0"/>
                <w:szCs w:val="21"/>
              </w:rPr>
              <w:t>时</w:t>
            </w:r>
            <w:r>
              <w:rPr>
                <w:rFonts w:hint="eastAsia" w:ascii="宋体" w:hAnsi="宋体" w:cs="宋体"/>
                <w:bCs/>
                <w:kern w:val="0"/>
                <w:szCs w:val="21"/>
                <w:u w:val="single"/>
              </w:rPr>
              <w:t xml:space="preserve">   </w:t>
            </w:r>
            <w:r>
              <w:rPr>
                <w:rFonts w:hint="eastAsia" w:ascii="宋体" w:hAnsi="宋体" w:cs="宋体"/>
                <w:bCs/>
                <w:kern w:val="0"/>
                <w:szCs w:val="21"/>
              </w:rPr>
              <w:t>分（与投标截止时间为同一时间），地点：</w:t>
            </w:r>
            <w:r>
              <w:rPr>
                <w:rFonts w:hint="eastAsia" w:ascii="宋体" w:hAnsi="宋体" w:cs="宋体"/>
                <w:bCs/>
                <w:kern w:val="0"/>
                <w:szCs w:val="21"/>
                <w:u w:val="single"/>
              </w:rPr>
              <w:t>广州交易集团有限公司（广州公共资源交易中心）开标室,具体安排请投标人自行登陆“http://www.gzggzy.cn/xmcxjsgc/index.jhtml”进行查询</w:t>
            </w:r>
            <w:r>
              <w:rPr>
                <w:rFonts w:hint="eastAsia" w:ascii="宋体" w:hAnsi="宋体" w:cs="宋体"/>
                <w:bCs/>
                <w:kern w:val="0"/>
                <w:szCs w:val="21"/>
              </w:rPr>
              <w:t>。投标人也可选择参加在线开标，具体按照交易平台相关指南进行操作。详见：</w:t>
            </w:r>
            <w:r>
              <w:rPr>
                <w:rFonts w:hint="eastAsia" w:ascii="宋体" w:hAnsi="宋体" w:cs="宋体"/>
                <w:bCs/>
                <w:kern w:val="0"/>
                <w:szCs w:val="21"/>
                <w:u w:val="single"/>
              </w:rPr>
              <w:t xml:space="preserve">        </w:t>
            </w:r>
            <w:r>
              <w:rPr>
                <w:rFonts w:hint="eastAsia" w:ascii="宋体" w:hAnsi="宋体" w:cs="宋体"/>
                <w:bCs/>
                <w:kern w:val="0"/>
                <w:szCs w:val="21"/>
              </w:rPr>
              <w:t>。</w:t>
            </w:r>
          </w:p>
          <w:p>
            <w:pPr>
              <w:widowControl/>
              <w:spacing w:line="360" w:lineRule="auto"/>
              <w:jc w:val="left"/>
              <w:rPr>
                <w:rFonts w:hint="eastAsia" w:ascii="宋体" w:hAnsi="宋体" w:cs="宋体"/>
                <w:bCs/>
                <w:kern w:val="0"/>
                <w:szCs w:val="21"/>
              </w:rPr>
            </w:pPr>
            <w:r>
              <w:rPr>
                <w:rFonts w:hint="eastAsia" w:ascii="宋体" w:hAnsi="宋体" w:cs="宋体"/>
                <w:bCs/>
                <w:kern w:val="0"/>
                <w:szCs w:val="21"/>
              </w:rPr>
              <w:t>2、递交投标文件备用光盘时间：</w:t>
            </w:r>
            <w:r>
              <w:rPr>
                <w:rFonts w:hint="eastAsia" w:ascii="宋体" w:hAnsi="宋体" w:cs="宋体"/>
                <w:bCs/>
                <w:kern w:val="0"/>
                <w:szCs w:val="21"/>
                <w:u w:val="single"/>
              </w:rPr>
              <w:t xml:space="preserve">    </w:t>
            </w:r>
            <w:r>
              <w:rPr>
                <w:rFonts w:hint="eastAsia" w:ascii="宋体" w:hAnsi="宋体" w:cs="宋体"/>
                <w:bCs/>
                <w:kern w:val="0"/>
                <w:szCs w:val="21"/>
              </w:rPr>
              <w:t>年</w:t>
            </w:r>
            <w:r>
              <w:rPr>
                <w:rFonts w:hint="eastAsia" w:ascii="宋体" w:hAnsi="宋体" w:cs="宋体"/>
                <w:bCs/>
                <w:kern w:val="0"/>
                <w:szCs w:val="21"/>
                <w:u w:val="single"/>
              </w:rPr>
              <w:t xml:space="preserve">   </w:t>
            </w:r>
            <w:r>
              <w:rPr>
                <w:rFonts w:hint="eastAsia" w:ascii="宋体" w:hAnsi="宋体" w:cs="宋体"/>
                <w:bCs/>
                <w:kern w:val="0"/>
                <w:szCs w:val="21"/>
              </w:rPr>
              <w:t>月</w:t>
            </w:r>
            <w:r>
              <w:rPr>
                <w:rFonts w:hint="eastAsia" w:ascii="宋体" w:hAnsi="宋体" w:cs="宋体"/>
                <w:bCs/>
                <w:kern w:val="0"/>
                <w:szCs w:val="21"/>
                <w:u w:val="single"/>
              </w:rPr>
              <w:t xml:space="preserve">   </w:t>
            </w:r>
            <w:r>
              <w:rPr>
                <w:rFonts w:hint="eastAsia" w:ascii="宋体" w:hAnsi="宋体" w:cs="宋体"/>
                <w:bCs/>
                <w:kern w:val="0"/>
                <w:szCs w:val="21"/>
              </w:rPr>
              <w:t>日</w:t>
            </w:r>
            <w:r>
              <w:rPr>
                <w:rFonts w:hint="eastAsia" w:ascii="宋体" w:hAnsi="宋体" w:cs="宋体"/>
                <w:bCs/>
                <w:kern w:val="0"/>
                <w:szCs w:val="21"/>
                <w:u w:val="single"/>
              </w:rPr>
              <w:t xml:space="preserve">   </w:t>
            </w:r>
            <w:r>
              <w:rPr>
                <w:rFonts w:hint="eastAsia" w:ascii="宋体" w:hAnsi="宋体" w:cs="宋体"/>
                <w:bCs/>
                <w:kern w:val="0"/>
                <w:szCs w:val="21"/>
              </w:rPr>
              <w:t>时</w:t>
            </w:r>
            <w:r>
              <w:rPr>
                <w:rFonts w:hint="eastAsia" w:ascii="宋体" w:hAnsi="宋体" w:cs="宋体"/>
                <w:bCs/>
                <w:kern w:val="0"/>
                <w:szCs w:val="21"/>
                <w:u w:val="single"/>
              </w:rPr>
              <w:t xml:space="preserve">   </w:t>
            </w:r>
            <w:r>
              <w:rPr>
                <w:rFonts w:hint="eastAsia" w:ascii="宋体" w:hAnsi="宋体" w:cs="宋体"/>
                <w:bCs/>
                <w:kern w:val="0"/>
                <w:szCs w:val="21"/>
              </w:rPr>
              <w:t>分至</w:t>
            </w:r>
            <w:r>
              <w:rPr>
                <w:rFonts w:hint="eastAsia" w:ascii="宋体" w:hAnsi="宋体" w:cs="宋体"/>
                <w:bCs/>
                <w:kern w:val="0"/>
                <w:szCs w:val="21"/>
                <w:u w:val="single"/>
              </w:rPr>
              <w:t xml:space="preserve">     </w:t>
            </w:r>
            <w:r>
              <w:rPr>
                <w:rFonts w:hint="eastAsia" w:ascii="宋体" w:hAnsi="宋体" w:cs="宋体"/>
                <w:bCs/>
                <w:kern w:val="0"/>
                <w:szCs w:val="21"/>
              </w:rPr>
              <w:t>年</w:t>
            </w:r>
            <w:r>
              <w:rPr>
                <w:rFonts w:hint="eastAsia" w:ascii="宋体" w:hAnsi="宋体" w:cs="宋体"/>
                <w:bCs/>
                <w:kern w:val="0"/>
                <w:szCs w:val="21"/>
                <w:u w:val="single"/>
              </w:rPr>
              <w:t xml:space="preserve">   </w:t>
            </w:r>
            <w:r>
              <w:rPr>
                <w:rFonts w:hint="eastAsia" w:ascii="宋体" w:hAnsi="宋体" w:cs="宋体"/>
                <w:bCs/>
                <w:kern w:val="0"/>
                <w:szCs w:val="21"/>
              </w:rPr>
              <w:t>月</w:t>
            </w:r>
            <w:r>
              <w:rPr>
                <w:rFonts w:hint="eastAsia" w:ascii="宋体" w:hAnsi="宋体" w:cs="宋体"/>
                <w:bCs/>
                <w:kern w:val="0"/>
                <w:szCs w:val="21"/>
                <w:u w:val="single"/>
              </w:rPr>
              <w:t xml:space="preserve">   </w:t>
            </w:r>
            <w:r>
              <w:rPr>
                <w:rFonts w:hint="eastAsia" w:ascii="宋体" w:hAnsi="宋体" w:cs="宋体"/>
                <w:bCs/>
                <w:kern w:val="0"/>
                <w:szCs w:val="21"/>
              </w:rPr>
              <w:t>日   时</w:t>
            </w:r>
            <w:r>
              <w:rPr>
                <w:rFonts w:hint="eastAsia" w:ascii="宋体" w:hAnsi="宋体" w:cs="宋体"/>
                <w:bCs/>
                <w:kern w:val="0"/>
                <w:szCs w:val="21"/>
                <w:u w:val="single"/>
              </w:rPr>
              <w:t xml:space="preserve">   </w:t>
            </w:r>
            <w:r>
              <w:rPr>
                <w:rFonts w:hint="eastAsia" w:ascii="宋体" w:hAnsi="宋体" w:cs="宋体"/>
                <w:bCs/>
                <w:kern w:val="0"/>
                <w:szCs w:val="21"/>
              </w:rPr>
              <w:t>分；递交地点：</w:t>
            </w:r>
            <w:r>
              <w:rPr>
                <w:rFonts w:hint="eastAsia" w:ascii="宋体" w:hAnsi="宋体" w:cs="宋体"/>
                <w:bCs/>
                <w:kern w:val="0"/>
                <w:szCs w:val="21"/>
                <w:u w:val="single"/>
              </w:rPr>
              <w:t>广州交易集团有限公司（广州公共资源交易中心）开标室,具体安排请投标人自行登陆“http://www.gzggzy.cn/xmcxjsgc/index.jhtml”进行查询</w:t>
            </w:r>
            <w:r>
              <w:rPr>
                <w:rFonts w:hint="eastAsia" w:ascii="宋体" w:hAnsi="宋体" w:cs="宋体"/>
                <w:bCs/>
                <w:kern w:val="0"/>
                <w:szCs w:val="21"/>
              </w:rPr>
              <w:t>。</w:t>
            </w:r>
          </w:p>
          <w:p>
            <w:pPr>
              <w:widowControl/>
              <w:spacing w:line="360" w:lineRule="auto"/>
              <w:jc w:val="left"/>
              <w:rPr>
                <w:rFonts w:hint="eastAsia" w:ascii="宋体" w:hAnsi="宋体"/>
                <w:szCs w:val="21"/>
              </w:rPr>
            </w:pPr>
            <w:r>
              <w:rPr>
                <w:rFonts w:hint="eastAsia" w:ascii="宋体" w:hAnsi="宋体" w:cs="宋体"/>
                <w:bCs/>
                <w:kern w:val="0"/>
                <w:szCs w:val="21"/>
              </w:rPr>
              <w:t>上述时间及地点是否有改变，请密切留意</w:t>
            </w:r>
            <w:r>
              <w:rPr>
                <w:rFonts w:hint="eastAsia" w:ascii="宋体" w:hAnsi="宋体" w:cs="宋体"/>
                <w:kern w:val="0"/>
                <w:szCs w:val="21"/>
              </w:rPr>
              <w:t>补充公告和</w:t>
            </w:r>
            <w:r>
              <w:rPr>
                <w:rFonts w:hint="eastAsia" w:ascii="宋体" w:hAnsi="宋体" w:cs="宋体"/>
                <w:bCs/>
                <w:kern w:val="0"/>
                <w:szCs w:val="21"/>
              </w:rPr>
              <w:t>招标答疑纪要的相关信息。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19</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ascii="宋体" w:hAnsi="宋体"/>
                <w:szCs w:val="21"/>
              </w:rPr>
              <w:t>26</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Cs w:val="21"/>
              </w:rPr>
            </w:pPr>
            <w:r>
              <w:rPr>
                <w:rFonts w:hint="eastAsia" w:ascii="宋体" w:hAnsi="宋体"/>
                <w:szCs w:val="21"/>
              </w:rPr>
              <w:t>开标评标办法</w:t>
            </w:r>
          </w:p>
        </w:tc>
        <w:tc>
          <w:tcPr>
            <w:tcW w:w="6365" w:type="dxa"/>
            <w:tcBorders>
              <w:top w:val="single" w:color="auto" w:sz="4" w:space="0"/>
              <w:left w:val="single" w:color="auto" w:sz="4" w:space="0"/>
              <w:bottom w:val="single" w:color="auto" w:sz="4" w:space="0"/>
              <w:right w:val="double" w:color="auto" w:sz="4" w:space="0"/>
            </w:tcBorders>
            <w:vAlign w:val="center"/>
          </w:tcPr>
          <w:p>
            <w:pPr>
              <w:spacing w:line="360" w:lineRule="auto"/>
              <w:rPr>
                <w:rFonts w:hint="eastAsia" w:ascii="宋体" w:hAnsi="宋体" w:cs="宋体"/>
                <w:szCs w:val="21"/>
                <w:highlight w:val="none"/>
              </w:rPr>
            </w:pPr>
            <w:r>
              <w:rPr>
                <w:rFonts w:hint="eastAsia" w:ascii="宋体" w:hAnsi="宋体"/>
                <w:szCs w:val="21"/>
              </w:rPr>
              <w:t>方式一：</w:t>
            </w:r>
            <w:r>
              <w:rPr>
                <w:rFonts w:hint="eastAsia" w:ascii="宋体" w:hAnsi="宋体" w:cs="宋体"/>
                <w:szCs w:val="21"/>
                <w:u w:val="single"/>
              </w:rPr>
              <w:t>选</w:t>
            </w:r>
            <w:r>
              <w:rPr>
                <w:rFonts w:hint="eastAsia" w:ascii="宋体" w:hAnsi="宋体" w:cs="宋体"/>
                <w:szCs w:val="21"/>
                <w:highlight w:val="none"/>
                <w:u w:val="single"/>
              </w:rPr>
              <w:t>取办法六（</w:t>
            </w:r>
            <w:r>
              <w:rPr>
                <w:rFonts w:hint="eastAsia" w:ascii="宋体" w:hAnsi="宋体" w:cs="宋体"/>
                <w:szCs w:val="21"/>
                <w:highlight w:val="none"/>
                <w:u w:val="single"/>
                <w:lang w:bidi="ar"/>
              </w:rPr>
              <w:t>适合综合评分法三，技术标与经济标同时开启</w:t>
            </w:r>
            <w:r>
              <w:rPr>
                <w:rFonts w:hint="eastAsia" w:ascii="宋体" w:hAnsi="宋体" w:cs="宋体"/>
                <w:szCs w:val="21"/>
                <w:highlight w:val="none"/>
                <w:u w:val="single"/>
              </w:rPr>
              <w:t>）</w:t>
            </w:r>
          </w:p>
          <w:p>
            <w:pPr>
              <w:widowControl/>
              <w:spacing w:line="360" w:lineRule="auto"/>
              <w:jc w:val="left"/>
              <w:rPr>
                <w:rFonts w:hint="eastAsia" w:ascii="宋体" w:hAnsi="宋体" w:cs="宋体"/>
                <w:b/>
                <w:kern w:val="0"/>
                <w:szCs w:val="21"/>
                <w:highlight w:val="none"/>
                <w:u w:val="single"/>
                <w:lang w:bidi="ar"/>
              </w:rPr>
            </w:pPr>
            <w:r>
              <w:rPr>
                <w:rFonts w:hint="eastAsia" w:ascii="宋体" w:hAnsi="宋体" w:cs="宋体"/>
                <w:b/>
                <w:kern w:val="0"/>
                <w:szCs w:val="21"/>
                <w:highlight w:val="none"/>
                <w:u w:val="single"/>
                <w:lang w:bidi="ar"/>
              </w:rPr>
              <w:t>第一阶段得分（满分100分）=</w:t>
            </w:r>
            <w:bookmarkStart w:id="6" w:name="OLE_LINK3"/>
            <w:r>
              <w:rPr>
                <w:rFonts w:hint="eastAsia" w:ascii="宋体" w:hAnsi="宋体" w:cs="宋体"/>
                <w:b/>
                <w:kern w:val="0"/>
                <w:szCs w:val="21"/>
                <w:highlight w:val="none"/>
                <w:u w:val="single"/>
                <w:lang w:bidi="ar"/>
              </w:rPr>
              <w:t>团队答辩得分20分+项目管理机构得分80分</w:t>
            </w:r>
            <w:bookmarkEnd w:id="6"/>
            <w:r>
              <w:rPr>
                <w:rFonts w:hint="eastAsia" w:ascii="宋体" w:hAnsi="宋体" w:cs="宋体"/>
                <w:b/>
                <w:kern w:val="0"/>
                <w:szCs w:val="21"/>
                <w:highlight w:val="none"/>
                <w:u w:val="single"/>
                <w:lang w:bidi="ar"/>
              </w:rPr>
              <w:t>。</w:t>
            </w:r>
          </w:p>
          <w:p>
            <w:pPr>
              <w:spacing w:line="360" w:lineRule="auto"/>
              <w:rPr>
                <w:rFonts w:hint="eastAsia" w:ascii="宋体" w:hAnsi="宋体"/>
                <w:szCs w:val="21"/>
              </w:rPr>
            </w:pPr>
            <w:r>
              <w:rPr>
                <w:rFonts w:hint="eastAsia" w:ascii="宋体" w:hAnsi="宋体" w:cs="宋体"/>
                <w:b/>
                <w:kern w:val="0"/>
                <w:szCs w:val="21"/>
                <w:highlight w:val="none"/>
                <w:u w:val="single"/>
                <w:lang w:bidi="ar"/>
              </w:rPr>
              <w:t>第二阶段得分（满分100分）=第一阶段的团队答辩得分</w:t>
            </w:r>
            <w:r>
              <w:rPr>
                <w:rFonts w:hint="eastAsia" w:ascii="宋体" w:hAnsi="宋体" w:cs="宋体"/>
                <w:b/>
                <w:kern w:val="0"/>
                <w:szCs w:val="21"/>
                <w:highlight w:val="none"/>
                <w:u w:val="single"/>
                <w:lang w:eastAsia="zh-CN" w:bidi="ar"/>
              </w:rPr>
              <w:t>（</w:t>
            </w:r>
            <w:r>
              <w:rPr>
                <w:rFonts w:hint="eastAsia" w:ascii="宋体" w:hAnsi="宋体" w:cs="宋体"/>
                <w:b/>
                <w:kern w:val="0"/>
                <w:szCs w:val="21"/>
                <w:highlight w:val="none"/>
                <w:u w:val="single"/>
                <w:lang w:bidi="ar"/>
              </w:rPr>
              <w:t>20分</w:t>
            </w:r>
            <w:r>
              <w:rPr>
                <w:rFonts w:hint="eastAsia" w:ascii="宋体" w:hAnsi="宋体" w:cs="宋体"/>
                <w:b/>
                <w:kern w:val="0"/>
                <w:szCs w:val="21"/>
                <w:highlight w:val="none"/>
                <w:u w:val="single"/>
                <w:lang w:eastAsia="zh-CN" w:bidi="ar"/>
              </w:rPr>
              <w:t>）</w:t>
            </w:r>
            <w:r>
              <w:rPr>
                <w:rFonts w:hint="eastAsia" w:ascii="宋体" w:hAnsi="宋体" w:cs="宋体"/>
                <w:b/>
                <w:kern w:val="0"/>
                <w:szCs w:val="21"/>
                <w:highlight w:val="none"/>
                <w:u w:val="single"/>
                <w:lang w:bidi="ar"/>
              </w:rPr>
              <w:t>+经济得分（100分）×权重(80%)。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szCs w:val="21"/>
              </w:rPr>
            </w:pPr>
            <w:r>
              <w:rPr>
                <w:rFonts w:ascii="宋体" w:hAnsi="宋体"/>
                <w:szCs w:val="21"/>
              </w:rPr>
              <w:t>2</w:t>
            </w:r>
            <w:r>
              <w:rPr>
                <w:rFonts w:hint="eastAsia" w:ascii="宋体" w:hAnsi="宋体"/>
                <w:szCs w:val="21"/>
              </w:rPr>
              <w:t>0</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ascii="宋体" w:hAnsi="宋体"/>
                <w:szCs w:val="21"/>
              </w:rPr>
              <w:t>29.1</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Cs w:val="21"/>
              </w:rPr>
            </w:pPr>
            <w:r>
              <w:rPr>
                <w:rFonts w:hint="eastAsia" w:ascii="宋体" w:hAnsi="宋体"/>
                <w:szCs w:val="21"/>
              </w:rPr>
              <w:t>履约担保</w:t>
            </w:r>
          </w:p>
        </w:tc>
        <w:tc>
          <w:tcPr>
            <w:tcW w:w="6365" w:type="dxa"/>
            <w:tcBorders>
              <w:top w:val="single" w:color="auto" w:sz="4" w:space="0"/>
              <w:left w:val="single" w:color="auto" w:sz="4" w:space="0"/>
              <w:bottom w:val="single" w:color="auto" w:sz="4" w:space="0"/>
              <w:right w:val="double" w:color="auto" w:sz="4" w:space="0"/>
            </w:tcBorders>
            <w:vAlign w:val="center"/>
          </w:tcPr>
          <w:p>
            <w:pPr>
              <w:spacing w:line="360" w:lineRule="auto"/>
              <w:rPr>
                <w:rFonts w:hint="eastAsia" w:ascii="宋体" w:hAnsi="宋体"/>
              </w:rPr>
            </w:pPr>
            <w:r>
              <w:rPr>
                <w:rFonts w:hint="eastAsia" w:ascii="宋体" w:hAnsi="宋体"/>
              </w:rPr>
              <w:t>方式一：中标人提供的履约保证金为中标价款的10%。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szCs w:val="21"/>
              </w:rPr>
            </w:pPr>
            <w:r>
              <w:rPr>
                <w:rFonts w:ascii="宋体" w:hAnsi="宋体"/>
                <w:szCs w:val="21"/>
              </w:rPr>
              <w:t>2</w:t>
            </w:r>
            <w:r>
              <w:rPr>
                <w:rFonts w:hint="eastAsia" w:ascii="宋体" w:hAnsi="宋体"/>
                <w:szCs w:val="21"/>
              </w:rPr>
              <w:t>1</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Cs w:val="21"/>
              </w:rPr>
            </w:pPr>
            <w:r>
              <w:rPr>
                <w:rFonts w:hint="eastAsia" w:ascii="宋体" w:hAnsi="宋体"/>
                <w:szCs w:val="21"/>
              </w:rPr>
              <w:t>最高投标限价</w:t>
            </w:r>
          </w:p>
        </w:tc>
        <w:tc>
          <w:tcPr>
            <w:tcW w:w="6365" w:type="dxa"/>
            <w:tcBorders>
              <w:top w:val="single" w:color="auto" w:sz="4" w:space="0"/>
              <w:left w:val="single" w:color="auto" w:sz="4" w:space="0"/>
              <w:bottom w:val="single" w:color="auto" w:sz="4" w:space="0"/>
              <w:right w:val="double" w:color="auto" w:sz="4" w:space="0"/>
            </w:tcBorders>
            <w:vAlign w:val="center"/>
          </w:tcPr>
          <w:p>
            <w:pPr>
              <w:spacing w:line="360" w:lineRule="auto"/>
              <w:rPr>
                <w:rFonts w:hint="eastAsia" w:ascii="宋体" w:hAnsi="宋体"/>
                <w:szCs w:val="21"/>
                <w:u w:val="single"/>
              </w:rPr>
            </w:pPr>
            <w:r>
              <w:rPr>
                <w:rFonts w:hint="eastAsia" w:ascii="宋体" w:hAnsi="宋体"/>
                <w:szCs w:val="21"/>
              </w:rPr>
              <w:t>本项目最高投标限价为人民币</w:t>
            </w:r>
            <w:r>
              <w:rPr>
                <w:rFonts w:hint="eastAsia" w:ascii="宋体" w:hAnsi="宋体"/>
                <w:szCs w:val="21"/>
                <w:u w:val="single"/>
              </w:rPr>
              <w:t>6,065,299.89</w:t>
            </w:r>
            <w:r>
              <w:rPr>
                <w:rFonts w:hint="eastAsia" w:ascii="宋体" w:hAnsi="宋体"/>
                <w:szCs w:val="21"/>
              </w:rPr>
              <w:t>元。</w:t>
            </w:r>
          </w:p>
          <w:p>
            <w:pPr>
              <w:pStyle w:val="21"/>
              <w:spacing w:line="360" w:lineRule="auto"/>
            </w:pPr>
            <w:r>
              <w:rPr>
                <w:rFonts w:hint="eastAsia" w:hAnsi="宋体"/>
                <w:szCs w:val="21"/>
                <w:u w:val="single"/>
              </w:rPr>
              <w:t>注：投标总报价超过最高投标限价的均为无效标。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61"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szCs w:val="21"/>
              </w:rPr>
            </w:pPr>
            <w:r>
              <w:rPr>
                <w:rFonts w:ascii="宋体" w:hAnsi="宋体"/>
                <w:szCs w:val="21"/>
              </w:rPr>
              <w:t>2</w:t>
            </w:r>
            <w:r>
              <w:rPr>
                <w:rFonts w:hint="eastAsia" w:ascii="宋体" w:hAnsi="宋体"/>
                <w:szCs w:val="21"/>
              </w:rPr>
              <w:t>2</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Cs w:val="21"/>
              </w:rPr>
            </w:pPr>
            <w:r>
              <w:rPr>
                <w:rFonts w:hint="eastAsia" w:ascii="宋体" w:hAnsi="宋体"/>
                <w:szCs w:val="21"/>
              </w:rPr>
              <w:t>非竞争费用</w:t>
            </w:r>
          </w:p>
        </w:tc>
        <w:tc>
          <w:tcPr>
            <w:tcW w:w="6365" w:type="dxa"/>
            <w:tcBorders>
              <w:top w:val="single" w:color="auto" w:sz="4" w:space="0"/>
              <w:left w:val="single" w:color="auto" w:sz="4" w:space="0"/>
              <w:bottom w:val="single" w:color="auto" w:sz="4" w:space="0"/>
              <w:right w:val="double" w:color="auto" w:sz="4" w:space="0"/>
            </w:tcBorders>
            <w:vAlign w:val="center"/>
          </w:tcPr>
          <w:p>
            <w:pPr>
              <w:spacing w:line="360" w:lineRule="auto"/>
              <w:rPr>
                <w:rFonts w:hint="eastAsia" w:ascii="宋体" w:hAnsi="宋体"/>
                <w:szCs w:val="21"/>
              </w:rPr>
            </w:pPr>
            <w:r>
              <w:rPr>
                <w:rFonts w:hint="eastAsia" w:ascii="宋体" w:hAnsi="宋体"/>
                <w:szCs w:val="21"/>
              </w:rPr>
              <w:t>本项目绿色施工安全防护措施费为</w:t>
            </w:r>
            <w:r>
              <w:rPr>
                <w:rFonts w:hint="eastAsia" w:ascii="宋体" w:hAnsi="宋体"/>
                <w:szCs w:val="21"/>
                <w:highlight w:val="none"/>
                <w:u w:val="single"/>
                <w:lang w:val="en-US" w:eastAsia="zh-CN"/>
              </w:rPr>
              <w:t xml:space="preserve"> 321,858.53</w:t>
            </w:r>
            <w:r>
              <w:rPr>
                <w:rFonts w:hint="eastAsia" w:ascii="宋体" w:hAnsi="宋体"/>
                <w:szCs w:val="21"/>
                <w:highlight w:val="none"/>
              </w:rPr>
              <w:t>元，</w:t>
            </w:r>
            <w:r>
              <w:rPr>
                <w:rFonts w:hint="eastAsia" w:ascii="宋体" w:hAnsi="宋体"/>
                <w:szCs w:val="21"/>
              </w:rPr>
              <w:t>暂列金额为</w:t>
            </w:r>
            <w:r>
              <w:rPr>
                <w:rFonts w:hint="eastAsia" w:ascii="宋体" w:hAnsi="宋体"/>
                <w:szCs w:val="21"/>
                <w:u w:val="single"/>
              </w:rPr>
              <w:t>444,720.72</w:t>
            </w:r>
            <w:r>
              <w:rPr>
                <w:rFonts w:hint="eastAsia" w:ascii="宋体" w:hAnsi="宋体"/>
                <w:szCs w:val="21"/>
                <w:u w:val="single"/>
                <w:lang w:val="en-US" w:eastAsia="zh-CN"/>
              </w:rPr>
              <w:t xml:space="preserve"> </w:t>
            </w:r>
            <w:r>
              <w:rPr>
                <w:rFonts w:hint="eastAsia" w:ascii="宋体" w:hAnsi="宋体"/>
                <w:szCs w:val="21"/>
              </w:rPr>
              <w:t>元，暂估价为</w:t>
            </w:r>
            <w:r>
              <w:rPr>
                <w:rFonts w:hint="eastAsia" w:ascii="宋体" w:hAnsi="宋体"/>
                <w:szCs w:val="21"/>
                <w:u w:val="single"/>
                <w:lang w:val="en-US" w:eastAsia="zh-CN"/>
              </w:rPr>
              <w:t xml:space="preserve"> 0 </w:t>
            </w:r>
            <w:r>
              <w:rPr>
                <w:rFonts w:hint="eastAsia" w:ascii="宋体" w:hAnsi="宋体"/>
                <w:szCs w:val="21"/>
              </w:rPr>
              <w:t>元。（未按招标文件规定的金额填写的，由评标委员会按照招标文件规定的金额进行修正）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23</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pStyle w:val="5"/>
              <w:spacing w:line="360" w:lineRule="auto"/>
              <w:ind w:firstLine="0"/>
              <w:rPr>
                <w:rFonts w:hint="eastAsia" w:ascii="宋体" w:hAnsi="宋体"/>
                <w:szCs w:val="21"/>
              </w:rPr>
            </w:pPr>
            <w:r>
              <w:rPr>
                <w:rFonts w:hint="eastAsia" w:ascii="宋体" w:hAnsi="宋体"/>
                <w:szCs w:val="21"/>
              </w:rPr>
              <w:t>保修期</w:t>
            </w:r>
          </w:p>
        </w:tc>
        <w:tc>
          <w:tcPr>
            <w:tcW w:w="6365" w:type="dxa"/>
            <w:tcBorders>
              <w:top w:val="single" w:color="auto" w:sz="4" w:space="0"/>
              <w:left w:val="single" w:color="auto" w:sz="4" w:space="0"/>
              <w:bottom w:val="single" w:color="auto" w:sz="4" w:space="0"/>
              <w:right w:val="double" w:color="auto" w:sz="4" w:space="0"/>
            </w:tcBorders>
            <w:vAlign w:val="center"/>
          </w:tcPr>
          <w:p>
            <w:pPr>
              <w:spacing w:line="360" w:lineRule="auto"/>
              <w:rPr>
                <w:rFonts w:hint="eastAsia" w:ascii="宋体" w:hAnsi="宋体"/>
                <w:szCs w:val="21"/>
              </w:rPr>
            </w:pPr>
            <w:r>
              <w:rPr>
                <w:rFonts w:hint="eastAsia" w:ascii="宋体" w:hAnsi="宋体"/>
                <w:szCs w:val="21"/>
              </w:rPr>
              <w:t>按照《建设工程质量管理条例》规定。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szCs w:val="21"/>
              </w:rPr>
            </w:pPr>
            <w:r>
              <w:rPr>
                <w:rFonts w:ascii="宋体" w:hAnsi="宋体"/>
                <w:szCs w:val="21"/>
              </w:rPr>
              <w:t>2</w:t>
            </w:r>
            <w:r>
              <w:rPr>
                <w:rFonts w:hint="eastAsia" w:ascii="宋体" w:hAnsi="宋体"/>
                <w:szCs w:val="21"/>
              </w:rPr>
              <w:t>4</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Cs w:val="21"/>
              </w:rPr>
            </w:pPr>
            <w:r>
              <w:rPr>
                <w:rFonts w:hint="eastAsia" w:ascii="宋体" w:hAnsi="宋体"/>
                <w:szCs w:val="21"/>
              </w:rPr>
              <w:t>计算评标参考价的等分点值</w:t>
            </w:r>
          </w:p>
        </w:tc>
        <w:tc>
          <w:tcPr>
            <w:tcW w:w="6365" w:type="dxa"/>
            <w:tcBorders>
              <w:top w:val="single" w:color="auto" w:sz="4" w:space="0"/>
              <w:left w:val="single" w:color="auto" w:sz="4" w:space="0"/>
              <w:bottom w:val="single" w:color="auto" w:sz="4" w:space="0"/>
              <w:right w:val="double" w:color="auto" w:sz="4" w:space="0"/>
            </w:tcBorders>
            <w:vAlign w:val="center"/>
          </w:tcPr>
          <w:p>
            <w:pPr>
              <w:spacing w:line="360" w:lineRule="auto"/>
              <w:rPr>
                <w:rFonts w:hint="eastAsia" w:ascii="宋体" w:hAnsi="宋体"/>
                <w:szCs w:val="21"/>
              </w:rPr>
            </w:pPr>
            <w:r>
              <w:rPr>
                <w:rFonts w:hint="eastAsia" w:ascii="宋体" w:hAnsi="宋体"/>
                <w:szCs w:val="21"/>
              </w:rPr>
              <w:t>计算评标参考价的等分点值</w:t>
            </w:r>
            <w:r>
              <w:rPr>
                <w:rFonts w:ascii="宋体" w:hAnsi="宋体"/>
                <w:szCs w:val="21"/>
              </w:rPr>
              <w:t>X</w:t>
            </w:r>
            <w:r>
              <w:rPr>
                <w:rFonts w:hint="eastAsia" w:ascii="宋体" w:hAnsi="宋体"/>
                <w:szCs w:val="21"/>
              </w:rPr>
              <w:t>在开标前从[0,100]</w:t>
            </w:r>
            <w:r>
              <w:rPr>
                <w:rFonts w:hint="eastAsia" w:ascii="宋体" w:hAnsi="宋体"/>
              </w:rPr>
              <w:t xml:space="preserve"> </w:t>
            </w:r>
            <w:r>
              <w:rPr>
                <w:rFonts w:hint="eastAsia" w:ascii="宋体" w:hAnsi="宋体"/>
                <w:szCs w:val="21"/>
              </w:rPr>
              <w:t>的整数中随机抽取。</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25</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jc w:val="center"/>
              <w:rPr>
                <w:rFonts w:hint="eastAsia"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Cs w:val="21"/>
              </w:rPr>
            </w:pPr>
            <w:r>
              <w:rPr>
                <w:rFonts w:hint="eastAsia" w:ascii="宋体" w:hAnsi="宋体"/>
                <w:szCs w:val="21"/>
              </w:rPr>
              <w:t>进入第二阶段评审的家数</w:t>
            </w:r>
          </w:p>
        </w:tc>
        <w:tc>
          <w:tcPr>
            <w:tcW w:w="6365" w:type="dxa"/>
            <w:tcBorders>
              <w:top w:val="single" w:color="auto" w:sz="4" w:space="0"/>
              <w:left w:val="single" w:color="auto" w:sz="4" w:space="0"/>
              <w:bottom w:val="single" w:color="auto" w:sz="4" w:space="0"/>
              <w:right w:val="double" w:color="auto" w:sz="4" w:space="0"/>
            </w:tcBorders>
            <w:vAlign w:val="center"/>
          </w:tcPr>
          <w:p>
            <w:pPr>
              <w:spacing w:line="360" w:lineRule="auto"/>
              <w:rPr>
                <w:szCs w:val="21"/>
                <w:highlight w:val="none"/>
              </w:rPr>
            </w:pPr>
            <w:bookmarkStart w:id="7" w:name="OLE_LINK1"/>
            <w:r>
              <w:rPr>
                <w:szCs w:val="21"/>
                <w:highlight w:val="none"/>
              </w:rPr>
              <w:fldChar w:fldCharType="begin"/>
            </w:r>
            <w:r>
              <w:rPr>
                <w:rFonts w:hint="eastAsia"/>
                <w:szCs w:val="21"/>
                <w:highlight w:val="none"/>
              </w:rPr>
              <w:instrText xml:space="preserve">= 1 \* GB3</w:instrText>
            </w:r>
            <w:r>
              <w:rPr>
                <w:szCs w:val="21"/>
                <w:highlight w:val="none"/>
              </w:rPr>
              <w:fldChar w:fldCharType="separate"/>
            </w:r>
            <w:r>
              <w:rPr>
                <w:rFonts w:hint="eastAsia"/>
                <w:szCs w:val="21"/>
                <w:highlight w:val="none"/>
              </w:rPr>
              <w:t>①</w:t>
            </w:r>
            <w:r>
              <w:rPr>
                <w:szCs w:val="21"/>
                <w:highlight w:val="none"/>
              </w:rPr>
              <w:fldChar w:fldCharType="end"/>
            </w:r>
            <w:r>
              <w:rPr>
                <w:rFonts w:hint="eastAsia"/>
                <w:szCs w:val="21"/>
                <w:highlight w:val="none"/>
              </w:rPr>
              <w:t>通过技术有效性审查的投标人均进入第二阶段（适用于</w:t>
            </w:r>
            <w:bookmarkStart w:id="8" w:name="OLE_LINK4"/>
            <w:r>
              <w:rPr>
                <w:rFonts w:hint="eastAsia"/>
                <w:szCs w:val="21"/>
                <w:highlight w:val="none"/>
              </w:rPr>
              <w:t>通过技术有效性审查家数</w:t>
            </w:r>
            <w:r>
              <w:rPr>
                <w:rFonts w:hint="eastAsia" w:ascii="宋体" w:hAnsi="宋体"/>
                <w:szCs w:val="21"/>
                <w:highlight w:val="none"/>
              </w:rPr>
              <w:t>在</w:t>
            </w:r>
            <w:r>
              <w:rPr>
                <w:rFonts w:hint="eastAsia" w:ascii="宋体" w:hAnsi="宋体"/>
                <w:b/>
                <w:bCs/>
                <w:szCs w:val="21"/>
                <w:highlight w:val="none"/>
              </w:rPr>
              <w:t>[3,</w:t>
            </w:r>
            <w:r>
              <w:rPr>
                <w:rFonts w:hint="eastAsia" w:ascii="宋体" w:hAnsi="宋体"/>
                <w:b/>
                <w:bCs/>
                <w:szCs w:val="21"/>
                <w:highlight w:val="none"/>
                <w:lang w:val="en-US" w:eastAsia="zh-CN"/>
              </w:rPr>
              <w:t>9</w:t>
            </w:r>
            <w:r>
              <w:rPr>
                <w:rFonts w:hint="eastAsia" w:ascii="宋体" w:hAnsi="宋体"/>
                <w:b/>
                <w:bCs/>
                <w:szCs w:val="21"/>
                <w:highlight w:val="none"/>
              </w:rPr>
              <w:t>]</w:t>
            </w:r>
            <w:r>
              <w:rPr>
                <w:rFonts w:hint="eastAsia" w:ascii="宋体" w:hAnsi="宋体"/>
                <w:szCs w:val="21"/>
                <w:highlight w:val="none"/>
              </w:rPr>
              <w:t>中</w:t>
            </w:r>
            <w:r>
              <w:rPr>
                <w:rFonts w:hint="eastAsia"/>
                <w:szCs w:val="21"/>
                <w:highlight w:val="none"/>
              </w:rPr>
              <w:t>的</w:t>
            </w:r>
            <w:bookmarkEnd w:id="8"/>
            <w:r>
              <w:rPr>
                <w:rFonts w:hint="eastAsia"/>
                <w:szCs w:val="21"/>
                <w:highlight w:val="none"/>
              </w:rPr>
              <w:t>）。</w:t>
            </w:r>
          </w:p>
          <w:p>
            <w:pPr>
              <w:spacing w:line="360" w:lineRule="auto"/>
              <w:rPr>
                <w:rFonts w:hint="eastAsia" w:ascii="宋体" w:hAnsi="宋体"/>
                <w:szCs w:val="21"/>
                <w:highlight w:val="none"/>
              </w:rPr>
            </w:pPr>
            <w:r>
              <w:rPr>
                <w:szCs w:val="21"/>
                <w:highlight w:val="none"/>
              </w:rPr>
              <w:fldChar w:fldCharType="begin"/>
            </w:r>
            <w:r>
              <w:rPr>
                <w:rFonts w:hint="eastAsia"/>
                <w:szCs w:val="21"/>
                <w:highlight w:val="none"/>
              </w:rPr>
              <w:instrText xml:space="preserve">= 2 \* GB3</w:instrText>
            </w:r>
            <w:r>
              <w:rPr>
                <w:szCs w:val="21"/>
                <w:highlight w:val="none"/>
              </w:rPr>
              <w:fldChar w:fldCharType="separate"/>
            </w:r>
            <w:r>
              <w:rPr>
                <w:rFonts w:hint="eastAsia"/>
                <w:szCs w:val="21"/>
                <w:highlight w:val="none"/>
              </w:rPr>
              <w:t>②</w:t>
            </w:r>
            <w:r>
              <w:rPr>
                <w:szCs w:val="21"/>
                <w:highlight w:val="none"/>
              </w:rPr>
              <w:fldChar w:fldCharType="end"/>
            </w:r>
            <w:r>
              <w:rPr>
                <w:rFonts w:hint="eastAsia"/>
                <w:szCs w:val="21"/>
                <w:highlight w:val="none"/>
              </w:rPr>
              <w:t>将第一阶段得分由</w:t>
            </w:r>
            <w:r>
              <w:rPr>
                <w:rFonts w:hint="eastAsia" w:ascii="宋体" w:hAnsi="宋体"/>
                <w:szCs w:val="21"/>
                <w:highlight w:val="none"/>
              </w:rPr>
              <w:t>高至低排序，前</w:t>
            </w:r>
            <w:r>
              <w:rPr>
                <w:rFonts w:hint="eastAsia" w:ascii="宋体" w:hAnsi="宋体"/>
                <w:b/>
                <w:bCs/>
                <w:szCs w:val="21"/>
                <w:highlight w:val="none"/>
                <w:u w:val="single"/>
                <w:lang w:val="en-US" w:eastAsia="zh-CN"/>
              </w:rPr>
              <w:t>9</w:t>
            </w:r>
            <w:r>
              <w:rPr>
                <w:rFonts w:hint="eastAsia" w:ascii="宋体" w:hAnsi="宋体"/>
                <w:b/>
                <w:bCs/>
                <w:szCs w:val="21"/>
                <w:highlight w:val="none"/>
              </w:rPr>
              <w:t>名</w:t>
            </w:r>
            <w:r>
              <w:rPr>
                <w:rFonts w:hint="eastAsia" w:ascii="宋体" w:hAnsi="宋体"/>
                <w:szCs w:val="21"/>
                <w:highlight w:val="none"/>
              </w:rPr>
              <w:t>投标人进入第二阶段评审（适用于通过技术有效性审查家数大于</w:t>
            </w:r>
            <w:r>
              <w:rPr>
                <w:rFonts w:hint="eastAsia" w:ascii="宋体" w:hAnsi="宋体"/>
                <w:b/>
                <w:bCs/>
                <w:szCs w:val="21"/>
                <w:highlight w:val="none"/>
                <w:u w:val="single"/>
                <w:lang w:val="en-US" w:eastAsia="zh-CN"/>
              </w:rPr>
              <w:t>9</w:t>
            </w:r>
            <w:r>
              <w:rPr>
                <w:rFonts w:hint="eastAsia" w:ascii="宋体" w:hAnsi="宋体"/>
                <w:b/>
                <w:bCs/>
                <w:szCs w:val="21"/>
                <w:highlight w:val="none"/>
              </w:rPr>
              <w:t>家</w:t>
            </w:r>
            <w:r>
              <w:rPr>
                <w:rFonts w:hint="eastAsia" w:ascii="宋体" w:hAnsi="宋体"/>
                <w:szCs w:val="21"/>
                <w:highlight w:val="none"/>
              </w:rPr>
              <w:t>的）。</w:t>
            </w:r>
            <w:bookmarkEnd w:id="7"/>
          </w:p>
          <w:p>
            <w:pPr>
              <w:spacing w:line="360" w:lineRule="auto"/>
              <w:rPr>
                <w:rFonts w:hint="eastAsia" w:ascii="宋体" w:hAnsi="宋体"/>
                <w:szCs w:val="21"/>
              </w:rPr>
            </w:pPr>
            <w:r>
              <w:rPr>
                <w:rFonts w:hint="eastAsia"/>
              </w:rPr>
              <w:t>注：本款适用于选择评标办法一至评标办法六。进入第二阶段的投标人家数应符合行政监管部门的要求。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26</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Cs w:val="21"/>
              </w:rPr>
            </w:pPr>
            <w:r>
              <w:rPr>
                <w:rFonts w:hint="eastAsia" w:ascii="宋体" w:hAnsi="宋体"/>
                <w:szCs w:val="21"/>
              </w:rPr>
              <w:t>工程成本警戒价</w:t>
            </w:r>
          </w:p>
        </w:tc>
        <w:tc>
          <w:tcPr>
            <w:tcW w:w="6365" w:type="dxa"/>
            <w:tcBorders>
              <w:top w:val="single" w:color="auto" w:sz="4" w:space="0"/>
              <w:left w:val="single" w:color="auto" w:sz="4" w:space="0"/>
              <w:bottom w:val="single" w:color="auto" w:sz="4" w:space="0"/>
              <w:right w:val="double" w:color="auto" w:sz="4" w:space="0"/>
            </w:tcBorders>
            <w:vAlign w:val="center"/>
          </w:tcPr>
          <w:p>
            <w:pPr>
              <w:spacing w:line="360" w:lineRule="auto"/>
              <w:rPr>
                <w:rFonts w:hint="eastAsia" w:ascii="宋体" w:hAnsi="宋体"/>
                <w:szCs w:val="21"/>
              </w:rPr>
            </w:pPr>
            <w:r>
              <w:rPr>
                <w:rFonts w:hint="eastAsia" w:ascii="宋体" w:hAnsi="宋体"/>
                <w:szCs w:val="21"/>
              </w:rPr>
              <w:t>工程成本警戒价</w:t>
            </w:r>
            <w:r>
              <w:rPr>
                <w:rFonts w:hint="eastAsia" w:ascii="宋体" w:hAnsi="宋体"/>
                <w:szCs w:val="21"/>
                <w:highlight w:val="none"/>
              </w:rPr>
              <w:t>为</w:t>
            </w:r>
            <w:r>
              <w:rPr>
                <w:rFonts w:hint="eastAsia" w:ascii="宋体" w:hAnsi="宋体"/>
                <w:szCs w:val="21"/>
                <w:highlight w:val="none"/>
                <w:u w:val="single"/>
                <w:lang w:val="en-US" w:eastAsia="zh-CN"/>
              </w:rPr>
              <w:t xml:space="preserve"> 5,458,769.90 </w:t>
            </w:r>
            <w:r>
              <w:rPr>
                <w:rFonts w:hint="eastAsia" w:ascii="宋体" w:hAnsi="宋体"/>
                <w:szCs w:val="21"/>
                <w:highlight w:val="none"/>
              </w:rPr>
              <w:t>元</w:t>
            </w:r>
            <w:r>
              <w:rPr>
                <w:rFonts w:hint="eastAsia" w:ascii="宋体" w:hAnsi="宋体"/>
                <w:szCs w:val="21"/>
              </w:rPr>
              <w:t>（最高投标限价的90%）。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spacing w:line="360" w:lineRule="auto"/>
              <w:rPr>
                <w:rFonts w:hint="eastAsia" w:ascii="宋体" w:hAnsi="宋体"/>
                <w:szCs w:val="21"/>
                <w:u w:val="single"/>
              </w:rPr>
            </w:pPr>
            <w:r>
              <w:rPr>
                <w:rFonts w:hint="eastAsia" w:ascii="宋体" w:hAnsi="宋体"/>
                <w:szCs w:val="21"/>
              </w:rPr>
              <w:t>注：为充分体现招标人意愿及落实项目招标人负责制，警戒价由招标人决定。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27</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Cs w:val="21"/>
              </w:rPr>
            </w:pPr>
            <w:r>
              <w:rPr>
                <w:rFonts w:hint="eastAsia" w:ascii="宋体" w:hAnsi="宋体"/>
                <w:szCs w:val="21"/>
              </w:rPr>
              <w:t>第一阶段各分值的权重</w:t>
            </w:r>
          </w:p>
        </w:tc>
        <w:tc>
          <w:tcPr>
            <w:tcW w:w="6365" w:type="dxa"/>
            <w:tcBorders>
              <w:top w:val="single" w:color="auto" w:sz="4" w:space="0"/>
              <w:left w:val="single" w:color="auto" w:sz="4" w:space="0"/>
              <w:bottom w:val="single" w:color="auto" w:sz="4" w:space="0"/>
              <w:right w:val="double" w:color="auto" w:sz="4" w:space="0"/>
            </w:tcBorders>
            <w:vAlign w:val="center"/>
          </w:tcPr>
          <w:p>
            <w:pPr>
              <w:spacing w:line="360" w:lineRule="auto"/>
              <w:rPr>
                <w:rFonts w:hint="eastAsia" w:ascii="宋体" w:hAnsi="宋体"/>
                <w:szCs w:val="21"/>
              </w:rPr>
            </w:pPr>
            <w:r>
              <w:rPr>
                <w:rFonts w:ascii="宋体" w:hAnsi="宋体" w:cs="宋体"/>
                <w:b/>
                <w:szCs w:val="21"/>
                <w:highlight w:val="none"/>
                <w:u w:val="none"/>
                <w:lang w:bidi="ar"/>
              </w:rPr>
              <w:t>第一阶段得分（满分100分）</w:t>
            </w:r>
            <w:r>
              <w:rPr>
                <w:rFonts w:ascii="宋体" w:hAnsi="宋体" w:cs="宋体"/>
                <w:b/>
                <w:bCs w:val="0"/>
                <w:szCs w:val="21"/>
                <w:highlight w:val="none"/>
                <w:u w:val="none"/>
                <w:lang w:bidi="ar"/>
              </w:rPr>
              <w:t>=团队答辩得分20分+项目管理机构得分80分。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28</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Cs w:val="21"/>
              </w:rPr>
            </w:pPr>
            <w:r>
              <w:rPr>
                <w:rFonts w:hint="eastAsia" w:ascii="宋体" w:hAnsi="宋体"/>
                <w:szCs w:val="21"/>
              </w:rPr>
              <w:t>评标委员会人数</w:t>
            </w:r>
          </w:p>
        </w:tc>
        <w:tc>
          <w:tcPr>
            <w:tcW w:w="6365" w:type="dxa"/>
            <w:tcBorders>
              <w:top w:val="single" w:color="auto" w:sz="4" w:space="0"/>
              <w:left w:val="single" w:color="auto" w:sz="4" w:space="0"/>
              <w:bottom w:val="single" w:color="auto" w:sz="4" w:space="0"/>
              <w:right w:val="double" w:color="auto" w:sz="4" w:space="0"/>
            </w:tcBorders>
            <w:vAlign w:val="center"/>
          </w:tcPr>
          <w:p>
            <w:pPr>
              <w:spacing w:line="360" w:lineRule="auto"/>
              <w:rPr>
                <w:rFonts w:hint="eastAsia" w:ascii="宋体" w:hAnsi="宋体"/>
                <w:szCs w:val="21"/>
              </w:rPr>
            </w:pPr>
            <w:r>
              <w:rPr>
                <w:rFonts w:hint="eastAsia" w:ascii="宋体" w:hAnsi="宋体"/>
                <w:szCs w:val="21"/>
              </w:rPr>
              <w:t>评标委员会由招标人依法组建。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29</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Cs w:val="21"/>
              </w:rPr>
            </w:pPr>
            <w:r>
              <w:rPr>
                <w:rFonts w:hint="eastAsia" w:ascii="宋体" w:hAnsi="宋体"/>
                <w:szCs w:val="21"/>
              </w:rPr>
              <w:t>企业综合诚信评价分数</w:t>
            </w:r>
          </w:p>
        </w:tc>
        <w:tc>
          <w:tcPr>
            <w:tcW w:w="6365" w:type="dxa"/>
            <w:tcBorders>
              <w:top w:val="single" w:color="auto" w:sz="4" w:space="0"/>
              <w:left w:val="single" w:color="auto" w:sz="4" w:space="0"/>
              <w:bottom w:val="single" w:color="auto" w:sz="4" w:space="0"/>
              <w:right w:val="double" w:color="auto" w:sz="4" w:space="0"/>
            </w:tcBorders>
            <w:vAlign w:val="center"/>
          </w:tcPr>
          <w:p>
            <w:pPr>
              <w:spacing w:line="360" w:lineRule="auto"/>
              <w:rPr>
                <w:rFonts w:hint="eastAsia" w:ascii="宋体" w:hAnsi="宋体"/>
                <w:szCs w:val="21"/>
              </w:rPr>
            </w:pPr>
            <w:r>
              <w:rPr>
                <w:rFonts w:hint="eastAsia" w:ascii="宋体" w:hAnsi="宋体" w:cs="宋体"/>
              </w:rPr>
              <w:t>本款不适用。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30</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jc w:val="center"/>
              <w:rPr>
                <w:rFonts w:hint="eastAsia"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Cs w:val="21"/>
              </w:rPr>
            </w:pPr>
            <w:r>
              <w:rPr>
                <w:rFonts w:hint="eastAsia" w:ascii="宋体" w:hAnsi="宋体"/>
                <w:szCs w:val="21"/>
              </w:rPr>
              <w:t>第二阶段投标人名次的排序方法（适用于办法一、办法二）</w:t>
            </w:r>
          </w:p>
        </w:tc>
        <w:tc>
          <w:tcPr>
            <w:tcW w:w="6365" w:type="dxa"/>
            <w:tcBorders>
              <w:top w:val="single" w:color="auto" w:sz="4" w:space="0"/>
              <w:left w:val="single" w:color="auto" w:sz="4" w:space="0"/>
              <w:bottom w:val="single" w:color="auto" w:sz="4" w:space="0"/>
              <w:right w:val="double" w:color="auto" w:sz="4" w:space="0"/>
            </w:tcBorders>
            <w:vAlign w:val="center"/>
          </w:tcPr>
          <w:p>
            <w:pPr>
              <w:spacing w:line="360" w:lineRule="auto"/>
              <w:rPr>
                <w:rFonts w:hint="eastAsia" w:ascii="宋体" w:hAnsi="宋体"/>
                <w:szCs w:val="21"/>
              </w:rPr>
            </w:pPr>
            <w:r>
              <w:rPr>
                <w:rFonts w:hint="eastAsia" w:ascii="宋体" w:hAnsi="宋体" w:cs="宋体"/>
              </w:rPr>
              <w:t>本款不适用。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31</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jc w:val="center"/>
              <w:rPr>
                <w:rFonts w:hint="eastAsia"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Cs w:val="21"/>
              </w:rPr>
            </w:pPr>
            <w:r>
              <w:rPr>
                <w:rFonts w:hint="eastAsia" w:ascii="宋体" w:hAnsi="宋体"/>
                <w:szCs w:val="21"/>
              </w:rPr>
              <w:t>经济分相同情况下的排序方法（适用于办法三、办法四）</w:t>
            </w:r>
          </w:p>
        </w:tc>
        <w:tc>
          <w:tcPr>
            <w:tcW w:w="6365" w:type="dxa"/>
            <w:tcBorders>
              <w:top w:val="single" w:color="auto" w:sz="4" w:space="0"/>
              <w:left w:val="single" w:color="auto" w:sz="4" w:space="0"/>
              <w:bottom w:val="single" w:color="auto" w:sz="4" w:space="0"/>
              <w:right w:val="double" w:color="auto" w:sz="4" w:space="0"/>
            </w:tcBorders>
            <w:vAlign w:val="center"/>
          </w:tcPr>
          <w:p>
            <w:pPr>
              <w:spacing w:line="360" w:lineRule="auto"/>
              <w:rPr>
                <w:rFonts w:hint="eastAsia" w:ascii="宋体" w:hAnsi="宋体"/>
                <w:szCs w:val="21"/>
              </w:rPr>
            </w:pPr>
            <w:r>
              <w:rPr>
                <w:rFonts w:hint="eastAsia" w:ascii="宋体" w:hAnsi="宋体" w:cs="宋体"/>
              </w:rPr>
              <w:t>本款不适用。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32</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jc w:val="center"/>
              <w:rPr>
                <w:rFonts w:hint="eastAsia"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Cs w:val="21"/>
              </w:rPr>
            </w:pPr>
            <w:r>
              <w:rPr>
                <w:rFonts w:hint="eastAsia" w:ascii="宋体" w:hAnsi="宋体"/>
                <w:szCs w:val="21"/>
              </w:rPr>
              <w:t>第二阶段投标人名次的排序方法（适用于办法五、办法六）</w:t>
            </w:r>
          </w:p>
        </w:tc>
        <w:tc>
          <w:tcPr>
            <w:tcW w:w="6365" w:type="dxa"/>
            <w:tcBorders>
              <w:top w:val="single" w:color="auto" w:sz="4" w:space="0"/>
              <w:left w:val="single" w:color="auto" w:sz="4" w:space="0"/>
              <w:bottom w:val="single" w:color="auto" w:sz="4" w:space="0"/>
              <w:right w:val="double" w:color="auto" w:sz="4" w:space="0"/>
            </w:tcBorders>
            <w:vAlign w:val="center"/>
          </w:tcPr>
          <w:p>
            <w:pPr>
              <w:spacing w:line="360" w:lineRule="auto"/>
              <w:rPr>
                <w:rFonts w:hint="eastAsia" w:ascii="宋体" w:hAnsi="宋体" w:cs="宋体"/>
                <w:szCs w:val="21"/>
              </w:rPr>
            </w:pPr>
            <w:r>
              <w:rPr>
                <w:rFonts w:hint="eastAsia" w:ascii="宋体" w:hAnsi="宋体" w:cs="宋体"/>
                <w:szCs w:val="21"/>
                <w:lang w:bidi="ar"/>
              </w:rPr>
              <w:t>选取方法</w:t>
            </w:r>
            <w:r>
              <w:rPr>
                <w:rFonts w:hint="eastAsia" w:ascii="宋体" w:hAnsi="宋体" w:cs="宋体"/>
                <w:szCs w:val="21"/>
                <w:u w:val="single"/>
                <w:lang w:bidi="ar"/>
              </w:rPr>
              <w:t xml:space="preserve"> 二 </w:t>
            </w:r>
          </w:p>
          <w:p>
            <w:pPr>
              <w:spacing w:line="360" w:lineRule="auto"/>
              <w:rPr>
                <w:rFonts w:hint="eastAsia" w:ascii="宋体" w:hAnsi="宋体" w:cs="宋体"/>
                <w:szCs w:val="21"/>
              </w:rPr>
            </w:pPr>
            <w:r>
              <w:rPr>
                <w:rFonts w:hint="eastAsia" w:ascii="宋体" w:hAnsi="宋体" w:cs="宋体"/>
                <w:szCs w:val="21"/>
                <w:lang w:bidi="ar"/>
              </w:rPr>
              <w:t>评标委员会按照</w:t>
            </w:r>
            <w:r>
              <w:rPr>
                <w:rFonts w:hint="eastAsia" w:ascii="宋体" w:hAnsi="宋体" w:cs="宋体"/>
                <w:szCs w:val="21"/>
                <w:u w:val="single"/>
                <w:lang w:bidi="ar"/>
              </w:rPr>
              <w:t>“</w:t>
            </w:r>
            <w:r>
              <w:rPr>
                <w:rFonts w:ascii="宋体" w:hAnsi="宋体" w:cs="宋体"/>
                <w:b/>
                <w:szCs w:val="21"/>
                <w:u w:val="single"/>
                <w:lang w:bidi="ar"/>
              </w:rPr>
              <w:t>总得分（满分为100分）=第一阶段的团队答辩得分</w:t>
            </w:r>
            <w:r>
              <w:rPr>
                <w:rFonts w:hint="eastAsia" w:ascii="宋体" w:hAnsi="宋体" w:cs="宋体"/>
                <w:b/>
                <w:szCs w:val="21"/>
                <w:u w:val="single"/>
                <w:lang w:eastAsia="zh-CN" w:bidi="ar"/>
              </w:rPr>
              <w:t>（</w:t>
            </w:r>
            <w:r>
              <w:rPr>
                <w:rFonts w:ascii="宋体" w:hAnsi="宋体" w:cs="宋体"/>
                <w:b/>
                <w:szCs w:val="21"/>
                <w:u w:val="single"/>
                <w:lang w:bidi="ar"/>
              </w:rPr>
              <w:t>20分</w:t>
            </w:r>
            <w:r>
              <w:rPr>
                <w:rFonts w:hint="eastAsia" w:ascii="宋体" w:hAnsi="宋体" w:cs="宋体"/>
                <w:b/>
                <w:szCs w:val="21"/>
                <w:u w:val="single"/>
                <w:lang w:eastAsia="zh-CN" w:bidi="ar"/>
              </w:rPr>
              <w:t>）</w:t>
            </w:r>
            <w:r>
              <w:rPr>
                <w:rFonts w:ascii="宋体" w:hAnsi="宋体" w:cs="宋体"/>
                <w:b/>
                <w:szCs w:val="21"/>
                <w:u w:val="single"/>
                <w:lang w:bidi="ar"/>
              </w:rPr>
              <w:t>+经济得分（100分）×权重(80%)。</w:t>
            </w:r>
            <w:r>
              <w:rPr>
                <w:rFonts w:hint="eastAsia" w:ascii="宋体" w:hAnsi="宋体" w:cs="宋体"/>
                <w:szCs w:val="21"/>
                <w:u w:val="single"/>
                <w:lang w:bidi="ar"/>
              </w:rPr>
              <w:t>”</w:t>
            </w:r>
            <w:r>
              <w:rPr>
                <w:rFonts w:hint="eastAsia" w:ascii="宋体" w:hAnsi="宋体" w:cs="宋体"/>
                <w:szCs w:val="21"/>
                <w:lang w:bidi="ar"/>
              </w:rPr>
              <w:t>的公式，计算各有效投标文件的总分，并按照总分从高到低排序。</w:t>
            </w:r>
          </w:p>
          <w:p>
            <w:pPr>
              <w:spacing w:line="360" w:lineRule="auto"/>
              <w:rPr>
                <w:rFonts w:hint="eastAsia" w:ascii="宋体" w:hAnsi="宋体"/>
                <w:szCs w:val="21"/>
              </w:rPr>
            </w:pPr>
            <w:r>
              <w:rPr>
                <w:rFonts w:hint="eastAsia" w:ascii="宋体" w:hAnsi="宋体" w:cs="宋体"/>
                <w:szCs w:val="21"/>
                <w:lang w:bidi="ar"/>
              </w:rPr>
              <w:t>总得分相同的，以技术分较高的排前；总得分与技术分均相同的，以报价较低的排前；如仍存在相同情况，则对具有相同情况的投标人，由评标委员会采用记名投票方式，以得票多的优先。</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33</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ascii="宋体" w:hAnsi="宋体"/>
                <w:szCs w:val="21"/>
              </w:rPr>
              <w:t>13.4</w:t>
            </w:r>
            <w:r>
              <w:rPr>
                <w:rFonts w:hint="eastAsia" w:ascii="宋体" w:hAnsi="宋体"/>
                <w:szCs w:val="21"/>
              </w:rPr>
              <w:t>、</w:t>
            </w:r>
            <w:r>
              <w:rPr>
                <w:rFonts w:ascii="宋体" w:hAnsi="宋体"/>
                <w:szCs w:val="21"/>
              </w:rPr>
              <w:t>13.5.2</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Cs w:val="21"/>
              </w:rPr>
            </w:pPr>
            <w:r>
              <w:rPr>
                <w:rFonts w:hint="eastAsia" w:ascii="宋体" w:hAnsi="宋体"/>
                <w:szCs w:val="21"/>
              </w:rPr>
              <w:t>合同价款的调整办法</w:t>
            </w:r>
          </w:p>
        </w:tc>
        <w:tc>
          <w:tcPr>
            <w:tcW w:w="6365" w:type="dxa"/>
            <w:tcBorders>
              <w:top w:val="single" w:color="auto" w:sz="4" w:space="0"/>
              <w:left w:val="single" w:color="auto" w:sz="4" w:space="0"/>
              <w:bottom w:val="single" w:color="auto" w:sz="4" w:space="0"/>
              <w:right w:val="double" w:color="auto" w:sz="4" w:space="0"/>
            </w:tcBorders>
            <w:vAlign w:val="center"/>
          </w:tcPr>
          <w:p>
            <w:pPr>
              <w:spacing w:line="360" w:lineRule="auto"/>
              <w:rPr>
                <w:rFonts w:hint="eastAsia" w:ascii="宋体" w:hAnsi="宋体"/>
                <w:szCs w:val="21"/>
                <w:u w:val="single"/>
              </w:rPr>
            </w:pPr>
            <w:r>
              <w:rPr>
                <w:rFonts w:hint="eastAsia" w:ascii="Times New Roman" w:hAnsi="Times New Roman"/>
                <w:szCs w:val="21"/>
                <w:u w:val="single"/>
              </w:rPr>
              <w:t>按合同条款相关约定调整。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szCs w:val="21"/>
              </w:rPr>
            </w:pPr>
            <w:r>
              <w:rPr>
                <w:rFonts w:ascii="宋体" w:hAnsi="宋体"/>
                <w:szCs w:val="21"/>
              </w:rPr>
              <w:t>3</w:t>
            </w:r>
            <w:r>
              <w:rPr>
                <w:rFonts w:hint="eastAsia" w:ascii="宋体" w:hAnsi="宋体"/>
                <w:szCs w:val="21"/>
              </w:rPr>
              <w:t>4</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Cs w:val="21"/>
              </w:rPr>
            </w:pPr>
            <w:r>
              <w:rPr>
                <w:rFonts w:hint="eastAsia" w:ascii="宋体" w:hAnsi="宋体"/>
                <w:szCs w:val="21"/>
              </w:rPr>
              <w:t>建设工程质量检测单位</w:t>
            </w:r>
          </w:p>
        </w:tc>
        <w:tc>
          <w:tcPr>
            <w:tcW w:w="6365" w:type="dxa"/>
            <w:tcBorders>
              <w:top w:val="single" w:color="auto" w:sz="4" w:space="0"/>
              <w:left w:val="single" w:color="auto" w:sz="4" w:space="0"/>
              <w:bottom w:val="single" w:color="auto" w:sz="4" w:space="0"/>
              <w:right w:val="double" w:color="auto" w:sz="4" w:space="0"/>
            </w:tcBorders>
            <w:vAlign w:val="center"/>
          </w:tcPr>
          <w:p>
            <w:pPr>
              <w:spacing w:line="360" w:lineRule="auto"/>
              <w:rPr>
                <w:rFonts w:hint="eastAsia" w:ascii="宋体" w:hAnsi="宋体"/>
                <w:kern w:val="0"/>
                <w:szCs w:val="21"/>
                <w:lang w:val="zh-CN"/>
              </w:rPr>
            </w:pPr>
            <w:r>
              <w:rPr>
                <w:rFonts w:hint="eastAsia" w:ascii="宋体" w:hAnsi="宋体"/>
                <w:kern w:val="0"/>
                <w:szCs w:val="21"/>
                <w:lang w:val="zh-CN"/>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35</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kern w:val="0"/>
                <w:szCs w:val="21"/>
                <w:lang w:val="zh-CN"/>
              </w:rPr>
            </w:pPr>
            <w:r>
              <w:rPr>
                <w:rFonts w:hint="eastAsia" w:ascii="宋体" w:hAnsi="宋体"/>
                <w:kern w:val="0"/>
                <w:szCs w:val="21"/>
                <w:lang w:val="zh-CN"/>
              </w:rPr>
              <w:t>分包</w:t>
            </w:r>
          </w:p>
        </w:tc>
        <w:tc>
          <w:tcPr>
            <w:tcW w:w="6365" w:type="dxa"/>
            <w:tcBorders>
              <w:top w:val="single" w:color="auto" w:sz="4" w:space="0"/>
              <w:left w:val="single" w:color="auto" w:sz="4" w:space="0"/>
              <w:bottom w:val="single" w:color="auto" w:sz="4" w:space="0"/>
              <w:right w:val="double" w:color="auto" w:sz="4" w:space="0"/>
            </w:tcBorders>
            <w:vAlign w:val="center"/>
          </w:tcPr>
          <w:p>
            <w:pPr>
              <w:spacing w:line="360" w:lineRule="auto"/>
              <w:rPr>
                <w:rFonts w:hint="eastAsia" w:ascii="宋体" w:hAnsi="宋体"/>
                <w:kern w:val="0"/>
                <w:szCs w:val="21"/>
                <w:lang w:val="zh-CN"/>
              </w:rPr>
            </w:pPr>
            <w:r>
              <w:rPr>
                <w:rFonts w:hint="eastAsia" w:ascii="宋体" w:hAnsi="宋体"/>
                <w:kern w:val="0"/>
                <w:szCs w:val="21"/>
                <w:lang w:val="zh-CN"/>
              </w:rPr>
              <w:t>□不允许；</w:t>
            </w:r>
          </w:p>
          <w:p>
            <w:pPr>
              <w:spacing w:line="360" w:lineRule="auto"/>
              <w:rPr>
                <w:rFonts w:hint="eastAsia" w:ascii="宋体" w:hAnsi="宋体"/>
                <w:kern w:val="0"/>
                <w:szCs w:val="21"/>
                <w:u w:val="single"/>
                <w:lang w:val="zh-CN"/>
              </w:rPr>
            </w:pPr>
            <w:r>
              <w:rPr>
                <w:rFonts w:hint="eastAsia" w:ascii="宋体" w:hAnsi="宋体"/>
                <w:kern w:val="0"/>
                <w:szCs w:val="21"/>
                <w:lang w:val="zh-CN"/>
              </w:rPr>
              <w:t>☑允许：分包内容要求：</w:t>
            </w:r>
            <w:r>
              <w:rPr>
                <w:rFonts w:hint="eastAsia" w:ascii="宋体" w:hAnsi="宋体"/>
                <w:kern w:val="0"/>
                <w:szCs w:val="21"/>
                <w:u w:val="single"/>
                <w:lang w:val="zh-CN"/>
              </w:rPr>
              <w:t>非主体的工程、非关键性的工作。</w:t>
            </w:r>
          </w:p>
          <w:p>
            <w:pPr>
              <w:spacing w:line="360" w:lineRule="auto"/>
              <w:ind w:firstLine="840" w:firstLineChars="400"/>
              <w:rPr>
                <w:rFonts w:hint="eastAsia" w:ascii="宋体" w:hAnsi="宋体"/>
                <w:kern w:val="0"/>
                <w:szCs w:val="21"/>
              </w:rPr>
            </w:pPr>
            <w:r>
              <w:rPr>
                <w:rFonts w:hint="eastAsia" w:ascii="宋体" w:hAnsi="宋体"/>
                <w:kern w:val="0"/>
                <w:szCs w:val="21"/>
                <w:lang w:val="zh-CN"/>
              </w:rPr>
              <w:t>分包金额要求：</w:t>
            </w:r>
            <w:r>
              <w:rPr>
                <w:rFonts w:hint="eastAsia" w:ascii="宋体" w:hAnsi="宋体"/>
                <w:kern w:val="0"/>
                <w:szCs w:val="21"/>
                <w:u w:val="single"/>
              </w:rPr>
              <w:t>/</w:t>
            </w:r>
            <w:r>
              <w:rPr>
                <w:rFonts w:hint="eastAsia" w:ascii="宋体" w:hAnsi="宋体"/>
                <w:kern w:val="0"/>
                <w:szCs w:val="21"/>
              </w:rPr>
              <w:t>。</w:t>
            </w:r>
          </w:p>
          <w:p>
            <w:pPr>
              <w:spacing w:line="360" w:lineRule="auto"/>
              <w:rPr>
                <w:rFonts w:hint="eastAsia" w:ascii="宋体" w:hAnsi="宋体"/>
                <w:kern w:val="0"/>
                <w:szCs w:val="21"/>
              </w:rPr>
            </w:pPr>
            <w:r>
              <w:rPr>
                <w:rFonts w:hint="eastAsia" w:ascii="宋体" w:hAnsi="宋体"/>
                <w:kern w:val="0"/>
                <w:szCs w:val="21"/>
                <w:lang w:val="zh-CN"/>
              </w:rPr>
              <w:t xml:space="preserve">        对分包人的资质要求：</w:t>
            </w:r>
            <w:r>
              <w:rPr>
                <w:rFonts w:hint="eastAsia" w:ascii="宋体" w:hAnsi="宋体"/>
                <w:kern w:val="0"/>
                <w:szCs w:val="21"/>
                <w:u w:val="single"/>
              </w:rPr>
              <w:t>相对应的资质</w:t>
            </w:r>
            <w:r>
              <w:rPr>
                <w:rFonts w:hint="eastAsia" w:ascii="宋体" w:hAnsi="宋体"/>
                <w:kern w:val="0"/>
                <w:szCs w:val="21"/>
              </w:rPr>
              <w:t>。</w:t>
            </w:r>
          </w:p>
          <w:p>
            <w:pPr>
              <w:spacing w:line="360" w:lineRule="auto"/>
              <w:ind w:firstLine="840" w:firstLineChars="400"/>
              <w:rPr>
                <w:rFonts w:hint="eastAsia" w:ascii="宋体" w:hAnsi="宋体"/>
                <w:kern w:val="0"/>
                <w:szCs w:val="21"/>
                <w:u w:val="single"/>
              </w:rPr>
            </w:pPr>
            <w:r>
              <w:rPr>
                <w:rFonts w:hint="eastAsia" w:ascii="宋体" w:hAnsi="宋体"/>
                <w:kern w:val="0"/>
                <w:szCs w:val="21"/>
                <w:lang w:val="zh-CN"/>
              </w:rPr>
              <w:t>对分包人的其他要求：</w:t>
            </w:r>
            <w:r>
              <w:rPr>
                <w:rFonts w:hint="eastAsia" w:ascii="宋体" w:hAnsi="宋体"/>
                <w:kern w:val="0"/>
                <w:szCs w:val="21"/>
                <w:u w:val="single"/>
                <w:lang w:val="zh-CN"/>
              </w:rPr>
              <w:t>未在以往工程中因不诚信行为或不充分履约行为被本项目招标人书面拒绝投标的，或未被纳入联合惩戒范围的。</w:t>
            </w:r>
            <w:r>
              <w:rPr>
                <w:rFonts w:hint="eastAsia" w:ascii="宋体" w:hAnsi="宋体"/>
                <w:kern w:val="0"/>
                <w:szCs w:val="21"/>
                <w:u w:val="single"/>
              </w:rPr>
              <w:t>须经发包人和总监理工程师书面同意。</w:t>
            </w:r>
          </w:p>
          <w:p>
            <w:pPr>
              <w:spacing w:line="360" w:lineRule="auto"/>
              <w:rPr>
                <w:rFonts w:hint="eastAsia" w:ascii="宋体" w:hAnsi="宋体"/>
                <w:kern w:val="0"/>
                <w:szCs w:val="21"/>
                <w:lang w:val="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36</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rPr>
            </w:pPr>
            <w:r>
              <w:rPr>
                <w:rFonts w:hint="eastAsia" w:ascii="宋体" w:hAnsi="宋体"/>
              </w:rPr>
              <w:t>电子招标投标解密失败及突发情况的补救</w:t>
            </w:r>
          </w:p>
        </w:tc>
        <w:tc>
          <w:tcPr>
            <w:tcW w:w="6365" w:type="dxa"/>
            <w:tcBorders>
              <w:top w:val="single" w:color="auto" w:sz="4" w:space="0"/>
              <w:left w:val="single" w:color="auto" w:sz="4" w:space="0"/>
              <w:bottom w:val="single" w:color="auto" w:sz="4" w:space="0"/>
              <w:right w:val="double" w:color="auto" w:sz="4" w:space="0"/>
            </w:tcBorders>
            <w:vAlign w:val="center"/>
          </w:tcPr>
          <w:p>
            <w:pPr>
              <w:spacing w:line="360" w:lineRule="auto"/>
              <w:rPr>
                <w:rFonts w:hint="eastAsia" w:ascii="宋体" w:hAnsi="宋体" w:cs="Courier New"/>
                <w:szCs w:val="21"/>
              </w:rPr>
            </w:pPr>
            <w:r>
              <w:rPr>
                <w:rFonts w:hint="eastAsia" w:ascii="宋体" w:hAnsi="宋体" w:cs="Courier New"/>
                <w:szCs w:val="21"/>
              </w:rPr>
              <w:t>1、按照交易平台关于全流程电子化项目的相关指南进行操作。详见：</w:t>
            </w:r>
            <w:r>
              <w:rPr>
                <w:rFonts w:hint="eastAsia" w:ascii="宋体" w:hAnsi="宋体"/>
                <w:sz w:val="24"/>
                <w:szCs w:val="24"/>
                <w:u w:val="single"/>
              </w:rPr>
              <w:t>https://ywtb.gzggzy.cn/</w:t>
            </w:r>
            <w:r>
              <w:rPr>
                <w:rFonts w:hint="eastAsia" w:ascii="宋体" w:hAnsi="宋体" w:cs="Courier New"/>
                <w:szCs w:val="21"/>
              </w:rPr>
              <w:t xml:space="preserve">。  </w:t>
            </w:r>
          </w:p>
          <w:p>
            <w:pPr>
              <w:spacing w:line="360" w:lineRule="auto"/>
              <w:rPr>
                <w:rFonts w:hint="eastAsia" w:ascii="宋体" w:hAnsi="宋体" w:cs="Courier New"/>
                <w:szCs w:val="21"/>
              </w:rPr>
            </w:pPr>
            <w:r>
              <w:rPr>
                <w:rFonts w:hint="eastAsia" w:ascii="宋体" w:hAnsi="宋体" w:cs="Courier New"/>
                <w:szCs w:val="21"/>
              </w:rPr>
              <w:t>2、提交投标文件光盘备用</w:t>
            </w:r>
          </w:p>
          <w:p>
            <w:pPr>
              <w:spacing w:line="360" w:lineRule="auto"/>
              <w:rPr>
                <w:rFonts w:hint="eastAsia" w:ascii="宋体" w:hAnsi="宋体" w:cs="Courier New"/>
                <w:szCs w:val="21"/>
              </w:rPr>
            </w:pPr>
            <w:r>
              <w:rPr>
                <w:rFonts w:hint="eastAsia" w:ascii="宋体" w:hAnsi="宋体" w:cs="Courier New"/>
                <w:szCs w:val="21"/>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pPr>
              <w:spacing w:line="360" w:lineRule="auto"/>
              <w:rPr>
                <w:rFonts w:hint="eastAsia" w:ascii="宋体" w:hAnsi="宋体" w:cs="Courier New"/>
                <w:szCs w:val="21"/>
              </w:rPr>
            </w:pPr>
            <w:r>
              <w:rPr>
                <w:rFonts w:hint="eastAsia" w:ascii="宋体" w:hAnsi="宋体" w:cs="Courier New"/>
                <w:szCs w:val="21"/>
              </w:rPr>
              <w:t>3、补救方案</w:t>
            </w:r>
          </w:p>
          <w:p>
            <w:pPr>
              <w:spacing w:line="360" w:lineRule="auto"/>
              <w:rPr>
                <w:rFonts w:hint="eastAsia" w:ascii="宋体" w:hAnsi="宋体" w:cs="Courier New"/>
                <w:szCs w:val="21"/>
              </w:rPr>
            </w:pPr>
            <w:r>
              <w:rPr>
                <w:rFonts w:hint="eastAsia" w:ascii="宋体" w:hAnsi="宋体" w:cs="Courier New"/>
                <w:szCs w:val="21"/>
              </w:rPr>
              <w:t>（1）投标文件解密失败的补救方案：</w:t>
            </w:r>
          </w:p>
          <w:p>
            <w:pPr>
              <w:spacing w:line="360" w:lineRule="auto"/>
              <w:rPr>
                <w:rFonts w:hint="eastAsia" w:ascii="宋体" w:hAnsi="宋体" w:cs="Courier New"/>
                <w:szCs w:val="21"/>
              </w:rPr>
            </w:pPr>
            <w:r>
              <w:rPr>
                <w:rFonts w:hint="eastAsia" w:ascii="宋体" w:hAnsi="宋体" w:cs="Courier New"/>
                <w:szCs w:val="21"/>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spacing w:line="360" w:lineRule="auto"/>
              <w:rPr>
                <w:rFonts w:hint="eastAsia" w:ascii="宋体" w:hAnsi="宋体" w:cs="Courier New"/>
                <w:szCs w:val="21"/>
              </w:rPr>
            </w:pPr>
            <w:r>
              <w:rPr>
                <w:rFonts w:hint="eastAsia" w:ascii="宋体" w:hAnsi="宋体" w:cs="Courier New"/>
                <w:szCs w:val="21"/>
              </w:rPr>
              <w:t>（2）评标时突发情况的补救方案</w:t>
            </w:r>
          </w:p>
          <w:p>
            <w:pPr>
              <w:spacing w:line="360" w:lineRule="auto"/>
              <w:rPr>
                <w:rFonts w:hint="eastAsia" w:ascii="宋体" w:hAnsi="宋体" w:cs="Courier New"/>
                <w:szCs w:val="21"/>
              </w:rPr>
            </w:pPr>
            <w:r>
              <w:rPr>
                <w:rFonts w:hint="eastAsia" w:ascii="宋体" w:hAnsi="宋体" w:cs="Courier New"/>
                <w:szCs w:val="21"/>
              </w:rPr>
              <w:t>若遇不可抗力发生（指网络瘫痪、服务器损坏、交易系统故障短期无法恢复等因素），由评标委员会开启投标人递交的全部投标文件光盘，并按光盘内容进行评审。</w:t>
            </w:r>
          </w:p>
          <w:p>
            <w:pPr>
              <w:spacing w:line="360" w:lineRule="auto"/>
              <w:rPr>
                <w:rFonts w:hint="eastAsia" w:ascii="宋体" w:hAnsi="宋体" w:cs="Courier New"/>
                <w:szCs w:val="21"/>
              </w:rPr>
            </w:pPr>
            <w:r>
              <w:rPr>
                <w:rFonts w:hint="eastAsia" w:ascii="宋体" w:hAnsi="宋体" w:cs="Courier New"/>
                <w:szCs w:val="21"/>
              </w:rPr>
              <w:t>（3）除发生上述情况外，开标评标均以投标人通过交易平台网上递交的电子投标文件为准。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szCs w:val="21"/>
              </w:rPr>
            </w:pPr>
            <w:r>
              <w:rPr>
                <w:rFonts w:hint="eastAsia" w:ascii="宋体" w:hAnsi="宋体" w:cs="宋体"/>
                <w:szCs w:val="21"/>
              </w:rPr>
              <w:t>37</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rPr>
            </w:pPr>
          </w:p>
        </w:tc>
        <w:tc>
          <w:tcPr>
            <w:tcW w:w="6365" w:type="dxa"/>
            <w:tcBorders>
              <w:top w:val="single" w:color="auto" w:sz="4" w:space="0"/>
              <w:left w:val="single" w:color="auto" w:sz="4" w:space="0"/>
              <w:bottom w:val="single" w:color="auto" w:sz="4" w:space="0"/>
              <w:right w:val="double" w:color="auto" w:sz="4" w:space="0"/>
            </w:tcBorders>
            <w:vAlign w:val="center"/>
          </w:tcPr>
          <w:p>
            <w:pPr>
              <w:pStyle w:val="5"/>
              <w:tabs>
                <w:tab w:val="left" w:pos="7380"/>
              </w:tabs>
              <w:spacing w:after="0" w:line="360" w:lineRule="auto"/>
              <w:ind w:firstLine="0"/>
              <w:rPr>
                <w:rFonts w:hint="eastAsia" w:ascii="宋体" w:hAnsi="宋体" w:cs="宋体"/>
                <w:kern w:val="0"/>
                <w:sz w:val="22"/>
                <w:szCs w:val="22"/>
              </w:rPr>
            </w:pPr>
            <w:r>
              <w:rPr>
                <w:rFonts w:hint="eastAsia" w:ascii="宋体" w:hAnsi="宋体" w:cs="宋体"/>
                <w:kern w:val="0"/>
                <w:sz w:val="22"/>
                <w:szCs w:val="22"/>
              </w:rPr>
              <w:t>内容：招标人对中标人参与“百千万工程”的具体要求</w:t>
            </w:r>
          </w:p>
          <w:p>
            <w:pPr>
              <w:pStyle w:val="5"/>
              <w:tabs>
                <w:tab w:val="left" w:pos="7380"/>
              </w:tabs>
              <w:spacing w:after="0" w:line="360" w:lineRule="auto"/>
              <w:ind w:firstLine="0"/>
              <w:rPr>
                <w:rFonts w:hint="eastAsia" w:ascii="宋体" w:hAnsi="宋体" w:cs="宋体"/>
                <w:kern w:val="0"/>
                <w:sz w:val="22"/>
                <w:szCs w:val="22"/>
              </w:rPr>
            </w:pPr>
            <w:r>
              <w:rPr>
                <w:rFonts w:hint="eastAsia" w:ascii="宋体" w:hAnsi="宋体" w:cs="宋体"/>
                <w:kern w:val="0"/>
                <w:sz w:val="22"/>
                <w:szCs w:val="22"/>
              </w:rPr>
              <w:t>说明与要求：</w:t>
            </w:r>
          </w:p>
          <w:p>
            <w:pPr>
              <w:spacing w:line="360" w:lineRule="auto"/>
              <w:rPr>
                <w:rFonts w:hint="eastAsia" w:ascii="宋体" w:hAnsi="宋体" w:cs="宋体"/>
                <w:kern w:val="0"/>
                <w:sz w:val="22"/>
                <w:lang w:val="zh-CN"/>
              </w:rPr>
            </w:pPr>
            <w:r>
              <w:rPr>
                <w:rFonts w:hint="eastAsia" w:ascii="宋体" w:hAnsi="宋体" w:cs="宋体"/>
                <w:kern w:val="0"/>
                <w:sz w:val="22"/>
                <w:lang w:val="zh-CN"/>
              </w:rPr>
              <w:t>☑具体要求在中标后按照投标承诺和招标人的要求执行。</w:t>
            </w:r>
          </w:p>
          <w:p>
            <w:pPr>
              <w:spacing w:line="360" w:lineRule="auto"/>
              <w:rPr>
                <w:rFonts w:hint="eastAsia" w:ascii="宋体" w:hAnsi="宋体" w:cs="Courier New"/>
                <w:szCs w:val="21"/>
              </w:rPr>
            </w:pPr>
            <w:r>
              <w:rPr>
                <w:rFonts w:hint="eastAsia" w:ascii="宋体" w:hAnsi="宋体" w:cs="宋体"/>
                <w:kern w:val="0"/>
                <w:sz w:val="22"/>
                <w:lang w:val="zh-CN"/>
              </w:rPr>
              <w:t>□具体要求：（由招标人填写）</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lang w:val="en-US" w:eastAsia="zh-CN"/>
              </w:rPr>
              <w:t>38</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rPr>
            </w:pPr>
          </w:p>
        </w:tc>
        <w:tc>
          <w:tcPr>
            <w:tcW w:w="18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rPr>
            </w:pPr>
            <w:r>
              <w:rPr>
                <w:rFonts w:hint="eastAsia" w:ascii="宋体" w:hAnsi="宋体" w:eastAsia="宋体" w:cs="宋体"/>
                <w:sz w:val="21"/>
                <w:szCs w:val="21"/>
                <w:highlight w:val="none"/>
              </w:rPr>
              <w:t>其它费用</w:t>
            </w:r>
          </w:p>
        </w:tc>
        <w:tc>
          <w:tcPr>
            <w:tcW w:w="6365" w:type="dxa"/>
            <w:tcBorders>
              <w:top w:val="single" w:color="auto" w:sz="4" w:space="0"/>
              <w:left w:val="single" w:color="auto" w:sz="4" w:space="0"/>
              <w:bottom w:val="single" w:color="auto" w:sz="4" w:space="0"/>
              <w:right w:val="double" w:color="auto" w:sz="4" w:space="0"/>
            </w:tcBorders>
            <w:vAlign w:val="center"/>
          </w:tcPr>
          <w:p>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highlight w:val="none"/>
              </w:rPr>
            </w:pPr>
            <w:r>
              <w:rPr>
                <w:rFonts w:hint="eastAsia" w:ascii="宋体" w:hAnsi="宋体" w:eastAsia="宋体" w:cs="宋体"/>
                <w:kern w:val="2"/>
                <w:sz w:val="21"/>
                <w:szCs w:val="21"/>
                <w:lang w:val="en-US" w:eastAsia="zh-CN" w:bidi="ar-SA"/>
              </w:rPr>
              <w:t>1.</w:t>
            </w:r>
            <w:r>
              <w:rPr>
                <w:rFonts w:hint="eastAsia" w:ascii="宋体" w:hAnsi="宋体" w:eastAsia="宋体" w:cs="宋体"/>
                <w:sz w:val="21"/>
                <w:szCs w:val="21"/>
                <w:highlight w:val="none"/>
              </w:rPr>
              <w:t>招标代理服务费及评委费：中标人在领取中标通知书前，一次性向招标代理机构支付招标代理服务费及评委费。招标代理服务费参照国家计委【2002】1980号《招标代理服务收费管理暂行办法》，最终结算以招标人确定的中标金额为计算基数，费率下浮20%。招标代理服务费及评委费由投标人在投标时综合考虑，招标人不再另行支付。</w:t>
            </w:r>
          </w:p>
          <w:p>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cs="宋体"/>
                <w:kern w:val="0"/>
                <w:sz w:val="22"/>
                <w:lang w:val="zh-CN"/>
              </w:rPr>
            </w:pPr>
            <w:r>
              <w:rPr>
                <w:rFonts w:hint="eastAsia" w:ascii="宋体" w:hAnsi="宋体" w:eastAsia="宋体" w:cs="宋体"/>
                <w:kern w:val="2"/>
                <w:sz w:val="21"/>
                <w:szCs w:val="21"/>
                <w:lang w:val="en-US" w:eastAsia="zh-CN" w:bidi="ar-SA"/>
              </w:rPr>
              <w:t>2.</w:t>
            </w:r>
            <w:r>
              <w:rPr>
                <w:rFonts w:hint="eastAsia" w:ascii="宋体" w:hAnsi="宋体" w:eastAsia="宋体" w:cs="宋体"/>
                <w:sz w:val="21"/>
                <w:szCs w:val="21"/>
                <w:highlight w:val="none"/>
              </w:rPr>
              <w:t>交易服务费：</w:t>
            </w:r>
            <w:r>
              <w:rPr>
                <w:rFonts w:hint="eastAsia" w:ascii="宋体" w:hAnsi="宋体" w:eastAsia="宋体" w:cs="宋体"/>
                <w:sz w:val="21"/>
                <w:szCs w:val="21"/>
              </w:rPr>
              <w:t>本项目交易服务费由中标人向广州公共资源交易中心缴纳，投标人在投标时综合考虑，招标人不另行支付。具体收费标准投标人可以在广州公共资源交易中心网站查阅，如有变更以广州公共资源交易中心最新发布的标准为准。中标人必须在中标通知书发出前支付该笔费用，且前往交易中心办妥出具发票的手续，否则无法出具中标通知书，由于中标人原因导致的延误，由此带来的后果将由中标人自行承担。</w:t>
            </w:r>
          </w:p>
        </w:tc>
      </w:tr>
    </w:tbl>
    <w:p>
      <w:pPr>
        <w:spacing w:line="480" w:lineRule="auto"/>
        <w:rPr>
          <w:rFonts w:ascii="宋体"/>
          <w:strike/>
          <w:color w:val="000000" w:themeColor="text1"/>
          <w:sz w:val="24"/>
          <w14:textFill>
            <w14:solidFill>
              <w14:schemeClr w14:val="tx1"/>
            </w14:solidFill>
          </w14:textFill>
        </w:rPr>
      </w:pPr>
      <w:r>
        <w:rPr>
          <w:rFonts w:hint="eastAsia" w:ascii="宋体" w:hAnsi="宋体"/>
          <w:strike/>
          <w:color w:val="000000" w:themeColor="text1"/>
          <w:sz w:val="24"/>
          <w14:textFill>
            <w14:solidFill>
              <w14:schemeClr w14:val="tx1"/>
            </w14:solidFill>
          </w14:textFill>
        </w:rPr>
        <w:t>注：企业</w:t>
      </w:r>
      <w:r>
        <w:rPr>
          <w:rFonts w:hint="eastAsia" w:ascii="宋体" w:hAnsi="宋体" w:cs="宋体"/>
          <w:strike/>
          <w:color w:val="000000" w:themeColor="text1"/>
          <w:kern w:val="0"/>
          <w:sz w:val="24"/>
          <w14:textFill>
            <w14:solidFill>
              <w14:schemeClr w14:val="tx1"/>
            </w14:solidFill>
          </w14:textFill>
        </w:rPr>
        <w:t>综合诚信评价得分即</w:t>
      </w:r>
      <w:r>
        <w:rPr>
          <w:rFonts w:hint="eastAsia" w:ascii="宋体" w:hAnsi="宋体"/>
          <w:strike/>
          <w:color w:val="000000" w:themeColor="text1"/>
          <w:sz w:val="24"/>
          <w14:textFill>
            <w14:solidFill>
              <w14:schemeClr w14:val="tx1"/>
            </w14:solidFill>
          </w14:textFill>
        </w:rPr>
        <w:t>企业</w:t>
      </w:r>
      <w:r>
        <w:rPr>
          <w:rFonts w:hint="eastAsia" w:ascii="宋体" w:hAnsi="宋体" w:cs="宋体"/>
          <w:strike/>
          <w:color w:val="000000" w:themeColor="text1"/>
          <w:kern w:val="0"/>
          <w:sz w:val="24"/>
          <w14:textFill>
            <w14:solidFill>
              <w14:schemeClr w14:val="tx1"/>
            </w14:solidFill>
          </w14:textFill>
        </w:rPr>
        <w:t>综合诚信评价</w:t>
      </w:r>
      <w:r>
        <w:rPr>
          <w:rFonts w:ascii="宋体" w:hAnsi="宋体" w:cs="宋体"/>
          <w:strike/>
          <w:color w:val="000000" w:themeColor="text1"/>
          <w:kern w:val="0"/>
          <w:sz w:val="24"/>
          <w14:textFill>
            <w14:solidFill>
              <w14:schemeClr w14:val="tx1"/>
            </w14:solidFill>
          </w14:textFill>
        </w:rPr>
        <w:t>60</w:t>
      </w:r>
      <w:r>
        <w:rPr>
          <w:rFonts w:hint="eastAsia" w:ascii="宋体" w:hAnsi="宋体" w:cs="宋体"/>
          <w:strike/>
          <w:color w:val="000000" w:themeColor="text1"/>
          <w:kern w:val="0"/>
          <w:sz w:val="24"/>
          <w14:textFill>
            <w14:solidFill>
              <w14:schemeClr w14:val="tx1"/>
            </w14:solidFill>
          </w14:textFill>
        </w:rPr>
        <w:t>日诚信分，以下同。</w:t>
      </w:r>
    </w:p>
    <w:p>
      <w:pPr>
        <w:pStyle w:val="2"/>
        <w:rPr>
          <w:rFonts w:hint="eastAsia" w:ascii="黑体" w:hAnsi="黑体" w:eastAsia="黑体" w:cs="黑体"/>
          <w:color w:val="000000" w:themeColor="text1"/>
          <w:sz w:val="32"/>
          <w:szCs w:val="32"/>
          <w14:textFill>
            <w14:solidFill>
              <w14:schemeClr w14:val="tx1"/>
            </w14:solidFill>
          </w14:textFill>
        </w:rPr>
      </w:pPr>
      <w:r>
        <w:rPr>
          <w:color w:val="000000" w:themeColor="text1"/>
          <w14:textFill>
            <w14:solidFill>
              <w14:schemeClr w14:val="tx1"/>
            </w14:solidFill>
          </w14:textFill>
        </w:rPr>
        <w:br w:type="page"/>
      </w:r>
      <w:bookmarkStart w:id="9" w:name="_Toc6428"/>
      <w:bookmarkStart w:id="10" w:name="_Toc21525491"/>
      <w:bookmarkStart w:id="11" w:name="_Toc2272547"/>
      <w:r>
        <w:rPr>
          <w:rFonts w:hint="eastAsia" w:ascii="黑体" w:hAnsi="黑体" w:eastAsia="黑体" w:cs="黑体"/>
          <w:color w:val="000000" w:themeColor="text1"/>
          <w:sz w:val="32"/>
          <w:szCs w:val="32"/>
          <w14:textFill>
            <w14:solidFill>
              <w14:schemeClr w14:val="tx1"/>
            </w14:solidFill>
          </w14:textFill>
        </w:rPr>
        <w:t>二、投标须知修改表</w:t>
      </w:r>
      <w:bookmarkEnd w:id="9"/>
      <w:bookmarkEnd w:id="10"/>
      <w:bookmarkEnd w:id="11"/>
    </w:p>
    <w:p>
      <w:pPr>
        <w:pStyle w:val="5"/>
        <w:spacing w:line="360" w:lineRule="auto"/>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http://zfcj.gz.gov.cn/）下载查阅。</w:t>
      </w:r>
    </w:p>
    <w:p>
      <w:pPr>
        <w:spacing w:line="360" w:lineRule="auto"/>
        <w:ind w:firstLine="540" w:firstLineChars="224"/>
        <w:rPr>
          <w:rFonts w:ascii="Times New Roman" w:hAnsi="Times New Roman"/>
          <w:b/>
          <w:sz w:val="24"/>
          <w:szCs w:val="24"/>
        </w:rPr>
      </w:pPr>
      <w:r>
        <w:rPr>
          <w:rFonts w:hint="eastAsia" w:ascii="Times New Roman" w:hAnsi="Times New Roman"/>
          <w:b/>
          <w:sz w:val="24"/>
          <w:szCs w:val="24"/>
        </w:rPr>
        <w:t>条款号：8.1</w:t>
      </w:r>
      <w:r>
        <w:rPr>
          <w:rFonts w:ascii="Times New Roman" w:hAnsi="Times New Roman"/>
          <w:b/>
          <w:sz w:val="24"/>
          <w:szCs w:val="24"/>
        </w:rPr>
        <w:t xml:space="preserve">             </w:t>
      </w:r>
      <w:r>
        <w:rPr>
          <w:rFonts w:hint="eastAsia" w:ascii="Times New Roman" w:hAnsi="Times New Roman"/>
          <w:b/>
          <w:sz w:val="24"/>
          <w:szCs w:val="24"/>
        </w:rPr>
        <w:t>修改类型：修改</w:t>
      </w:r>
    </w:p>
    <w:p>
      <w:pPr>
        <w:spacing w:line="360" w:lineRule="auto"/>
        <w:ind w:firstLine="540" w:firstLineChars="224"/>
        <w:rPr>
          <w:rFonts w:ascii="Times New Roman" w:hAnsi="Times New Roman"/>
          <w:b/>
          <w:sz w:val="24"/>
          <w:szCs w:val="24"/>
        </w:rPr>
      </w:pPr>
      <w:r>
        <w:rPr>
          <w:rFonts w:hint="eastAsia" w:ascii="Times New Roman" w:hAnsi="Times New Roman"/>
          <w:b/>
          <w:sz w:val="24"/>
          <w:szCs w:val="24"/>
        </w:rPr>
        <w:t>原文：</w:t>
      </w:r>
      <w:r>
        <w:rPr>
          <w:rFonts w:hint="eastAsia" w:ascii="Times New Roman" w:hAnsi="Times New Roman"/>
          <w:sz w:val="24"/>
          <w:szCs w:val="24"/>
        </w:rPr>
        <w:t>8.1投标人若对招标文件（包括招标图纸）中有疑问，可以书面形式通过</w:t>
      </w:r>
      <w:r>
        <w:rPr>
          <w:rFonts w:ascii="Times New Roman" w:hAnsi="Times New Roman"/>
          <w:sz w:val="24"/>
          <w:szCs w:val="24"/>
          <w:u w:val="single"/>
        </w:rPr>
        <w:t xml:space="preserve">        </w:t>
      </w:r>
      <w:r>
        <w:rPr>
          <w:rFonts w:hint="eastAsia" w:ascii="Times New Roman" w:hAnsi="Times New Roman"/>
          <w:sz w:val="24"/>
          <w:szCs w:val="24"/>
        </w:rPr>
        <w:t>交易平台提交给招标人或招标代理人，提交形式见本须知前附表第</w:t>
      </w:r>
      <w:r>
        <w:rPr>
          <w:rFonts w:ascii="Times New Roman" w:hAnsi="Times New Roman"/>
          <w:sz w:val="24"/>
          <w:szCs w:val="24"/>
        </w:rPr>
        <w:t>16</w:t>
      </w:r>
      <w:r>
        <w:rPr>
          <w:rFonts w:hint="eastAsia" w:ascii="Times New Roman" w:hAnsi="Times New Roman"/>
          <w:sz w:val="24"/>
          <w:szCs w:val="24"/>
        </w:rPr>
        <w:t>项。</w:t>
      </w:r>
    </w:p>
    <w:p>
      <w:pPr>
        <w:pBdr>
          <w:bottom w:val="single" w:color="auto" w:sz="6" w:space="1"/>
        </w:pBdr>
        <w:spacing w:line="360" w:lineRule="auto"/>
        <w:ind w:firstLine="602" w:firstLineChars="250"/>
        <w:rPr>
          <w:rFonts w:ascii="Times New Roman" w:hAnsi="Times New Roman"/>
          <w:sz w:val="24"/>
          <w:szCs w:val="24"/>
        </w:rPr>
      </w:pPr>
      <w:r>
        <w:rPr>
          <w:rFonts w:hint="eastAsia" w:ascii="Times New Roman" w:hAnsi="Times New Roman"/>
          <w:b/>
          <w:sz w:val="24"/>
          <w:szCs w:val="24"/>
        </w:rPr>
        <w:t>现文：</w:t>
      </w:r>
      <w:r>
        <w:rPr>
          <w:rFonts w:hint="eastAsia" w:ascii="Times New Roman" w:hAnsi="Times New Roman"/>
          <w:sz w:val="24"/>
          <w:szCs w:val="24"/>
        </w:rPr>
        <w:t>8.1投标人若对招标文件（包括招标图纸）中有疑问，可以书面形式通过</w:t>
      </w:r>
      <w:r>
        <w:rPr>
          <w:rFonts w:ascii="Times New Roman" w:hAnsi="Times New Roman"/>
          <w:sz w:val="24"/>
          <w:szCs w:val="24"/>
          <w:u w:val="single"/>
        </w:rPr>
        <w:t xml:space="preserve"> </w:t>
      </w:r>
      <w:r>
        <w:rPr>
          <w:rFonts w:hint="eastAsia" w:ascii="Times New Roman" w:hAnsi="Times New Roman"/>
          <w:sz w:val="24"/>
          <w:szCs w:val="24"/>
          <w:u w:val="single"/>
        </w:rPr>
        <w:t>广州交易集团有限公司（广州公共资源交易中心）</w:t>
      </w:r>
      <w:r>
        <w:rPr>
          <w:rFonts w:hint="eastAsia" w:ascii="Times New Roman" w:hAnsi="Times New Roman"/>
          <w:sz w:val="24"/>
          <w:szCs w:val="24"/>
        </w:rPr>
        <w:t>交易平台提交给招标人或招标代理人，提交形式见本须知前附表第</w:t>
      </w:r>
      <w:r>
        <w:rPr>
          <w:rFonts w:ascii="Times New Roman" w:hAnsi="Times New Roman"/>
          <w:sz w:val="24"/>
          <w:szCs w:val="24"/>
        </w:rPr>
        <w:t>16</w:t>
      </w:r>
      <w:r>
        <w:rPr>
          <w:rFonts w:hint="eastAsia" w:ascii="Times New Roman" w:hAnsi="Times New Roman"/>
          <w:sz w:val="24"/>
          <w:szCs w:val="24"/>
        </w:rPr>
        <w:t>项。</w:t>
      </w:r>
    </w:p>
    <w:p>
      <w:pPr>
        <w:spacing w:line="360" w:lineRule="auto"/>
        <w:ind w:firstLine="540" w:firstLineChars="224"/>
        <w:rPr>
          <w:rFonts w:ascii="Times New Roman" w:hAnsi="Times New Roman"/>
          <w:b/>
          <w:sz w:val="24"/>
          <w:szCs w:val="24"/>
        </w:rPr>
      </w:pPr>
      <w:r>
        <w:rPr>
          <w:rFonts w:hint="eastAsia" w:ascii="Times New Roman" w:hAnsi="Times New Roman"/>
          <w:b/>
          <w:sz w:val="24"/>
          <w:szCs w:val="24"/>
        </w:rPr>
        <w:t>条款号：8.2</w:t>
      </w:r>
      <w:r>
        <w:rPr>
          <w:rFonts w:ascii="Times New Roman" w:hAnsi="Times New Roman"/>
          <w:b/>
          <w:sz w:val="24"/>
          <w:szCs w:val="24"/>
        </w:rPr>
        <w:t xml:space="preserve">             </w:t>
      </w:r>
      <w:r>
        <w:rPr>
          <w:rFonts w:hint="eastAsia" w:ascii="Times New Roman" w:hAnsi="Times New Roman"/>
          <w:b/>
          <w:sz w:val="24"/>
          <w:szCs w:val="24"/>
        </w:rPr>
        <w:t>修改类型：修改</w:t>
      </w:r>
    </w:p>
    <w:p>
      <w:pPr>
        <w:spacing w:line="360" w:lineRule="auto"/>
        <w:ind w:firstLine="540" w:firstLineChars="224"/>
        <w:rPr>
          <w:rFonts w:ascii="Times New Roman" w:hAnsi="Times New Roman"/>
          <w:b/>
          <w:sz w:val="24"/>
          <w:szCs w:val="24"/>
        </w:rPr>
      </w:pPr>
      <w:r>
        <w:rPr>
          <w:rFonts w:hint="eastAsia" w:ascii="Times New Roman" w:hAnsi="Times New Roman"/>
          <w:b/>
          <w:sz w:val="24"/>
          <w:szCs w:val="24"/>
        </w:rPr>
        <w:t>原文：</w:t>
      </w:r>
      <w:r>
        <w:rPr>
          <w:rFonts w:ascii="Times New Roman" w:hAnsi="Times New Roman"/>
          <w:sz w:val="24"/>
          <w:szCs w:val="24"/>
        </w:rPr>
        <w:t>8.2</w:t>
      </w:r>
      <w:r>
        <w:rPr>
          <w:rFonts w:hint="eastAsia" w:ascii="Times New Roman" w:hAnsi="Times New Roman"/>
          <w:sz w:val="24"/>
          <w:szCs w:val="24"/>
        </w:rPr>
        <w:t>招标答疑会会议纪要将在提交投标文件截止时间15日前在</w:t>
      </w:r>
      <w:r>
        <w:rPr>
          <w:rFonts w:ascii="Times New Roman" w:hAnsi="Times New Roman"/>
          <w:sz w:val="24"/>
          <w:szCs w:val="24"/>
          <w:u w:val="single"/>
        </w:rPr>
        <w:t xml:space="preserve">        </w:t>
      </w:r>
      <w:r>
        <w:rPr>
          <w:rFonts w:hint="eastAsia" w:ascii="Times New Roman" w:hAnsi="Times New Roman"/>
          <w:sz w:val="24"/>
          <w:szCs w:val="24"/>
        </w:rPr>
        <w:t>交易平台 “项目答疑纪要”专区公开发布。答疑纪要一经在</w:t>
      </w:r>
      <w:r>
        <w:rPr>
          <w:rFonts w:ascii="Times New Roman" w:hAnsi="Times New Roman"/>
          <w:sz w:val="24"/>
          <w:szCs w:val="24"/>
          <w:u w:val="single"/>
        </w:rPr>
        <w:t xml:space="preserve">        </w:t>
      </w:r>
      <w:r>
        <w:rPr>
          <w:rFonts w:hint="eastAsia" w:ascii="Times New Roman" w:hAnsi="Times New Roman"/>
          <w:sz w:val="24"/>
          <w:szCs w:val="24"/>
        </w:rPr>
        <w:t>交易平台发布，视作已发放给所有投标人。</w:t>
      </w:r>
    </w:p>
    <w:p>
      <w:pPr>
        <w:pBdr>
          <w:bottom w:val="single" w:color="auto" w:sz="6" w:space="1"/>
        </w:pBdr>
        <w:spacing w:line="360" w:lineRule="auto"/>
        <w:ind w:firstLine="602" w:firstLineChars="250"/>
        <w:rPr>
          <w:rFonts w:ascii="Times New Roman" w:hAnsi="Times New Roman"/>
          <w:sz w:val="24"/>
          <w:szCs w:val="24"/>
        </w:rPr>
      </w:pPr>
      <w:r>
        <w:rPr>
          <w:rFonts w:hint="eastAsia" w:ascii="Times New Roman" w:hAnsi="Times New Roman"/>
          <w:b/>
          <w:sz w:val="24"/>
          <w:szCs w:val="24"/>
        </w:rPr>
        <w:t>现文：</w:t>
      </w:r>
      <w:r>
        <w:rPr>
          <w:rFonts w:ascii="Times New Roman" w:hAnsi="Times New Roman"/>
          <w:sz w:val="24"/>
          <w:szCs w:val="24"/>
        </w:rPr>
        <w:t>8.2</w:t>
      </w:r>
      <w:r>
        <w:rPr>
          <w:rFonts w:hint="eastAsia" w:ascii="Times New Roman" w:hAnsi="Times New Roman"/>
          <w:sz w:val="24"/>
          <w:szCs w:val="24"/>
        </w:rPr>
        <w:t>招标答疑会会议纪要将在提交投标文件截止时间15日前在</w:t>
      </w:r>
      <w:r>
        <w:rPr>
          <w:rFonts w:ascii="Times New Roman" w:hAnsi="Times New Roman"/>
          <w:sz w:val="24"/>
          <w:szCs w:val="24"/>
          <w:u w:val="single"/>
        </w:rPr>
        <w:t xml:space="preserve"> </w:t>
      </w:r>
      <w:r>
        <w:rPr>
          <w:rFonts w:hint="eastAsia" w:ascii="Times New Roman" w:hAnsi="Times New Roman"/>
          <w:sz w:val="24"/>
          <w:szCs w:val="24"/>
          <w:u w:val="single"/>
        </w:rPr>
        <w:t>广州交易集团有限公司（广州公共资源交易中心）</w:t>
      </w:r>
      <w:r>
        <w:rPr>
          <w:rFonts w:hint="eastAsia" w:ascii="Times New Roman" w:hAnsi="Times New Roman"/>
          <w:sz w:val="24"/>
          <w:szCs w:val="24"/>
        </w:rPr>
        <w:t>交易平台 “项目答疑纪要”专区公开发布。答疑纪要一经在</w:t>
      </w:r>
      <w:r>
        <w:rPr>
          <w:rFonts w:hint="eastAsia" w:ascii="Times New Roman" w:hAnsi="Times New Roman"/>
          <w:sz w:val="24"/>
          <w:szCs w:val="24"/>
          <w:u w:val="single"/>
        </w:rPr>
        <w:t>广州交易集团有限公司（广州公共资源交易中心）</w:t>
      </w:r>
      <w:r>
        <w:rPr>
          <w:rFonts w:hint="eastAsia" w:ascii="Times New Roman" w:hAnsi="Times New Roman"/>
          <w:sz w:val="24"/>
          <w:szCs w:val="24"/>
        </w:rPr>
        <w:t>交易平台发布，视作已发放给所有投标人。</w:t>
      </w:r>
    </w:p>
    <w:p>
      <w:pPr>
        <w:spacing w:line="360" w:lineRule="auto"/>
        <w:ind w:firstLine="540" w:firstLineChars="224"/>
        <w:rPr>
          <w:rFonts w:ascii="Times New Roman" w:hAnsi="Times New Roman"/>
          <w:b/>
          <w:sz w:val="24"/>
          <w:szCs w:val="24"/>
        </w:rPr>
      </w:pPr>
      <w:r>
        <w:rPr>
          <w:rFonts w:hint="eastAsia" w:ascii="Times New Roman" w:hAnsi="Times New Roman"/>
          <w:b/>
          <w:sz w:val="24"/>
          <w:szCs w:val="24"/>
        </w:rPr>
        <w:t>条款号：9.2</w:t>
      </w:r>
      <w:r>
        <w:rPr>
          <w:rFonts w:ascii="Times New Roman" w:hAnsi="Times New Roman"/>
          <w:b/>
          <w:sz w:val="24"/>
          <w:szCs w:val="24"/>
        </w:rPr>
        <w:t xml:space="preserve">             </w:t>
      </w:r>
      <w:r>
        <w:rPr>
          <w:rFonts w:hint="eastAsia" w:ascii="Times New Roman" w:hAnsi="Times New Roman"/>
          <w:b/>
          <w:sz w:val="24"/>
          <w:szCs w:val="24"/>
        </w:rPr>
        <w:t>修改类型：修改</w:t>
      </w:r>
    </w:p>
    <w:p>
      <w:pPr>
        <w:spacing w:line="360" w:lineRule="auto"/>
        <w:ind w:firstLine="540" w:firstLineChars="224"/>
        <w:rPr>
          <w:rFonts w:ascii="Times New Roman" w:hAnsi="Times New Roman"/>
          <w:b/>
          <w:sz w:val="24"/>
          <w:szCs w:val="24"/>
        </w:rPr>
      </w:pPr>
      <w:r>
        <w:rPr>
          <w:rFonts w:hint="eastAsia" w:ascii="Times New Roman" w:hAnsi="Times New Roman"/>
          <w:b/>
          <w:sz w:val="24"/>
          <w:szCs w:val="24"/>
        </w:rPr>
        <w:t>原文：</w:t>
      </w:r>
      <w:r>
        <w:rPr>
          <w:rFonts w:ascii="Times New Roman" w:hAnsi="Times New Roman"/>
          <w:sz w:val="24"/>
          <w:szCs w:val="24"/>
        </w:rPr>
        <w:t>9.2</w:t>
      </w:r>
      <w:r>
        <w:rPr>
          <w:rFonts w:hint="eastAsia" w:ascii="Times New Roman" w:hAnsi="Times New Roman"/>
          <w:sz w:val="24"/>
          <w:szCs w:val="24"/>
        </w:rPr>
        <w:t>招标文件的澄清或修改将在</w:t>
      </w:r>
      <w:r>
        <w:rPr>
          <w:rFonts w:ascii="Times New Roman" w:hAnsi="Times New Roman"/>
          <w:sz w:val="24"/>
          <w:szCs w:val="24"/>
          <w:u w:val="single"/>
        </w:rPr>
        <w:t xml:space="preserve">        </w:t>
      </w:r>
      <w:r>
        <w:rPr>
          <w:rFonts w:hint="eastAsia" w:ascii="Times New Roman" w:hAnsi="Times New Roman"/>
          <w:sz w:val="24"/>
          <w:szCs w:val="24"/>
        </w:rPr>
        <w:t>交易平台“项目答疑纪要”专区公开发布。答疑纪要一经在</w:t>
      </w:r>
      <w:r>
        <w:rPr>
          <w:rFonts w:ascii="Times New Roman" w:hAnsi="Times New Roman"/>
          <w:sz w:val="24"/>
          <w:szCs w:val="24"/>
          <w:u w:val="single"/>
        </w:rPr>
        <w:t xml:space="preserve">        </w:t>
      </w:r>
      <w:r>
        <w:rPr>
          <w:rFonts w:hint="eastAsia" w:ascii="Times New Roman" w:hAnsi="Times New Roman"/>
          <w:sz w:val="24"/>
          <w:szCs w:val="24"/>
        </w:rPr>
        <w:t>交易平台发布，视作已发放给所有投标人，以</w:t>
      </w:r>
      <w:r>
        <w:rPr>
          <w:rFonts w:ascii="Times New Roman" w:hAnsi="Times New Roman"/>
          <w:sz w:val="24"/>
          <w:szCs w:val="24"/>
          <w:u w:val="single"/>
        </w:rPr>
        <w:t xml:space="preserve">        </w:t>
      </w:r>
      <w:r>
        <w:rPr>
          <w:rFonts w:hint="eastAsia" w:ascii="Times New Roman" w:hAnsi="Times New Roman"/>
          <w:sz w:val="24"/>
          <w:szCs w:val="24"/>
        </w:rPr>
        <w:t>交易平台上网发布时间作为送达时间。</w:t>
      </w:r>
    </w:p>
    <w:p>
      <w:pPr>
        <w:pBdr>
          <w:bottom w:val="single" w:color="auto" w:sz="6" w:space="1"/>
        </w:pBdr>
        <w:spacing w:line="360" w:lineRule="auto"/>
        <w:ind w:firstLine="602" w:firstLineChars="250"/>
        <w:rPr>
          <w:rFonts w:ascii="Times New Roman" w:hAnsi="Times New Roman"/>
          <w:sz w:val="24"/>
          <w:szCs w:val="24"/>
        </w:rPr>
      </w:pPr>
      <w:r>
        <w:rPr>
          <w:rFonts w:hint="eastAsia" w:ascii="Times New Roman" w:hAnsi="Times New Roman"/>
          <w:b/>
          <w:sz w:val="24"/>
          <w:szCs w:val="24"/>
        </w:rPr>
        <w:t>现文：</w:t>
      </w:r>
      <w:r>
        <w:rPr>
          <w:rFonts w:ascii="Times New Roman" w:hAnsi="Times New Roman"/>
          <w:sz w:val="24"/>
          <w:szCs w:val="24"/>
        </w:rPr>
        <w:t>9.2</w:t>
      </w:r>
      <w:r>
        <w:rPr>
          <w:rFonts w:hint="eastAsia" w:ascii="Times New Roman" w:hAnsi="Times New Roman"/>
          <w:sz w:val="24"/>
          <w:szCs w:val="24"/>
        </w:rPr>
        <w:t>招标文件的澄清或修改将在</w:t>
      </w:r>
      <w:r>
        <w:rPr>
          <w:rFonts w:hint="eastAsia" w:ascii="Times New Roman" w:hAnsi="Times New Roman"/>
          <w:sz w:val="24"/>
          <w:szCs w:val="24"/>
          <w:u w:val="single"/>
        </w:rPr>
        <w:t>广州交易集团有限公司（广州公共资源交易中心）</w:t>
      </w:r>
      <w:r>
        <w:rPr>
          <w:rFonts w:hint="eastAsia" w:ascii="Times New Roman" w:hAnsi="Times New Roman"/>
          <w:sz w:val="24"/>
          <w:szCs w:val="24"/>
        </w:rPr>
        <w:t>交易平台“项目答疑纪要”专区公开发布。答疑纪要一经在</w:t>
      </w:r>
      <w:r>
        <w:rPr>
          <w:rFonts w:hint="eastAsia" w:ascii="Times New Roman" w:hAnsi="Times New Roman"/>
          <w:sz w:val="24"/>
          <w:szCs w:val="24"/>
          <w:u w:val="single"/>
        </w:rPr>
        <w:t>广州交易集团有限公司（广州公共资源交易中心）</w:t>
      </w:r>
      <w:r>
        <w:rPr>
          <w:rFonts w:hint="eastAsia" w:ascii="Times New Roman" w:hAnsi="Times New Roman"/>
          <w:sz w:val="24"/>
          <w:szCs w:val="24"/>
        </w:rPr>
        <w:t>交易平台发布，视作已发放给所有投标人，以</w:t>
      </w:r>
      <w:r>
        <w:rPr>
          <w:rFonts w:ascii="Times New Roman" w:hAnsi="Times New Roman"/>
          <w:sz w:val="24"/>
          <w:szCs w:val="24"/>
          <w:u w:val="single"/>
        </w:rPr>
        <w:t xml:space="preserve"> </w:t>
      </w:r>
      <w:r>
        <w:rPr>
          <w:rFonts w:hint="eastAsia" w:ascii="Times New Roman" w:hAnsi="Times New Roman"/>
          <w:sz w:val="24"/>
          <w:szCs w:val="24"/>
          <w:u w:val="single"/>
        </w:rPr>
        <w:t>广州交易集团有限公司（广州公共资源交易中心）</w:t>
      </w:r>
      <w:r>
        <w:rPr>
          <w:rFonts w:hint="eastAsia" w:ascii="Times New Roman" w:hAnsi="Times New Roman"/>
          <w:sz w:val="24"/>
          <w:szCs w:val="24"/>
        </w:rPr>
        <w:t>交易平台上网发布时间作为送达时间。</w:t>
      </w:r>
    </w:p>
    <w:p>
      <w:pPr>
        <w:spacing w:line="360" w:lineRule="auto"/>
        <w:ind w:firstLine="482" w:firstLineChars="200"/>
        <w:rPr>
          <w:rFonts w:ascii="Times New Roman" w:hAnsi="Times New Roman"/>
          <w:b/>
          <w:sz w:val="24"/>
          <w:szCs w:val="24"/>
        </w:rPr>
      </w:pPr>
      <w:r>
        <w:rPr>
          <w:rFonts w:hint="eastAsia" w:ascii="Times New Roman" w:hAnsi="Times New Roman"/>
          <w:b/>
          <w:sz w:val="24"/>
          <w:szCs w:val="24"/>
        </w:rPr>
        <w:t>条款号：11.2</w:t>
      </w:r>
      <w:r>
        <w:rPr>
          <w:rFonts w:ascii="Times New Roman" w:hAnsi="Times New Roman"/>
          <w:b/>
          <w:sz w:val="24"/>
          <w:szCs w:val="24"/>
        </w:rPr>
        <w:t xml:space="preserve">           </w:t>
      </w:r>
      <w:r>
        <w:rPr>
          <w:rFonts w:hint="eastAsia" w:ascii="Times New Roman" w:hAnsi="Times New Roman"/>
          <w:b/>
          <w:sz w:val="24"/>
          <w:szCs w:val="24"/>
        </w:rPr>
        <w:t>修改类型：修改</w:t>
      </w:r>
    </w:p>
    <w:p>
      <w:pPr>
        <w:spacing w:line="360" w:lineRule="auto"/>
        <w:ind w:firstLine="482" w:firstLineChars="200"/>
        <w:rPr>
          <w:rFonts w:ascii="Times New Roman" w:hAnsi="Times New Roman"/>
          <w:sz w:val="24"/>
          <w:szCs w:val="24"/>
        </w:rPr>
      </w:pPr>
      <w:r>
        <w:rPr>
          <w:rFonts w:hint="eastAsia" w:ascii="Times New Roman" w:hAnsi="Times New Roman"/>
          <w:b/>
          <w:sz w:val="24"/>
          <w:szCs w:val="24"/>
        </w:rPr>
        <w:t>原文：</w:t>
      </w:r>
      <w:r>
        <w:rPr>
          <w:rFonts w:ascii="Times New Roman" w:hAnsi="Times New Roman"/>
          <w:sz w:val="24"/>
          <w:szCs w:val="24"/>
        </w:rPr>
        <w:t>11.2</w:t>
      </w:r>
      <w:r>
        <w:rPr>
          <w:rFonts w:hint="eastAsia" w:ascii="Times New Roman" w:hAnsi="Times New Roman"/>
          <w:sz w:val="24"/>
          <w:szCs w:val="24"/>
        </w:rPr>
        <w:t>投标文件技术标部分主要包括下列内容</w:t>
      </w:r>
      <w:r>
        <w:rPr>
          <w:rFonts w:ascii="Times New Roman" w:hAnsi="Times New Roman"/>
          <w:sz w:val="24"/>
          <w:szCs w:val="24"/>
        </w:rPr>
        <w:t>:</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11.2.1 技术投标文件</w:t>
      </w:r>
      <w:r>
        <w:rPr>
          <w:rFonts w:ascii="Times New Roman" w:hAnsi="Times New Roman"/>
          <w:sz w:val="24"/>
          <w:szCs w:val="24"/>
        </w:rPr>
        <w:t>(</w:t>
      </w:r>
      <w:r>
        <w:rPr>
          <w:rFonts w:hint="eastAsia" w:ascii="Times New Roman" w:hAnsi="Times New Roman"/>
          <w:sz w:val="24"/>
          <w:szCs w:val="24"/>
        </w:rPr>
        <w:t>按招标文件的要求填写</w:t>
      </w:r>
      <w:r>
        <w:rPr>
          <w:rFonts w:ascii="Times New Roman" w:hAnsi="Times New Roman"/>
          <w:sz w:val="24"/>
          <w:szCs w:val="24"/>
        </w:rPr>
        <w:t>)</w:t>
      </w:r>
      <w:r>
        <w:rPr>
          <w:rFonts w:hint="eastAsia" w:ascii="Times New Roman" w:hAnsi="Times New Roman"/>
          <w:sz w:val="24"/>
          <w:szCs w:val="24"/>
        </w:rPr>
        <w:t>；</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11.2.2 资格审查文件：</w:t>
      </w:r>
    </w:p>
    <w:p>
      <w:pPr>
        <w:spacing w:line="360" w:lineRule="auto"/>
        <w:ind w:firstLine="537" w:firstLineChars="224"/>
        <w:rPr>
          <w:rFonts w:ascii="Times New Roman" w:hAnsi="Times New Roman"/>
          <w:sz w:val="24"/>
          <w:szCs w:val="24"/>
        </w:rPr>
      </w:pPr>
      <w:r>
        <w:rPr>
          <w:rFonts w:hint="eastAsia" w:ascii="Times New Roman" w:hAnsi="Times New Roman"/>
          <w:sz w:val="24"/>
          <w:szCs w:val="24"/>
        </w:rPr>
        <w:t xml:space="preserve">（1）投标人声明； </w:t>
      </w:r>
    </w:p>
    <w:p>
      <w:pPr>
        <w:spacing w:line="360" w:lineRule="auto"/>
        <w:ind w:firstLine="537" w:firstLineChars="224"/>
        <w:rPr>
          <w:rFonts w:ascii="Times New Roman" w:hAnsi="Times New Roman"/>
          <w:sz w:val="24"/>
          <w:szCs w:val="24"/>
        </w:rPr>
      </w:pPr>
      <w:r>
        <w:rPr>
          <w:rFonts w:hint="eastAsia" w:ascii="Times New Roman" w:hAnsi="Times New Roman"/>
          <w:sz w:val="24"/>
          <w:szCs w:val="24"/>
        </w:rPr>
        <w:t>（2）法定代表人证明书、法定代表人签字或盖章的本投标文件授权委托证明书；</w:t>
      </w:r>
    </w:p>
    <w:p>
      <w:pPr>
        <w:spacing w:line="360" w:lineRule="auto"/>
        <w:ind w:firstLine="537" w:firstLineChars="224"/>
        <w:rPr>
          <w:rFonts w:ascii="Times New Roman" w:hAnsi="Times New Roman"/>
          <w:sz w:val="24"/>
          <w:szCs w:val="24"/>
        </w:rPr>
      </w:pPr>
      <w:r>
        <w:rPr>
          <w:rFonts w:hint="eastAsia" w:ascii="Times New Roman" w:hAnsi="Times New Roman"/>
          <w:sz w:val="24"/>
          <w:szCs w:val="24"/>
        </w:rPr>
        <w:t>（3）企业营业执照扫描件或电子证照；</w:t>
      </w:r>
    </w:p>
    <w:p>
      <w:pPr>
        <w:spacing w:line="360" w:lineRule="auto"/>
        <w:ind w:firstLine="537" w:firstLineChars="224"/>
        <w:rPr>
          <w:rFonts w:ascii="Times New Roman" w:hAnsi="Times New Roman"/>
          <w:sz w:val="24"/>
          <w:szCs w:val="24"/>
        </w:rPr>
      </w:pPr>
      <w:r>
        <w:rPr>
          <w:rFonts w:hint="eastAsia" w:ascii="Times New Roman" w:hAnsi="Times New Roman"/>
          <w:sz w:val="24"/>
          <w:szCs w:val="24"/>
        </w:rPr>
        <w:t>（4）企业资质证书扫描件或电子证照；</w:t>
      </w:r>
    </w:p>
    <w:p>
      <w:pPr>
        <w:spacing w:line="360" w:lineRule="auto"/>
        <w:ind w:firstLine="537" w:firstLineChars="224"/>
        <w:rPr>
          <w:rFonts w:ascii="Times New Roman" w:hAnsi="Times New Roman"/>
          <w:sz w:val="24"/>
          <w:szCs w:val="24"/>
        </w:rPr>
      </w:pPr>
      <w:r>
        <w:rPr>
          <w:rFonts w:hint="eastAsia" w:ascii="Times New Roman" w:hAnsi="Times New Roman"/>
          <w:sz w:val="24"/>
          <w:szCs w:val="24"/>
        </w:rPr>
        <w:t>（5）建筑施工企业安全生产许可证扫描件或电子证照；</w:t>
      </w:r>
    </w:p>
    <w:p>
      <w:pPr>
        <w:spacing w:line="360" w:lineRule="auto"/>
        <w:ind w:firstLine="537" w:firstLineChars="224"/>
        <w:rPr>
          <w:rFonts w:ascii="Times New Roman" w:hAnsi="Times New Roman"/>
          <w:sz w:val="24"/>
          <w:szCs w:val="24"/>
        </w:rPr>
      </w:pPr>
      <w:r>
        <w:rPr>
          <w:rFonts w:hint="eastAsia" w:ascii="Times New Roman" w:hAnsi="Times New Roman"/>
          <w:sz w:val="24"/>
          <w:szCs w:val="24"/>
        </w:rPr>
        <w:t>（6）项目负责人（按网上投标登记时选择拟投入本项目的项目负责人）</w:t>
      </w:r>
    </w:p>
    <w:p>
      <w:pPr>
        <w:spacing w:line="360" w:lineRule="auto"/>
        <w:ind w:firstLine="537" w:firstLineChars="224"/>
        <w:rPr>
          <w:rFonts w:ascii="Times New Roman" w:hAnsi="Times New Roman"/>
          <w:sz w:val="24"/>
          <w:szCs w:val="24"/>
        </w:rPr>
      </w:pPr>
      <w:r>
        <w:rPr>
          <w:rFonts w:hint="eastAsia" w:ascii="Times New Roman" w:hAnsi="Times New Roman"/>
          <w:sz w:val="24"/>
          <w:szCs w:val="24"/>
        </w:rPr>
        <w:t>（7）专职安全员（按网上投标登记时选择拟投入本项目的专职安全员）</w:t>
      </w:r>
    </w:p>
    <w:p>
      <w:pPr>
        <w:spacing w:line="360" w:lineRule="auto"/>
        <w:ind w:firstLine="537" w:firstLineChars="224"/>
        <w:rPr>
          <w:rFonts w:ascii="Times New Roman" w:hAnsi="Times New Roman"/>
          <w:sz w:val="24"/>
          <w:szCs w:val="24"/>
        </w:rPr>
      </w:pPr>
      <w:r>
        <w:rPr>
          <w:rFonts w:hint="eastAsia" w:ascii="Times New Roman" w:hAnsi="Times New Roman"/>
          <w:sz w:val="24"/>
          <w:szCs w:val="24"/>
        </w:rPr>
        <w:t>（8）拟委托技术负责人的相关证书、资料（具体要求由招标人明确）</w:t>
      </w:r>
    </w:p>
    <w:p>
      <w:pPr>
        <w:spacing w:line="360" w:lineRule="auto"/>
        <w:ind w:firstLine="537" w:firstLineChars="224"/>
        <w:rPr>
          <w:rFonts w:ascii="Times New Roman" w:hAnsi="Times New Roman"/>
          <w:sz w:val="24"/>
          <w:szCs w:val="24"/>
        </w:rPr>
      </w:pPr>
      <w:r>
        <w:rPr>
          <w:rFonts w:hint="eastAsia" w:ascii="Times New Roman" w:hAnsi="Times New Roman"/>
          <w:sz w:val="24"/>
          <w:szCs w:val="24"/>
        </w:rPr>
        <w:t xml:space="preserve">（9）拟委派项目负责人的有效期内的建造师注册证书扫描件或电子证书；  </w:t>
      </w:r>
    </w:p>
    <w:p>
      <w:pPr>
        <w:spacing w:line="360" w:lineRule="auto"/>
        <w:ind w:firstLine="537" w:firstLineChars="224"/>
        <w:rPr>
          <w:rFonts w:ascii="Times New Roman" w:hAnsi="Times New Roman"/>
          <w:sz w:val="24"/>
          <w:szCs w:val="24"/>
        </w:rPr>
      </w:pPr>
      <w:r>
        <w:rPr>
          <w:rFonts w:hint="eastAsia" w:ascii="Times New Roman" w:hAnsi="Times New Roman"/>
          <w:sz w:val="24"/>
          <w:szCs w:val="24"/>
        </w:rPr>
        <w:t>（10）项目负责人在有效期内的安全生产考核合格证书（B类）或建筑施工企业项目负责人安全生产考核合格证书扫描件或电子证书；</w:t>
      </w:r>
    </w:p>
    <w:p>
      <w:pPr>
        <w:spacing w:line="360" w:lineRule="auto"/>
        <w:ind w:firstLine="537" w:firstLineChars="224"/>
        <w:rPr>
          <w:rFonts w:ascii="Times New Roman" w:hAnsi="Times New Roman"/>
          <w:sz w:val="24"/>
          <w:szCs w:val="24"/>
        </w:rPr>
      </w:pPr>
      <w:r>
        <w:rPr>
          <w:rFonts w:hint="eastAsia" w:ascii="Times New Roman" w:hAnsi="Times New Roman"/>
          <w:sz w:val="24"/>
          <w:szCs w:val="24"/>
        </w:rPr>
        <w:t>（11）专职安全员须具有在有效期内的安全生产考核合格证书（C类）或建筑施工企业专职安全生产管理人员安全生产考核合格证书扫描件或电子证书；</w:t>
      </w:r>
    </w:p>
    <w:p>
      <w:pPr>
        <w:spacing w:line="360" w:lineRule="auto"/>
        <w:ind w:firstLine="537" w:firstLineChars="224"/>
        <w:rPr>
          <w:rFonts w:ascii="Times New Roman" w:hAnsi="Times New Roman"/>
          <w:sz w:val="24"/>
          <w:szCs w:val="24"/>
        </w:rPr>
      </w:pPr>
      <w:r>
        <w:rPr>
          <w:rFonts w:hint="eastAsia" w:ascii="Times New Roman" w:hAnsi="Times New Roman"/>
          <w:sz w:val="24"/>
          <w:szCs w:val="24"/>
        </w:rPr>
        <w:t>（12）用于资格审查的业绩（设置业绩要求时选择此项，投标人须提供类似工程业绩的项目名称及项目编号，具体格式由招标人自定）；</w:t>
      </w:r>
    </w:p>
    <w:p>
      <w:pPr>
        <w:spacing w:line="360" w:lineRule="auto"/>
        <w:ind w:firstLine="537" w:firstLineChars="224"/>
        <w:rPr>
          <w:rFonts w:ascii="Times New Roman" w:hAnsi="Times New Roman"/>
          <w:sz w:val="24"/>
          <w:szCs w:val="24"/>
        </w:rPr>
      </w:pPr>
      <w:r>
        <w:rPr>
          <w:rFonts w:hint="eastAsia" w:ascii="Times New Roman" w:hAnsi="Times New Roman"/>
          <w:sz w:val="24"/>
          <w:szCs w:val="24"/>
        </w:rPr>
        <w:t xml:space="preserve">（13）资格审查前，投标人须在广州市住房和城乡建设局建立企业信用档案，拟担任本工程项目负责人、专职安全员须是本企业信用档案中的在册人员； </w:t>
      </w:r>
    </w:p>
    <w:p>
      <w:pPr>
        <w:spacing w:line="360" w:lineRule="auto"/>
        <w:ind w:firstLine="537" w:firstLineChars="224"/>
        <w:rPr>
          <w:rFonts w:ascii="Times New Roman" w:hAnsi="Times New Roman"/>
          <w:sz w:val="24"/>
          <w:szCs w:val="24"/>
        </w:rPr>
      </w:pPr>
      <w:r>
        <w:rPr>
          <w:rFonts w:hint="eastAsia" w:ascii="Times New Roman" w:hAnsi="Times New Roman"/>
          <w:sz w:val="24"/>
          <w:szCs w:val="24"/>
        </w:rPr>
        <w:t>（14）列明主办单位的联合体工作协议（采用联合体投标时需递交，投标人拟任本工程项目负责人应为联合体主办方信用档案中的在册人员，联合体工作协议应明确约定各方拟承担的工作和责任）；</w:t>
      </w:r>
    </w:p>
    <w:p>
      <w:pPr>
        <w:spacing w:line="360" w:lineRule="auto"/>
        <w:ind w:firstLine="537" w:firstLineChars="224"/>
        <w:rPr>
          <w:rFonts w:ascii="Times New Roman" w:hAnsi="Times New Roman"/>
          <w:sz w:val="24"/>
          <w:szCs w:val="24"/>
        </w:rPr>
      </w:pPr>
      <w:r>
        <w:rPr>
          <w:rFonts w:hint="eastAsia" w:ascii="Times New Roman" w:hAnsi="Times New Roman"/>
          <w:sz w:val="24"/>
          <w:szCs w:val="24"/>
        </w:rPr>
        <w:t>注：1.相关电子证书按规定需打印后手写本人签名的，应按照规定手写本人签名后再扫描提交。</w:t>
      </w:r>
    </w:p>
    <w:p>
      <w:pPr>
        <w:spacing w:line="360" w:lineRule="auto"/>
        <w:ind w:firstLine="537" w:firstLineChars="224"/>
        <w:rPr>
          <w:rFonts w:ascii="Times New Roman" w:hAnsi="Times New Roman"/>
          <w:sz w:val="24"/>
          <w:szCs w:val="24"/>
        </w:rPr>
      </w:pPr>
      <w:r>
        <w:rPr>
          <w:rFonts w:hint="eastAsia" w:ascii="Times New Roman" w:hAnsi="Times New Roman"/>
          <w:sz w:val="24"/>
          <w:szCs w:val="24"/>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pPr>
        <w:spacing w:line="360" w:lineRule="auto"/>
        <w:ind w:firstLine="480" w:firstLineChars="200"/>
        <w:rPr>
          <w:rFonts w:ascii="Times New Roman" w:hAnsi="Times New Roman"/>
          <w:sz w:val="24"/>
          <w:szCs w:val="24"/>
        </w:rPr>
      </w:pPr>
      <w:r>
        <w:rPr>
          <w:rFonts w:ascii="Times New Roman" w:hAnsi="Times New Roman"/>
          <w:sz w:val="24"/>
          <w:szCs w:val="24"/>
        </w:rPr>
        <w:t>11.2.3</w:t>
      </w:r>
      <w:r>
        <w:rPr>
          <w:rFonts w:hint="eastAsia" w:ascii="Times New Roman" w:hAnsi="Times New Roman"/>
          <w:sz w:val="24"/>
          <w:szCs w:val="24"/>
        </w:rPr>
        <w:t>项目管理机构配备。</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w:t>
      </w:r>
      <w:r>
        <w:rPr>
          <w:rFonts w:ascii="Times New Roman" w:hAnsi="Times New Roman"/>
          <w:sz w:val="24"/>
          <w:szCs w:val="24"/>
        </w:rPr>
        <w:t>1</w:t>
      </w:r>
      <w:r>
        <w:rPr>
          <w:rFonts w:hint="eastAsia" w:ascii="Times New Roman" w:hAnsi="Times New Roman"/>
          <w:sz w:val="24"/>
          <w:szCs w:val="24"/>
        </w:rPr>
        <w:t>）投标人应列出该项目工程的施工组织机构构成和画出机构框架图及其负责人；</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w:t>
      </w:r>
      <w:r>
        <w:rPr>
          <w:rFonts w:ascii="Times New Roman" w:hAnsi="Times New Roman"/>
          <w:sz w:val="24"/>
          <w:szCs w:val="24"/>
        </w:rPr>
        <w:t>2</w:t>
      </w:r>
      <w:r>
        <w:rPr>
          <w:rFonts w:hint="eastAsia" w:ascii="Times New Roman" w:hAnsi="Times New Roman"/>
          <w:sz w:val="24"/>
          <w:szCs w:val="24"/>
        </w:rPr>
        <w:t>）投标人应详细列出该施工组织机构中主要成员的名单、简历资料、职务职称和在本项目中拟担任的职务等资料，并附上有关证明材料扫描件；</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w:t>
      </w:r>
      <w:r>
        <w:rPr>
          <w:rFonts w:ascii="Times New Roman" w:hAnsi="Times New Roman"/>
          <w:sz w:val="24"/>
          <w:szCs w:val="24"/>
        </w:rPr>
        <w:t>3</w:t>
      </w:r>
      <w:r>
        <w:rPr>
          <w:rFonts w:hint="eastAsia" w:ascii="Times New Roman" w:hAnsi="Times New Roman"/>
          <w:sz w:val="24"/>
          <w:szCs w:val="24"/>
        </w:rPr>
        <w:t>）其他辅助说明资料。</w:t>
      </w:r>
    </w:p>
    <w:p>
      <w:pPr>
        <w:spacing w:line="360" w:lineRule="auto"/>
        <w:ind w:firstLine="480" w:firstLineChars="200"/>
        <w:rPr>
          <w:rFonts w:ascii="Times New Roman" w:hAnsi="Times New Roman"/>
          <w:sz w:val="24"/>
          <w:szCs w:val="24"/>
        </w:rPr>
      </w:pPr>
      <w:r>
        <w:rPr>
          <w:rFonts w:ascii="Times New Roman" w:hAnsi="Times New Roman"/>
          <w:sz w:val="24"/>
          <w:szCs w:val="24"/>
        </w:rPr>
        <w:t>11.2.4</w:t>
      </w:r>
      <w:r>
        <w:rPr>
          <w:rFonts w:hint="eastAsia" w:ascii="Times New Roman" w:hAnsi="Times New Roman"/>
          <w:sz w:val="24"/>
          <w:szCs w:val="24"/>
        </w:rPr>
        <w:t>投标人在广州市可使用适合本工程的机械设备（附：机械设备为自有或租赁的说明；及承诺机械设备如属于租赁的，其租赁是不属于重复租赁）。</w:t>
      </w:r>
    </w:p>
    <w:p>
      <w:pPr>
        <w:tabs>
          <w:tab w:val="left" w:pos="1125"/>
        </w:tabs>
        <w:spacing w:line="360" w:lineRule="auto"/>
        <w:ind w:firstLine="480" w:firstLineChars="200"/>
        <w:rPr>
          <w:rFonts w:ascii="Times New Roman" w:hAnsi="Times New Roman"/>
          <w:sz w:val="24"/>
          <w:szCs w:val="24"/>
        </w:rPr>
      </w:pPr>
      <w:r>
        <w:rPr>
          <w:rFonts w:ascii="Times New Roman" w:hAnsi="Times New Roman"/>
          <w:sz w:val="24"/>
          <w:szCs w:val="24"/>
        </w:rPr>
        <w:t>11.2.5</w:t>
      </w:r>
      <w:r>
        <w:rPr>
          <w:rFonts w:hint="eastAsia" w:ascii="Times New Roman" w:hAnsi="Times New Roman"/>
          <w:sz w:val="24"/>
          <w:szCs w:val="24"/>
        </w:rPr>
        <w:t>施工组织设计或施工方案。</w:t>
      </w:r>
    </w:p>
    <w:p>
      <w:pPr>
        <w:spacing w:line="360" w:lineRule="auto"/>
        <w:ind w:firstLine="537" w:firstLineChars="224"/>
        <w:rPr>
          <w:rFonts w:ascii="Times New Roman" w:hAnsi="Times New Roman"/>
          <w:sz w:val="24"/>
          <w:szCs w:val="24"/>
        </w:rPr>
      </w:pPr>
      <w:r>
        <w:rPr>
          <w:rFonts w:ascii="Times New Roman" w:hAnsi="Times New Roman"/>
          <w:sz w:val="24"/>
          <w:szCs w:val="24"/>
        </w:rPr>
        <w:t>11.2.</w:t>
      </w:r>
      <w:r>
        <w:rPr>
          <w:rFonts w:hint="eastAsia" w:ascii="Times New Roman" w:hAnsi="Times New Roman"/>
          <w:sz w:val="24"/>
          <w:szCs w:val="24"/>
        </w:rPr>
        <w:t>6按照招标文件要求填写的《参与编制技术标投标文件人员名单》。</w:t>
      </w:r>
    </w:p>
    <w:p>
      <w:pPr>
        <w:spacing w:line="360" w:lineRule="auto"/>
        <w:ind w:firstLine="482" w:firstLineChars="200"/>
        <w:rPr>
          <w:sz w:val="24"/>
          <w:szCs w:val="24"/>
        </w:rPr>
      </w:pPr>
      <w:r>
        <w:rPr>
          <w:rFonts w:hint="eastAsia" w:ascii="Times New Roman" w:hAnsi="Times New Roman"/>
          <w:b/>
          <w:sz w:val="24"/>
          <w:szCs w:val="24"/>
        </w:rPr>
        <w:t>现文：</w:t>
      </w:r>
      <w:r>
        <w:rPr>
          <w:sz w:val="24"/>
          <w:szCs w:val="24"/>
        </w:rPr>
        <w:t>11.2</w:t>
      </w:r>
      <w:r>
        <w:rPr>
          <w:rFonts w:hint="eastAsia"/>
          <w:sz w:val="24"/>
          <w:szCs w:val="24"/>
        </w:rPr>
        <w:t>投标文件技术标（含资格审查文件）部分主要包括下列内容:</w:t>
      </w:r>
    </w:p>
    <w:p>
      <w:pPr>
        <w:spacing w:line="360" w:lineRule="auto"/>
        <w:ind w:firstLine="480" w:firstLineChars="200"/>
        <w:rPr>
          <w:sz w:val="24"/>
          <w:szCs w:val="24"/>
        </w:rPr>
      </w:pPr>
      <w:r>
        <w:rPr>
          <w:rFonts w:hint="eastAsia"/>
          <w:sz w:val="24"/>
          <w:szCs w:val="24"/>
        </w:rPr>
        <w:t>11.2.1广州建设工程施工招标投标书(需按招标文件第四章要求的格式填写，具体格式以《广州建设工程施工招标投标书》为准；电子投标管理软件编制的“广州建设工程施工招标投标书”不作为否决投标的条件，投标人采用电子投标管理软件编制“广州建设工程施工招标投标书”时无法填写“项目编号”的可以不填写，没有填写“项目编号”也不作为否决投标的条件)。</w:t>
      </w:r>
    </w:p>
    <w:p>
      <w:pPr>
        <w:spacing w:line="360" w:lineRule="auto"/>
        <w:ind w:firstLine="480" w:firstLineChars="200"/>
        <w:rPr>
          <w:sz w:val="24"/>
          <w:szCs w:val="24"/>
        </w:rPr>
      </w:pPr>
      <w:r>
        <w:rPr>
          <w:rFonts w:hint="eastAsia"/>
          <w:sz w:val="24"/>
          <w:szCs w:val="24"/>
        </w:rPr>
        <w:t>11.2.2 资格审查文件：</w:t>
      </w:r>
    </w:p>
    <w:p>
      <w:pPr>
        <w:spacing w:line="360" w:lineRule="auto"/>
        <w:ind w:firstLine="480" w:firstLineChars="200"/>
        <w:rPr>
          <w:sz w:val="24"/>
          <w:szCs w:val="24"/>
        </w:rPr>
      </w:pPr>
      <w:r>
        <w:rPr>
          <w:rFonts w:hint="eastAsia"/>
          <w:sz w:val="24"/>
          <w:szCs w:val="24"/>
        </w:rPr>
        <w:t>（1）投标人声明</w:t>
      </w:r>
      <w:r>
        <w:rPr>
          <w:rFonts w:hint="eastAsia"/>
          <w:sz w:val="24"/>
          <w:szCs w:val="24"/>
          <w:u w:val="single"/>
        </w:rPr>
        <w:t>（按招标公告附件一的格式及内容提交）</w:t>
      </w:r>
      <w:r>
        <w:rPr>
          <w:rFonts w:hint="eastAsia"/>
          <w:sz w:val="24"/>
          <w:szCs w:val="24"/>
        </w:rPr>
        <w:t xml:space="preserve">； </w:t>
      </w:r>
    </w:p>
    <w:p>
      <w:pPr>
        <w:spacing w:line="360" w:lineRule="auto"/>
        <w:ind w:firstLine="480" w:firstLineChars="200"/>
        <w:rPr>
          <w:sz w:val="24"/>
          <w:szCs w:val="24"/>
        </w:rPr>
      </w:pPr>
      <w:r>
        <w:rPr>
          <w:rFonts w:hint="eastAsia"/>
          <w:sz w:val="24"/>
          <w:szCs w:val="24"/>
        </w:rPr>
        <w:t>（2）法定代表人证明书、法定代表人签字或盖章的本投标文件授权委托证明书</w:t>
      </w:r>
      <w:r>
        <w:rPr>
          <w:rFonts w:hint="eastAsia"/>
          <w:sz w:val="24"/>
          <w:szCs w:val="24"/>
          <w:u w:val="single"/>
        </w:rPr>
        <w:t>（见本招标文件第四章“投标文件格式”格式四）</w:t>
      </w:r>
      <w:r>
        <w:rPr>
          <w:rFonts w:hint="eastAsia"/>
          <w:sz w:val="24"/>
          <w:szCs w:val="24"/>
        </w:rPr>
        <w:t>；</w:t>
      </w:r>
    </w:p>
    <w:p>
      <w:pPr>
        <w:spacing w:line="360" w:lineRule="auto"/>
        <w:ind w:firstLine="480" w:firstLineChars="200"/>
        <w:rPr>
          <w:sz w:val="24"/>
          <w:szCs w:val="24"/>
        </w:rPr>
      </w:pPr>
      <w:r>
        <w:rPr>
          <w:rFonts w:hint="eastAsia"/>
          <w:sz w:val="24"/>
          <w:szCs w:val="24"/>
        </w:rPr>
        <w:t>（3）企业营业执照扫描件或电子证照；</w:t>
      </w:r>
    </w:p>
    <w:p>
      <w:pPr>
        <w:spacing w:line="360" w:lineRule="auto"/>
        <w:ind w:firstLine="480" w:firstLineChars="200"/>
        <w:rPr>
          <w:sz w:val="24"/>
          <w:szCs w:val="24"/>
        </w:rPr>
      </w:pPr>
      <w:r>
        <w:rPr>
          <w:rFonts w:hint="eastAsia"/>
          <w:sz w:val="24"/>
          <w:szCs w:val="24"/>
        </w:rPr>
        <w:t>（4）企业资质证书扫描件或电子证照；</w:t>
      </w:r>
    </w:p>
    <w:p>
      <w:pPr>
        <w:spacing w:line="360" w:lineRule="auto"/>
        <w:ind w:firstLine="480" w:firstLineChars="200"/>
        <w:rPr>
          <w:sz w:val="24"/>
          <w:szCs w:val="24"/>
        </w:rPr>
      </w:pPr>
      <w:r>
        <w:rPr>
          <w:rFonts w:hint="eastAsia"/>
          <w:sz w:val="24"/>
          <w:szCs w:val="24"/>
        </w:rPr>
        <w:t>（5）建筑施工企业安全生产许可证扫描件或电子证照；</w:t>
      </w:r>
    </w:p>
    <w:p>
      <w:pPr>
        <w:spacing w:line="360" w:lineRule="auto"/>
        <w:ind w:firstLine="480" w:firstLineChars="200"/>
        <w:rPr>
          <w:sz w:val="24"/>
          <w:szCs w:val="24"/>
        </w:rPr>
      </w:pPr>
      <w:r>
        <w:rPr>
          <w:rFonts w:hint="eastAsia"/>
          <w:sz w:val="24"/>
          <w:szCs w:val="24"/>
        </w:rPr>
        <w:t>（6）项目负责人（按网上投标登记时选择拟投标的项目负责人）</w:t>
      </w:r>
    </w:p>
    <w:p>
      <w:pPr>
        <w:spacing w:line="360" w:lineRule="auto"/>
        <w:ind w:firstLine="480" w:firstLineChars="200"/>
        <w:rPr>
          <w:sz w:val="24"/>
          <w:szCs w:val="24"/>
        </w:rPr>
      </w:pPr>
      <w:r>
        <w:rPr>
          <w:rFonts w:hint="eastAsia"/>
          <w:sz w:val="24"/>
          <w:szCs w:val="24"/>
        </w:rPr>
        <w:t>（7）专职安全员（按网上投标登记时选择拟投标的专职安全员）</w:t>
      </w:r>
    </w:p>
    <w:p>
      <w:pPr>
        <w:spacing w:line="360" w:lineRule="auto"/>
        <w:ind w:firstLine="480" w:firstLineChars="200"/>
        <w:rPr>
          <w:sz w:val="24"/>
          <w:szCs w:val="24"/>
        </w:rPr>
      </w:pPr>
      <w:r>
        <w:rPr>
          <w:rFonts w:hint="eastAsia"/>
          <w:sz w:val="24"/>
          <w:szCs w:val="24"/>
        </w:rPr>
        <w:t>（8）</w:t>
      </w:r>
      <w:r>
        <w:rPr>
          <w:rFonts w:hint="eastAsia"/>
          <w:sz w:val="24"/>
          <w:szCs w:val="24"/>
          <w:u w:val="single"/>
        </w:rPr>
        <w:t>拟委派技术负责人的职称证书扫描件；</w:t>
      </w:r>
    </w:p>
    <w:p>
      <w:pPr>
        <w:spacing w:line="360" w:lineRule="auto"/>
        <w:ind w:firstLine="480" w:firstLineChars="200"/>
        <w:rPr>
          <w:sz w:val="24"/>
          <w:szCs w:val="24"/>
        </w:rPr>
      </w:pPr>
      <w:r>
        <w:rPr>
          <w:rFonts w:hint="eastAsia"/>
          <w:sz w:val="24"/>
          <w:szCs w:val="24"/>
        </w:rPr>
        <w:t>（9）拟委派项目负责人的有效期内的建造师注册证书扫描件或电子证书；</w:t>
      </w:r>
    </w:p>
    <w:p>
      <w:pPr>
        <w:spacing w:line="360" w:lineRule="auto"/>
        <w:ind w:firstLine="480" w:firstLineChars="200"/>
        <w:rPr>
          <w:sz w:val="24"/>
          <w:szCs w:val="24"/>
        </w:rPr>
      </w:pPr>
      <w:r>
        <w:rPr>
          <w:rFonts w:hint="eastAsia"/>
          <w:sz w:val="24"/>
          <w:szCs w:val="24"/>
        </w:rPr>
        <w:t>（10）项目负责人在有效期内的安全生产考核合格证书（B类）或建筑施工企业项目负责人安全生产考核合格证书扫描件或电子证书；</w:t>
      </w:r>
    </w:p>
    <w:p>
      <w:pPr>
        <w:spacing w:line="360" w:lineRule="auto"/>
        <w:ind w:firstLine="480" w:firstLineChars="200"/>
        <w:rPr>
          <w:sz w:val="24"/>
          <w:szCs w:val="24"/>
        </w:rPr>
      </w:pPr>
      <w:r>
        <w:rPr>
          <w:rFonts w:hint="eastAsia"/>
          <w:sz w:val="24"/>
          <w:szCs w:val="24"/>
        </w:rPr>
        <w:t>（11）专职安全员须具有在有效期内的安全生产考核合格证书（C类），或能够提供建筑施工企业专职安全生产管理人员安全生产考核合格证书</w:t>
      </w:r>
      <w:r>
        <w:rPr>
          <w:rFonts w:hint="eastAsia"/>
          <w:sz w:val="24"/>
          <w:szCs w:val="24"/>
          <w:u w:val="single"/>
        </w:rPr>
        <w:t>（C3）</w:t>
      </w:r>
      <w:r>
        <w:rPr>
          <w:rFonts w:hint="eastAsia"/>
          <w:sz w:val="24"/>
          <w:szCs w:val="24"/>
        </w:rPr>
        <w:t>；</w:t>
      </w:r>
    </w:p>
    <w:p>
      <w:pPr>
        <w:spacing w:line="360" w:lineRule="auto"/>
        <w:ind w:firstLine="480" w:firstLineChars="200"/>
        <w:rPr>
          <w:sz w:val="24"/>
          <w:szCs w:val="24"/>
        </w:rPr>
      </w:pPr>
      <w:r>
        <w:rPr>
          <w:rFonts w:hint="eastAsia"/>
          <w:sz w:val="24"/>
          <w:szCs w:val="24"/>
        </w:rPr>
        <w:t>（12）资格审查前，投标人须在广州市住房和城乡建设局建立企业信用档案，拟担任本工程项目负责人、专职安全员须是本企业信用档案中的在册人员；</w:t>
      </w:r>
    </w:p>
    <w:p>
      <w:pPr>
        <w:spacing w:line="360" w:lineRule="auto"/>
        <w:ind w:firstLine="480" w:firstLineChars="200"/>
        <w:rPr>
          <w:sz w:val="24"/>
          <w:szCs w:val="24"/>
        </w:rPr>
      </w:pPr>
      <w:r>
        <w:rPr>
          <w:rFonts w:hint="eastAsia"/>
          <w:sz w:val="24"/>
          <w:szCs w:val="24"/>
        </w:rPr>
        <w:t>（13）</w:t>
      </w:r>
      <w:r>
        <w:rPr>
          <w:rFonts w:hint="eastAsia" w:hAnsi="宋体"/>
          <w:sz w:val="24"/>
          <w:szCs w:val="24"/>
        </w:rPr>
        <w:t>关于联合体投标：</w:t>
      </w:r>
      <w:r>
        <w:rPr>
          <w:rFonts w:hint="eastAsia" w:hAnsi="宋体" w:cs="宋体"/>
          <w:b/>
          <w:kern w:val="0"/>
          <w:sz w:val="24"/>
          <w:szCs w:val="24"/>
          <w:u w:val="single"/>
        </w:rPr>
        <w:t>本项目不接受联合体投标。</w:t>
      </w:r>
    </w:p>
    <w:p>
      <w:pPr>
        <w:spacing w:line="360" w:lineRule="auto"/>
        <w:ind w:firstLine="480" w:firstLineChars="200"/>
        <w:rPr>
          <w:sz w:val="24"/>
          <w:szCs w:val="24"/>
        </w:rPr>
      </w:pPr>
      <w:r>
        <w:rPr>
          <w:rFonts w:hint="eastAsia"/>
          <w:sz w:val="24"/>
          <w:szCs w:val="24"/>
        </w:rPr>
        <w:t>（14）</w:t>
      </w:r>
      <w:r>
        <w:rPr>
          <w:rFonts w:hint="eastAsia" w:ascii="宋体" w:hAnsi="宋体" w:cs="宋体"/>
          <w:sz w:val="24"/>
          <w:szCs w:val="24"/>
          <w:u w:val="single"/>
        </w:rPr>
        <w:t>未被列入拖欠农民工工资失信联合惩戒对象名单。</w:t>
      </w:r>
    </w:p>
    <w:p>
      <w:pPr>
        <w:pBdr>
          <w:bottom w:val="single" w:color="auto" w:sz="6" w:space="1"/>
        </w:pBdr>
        <w:spacing w:line="360" w:lineRule="auto"/>
        <w:ind w:firstLine="600" w:firstLineChars="250"/>
        <w:rPr>
          <w:sz w:val="24"/>
          <w:szCs w:val="24"/>
        </w:rPr>
      </w:pPr>
      <w:r>
        <w:rPr>
          <w:rFonts w:hint="eastAsia"/>
          <w:sz w:val="24"/>
          <w:szCs w:val="24"/>
        </w:rPr>
        <w:t>注：1.相关电子证书按规定需打印后手写本人签名的，应按照规定手写本人签名后再扫描提交。</w:t>
      </w:r>
    </w:p>
    <w:p>
      <w:pPr>
        <w:pBdr>
          <w:bottom w:val="single" w:color="auto" w:sz="6" w:space="1"/>
        </w:pBdr>
        <w:spacing w:line="360" w:lineRule="auto"/>
        <w:ind w:firstLine="600" w:firstLineChars="250"/>
        <w:rPr>
          <w:sz w:val="24"/>
          <w:szCs w:val="24"/>
        </w:rPr>
      </w:pPr>
      <w:r>
        <w:rPr>
          <w:rFonts w:hint="eastAsia"/>
          <w:sz w:val="24"/>
          <w:szCs w:val="24"/>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pPr>
        <w:pBdr>
          <w:bottom w:val="single" w:color="auto" w:sz="6" w:space="1"/>
        </w:pBdr>
        <w:spacing w:line="360" w:lineRule="auto"/>
        <w:ind w:firstLine="600" w:firstLineChars="250"/>
        <w:rPr>
          <w:sz w:val="24"/>
          <w:szCs w:val="24"/>
          <w:u w:val="single"/>
        </w:rPr>
      </w:pPr>
      <w:r>
        <w:rPr>
          <w:rFonts w:hint="eastAsia"/>
          <w:sz w:val="24"/>
          <w:szCs w:val="24"/>
          <w:u w:val="single"/>
        </w:rPr>
        <w:t>11.2.3项目管理机构配备：</w:t>
      </w:r>
    </w:p>
    <w:p>
      <w:pPr>
        <w:pBdr>
          <w:bottom w:val="single" w:color="auto" w:sz="6" w:space="1"/>
        </w:pBdr>
        <w:spacing w:line="360" w:lineRule="auto"/>
        <w:ind w:firstLine="600" w:firstLineChars="250"/>
        <w:rPr>
          <w:sz w:val="24"/>
          <w:szCs w:val="24"/>
        </w:rPr>
      </w:pPr>
      <w:r>
        <w:rPr>
          <w:rFonts w:hint="eastAsia"/>
          <w:sz w:val="24"/>
          <w:szCs w:val="24"/>
        </w:rPr>
        <w:t>（1）投标人应列出该项目工程的施工组织机构构成和画出机构框架图及其负责人；</w:t>
      </w:r>
    </w:p>
    <w:p>
      <w:pPr>
        <w:pBdr>
          <w:bottom w:val="single" w:color="auto" w:sz="6" w:space="1"/>
        </w:pBdr>
        <w:spacing w:line="360" w:lineRule="auto"/>
        <w:ind w:firstLine="600" w:firstLineChars="250"/>
        <w:rPr>
          <w:sz w:val="24"/>
          <w:szCs w:val="24"/>
          <w:u w:val="single"/>
        </w:rPr>
      </w:pPr>
      <w:r>
        <w:rPr>
          <w:rFonts w:hint="eastAsia"/>
          <w:sz w:val="24"/>
          <w:szCs w:val="24"/>
        </w:rPr>
        <w:t>（2）投标人应详细列出该施工组织机构中主要成员的名单、简历资料、职务职称和在本项目中拟担任的职务等资料，并附上有关证明材料扫描件</w:t>
      </w:r>
      <w:r>
        <w:rPr>
          <w:rFonts w:hint="eastAsia"/>
          <w:sz w:val="24"/>
          <w:szCs w:val="24"/>
          <w:u w:val="single"/>
        </w:rPr>
        <w:t>（见本招标文件第四章“投标文件格式”格式五《拟委任的项目管理机构人员汇总表》和格式六《项目负责人（或其他项目管理机构人员）基本情况及业绩表》填写）。</w:t>
      </w:r>
    </w:p>
    <w:p>
      <w:pPr>
        <w:pBdr>
          <w:bottom w:val="single" w:color="auto" w:sz="6" w:space="1"/>
        </w:pBdr>
        <w:spacing w:line="360" w:lineRule="auto"/>
        <w:ind w:firstLine="600" w:firstLineChars="250"/>
        <w:rPr>
          <w:sz w:val="24"/>
          <w:szCs w:val="24"/>
          <w:u w:val="single"/>
        </w:rPr>
      </w:pPr>
      <w:r>
        <w:rPr>
          <w:rFonts w:hint="eastAsia"/>
          <w:sz w:val="24"/>
          <w:szCs w:val="24"/>
        </w:rPr>
        <w:t>（</w:t>
      </w:r>
      <w:r>
        <w:rPr>
          <w:sz w:val="24"/>
          <w:szCs w:val="24"/>
        </w:rPr>
        <w:t>3</w:t>
      </w:r>
      <w:r>
        <w:rPr>
          <w:rFonts w:hint="eastAsia"/>
          <w:sz w:val="24"/>
          <w:szCs w:val="24"/>
        </w:rPr>
        <w:t>）其他辅助说明资料。</w:t>
      </w:r>
    </w:p>
    <w:p>
      <w:pPr>
        <w:pBdr>
          <w:bottom w:val="single" w:color="auto" w:sz="6" w:space="1"/>
        </w:pBdr>
        <w:spacing w:line="360" w:lineRule="auto"/>
        <w:ind w:firstLine="600" w:firstLineChars="250"/>
        <w:rPr>
          <w:sz w:val="24"/>
          <w:szCs w:val="24"/>
        </w:rPr>
      </w:pPr>
      <w:r>
        <w:rPr>
          <w:rFonts w:hint="eastAsia"/>
          <w:sz w:val="24"/>
          <w:szCs w:val="24"/>
        </w:rPr>
        <w:t>11.2.4按照招标文件要求填写的《参与编制技术标投标文件人员名单》</w:t>
      </w:r>
      <w:r>
        <w:rPr>
          <w:rFonts w:hint="eastAsia"/>
          <w:sz w:val="24"/>
          <w:szCs w:val="24"/>
          <w:u w:val="single"/>
        </w:rPr>
        <w:t>（见本招标文件第四章“投标文件格式”格式二）</w:t>
      </w:r>
      <w:r>
        <w:rPr>
          <w:rFonts w:hint="eastAsia"/>
          <w:sz w:val="24"/>
          <w:szCs w:val="24"/>
        </w:rPr>
        <w:t>；</w:t>
      </w:r>
    </w:p>
    <w:p>
      <w:pPr>
        <w:pBdr>
          <w:bottom w:val="single" w:color="auto" w:sz="6" w:space="1"/>
        </w:pBdr>
        <w:spacing w:line="360" w:lineRule="auto"/>
        <w:ind w:firstLine="600" w:firstLineChars="250"/>
        <w:rPr>
          <w:rFonts w:ascii="Times New Roman" w:hAnsi="Times New Roman"/>
          <w:sz w:val="24"/>
          <w:szCs w:val="24"/>
        </w:rPr>
      </w:pPr>
      <w:r>
        <w:rPr>
          <w:rFonts w:hint="eastAsia"/>
          <w:sz w:val="24"/>
          <w:szCs w:val="24"/>
        </w:rPr>
        <w:t>11.2.5</w:t>
      </w:r>
      <w:r>
        <w:rPr>
          <w:rFonts w:hint="eastAsia"/>
          <w:sz w:val="24"/>
          <w:szCs w:val="24"/>
          <w:u w:val="single"/>
        </w:rPr>
        <w:t>企业资信业绩其他证明材料：</w:t>
      </w:r>
      <w:r>
        <w:rPr>
          <w:rFonts w:hint="eastAsia"/>
          <w:sz w:val="24"/>
          <w:szCs w:val="24"/>
          <w:u w:val="single"/>
          <w:lang w:val="en-US" w:eastAsia="zh-CN"/>
        </w:rPr>
        <w:t>投标人根据公司情况自行</w:t>
      </w:r>
      <w:r>
        <w:rPr>
          <w:rFonts w:hint="eastAsia"/>
          <w:sz w:val="24"/>
          <w:szCs w:val="24"/>
          <w:u w:val="single"/>
        </w:rPr>
        <w:t>提供资料</w:t>
      </w:r>
      <w:r>
        <w:rPr>
          <w:rFonts w:hint="eastAsia" w:ascii="Times New Roman" w:hAnsi="Times New Roman"/>
          <w:sz w:val="24"/>
          <w:szCs w:val="24"/>
        </w:rPr>
        <w:t>；</w:t>
      </w:r>
    </w:p>
    <w:p>
      <w:pPr>
        <w:pBdr>
          <w:bottom w:val="single" w:color="auto" w:sz="6" w:space="1"/>
        </w:pBdr>
        <w:spacing w:line="360" w:lineRule="auto"/>
        <w:ind w:firstLine="600" w:firstLineChars="250"/>
        <w:rPr>
          <w:rFonts w:ascii="Times New Roman" w:hAnsi="Times New Roman"/>
          <w:sz w:val="24"/>
          <w:szCs w:val="24"/>
        </w:rPr>
      </w:pPr>
      <w:r>
        <w:rPr>
          <w:rFonts w:hint="eastAsia" w:ascii="Times New Roman" w:hAnsi="Times New Roman"/>
          <w:sz w:val="24"/>
          <w:szCs w:val="24"/>
        </w:rPr>
        <w:t>11.2.6《响应招标文件所附施工组织设计要点的承诺书》</w:t>
      </w:r>
      <w:r>
        <w:rPr>
          <w:rFonts w:hint="eastAsia" w:ascii="Times New Roman" w:hAnsi="Times New Roman"/>
          <w:sz w:val="24"/>
          <w:szCs w:val="24"/>
          <w:u w:val="single"/>
        </w:rPr>
        <w:t>（详见招标文件第四章“投标文件格式”格式八）</w:t>
      </w:r>
      <w:r>
        <w:rPr>
          <w:rFonts w:hint="eastAsia" w:ascii="Times New Roman" w:hAnsi="Times New Roman"/>
          <w:sz w:val="24"/>
          <w:szCs w:val="24"/>
        </w:rPr>
        <w:t>。</w:t>
      </w:r>
    </w:p>
    <w:p>
      <w:pPr>
        <w:pBdr>
          <w:bottom w:val="single" w:color="auto" w:sz="6" w:space="1"/>
        </w:pBdr>
        <w:spacing w:line="360" w:lineRule="auto"/>
        <w:ind w:firstLine="600" w:firstLineChars="250"/>
        <w:rPr>
          <w:rFonts w:ascii="Times New Roman" w:hAnsi="Times New Roman"/>
          <w:sz w:val="24"/>
          <w:szCs w:val="24"/>
          <w:u w:val="single"/>
        </w:rPr>
      </w:pPr>
      <w:r>
        <w:rPr>
          <w:rFonts w:hint="eastAsia" w:ascii="Times New Roman" w:hAnsi="Times New Roman"/>
          <w:sz w:val="24"/>
          <w:szCs w:val="24"/>
        </w:rPr>
        <w:t>11.2.7</w:t>
      </w:r>
      <w:r>
        <w:rPr>
          <w:rFonts w:hint="eastAsia" w:ascii="Times New Roman" w:hAnsi="Times New Roman"/>
          <w:sz w:val="24"/>
          <w:szCs w:val="24"/>
          <w:u w:val="single"/>
        </w:rPr>
        <w:t>危险性较大的分部分项工程清单及超过一定规模的危险性较大的分部分项工程清单（详见招标文件第四章“投标文件格式”格式九）；</w:t>
      </w:r>
    </w:p>
    <w:p>
      <w:pPr>
        <w:pBdr>
          <w:bottom w:val="single" w:color="auto" w:sz="6" w:space="1"/>
        </w:pBdr>
        <w:spacing w:line="360" w:lineRule="auto"/>
        <w:ind w:firstLine="600" w:firstLineChars="250"/>
        <w:rPr>
          <w:rFonts w:ascii="Times New Roman" w:hAnsi="Times New Roman"/>
          <w:sz w:val="24"/>
          <w:szCs w:val="24"/>
        </w:rPr>
      </w:pPr>
      <w:r>
        <w:rPr>
          <w:rFonts w:hint="eastAsia" w:ascii="Times New Roman" w:hAnsi="Times New Roman"/>
          <w:sz w:val="24"/>
          <w:szCs w:val="24"/>
        </w:rPr>
        <w:t>11.2.8</w:t>
      </w:r>
      <w:r>
        <w:rPr>
          <w:rFonts w:hint="eastAsia" w:ascii="Times New Roman" w:hAnsi="Times New Roman"/>
          <w:sz w:val="24"/>
          <w:szCs w:val="24"/>
          <w:u w:val="single"/>
        </w:rPr>
        <w:t>《投标函》（须按本招标文件第四章“投标文件格式”格式十）</w:t>
      </w:r>
      <w:r>
        <w:rPr>
          <w:rFonts w:hint="eastAsia" w:ascii="Times New Roman" w:hAnsi="Times New Roman"/>
          <w:sz w:val="24"/>
          <w:szCs w:val="24"/>
        </w:rPr>
        <w:t>。</w:t>
      </w:r>
    </w:p>
    <w:p>
      <w:pPr>
        <w:pBdr>
          <w:bottom w:val="single" w:color="auto" w:sz="6" w:space="1"/>
        </w:pBdr>
        <w:spacing w:line="360" w:lineRule="auto"/>
        <w:ind w:firstLine="600" w:firstLineChars="250"/>
        <w:rPr>
          <w:rFonts w:ascii="Times New Roman" w:hAnsi="Times New Roman"/>
          <w:sz w:val="24"/>
          <w:szCs w:val="24"/>
        </w:rPr>
      </w:pPr>
      <w:r>
        <w:rPr>
          <w:rFonts w:hint="eastAsia" w:ascii="Times New Roman" w:hAnsi="Times New Roman"/>
          <w:sz w:val="24"/>
          <w:szCs w:val="24"/>
        </w:rPr>
        <w:t>11.2.9其他投标人认为应该提供的资料。</w:t>
      </w:r>
    </w:p>
    <w:p>
      <w:pPr>
        <w:spacing w:line="360" w:lineRule="auto"/>
        <w:ind w:firstLine="540" w:firstLineChars="224"/>
        <w:rPr>
          <w:rFonts w:ascii="Times New Roman" w:hAnsi="Times New Roman"/>
          <w:b/>
          <w:sz w:val="24"/>
          <w:szCs w:val="24"/>
        </w:rPr>
      </w:pPr>
      <w:r>
        <w:rPr>
          <w:rFonts w:hint="eastAsia" w:ascii="Times New Roman" w:hAnsi="宋体"/>
          <w:b/>
          <w:sz w:val="24"/>
          <w:szCs w:val="24"/>
        </w:rPr>
        <w:t>条款号：</w:t>
      </w:r>
      <w:r>
        <w:rPr>
          <w:rFonts w:hint="eastAsia" w:ascii="Times New Roman" w:hAnsi="Times New Roman"/>
          <w:b/>
          <w:sz w:val="24"/>
          <w:szCs w:val="24"/>
        </w:rPr>
        <w:t>11.3</w:t>
      </w:r>
      <w:r>
        <w:rPr>
          <w:rFonts w:ascii="Times New Roman" w:hAnsi="Times New Roman"/>
          <w:b/>
          <w:sz w:val="24"/>
          <w:szCs w:val="24"/>
        </w:rPr>
        <w:t xml:space="preserve">          </w:t>
      </w:r>
      <w:r>
        <w:rPr>
          <w:rFonts w:hint="eastAsia" w:ascii="Times New Roman" w:hAnsi="宋体"/>
          <w:b/>
          <w:sz w:val="24"/>
          <w:szCs w:val="24"/>
        </w:rPr>
        <w:t>修改类型：修改</w:t>
      </w:r>
    </w:p>
    <w:p>
      <w:pPr>
        <w:spacing w:line="360" w:lineRule="auto"/>
        <w:ind w:firstLine="482" w:firstLineChars="200"/>
        <w:rPr>
          <w:rFonts w:hint="eastAsia" w:ascii="宋体" w:hAnsi="宋体" w:cs="仿宋"/>
          <w:bCs/>
          <w:sz w:val="24"/>
          <w:szCs w:val="24"/>
        </w:rPr>
      </w:pPr>
      <w:r>
        <w:rPr>
          <w:rFonts w:hint="eastAsia" w:ascii="宋体" w:hAnsi="宋体" w:cs="仿宋"/>
          <w:b/>
          <w:sz w:val="24"/>
          <w:szCs w:val="24"/>
        </w:rPr>
        <w:t>原文：</w:t>
      </w:r>
      <w:r>
        <w:rPr>
          <w:rFonts w:hint="eastAsia" w:ascii="宋体" w:hAnsi="宋体" w:cs="仿宋"/>
          <w:bCs/>
          <w:sz w:val="24"/>
          <w:szCs w:val="24"/>
        </w:rPr>
        <w:t>11.3 经济部分投标文件主要包括下列内容：</w:t>
      </w:r>
    </w:p>
    <w:p>
      <w:pPr>
        <w:spacing w:line="360" w:lineRule="auto"/>
        <w:ind w:firstLine="480" w:firstLineChars="200"/>
        <w:rPr>
          <w:rFonts w:hint="eastAsia" w:ascii="宋体" w:hAnsi="宋体" w:cs="仿宋"/>
          <w:bCs/>
          <w:sz w:val="24"/>
          <w:szCs w:val="24"/>
        </w:rPr>
      </w:pPr>
      <w:r>
        <w:rPr>
          <w:rFonts w:hint="eastAsia" w:ascii="宋体" w:hAnsi="宋体" w:cs="仿宋"/>
          <w:bCs/>
          <w:sz w:val="24"/>
          <w:szCs w:val="24"/>
        </w:rPr>
        <w:t>11.3.1 经济投标文件(按招标文件的要求填写)。</w:t>
      </w:r>
    </w:p>
    <w:p>
      <w:pPr>
        <w:spacing w:line="360" w:lineRule="auto"/>
        <w:ind w:firstLine="480" w:firstLineChars="200"/>
        <w:rPr>
          <w:rFonts w:hint="eastAsia" w:ascii="宋体" w:hAnsi="宋体" w:cs="仿宋"/>
          <w:bCs/>
          <w:sz w:val="24"/>
          <w:szCs w:val="24"/>
        </w:rPr>
      </w:pPr>
      <w:r>
        <w:rPr>
          <w:rFonts w:hint="eastAsia" w:ascii="宋体" w:hAnsi="宋体" w:cs="仿宋"/>
          <w:bCs/>
          <w:sz w:val="24"/>
          <w:szCs w:val="24"/>
        </w:rPr>
        <w:t xml:space="preserve">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pPr>
        <w:spacing w:line="360" w:lineRule="auto"/>
        <w:ind w:firstLine="480" w:firstLineChars="200"/>
        <w:rPr>
          <w:rFonts w:hint="eastAsia" w:ascii="宋体" w:hAnsi="宋体" w:cs="仿宋"/>
          <w:bCs/>
          <w:sz w:val="24"/>
          <w:szCs w:val="24"/>
        </w:rPr>
      </w:pPr>
      <w:r>
        <w:rPr>
          <w:rFonts w:hint="eastAsia" w:ascii="宋体" w:hAnsi="宋体" w:cs="仿宋"/>
          <w:bCs/>
          <w:sz w:val="24"/>
          <w:szCs w:val="24"/>
        </w:rPr>
        <w:t>（1）投标总价封面、扉页；</w:t>
      </w:r>
    </w:p>
    <w:p>
      <w:pPr>
        <w:spacing w:line="360" w:lineRule="auto"/>
        <w:ind w:firstLine="480" w:firstLineChars="200"/>
        <w:rPr>
          <w:rFonts w:hint="eastAsia" w:ascii="宋体" w:hAnsi="宋体" w:cs="仿宋"/>
          <w:bCs/>
          <w:sz w:val="24"/>
          <w:szCs w:val="24"/>
        </w:rPr>
      </w:pPr>
      <w:r>
        <w:rPr>
          <w:rFonts w:hint="eastAsia" w:ascii="宋体" w:hAnsi="宋体" w:cs="仿宋"/>
          <w:bCs/>
          <w:sz w:val="24"/>
          <w:szCs w:val="24"/>
        </w:rPr>
        <w:t>（2）总说明；</w:t>
      </w:r>
    </w:p>
    <w:p>
      <w:pPr>
        <w:spacing w:line="360" w:lineRule="auto"/>
        <w:ind w:firstLine="480" w:firstLineChars="200"/>
        <w:rPr>
          <w:rFonts w:hint="eastAsia" w:ascii="宋体" w:hAnsi="宋体" w:cs="仿宋"/>
          <w:bCs/>
          <w:sz w:val="24"/>
          <w:szCs w:val="24"/>
        </w:rPr>
      </w:pPr>
      <w:r>
        <w:rPr>
          <w:rFonts w:hint="eastAsia" w:ascii="宋体" w:hAnsi="宋体" w:cs="仿宋"/>
          <w:bCs/>
          <w:sz w:val="24"/>
          <w:szCs w:val="24"/>
        </w:rPr>
        <w:t>（3）工程项目投标报价汇总表；</w:t>
      </w:r>
    </w:p>
    <w:p>
      <w:pPr>
        <w:spacing w:line="360" w:lineRule="auto"/>
        <w:ind w:firstLine="480" w:firstLineChars="200"/>
        <w:rPr>
          <w:rFonts w:hint="eastAsia" w:ascii="宋体" w:hAnsi="宋体" w:cs="仿宋"/>
          <w:bCs/>
          <w:sz w:val="24"/>
          <w:szCs w:val="24"/>
        </w:rPr>
      </w:pPr>
      <w:r>
        <w:rPr>
          <w:rFonts w:hint="eastAsia" w:ascii="宋体" w:hAnsi="宋体" w:cs="仿宋"/>
          <w:bCs/>
          <w:sz w:val="24"/>
          <w:szCs w:val="24"/>
        </w:rPr>
        <w:t>（4）单项工程投标报价汇总表；</w:t>
      </w:r>
    </w:p>
    <w:p>
      <w:pPr>
        <w:spacing w:line="360" w:lineRule="auto"/>
        <w:ind w:firstLine="480" w:firstLineChars="200"/>
        <w:rPr>
          <w:rFonts w:hint="eastAsia" w:ascii="宋体" w:hAnsi="宋体" w:cs="仿宋"/>
          <w:bCs/>
          <w:sz w:val="24"/>
          <w:szCs w:val="24"/>
        </w:rPr>
      </w:pPr>
      <w:r>
        <w:rPr>
          <w:rFonts w:hint="eastAsia" w:ascii="宋体" w:hAnsi="宋体" w:cs="仿宋"/>
          <w:bCs/>
          <w:sz w:val="24"/>
          <w:szCs w:val="24"/>
        </w:rPr>
        <w:t>（5）单位工程投标报价汇总表；</w:t>
      </w:r>
    </w:p>
    <w:p>
      <w:pPr>
        <w:spacing w:line="360" w:lineRule="auto"/>
        <w:ind w:firstLine="480" w:firstLineChars="200"/>
        <w:rPr>
          <w:rFonts w:hint="eastAsia" w:ascii="宋体" w:hAnsi="宋体" w:cs="仿宋"/>
          <w:bCs/>
          <w:sz w:val="24"/>
          <w:szCs w:val="24"/>
        </w:rPr>
      </w:pPr>
      <w:r>
        <w:rPr>
          <w:rFonts w:hint="eastAsia" w:ascii="宋体" w:hAnsi="宋体" w:cs="仿宋"/>
          <w:bCs/>
          <w:sz w:val="24"/>
          <w:szCs w:val="24"/>
        </w:rPr>
        <w:t>（6）分部分项工程清单与计价表；</w:t>
      </w:r>
    </w:p>
    <w:p>
      <w:pPr>
        <w:spacing w:line="360" w:lineRule="auto"/>
        <w:ind w:firstLine="480" w:firstLineChars="200"/>
        <w:rPr>
          <w:rFonts w:hint="eastAsia" w:ascii="宋体" w:hAnsi="宋体" w:cs="仿宋"/>
          <w:bCs/>
          <w:sz w:val="24"/>
          <w:szCs w:val="24"/>
        </w:rPr>
      </w:pPr>
      <w:r>
        <w:rPr>
          <w:rFonts w:hint="eastAsia" w:ascii="宋体" w:hAnsi="宋体" w:cs="仿宋"/>
          <w:bCs/>
          <w:sz w:val="24"/>
          <w:szCs w:val="24"/>
        </w:rPr>
        <w:t>（7）单价措施项目清单与计价表；</w:t>
      </w:r>
    </w:p>
    <w:p>
      <w:pPr>
        <w:spacing w:line="360" w:lineRule="auto"/>
        <w:ind w:firstLine="480" w:firstLineChars="200"/>
        <w:rPr>
          <w:rFonts w:hint="eastAsia" w:ascii="宋体" w:hAnsi="宋体" w:cs="仿宋"/>
          <w:bCs/>
          <w:sz w:val="24"/>
          <w:szCs w:val="24"/>
        </w:rPr>
      </w:pPr>
      <w:r>
        <w:rPr>
          <w:rFonts w:hint="eastAsia" w:ascii="宋体" w:hAnsi="宋体" w:cs="仿宋"/>
          <w:bCs/>
          <w:sz w:val="24"/>
          <w:szCs w:val="24"/>
        </w:rPr>
        <w:t>（8）总价措施项目清单与计价表；</w:t>
      </w:r>
    </w:p>
    <w:p>
      <w:pPr>
        <w:spacing w:line="360" w:lineRule="auto"/>
        <w:ind w:firstLine="480" w:firstLineChars="200"/>
        <w:rPr>
          <w:rFonts w:hint="eastAsia" w:ascii="宋体" w:hAnsi="宋体" w:cs="仿宋"/>
          <w:bCs/>
          <w:sz w:val="24"/>
          <w:szCs w:val="24"/>
        </w:rPr>
      </w:pPr>
      <w:r>
        <w:rPr>
          <w:rFonts w:hint="eastAsia" w:ascii="宋体" w:hAnsi="宋体" w:cs="仿宋"/>
          <w:bCs/>
          <w:sz w:val="24"/>
          <w:szCs w:val="24"/>
        </w:rPr>
        <w:t>（9）综合单价分析表；</w:t>
      </w:r>
    </w:p>
    <w:p>
      <w:pPr>
        <w:spacing w:line="360" w:lineRule="auto"/>
        <w:ind w:firstLine="480" w:firstLineChars="200"/>
        <w:rPr>
          <w:rFonts w:hint="eastAsia" w:ascii="宋体" w:hAnsi="宋体" w:cs="仿宋"/>
          <w:bCs/>
          <w:sz w:val="24"/>
          <w:szCs w:val="24"/>
        </w:rPr>
      </w:pPr>
      <w:r>
        <w:rPr>
          <w:rFonts w:hint="eastAsia" w:ascii="宋体" w:hAnsi="宋体" w:cs="仿宋"/>
          <w:bCs/>
          <w:sz w:val="24"/>
          <w:szCs w:val="24"/>
        </w:rPr>
        <w:t>（10）其他项目清单与计价汇总表；</w:t>
      </w:r>
    </w:p>
    <w:p>
      <w:pPr>
        <w:spacing w:line="360" w:lineRule="auto"/>
        <w:ind w:firstLine="480" w:firstLineChars="200"/>
        <w:rPr>
          <w:rFonts w:hint="eastAsia" w:ascii="宋体" w:hAnsi="宋体" w:cs="仿宋"/>
          <w:bCs/>
          <w:sz w:val="24"/>
          <w:szCs w:val="24"/>
        </w:rPr>
      </w:pPr>
      <w:r>
        <w:rPr>
          <w:rFonts w:hint="eastAsia" w:ascii="宋体" w:hAnsi="宋体" w:cs="仿宋"/>
          <w:bCs/>
          <w:sz w:val="24"/>
          <w:szCs w:val="24"/>
        </w:rPr>
        <w:t>（11）暂列金额明细表；</w:t>
      </w:r>
    </w:p>
    <w:p>
      <w:pPr>
        <w:spacing w:line="360" w:lineRule="auto"/>
        <w:ind w:firstLine="480" w:firstLineChars="200"/>
        <w:rPr>
          <w:rFonts w:hint="eastAsia" w:ascii="宋体" w:hAnsi="宋体" w:cs="仿宋"/>
          <w:bCs/>
          <w:sz w:val="24"/>
          <w:szCs w:val="24"/>
        </w:rPr>
      </w:pPr>
      <w:r>
        <w:rPr>
          <w:rFonts w:hint="eastAsia" w:ascii="宋体" w:hAnsi="宋体" w:cs="仿宋"/>
          <w:bCs/>
          <w:sz w:val="24"/>
          <w:szCs w:val="24"/>
        </w:rPr>
        <w:t>（12）材料（工程设备）暂估价明细表；</w:t>
      </w:r>
    </w:p>
    <w:p>
      <w:pPr>
        <w:spacing w:line="360" w:lineRule="auto"/>
        <w:ind w:firstLine="480" w:firstLineChars="200"/>
        <w:rPr>
          <w:rFonts w:hint="eastAsia" w:ascii="宋体" w:hAnsi="宋体" w:cs="仿宋"/>
          <w:bCs/>
          <w:sz w:val="24"/>
          <w:szCs w:val="24"/>
        </w:rPr>
      </w:pPr>
      <w:r>
        <w:rPr>
          <w:rFonts w:hint="eastAsia" w:ascii="宋体" w:hAnsi="宋体" w:cs="仿宋"/>
          <w:bCs/>
          <w:sz w:val="24"/>
          <w:szCs w:val="24"/>
        </w:rPr>
        <w:t>（13）专业工程暂估价明细表；</w:t>
      </w:r>
    </w:p>
    <w:p>
      <w:pPr>
        <w:spacing w:line="360" w:lineRule="auto"/>
        <w:ind w:firstLine="480" w:firstLineChars="200"/>
        <w:rPr>
          <w:rFonts w:hint="eastAsia" w:ascii="宋体" w:hAnsi="宋体" w:cs="仿宋"/>
          <w:bCs/>
          <w:sz w:val="24"/>
          <w:szCs w:val="24"/>
        </w:rPr>
      </w:pPr>
      <w:r>
        <w:rPr>
          <w:rFonts w:hint="eastAsia" w:ascii="宋体" w:hAnsi="宋体" w:cs="仿宋"/>
          <w:bCs/>
          <w:sz w:val="24"/>
          <w:szCs w:val="24"/>
        </w:rPr>
        <w:t>（14）计日工表；</w:t>
      </w:r>
    </w:p>
    <w:p>
      <w:pPr>
        <w:spacing w:line="360" w:lineRule="auto"/>
        <w:ind w:firstLine="480" w:firstLineChars="200"/>
        <w:rPr>
          <w:rFonts w:hint="eastAsia" w:ascii="宋体" w:hAnsi="宋体" w:cs="仿宋"/>
          <w:bCs/>
          <w:sz w:val="24"/>
          <w:szCs w:val="24"/>
        </w:rPr>
      </w:pPr>
      <w:r>
        <w:rPr>
          <w:rFonts w:hint="eastAsia" w:ascii="宋体" w:hAnsi="宋体" w:cs="仿宋"/>
          <w:bCs/>
          <w:sz w:val="24"/>
          <w:szCs w:val="24"/>
        </w:rPr>
        <w:t>（15）总承包服务计价表；</w:t>
      </w:r>
    </w:p>
    <w:p>
      <w:pPr>
        <w:spacing w:line="360" w:lineRule="auto"/>
        <w:ind w:firstLine="480" w:firstLineChars="200"/>
        <w:rPr>
          <w:rFonts w:hint="eastAsia" w:ascii="宋体" w:hAnsi="宋体" w:cs="仿宋"/>
          <w:bCs/>
          <w:sz w:val="24"/>
          <w:szCs w:val="24"/>
        </w:rPr>
      </w:pPr>
      <w:r>
        <w:rPr>
          <w:rFonts w:hint="eastAsia" w:ascii="宋体" w:hAnsi="宋体" w:cs="仿宋"/>
          <w:bCs/>
          <w:sz w:val="24"/>
          <w:szCs w:val="24"/>
        </w:rPr>
        <w:t>（16）规费和税金项目计价表；</w:t>
      </w:r>
    </w:p>
    <w:p>
      <w:pPr>
        <w:spacing w:line="360" w:lineRule="auto"/>
        <w:ind w:firstLine="480" w:firstLineChars="200"/>
        <w:rPr>
          <w:rFonts w:hint="eastAsia" w:ascii="宋体" w:hAnsi="宋体" w:cs="仿宋"/>
          <w:bCs/>
          <w:sz w:val="24"/>
          <w:szCs w:val="24"/>
        </w:rPr>
      </w:pPr>
      <w:r>
        <w:rPr>
          <w:rFonts w:hint="eastAsia" w:ascii="宋体" w:hAnsi="宋体" w:cs="仿宋"/>
          <w:bCs/>
          <w:sz w:val="24"/>
          <w:szCs w:val="24"/>
        </w:rPr>
        <w:t>（17）人工、主要材料和设备一览表</w:t>
      </w:r>
    </w:p>
    <w:p>
      <w:pPr>
        <w:spacing w:line="360" w:lineRule="auto"/>
        <w:ind w:firstLine="480" w:firstLineChars="200"/>
        <w:rPr>
          <w:rFonts w:hint="eastAsia" w:ascii="宋体" w:hAnsi="宋体" w:cs="仿宋"/>
          <w:bCs/>
          <w:sz w:val="24"/>
          <w:szCs w:val="24"/>
        </w:rPr>
      </w:pPr>
      <w:r>
        <w:rPr>
          <w:rFonts w:hint="eastAsia" w:ascii="宋体" w:hAnsi="宋体" w:cs="仿宋"/>
          <w:bCs/>
          <w:sz w:val="24"/>
          <w:szCs w:val="24"/>
        </w:rPr>
        <w:t>11.3.3按照招标文件要求填写的《参与编制经济标投标文件人员名单》。</w:t>
      </w:r>
    </w:p>
    <w:p>
      <w:pPr>
        <w:spacing w:line="360" w:lineRule="auto"/>
        <w:ind w:firstLine="480" w:firstLineChars="200"/>
        <w:rPr>
          <w:rFonts w:hint="eastAsia" w:ascii="宋体" w:hAnsi="宋体" w:cs="仿宋"/>
          <w:bCs/>
          <w:sz w:val="24"/>
          <w:szCs w:val="24"/>
        </w:rPr>
      </w:pPr>
      <w:r>
        <w:rPr>
          <w:rFonts w:hint="eastAsia" w:ascii="宋体" w:hAnsi="宋体" w:cs="仿宋"/>
          <w:bCs/>
          <w:sz w:val="24"/>
          <w:szCs w:val="24"/>
        </w:rPr>
        <w:t>11.3.4若投标人的投标报价低于工程成本警戒价的，投标人还须提供详细的施工组织设计、单价、措施性费用、单价分析表、主要材料价格表、投标人成本分析供评标委员会评审。</w:t>
      </w:r>
    </w:p>
    <w:p>
      <w:pPr>
        <w:spacing w:line="360" w:lineRule="auto"/>
        <w:ind w:firstLine="602" w:firstLineChars="250"/>
        <w:rPr>
          <w:rFonts w:hint="eastAsia" w:ascii="宋体" w:hAnsi="宋体" w:cs="仿宋"/>
          <w:sz w:val="24"/>
          <w:szCs w:val="24"/>
        </w:rPr>
      </w:pPr>
      <w:r>
        <w:rPr>
          <w:rFonts w:hint="eastAsia" w:ascii="宋体" w:hAnsi="宋体" w:cs="仿宋"/>
          <w:b/>
          <w:sz w:val="24"/>
          <w:szCs w:val="24"/>
        </w:rPr>
        <w:t>现文：</w:t>
      </w:r>
      <w:r>
        <w:rPr>
          <w:rFonts w:hint="eastAsia" w:ascii="宋体" w:hAnsi="宋体" w:cs="仿宋"/>
          <w:sz w:val="24"/>
          <w:szCs w:val="24"/>
        </w:rPr>
        <w:t>11.3 经济部分投标文件主要包括下列内容：</w:t>
      </w:r>
    </w:p>
    <w:p>
      <w:pPr>
        <w:spacing w:line="360" w:lineRule="auto"/>
        <w:ind w:firstLine="600" w:firstLineChars="250"/>
        <w:rPr>
          <w:rFonts w:hint="eastAsia" w:ascii="宋体" w:hAnsi="宋体" w:cs="仿宋"/>
          <w:sz w:val="24"/>
          <w:szCs w:val="24"/>
        </w:rPr>
      </w:pPr>
      <w:r>
        <w:rPr>
          <w:rFonts w:hint="eastAsia" w:ascii="宋体" w:hAnsi="宋体" w:cs="仿宋"/>
          <w:sz w:val="24"/>
          <w:szCs w:val="24"/>
        </w:rPr>
        <w:t xml:space="preserve">11.3.1 </w:t>
      </w:r>
      <w:r>
        <w:rPr>
          <w:rFonts w:hint="eastAsia" w:ascii="宋体" w:hAnsi="宋体" w:cs="仿宋"/>
          <w:bCs/>
          <w:sz w:val="24"/>
          <w:szCs w:val="24"/>
        </w:rPr>
        <w:t>经济投标文件(按招标文件的要求填写)</w:t>
      </w:r>
      <w:r>
        <w:rPr>
          <w:rFonts w:hint="eastAsia" w:ascii="宋体" w:hAnsi="宋体" w:cs="仿宋"/>
          <w:sz w:val="24"/>
          <w:szCs w:val="24"/>
        </w:rPr>
        <w:t>。</w:t>
      </w:r>
    </w:p>
    <w:p>
      <w:pPr>
        <w:spacing w:line="360" w:lineRule="auto"/>
        <w:ind w:firstLine="600" w:firstLineChars="250"/>
        <w:rPr>
          <w:rFonts w:hint="eastAsia" w:ascii="宋体" w:hAnsi="宋体" w:cs="仿宋"/>
          <w:sz w:val="24"/>
          <w:szCs w:val="24"/>
          <w:u w:val="single"/>
        </w:rPr>
      </w:pPr>
      <w:r>
        <w:rPr>
          <w:rFonts w:hint="eastAsia" w:ascii="宋体" w:hAnsi="宋体" w:cs="仿宋"/>
          <w:sz w:val="24"/>
          <w:szCs w:val="24"/>
        </w:rPr>
        <w:t>11.3.2 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cs="仿宋"/>
          <w:sz w:val="24"/>
          <w:szCs w:val="24"/>
          <w:u w:val="single"/>
        </w:rPr>
        <w:t>（投标报价的工程量清单的组成、格式等由广州交易集团有限公司（广州公共资源交易中心）的投标文件管理软件自动生成）</w:t>
      </w:r>
    </w:p>
    <w:p>
      <w:pPr>
        <w:spacing w:line="360" w:lineRule="auto"/>
        <w:ind w:firstLine="600" w:firstLineChars="250"/>
        <w:rPr>
          <w:rFonts w:hint="eastAsia" w:ascii="宋体" w:hAnsi="宋体" w:cs="仿宋"/>
          <w:sz w:val="24"/>
          <w:szCs w:val="24"/>
        </w:rPr>
      </w:pPr>
      <w:r>
        <w:rPr>
          <w:rFonts w:hint="eastAsia" w:ascii="宋体" w:hAnsi="宋体" w:cs="仿宋"/>
          <w:sz w:val="24"/>
          <w:szCs w:val="24"/>
        </w:rPr>
        <w:t>11.3.3 按照招标文件要求填写的《参与编制经济标投标文件人员名单》</w:t>
      </w:r>
      <w:r>
        <w:rPr>
          <w:rFonts w:hint="eastAsia" w:ascii="宋体" w:hAnsi="宋体" w:cs="仿宋"/>
          <w:sz w:val="24"/>
          <w:szCs w:val="24"/>
          <w:u w:val="single"/>
        </w:rPr>
        <w:t>(按第四章投标文件格式格式二的要求填写)</w:t>
      </w:r>
      <w:r>
        <w:rPr>
          <w:rFonts w:hint="eastAsia" w:ascii="宋体" w:hAnsi="宋体" w:cs="仿宋"/>
          <w:sz w:val="24"/>
          <w:szCs w:val="24"/>
        </w:rPr>
        <w:t>。</w:t>
      </w:r>
    </w:p>
    <w:p>
      <w:pPr>
        <w:spacing w:line="360" w:lineRule="auto"/>
        <w:ind w:firstLine="600" w:firstLineChars="250"/>
        <w:rPr>
          <w:rFonts w:hint="eastAsia" w:ascii="宋体" w:hAnsi="宋体" w:cs="仿宋"/>
          <w:sz w:val="24"/>
          <w:szCs w:val="24"/>
          <w:u w:val="single"/>
        </w:rPr>
      </w:pPr>
      <w:r>
        <w:rPr>
          <w:rFonts w:hint="eastAsia" w:ascii="宋体" w:hAnsi="宋体" w:cs="仿宋"/>
          <w:sz w:val="24"/>
          <w:szCs w:val="24"/>
          <w:u w:val="single"/>
        </w:rPr>
        <w:t>11.3.4 《对投标文件编制的承诺》(按第四章投标文件格式格式三的要求填写)。</w:t>
      </w:r>
    </w:p>
    <w:p>
      <w:pPr>
        <w:pBdr>
          <w:bottom w:val="single" w:color="auto" w:sz="6" w:space="1"/>
        </w:pBdr>
        <w:spacing w:line="360" w:lineRule="auto"/>
        <w:ind w:firstLine="600" w:firstLineChars="250"/>
        <w:rPr>
          <w:b/>
          <w:sz w:val="24"/>
          <w:szCs w:val="24"/>
        </w:rPr>
      </w:pPr>
      <w:r>
        <w:rPr>
          <w:rFonts w:hint="eastAsia" w:ascii="宋体" w:hAnsi="宋体" w:cs="仿宋"/>
          <w:sz w:val="24"/>
          <w:szCs w:val="24"/>
        </w:rPr>
        <w:t>11.3.5 若投标人的投标报价低于工程成本警戒价的，投标人还须提供详细的施工组织设计、单价、措施性费用、单价分析表、主要材料价格表、投标人成本分析供评标委员会评审</w:t>
      </w:r>
      <w:r>
        <w:rPr>
          <w:rFonts w:hint="eastAsia" w:ascii="宋体" w:hAnsi="宋体" w:cs="仿宋"/>
          <w:bCs/>
          <w:sz w:val="24"/>
          <w:szCs w:val="24"/>
        </w:rPr>
        <w:t>。</w:t>
      </w:r>
    </w:p>
    <w:p>
      <w:pPr>
        <w:spacing w:line="360" w:lineRule="auto"/>
        <w:ind w:firstLine="540" w:firstLineChars="224"/>
        <w:rPr>
          <w:rFonts w:ascii="Times New Roman" w:hAnsi="Times New Roman"/>
          <w:b/>
          <w:sz w:val="24"/>
          <w:szCs w:val="24"/>
        </w:rPr>
      </w:pPr>
      <w:r>
        <w:rPr>
          <w:rFonts w:hint="eastAsia" w:ascii="Times New Roman" w:hAnsi="宋体"/>
          <w:b/>
          <w:sz w:val="24"/>
          <w:szCs w:val="24"/>
        </w:rPr>
        <w:t>条款号：</w:t>
      </w:r>
      <w:r>
        <w:rPr>
          <w:rFonts w:hint="eastAsia" w:ascii="Times New Roman" w:hAnsi="Times New Roman"/>
          <w:sz w:val="24"/>
          <w:szCs w:val="24"/>
        </w:rPr>
        <w:t xml:space="preserve">12.2 </w:t>
      </w:r>
      <w:r>
        <w:rPr>
          <w:rFonts w:ascii="Times New Roman" w:hAnsi="Times New Roman"/>
          <w:b/>
          <w:sz w:val="24"/>
          <w:szCs w:val="24"/>
        </w:rPr>
        <w:t xml:space="preserve">             </w:t>
      </w:r>
      <w:r>
        <w:rPr>
          <w:rFonts w:hint="eastAsia" w:ascii="Times New Roman" w:hAnsi="宋体"/>
          <w:b/>
          <w:sz w:val="24"/>
          <w:szCs w:val="24"/>
        </w:rPr>
        <w:t>修改类型：修改</w:t>
      </w:r>
    </w:p>
    <w:p>
      <w:pPr>
        <w:spacing w:line="360" w:lineRule="auto"/>
        <w:ind w:firstLine="482" w:firstLineChars="200"/>
        <w:rPr>
          <w:rFonts w:ascii="Times New Roman" w:hAnsi="Times New Roman"/>
          <w:kern w:val="0"/>
          <w:sz w:val="24"/>
          <w:szCs w:val="24"/>
        </w:rPr>
      </w:pPr>
      <w:r>
        <w:rPr>
          <w:rFonts w:hint="eastAsia" w:ascii="Times New Roman" w:hAnsi="宋体"/>
          <w:b/>
          <w:kern w:val="0"/>
          <w:sz w:val="24"/>
          <w:szCs w:val="24"/>
        </w:rPr>
        <w:t>原文：</w:t>
      </w:r>
      <w:r>
        <w:rPr>
          <w:rFonts w:hint="eastAsia" w:ascii="Times New Roman" w:hAnsi="Times New Roman"/>
          <w:kern w:val="0"/>
          <w:sz w:val="24"/>
          <w:szCs w:val="24"/>
        </w:rPr>
        <w:t>12.2</w:t>
      </w:r>
      <w:r>
        <w:rPr>
          <w:rFonts w:hint="eastAsia" w:ascii="Times New Roman" w:hAnsi="宋体"/>
          <w:kern w:val="0"/>
          <w:sz w:val="24"/>
          <w:szCs w:val="24"/>
        </w:rPr>
        <w:t>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Times New Roman" w:hAnsi="宋体"/>
          <w:kern w:val="0"/>
          <w:sz w:val="24"/>
          <w:szCs w:val="24"/>
          <w:u w:val="single"/>
        </w:rPr>
        <w:t xml:space="preserve">             </w:t>
      </w:r>
      <w:r>
        <w:rPr>
          <w:rFonts w:hint="eastAsia" w:ascii="Times New Roman" w:hAnsi="宋体"/>
          <w:kern w:val="0"/>
          <w:sz w:val="24"/>
          <w:szCs w:val="24"/>
        </w:rPr>
        <w:t>。</w:t>
      </w:r>
    </w:p>
    <w:p>
      <w:pPr>
        <w:pBdr>
          <w:bottom w:val="single" w:color="auto" w:sz="6" w:space="1"/>
        </w:pBdr>
        <w:spacing w:line="360" w:lineRule="auto"/>
        <w:ind w:firstLine="602" w:firstLineChars="250"/>
        <w:rPr>
          <w:rFonts w:ascii="Times New Roman" w:hAnsi="Times New Roman"/>
          <w:b/>
          <w:sz w:val="24"/>
          <w:szCs w:val="24"/>
        </w:rPr>
      </w:pPr>
      <w:r>
        <w:rPr>
          <w:rFonts w:hint="eastAsia" w:ascii="Times New Roman" w:hAnsi="宋体"/>
          <w:b/>
          <w:sz w:val="24"/>
          <w:szCs w:val="24"/>
        </w:rPr>
        <w:t>现文：</w:t>
      </w:r>
      <w:r>
        <w:rPr>
          <w:rFonts w:hint="eastAsia" w:ascii="Times New Roman" w:hAnsi="Times New Roman"/>
          <w:sz w:val="24"/>
          <w:szCs w:val="24"/>
        </w:rPr>
        <w:t>12.2</w:t>
      </w:r>
      <w:r>
        <w:rPr>
          <w:rFonts w:hint="eastAsia" w:ascii="Times New Roman" w:hAnsi="宋体"/>
          <w:sz w:val="24"/>
          <w:szCs w:val="24"/>
        </w:rPr>
        <w:t>投标文件全部采用电子文档，投标文件所附证书证件均为原件扫描件，并采用单位数字证书，</w:t>
      </w:r>
      <w:r>
        <w:rPr>
          <w:rFonts w:hint="eastAsia" w:ascii="Times New Roman" w:hAnsi="宋体"/>
          <w:b w:val="0"/>
          <w:bCs w:val="0"/>
          <w:sz w:val="24"/>
          <w:szCs w:val="24"/>
          <w:lang w:val="en-US" w:eastAsia="zh-CN"/>
        </w:rPr>
        <w:t>对投标文件</w:t>
      </w:r>
      <w:r>
        <w:rPr>
          <w:rFonts w:hint="eastAsia" w:ascii="Times New Roman" w:hAnsi="宋体"/>
          <w:sz w:val="24"/>
          <w:szCs w:val="24"/>
        </w:rPr>
        <w:t>加盖电子印章。</w:t>
      </w:r>
      <w:r>
        <w:rPr>
          <w:rFonts w:hint="eastAsia" w:ascii="Times New Roman" w:hAnsi="宋体"/>
          <w:kern w:val="0"/>
          <w:sz w:val="24"/>
          <w:szCs w:val="24"/>
        </w:rPr>
        <w:t>投标文件中需个人签字或盖章的，应加盖个人电子印章或在线下完成后扫描上传。</w:t>
      </w:r>
      <w:r>
        <w:rPr>
          <w:rFonts w:hint="eastAsia" w:ascii="Times New Roman" w:hAnsi="宋体"/>
          <w:sz w:val="24"/>
          <w:szCs w:val="24"/>
        </w:rPr>
        <w:t>按照交易平台关于全流程电子化项目的相关指南进行操作。详见：</w:t>
      </w:r>
      <w:r>
        <w:rPr>
          <w:rFonts w:hint="eastAsia" w:ascii="Times New Roman" w:hAnsi="Times New Roman"/>
          <w:sz w:val="24"/>
          <w:szCs w:val="24"/>
          <w:u w:val="single"/>
        </w:rPr>
        <w:t>https://ywtb.gzggzy.cn/相关指引</w:t>
      </w:r>
      <w:r>
        <w:rPr>
          <w:rFonts w:hint="eastAsia" w:ascii="宋体" w:hAnsi="宋体" w:cs="宋体"/>
          <w:sz w:val="24"/>
          <w:szCs w:val="24"/>
          <w:u w:val="single"/>
        </w:rPr>
        <w:t>。</w:t>
      </w:r>
    </w:p>
    <w:p>
      <w:pPr>
        <w:spacing w:line="360" w:lineRule="auto"/>
        <w:ind w:firstLine="540" w:firstLineChars="224"/>
        <w:rPr>
          <w:rFonts w:ascii="Times New Roman" w:hAnsi="Times New Roman"/>
          <w:b/>
          <w:sz w:val="24"/>
          <w:szCs w:val="24"/>
        </w:rPr>
      </w:pPr>
      <w:r>
        <w:rPr>
          <w:rFonts w:hint="eastAsia" w:ascii="Times New Roman" w:hAnsi="Times New Roman"/>
          <w:b/>
          <w:sz w:val="24"/>
          <w:szCs w:val="24"/>
        </w:rPr>
        <w:t>条款号：12.3</w:t>
      </w:r>
      <w:r>
        <w:rPr>
          <w:rFonts w:ascii="Times New Roman" w:hAnsi="Times New Roman"/>
          <w:b/>
          <w:sz w:val="24"/>
          <w:szCs w:val="24"/>
        </w:rPr>
        <w:t xml:space="preserve">             </w:t>
      </w:r>
      <w:r>
        <w:rPr>
          <w:rFonts w:hint="eastAsia" w:ascii="Times New Roman" w:hAnsi="Times New Roman"/>
          <w:b/>
          <w:sz w:val="24"/>
          <w:szCs w:val="24"/>
        </w:rPr>
        <w:t>修改类型：修改</w:t>
      </w:r>
    </w:p>
    <w:p>
      <w:pPr>
        <w:spacing w:line="360" w:lineRule="auto"/>
        <w:ind w:firstLine="540" w:firstLineChars="224"/>
        <w:rPr>
          <w:rFonts w:ascii="Times New Roman" w:hAnsi="Times New Roman"/>
          <w:b/>
          <w:sz w:val="24"/>
          <w:szCs w:val="24"/>
        </w:rPr>
      </w:pPr>
      <w:r>
        <w:rPr>
          <w:rFonts w:hint="eastAsia" w:ascii="Times New Roman" w:hAnsi="Times New Roman"/>
          <w:b/>
          <w:sz w:val="24"/>
          <w:szCs w:val="24"/>
        </w:rPr>
        <w:t>原文：</w:t>
      </w:r>
      <w:r>
        <w:rPr>
          <w:rFonts w:hint="eastAsia" w:ascii="Times New Roman" w:hAnsi="Times New Roman"/>
          <w:sz w:val="24"/>
          <w:szCs w:val="24"/>
        </w:rPr>
        <w:t>12.3 投标文件应按照交易平台关于全流程电子化项目的相关指南进行编制，详见：</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hint="eastAsia" w:ascii="Times New Roman" w:hAnsi="Times New Roman"/>
          <w:sz w:val="24"/>
          <w:szCs w:val="24"/>
        </w:rPr>
        <w:t>。</w:t>
      </w:r>
    </w:p>
    <w:p>
      <w:pPr>
        <w:pBdr>
          <w:bottom w:val="single" w:color="auto" w:sz="6" w:space="1"/>
        </w:pBdr>
        <w:spacing w:line="360" w:lineRule="auto"/>
        <w:ind w:firstLine="602" w:firstLineChars="250"/>
        <w:rPr>
          <w:rFonts w:ascii="Times New Roman" w:hAnsi="Times New Roman"/>
          <w:sz w:val="24"/>
          <w:szCs w:val="24"/>
        </w:rPr>
      </w:pPr>
      <w:r>
        <w:rPr>
          <w:rFonts w:hint="eastAsia" w:ascii="Times New Roman" w:hAnsi="Times New Roman"/>
          <w:b/>
          <w:sz w:val="24"/>
          <w:szCs w:val="24"/>
        </w:rPr>
        <w:t>现文：</w:t>
      </w:r>
      <w:r>
        <w:rPr>
          <w:rFonts w:hint="eastAsia" w:ascii="Times New Roman" w:hAnsi="Times New Roman"/>
          <w:sz w:val="24"/>
          <w:szCs w:val="24"/>
        </w:rPr>
        <w:t>12.3 投标文件应按照交易平台关于全流程电子化项目的相关指南进行编制，详见：</w:t>
      </w:r>
      <w:r>
        <w:rPr>
          <w:rFonts w:hint="eastAsia" w:ascii="Times New Roman" w:hAnsi="Times New Roman"/>
          <w:sz w:val="24"/>
          <w:szCs w:val="24"/>
          <w:u w:val="single"/>
        </w:rPr>
        <w:t>https://ywtb.gzggzy.cn/相关指引</w:t>
      </w:r>
      <w:r>
        <w:rPr>
          <w:rFonts w:hint="eastAsia" w:ascii="Times New Roman" w:hAnsi="Times New Roman"/>
          <w:sz w:val="24"/>
          <w:szCs w:val="24"/>
        </w:rPr>
        <w:t>。</w:t>
      </w:r>
    </w:p>
    <w:p>
      <w:pPr>
        <w:pBdr>
          <w:top w:val="single" w:color="auto" w:sz="4" w:space="1"/>
        </w:pBdr>
        <w:spacing w:line="360" w:lineRule="auto"/>
        <w:ind w:firstLine="540" w:firstLineChars="224"/>
        <w:rPr>
          <w:b/>
          <w:sz w:val="24"/>
          <w:szCs w:val="24"/>
        </w:rPr>
      </w:pPr>
      <w:r>
        <w:rPr>
          <w:rFonts w:hint="eastAsia"/>
          <w:b/>
          <w:sz w:val="24"/>
          <w:szCs w:val="24"/>
        </w:rPr>
        <w:t>条款号：13.1             修改类型：修改</w:t>
      </w:r>
    </w:p>
    <w:p>
      <w:pPr>
        <w:pBdr>
          <w:bottom w:val="single" w:color="auto" w:sz="6" w:space="1"/>
        </w:pBdr>
        <w:spacing w:line="360" w:lineRule="auto"/>
        <w:ind w:firstLine="602" w:firstLineChars="250"/>
        <w:rPr>
          <w:sz w:val="24"/>
          <w:szCs w:val="24"/>
        </w:rPr>
      </w:pPr>
      <w:r>
        <w:rPr>
          <w:rFonts w:hint="eastAsia"/>
          <w:b/>
          <w:sz w:val="24"/>
          <w:szCs w:val="24"/>
        </w:rPr>
        <w:t>原文：</w:t>
      </w:r>
      <w:r>
        <w:rPr>
          <w:sz w:val="24"/>
          <w:szCs w:val="24"/>
        </w:rPr>
        <w:t xml:space="preserve">13.1 </w:t>
      </w:r>
      <w:r>
        <w:rPr>
          <w:rFonts w:hint="eastAsia"/>
          <w:sz w:val="24"/>
          <w:szCs w:val="24"/>
        </w:rPr>
        <w:t>本工程的投标报价采用投标须知前附表第</w:t>
      </w:r>
      <w:r>
        <w:rPr>
          <w:sz w:val="24"/>
          <w:szCs w:val="24"/>
        </w:rPr>
        <w:t>12</w:t>
      </w:r>
      <w:r>
        <w:rPr>
          <w:rFonts w:hint="eastAsia"/>
          <w:sz w:val="24"/>
          <w:szCs w:val="24"/>
        </w:rPr>
        <w:t>项所规定的方式。投标报价（含单价及总价）精确到“分”。</w:t>
      </w:r>
    </w:p>
    <w:p>
      <w:pPr>
        <w:pBdr>
          <w:bottom w:val="single" w:color="auto" w:sz="6" w:space="1"/>
        </w:pBdr>
        <w:spacing w:line="360" w:lineRule="auto"/>
        <w:ind w:firstLine="602" w:firstLineChars="250"/>
        <w:rPr>
          <w:rFonts w:ascii="Times New Roman" w:hAnsi="Times New Roman"/>
          <w:sz w:val="24"/>
          <w:szCs w:val="24"/>
        </w:rPr>
      </w:pPr>
      <w:r>
        <w:rPr>
          <w:rFonts w:hint="eastAsia"/>
          <w:b/>
          <w:sz w:val="24"/>
          <w:szCs w:val="24"/>
        </w:rPr>
        <w:t>现文：</w:t>
      </w:r>
      <w:r>
        <w:rPr>
          <w:sz w:val="24"/>
          <w:szCs w:val="24"/>
        </w:rPr>
        <w:t xml:space="preserve">13.1 </w:t>
      </w:r>
      <w:r>
        <w:rPr>
          <w:rFonts w:hint="eastAsia"/>
          <w:sz w:val="24"/>
          <w:szCs w:val="24"/>
        </w:rPr>
        <w:t>本工程的投标报价采用投标须知前附表第</w:t>
      </w:r>
      <w:r>
        <w:rPr>
          <w:sz w:val="24"/>
          <w:szCs w:val="24"/>
        </w:rPr>
        <w:t>12</w:t>
      </w:r>
      <w:r>
        <w:rPr>
          <w:rFonts w:hint="eastAsia"/>
          <w:sz w:val="24"/>
          <w:szCs w:val="24"/>
        </w:rPr>
        <w:t>项所规定的方式。</w:t>
      </w:r>
      <w:r>
        <w:rPr>
          <w:rFonts w:hint="eastAsia"/>
          <w:sz w:val="24"/>
          <w:szCs w:val="24"/>
          <w:u w:val="single"/>
        </w:rPr>
        <w:t>投标文件中的大写金额和小写金额不一致的，以大写金额为准。</w:t>
      </w:r>
      <w:r>
        <w:rPr>
          <w:rFonts w:hint="eastAsia"/>
          <w:sz w:val="24"/>
          <w:szCs w:val="24"/>
        </w:rPr>
        <w:t>投标报价（含单价及总价）精确到“分”。</w:t>
      </w:r>
    </w:p>
    <w:p>
      <w:pPr>
        <w:spacing w:line="360" w:lineRule="auto"/>
        <w:ind w:firstLine="540" w:firstLineChars="224"/>
        <w:rPr>
          <w:rFonts w:hint="eastAsia" w:ascii="宋体" w:hAnsi="宋体" w:cs="仿宋"/>
          <w:b/>
          <w:sz w:val="24"/>
          <w:szCs w:val="24"/>
        </w:rPr>
      </w:pPr>
      <w:r>
        <w:rPr>
          <w:rFonts w:hint="eastAsia" w:ascii="宋体" w:hAnsi="宋体" w:cs="仿宋"/>
          <w:b/>
          <w:sz w:val="24"/>
          <w:szCs w:val="24"/>
        </w:rPr>
        <w:t>条款号：13.3          修改类型：修改</w:t>
      </w:r>
    </w:p>
    <w:p>
      <w:pPr>
        <w:spacing w:line="360" w:lineRule="auto"/>
        <w:ind w:firstLine="540" w:firstLineChars="224"/>
        <w:rPr>
          <w:rFonts w:hint="eastAsia" w:ascii="宋体" w:hAnsi="宋体" w:cs="仿宋"/>
          <w:sz w:val="24"/>
          <w:szCs w:val="24"/>
        </w:rPr>
      </w:pPr>
      <w:r>
        <w:rPr>
          <w:rFonts w:hint="eastAsia" w:ascii="宋体" w:hAnsi="宋体" w:cs="仿宋"/>
          <w:b/>
          <w:sz w:val="24"/>
          <w:szCs w:val="24"/>
        </w:rPr>
        <w:t>原文：</w:t>
      </w:r>
      <w:r>
        <w:rPr>
          <w:rFonts w:hint="eastAsia" w:ascii="宋体" w:hAnsi="宋体" w:cs="仿宋"/>
          <w:bCs/>
          <w:sz w:val="24"/>
          <w:szCs w:val="24"/>
        </w:rPr>
        <w:t>13.3</w:t>
      </w:r>
      <w:r>
        <w:rPr>
          <w:rFonts w:hint="eastAsia" w:ascii="宋体" w:hAnsi="宋体" w:cs="仿宋"/>
          <w:sz w:val="24"/>
          <w:szCs w:val="24"/>
        </w:rPr>
        <w:t>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pBdr>
          <w:bottom w:val="single" w:color="auto" w:sz="6" w:space="1"/>
        </w:pBdr>
        <w:spacing w:line="360" w:lineRule="auto"/>
        <w:ind w:firstLine="540" w:firstLineChars="224"/>
        <w:rPr>
          <w:rFonts w:hint="eastAsia" w:ascii="宋体" w:hAnsi="宋体" w:cs="仿宋"/>
          <w:sz w:val="24"/>
          <w:szCs w:val="24"/>
        </w:rPr>
      </w:pPr>
      <w:r>
        <w:rPr>
          <w:rFonts w:hint="eastAsia" w:ascii="宋体" w:hAnsi="宋体" w:cs="仿宋"/>
          <w:b/>
          <w:sz w:val="24"/>
          <w:szCs w:val="24"/>
        </w:rPr>
        <w:t>现文：13.3</w:t>
      </w:r>
      <w:r>
        <w:rPr>
          <w:rFonts w:hint="eastAsia" w:ascii="宋体" w:hAnsi="宋体" w:cs="仿宋"/>
          <w:sz w:val="24"/>
          <w:szCs w:val="24"/>
        </w:rPr>
        <w:t>投标人的投标总报价，应是按照投标须知前附表第8项的工期要求，在投标须知前附表第3项的建设地点，完成投标须知前附表第7项的招标范围内已由招标人</w:t>
      </w:r>
      <w:r>
        <w:rPr>
          <w:rFonts w:hint="eastAsia" w:ascii="宋体" w:hAnsi="宋体" w:cs="仿宋"/>
          <w:sz w:val="24"/>
          <w:szCs w:val="24"/>
          <w:u w:val="single"/>
        </w:rPr>
        <w:t>提供的招标图纸（包括有关于本项目招标的相关资料）及</w:t>
      </w:r>
      <w:r>
        <w:rPr>
          <w:rFonts w:hint="eastAsia" w:ascii="宋体" w:hAnsi="宋体" w:cs="仿宋"/>
          <w:sz w:val="24"/>
          <w:szCs w:val="24"/>
        </w:rPr>
        <w:t>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w:t>
      </w:r>
      <w:r>
        <w:rPr>
          <w:rFonts w:hint="eastAsia" w:ascii="宋体" w:hAnsi="宋体" w:cs="仿宋"/>
          <w:sz w:val="24"/>
          <w:szCs w:val="24"/>
          <w:u w:val="single"/>
        </w:rPr>
        <w:t>费率</w:t>
      </w:r>
      <w:r>
        <w:rPr>
          <w:rFonts w:hint="eastAsia" w:ascii="宋体" w:hAnsi="宋体" w:cs="仿宋"/>
          <w:sz w:val="24"/>
          <w:szCs w:val="24"/>
        </w:rPr>
        <w:t>、暂列金额、暂估价、</w:t>
      </w:r>
      <w:r>
        <w:rPr>
          <w:rFonts w:hint="eastAsia" w:ascii="宋体" w:hAnsi="宋体" w:cs="仿宋"/>
          <w:sz w:val="24"/>
          <w:szCs w:val="24"/>
          <w:lang w:eastAsia="zh-CN"/>
        </w:rPr>
        <w:t>绿色施工安全防护措施费</w:t>
      </w:r>
      <w:r>
        <w:rPr>
          <w:rFonts w:hint="eastAsia" w:ascii="宋体" w:hAnsi="宋体" w:cs="仿宋"/>
          <w:sz w:val="24"/>
          <w:szCs w:val="24"/>
        </w:rPr>
        <w:t>等非竞争性项目明列了单价或合价的金额的，投标人应按照明列的单价或合价的金额报价，未按照规定金额报价的，由评标委员会按照招标文件规定的金额进行修正。</w:t>
      </w:r>
    </w:p>
    <w:p>
      <w:pPr>
        <w:spacing w:line="360" w:lineRule="auto"/>
        <w:ind w:firstLine="540" w:firstLineChars="224"/>
        <w:rPr>
          <w:rFonts w:hint="eastAsia" w:ascii="宋体" w:hAnsi="宋体" w:cs="仿宋"/>
          <w:b/>
          <w:sz w:val="24"/>
          <w:szCs w:val="24"/>
        </w:rPr>
      </w:pPr>
      <w:r>
        <w:rPr>
          <w:rFonts w:hint="eastAsia" w:ascii="宋体" w:hAnsi="宋体" w:cs="仿宋"/>
          <w:b/>
          <w:sz w:val="24"/>
          <w:szCs w:val="24"/>
        </w:rPr>
        <w:t>条款号：13.4          修改类型：修改</w:t>
      </w:r>
    </w:p>
    <w:p>
      <w:pPr>
        <w:spacing w:line="360" w:lineRule="auto"/>
        <w:ind w:firstLine="540" w:firstLineChars="224"/>
        <w:rPr>
          <w:rFonts w:hint="eastAsia" w:ascii="宋体" w:hAnsi="宋体" w:cs="仿宋"/>
          <w:sz w:val="24"/>
          <w:szCs w:val="24"/>
        </w:rPr>
      </w:pPr>
      <w:r>
        <w:rPr>
          <w:rFonts w:hint="eastAsia" w:ascii="宋体" w:hAnsi="宋体" w:cs="仿宋"/>
          <w:b/>
          <w:sz w:val="24"/>
          <w:szCs w:val="24"/>
        </w:rPr>
        <w:t>原文：</w:t>
      </w:r>
      <w:r>
        <w:rPr>
          <w:rFonts w:hint="eastAsia" w:ascii="宋体" w:hAnsi="宋体" w:cs="仿宋"/>
          <w:bCs/>
          <w:sz w:val="24"/>
          <w:szCs w:val="24"/>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Bdr>
          <w:bottom w:val="single" w:color="auto" w:sz="6" w:space="1"/>
        </w:pBdr>
        <w:spacing w:line="360" w:lineRule="auto"/>
        <w:ind w:firstLine="540" w:firstLineChars="224"/>
        <w:rPr>
          <w:rFonts w:hint="eastAsia" w:ascii="宋体" w:hAnsi="宋体" w:cs="仿宋"/>
          <w:sz w:val="24"/>
          <w:szCs w:val="24"/>
        </w:rPr>
      </w:pPr>
      <w:r>
        <w:rPr>
          <w:rFonts w:hint="eastAsia" w:ascii="宋体" w:hAnsi="宋体" w:cs="仿宋"/>
          <w:b/>
          <w:sz w:val="24"/>
          <w:szCs w:val="24"/>
        </w:rPr>
        <w:t>现文：</w:t>
      </w:r>
      <w:r>
        <w:rPr>
          <w:rFonts w:hint="eastAsia" w:ascii="宋体" w:hAnsi="宋体" w:cs="仿宋"/>
          <w:bCs/>
          <w:sz w:val="24"/>
          <w:szCs w:val="24"/>
        </w:rPr>
        <w:t>13.4</w:t>
      </w:r>
      <w:r>
        <w:rPr>
          <w:rFonts w:hint="eastAsia" w:ascii="宋体" w:hAnsi="宋体"/>
          <w:color w:val="000000" w:themeColor="text1"/>
          <w:sz w:val="24"/>
          <w14:textFill>
            <w14:solidFill>
              <w14:schemeClr w14:val="tx1"/>
            </w14:solidFill>
          </w14:textFill>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w:t>
      </w:r>
      <w:r>
        <w:rPr>
          <w:rFonts w:hint="eastAsia" w:ascii="宋体" w:hAnsi="宋体"/>
          <w:color w:val="000000" w:themeColor="text1"/>
          <w:sz w:val="24"/>
          <w:u w:val="single"/>
          <w14:textFill>
            <w14:solidFill>
              <w14:schemeClr w14:val="tx1"/>
            </w14:solidFill>
          </w14:textFill>
        </w:rPr>
        <w:t>措施项目费总价包干。</w:t>
      </w:r>
      <w:r>
        <w:rPr>
          <w:rFonts w:hint="eastAsia" w:ascii="宋体" w:hAnsi="宋体" w:cs="仿宋"/>
          <w:sz w:val="24"/>
          <w:szCs w:val="24"/>
          <w:u w:val="single"/>
        </w:rPr>
        <w:t>详见本项目施工合同相应条款。</w:t>
      </w:r>
    </w:p>
    <w:p>
      <w:pPr>
        <w:spacing w:line="360" w:lineRule="auto"/>
        <w:ind w:firstLine="540" w:firstLineChars="224"/>
        <w:rPr>
          <w:rFonts w:hint="eastAsia" w:ascii="宋体" w:hAnsi="宋体" w:cs="仿宋"/>
          <w:b/>
          <w:sz w:val="24"/>
          <w:szCs w:val="24"/>
        </w:rPr>
      </w:pPr>
      <w:r>
        <w:rPr>
          <w:rFonts w:hint="eastAsia" w:ascii="宋体" w:hAnsi="宋体" w:cs="仿宋"/>
          <w:b/>
          <w:sz w:val="24"/>
          <w:szCs w:val="24"/>
        </w:rPr>
        <w:t>条款号：13.5          修改类型：修改</w:t>
      </w:r>
    </w:p>
    <w:p>
      <w:pPr>
        <w:spacing w:line="360" w:lineRule="auto"/>
        <w:ind w:firstLine="540" w:firstLineChars="224"/>
        <w:rPr>
          <w:rFonts w:hint="eastAsia" w:ascii="宋体" w:hAnsi="宋体" w:cs="仿宋"/>
          <w:bCs/>
          <w:sz w:val="24"/>
          <w:szCs w:val="24"/>
        </w:rPr>
      </w:pPr>
      <w:r>
        <w:rPr>
          <w:rFonts w:hint="eastAsia" w:ascii="宋体" w:hAnsi="宋体" w:cs="仿宋"/>
          <w:b/>
          <w:sz w:val="24"/>
          <w:szCs w:val="24"/>
        </w:rPr>
        <w:t>原文：</w:t>
      </w:r>
      <w:r>
        <w:rPr>
          <w:rFonts w:hint="eastAsia" w:ascii="宋体" w:hAnsi="宋体" w:cs="仿宋"/>
          <w:bCs/>
          <w:sz w:val="24"/>
          <w:szCs w:val="24"/>
        </w:rPr>
        <w:t>13.5工程项目实施期间和结算时，招标文件工程量清单中漏列而由监理单位和招标人现场签证确认的工程项目、原设计没有而由招标人批准设计变更产生的工程项目，视为新增项目，按以下顺序确定价格：</w:t>
      </w:r>
    </w:p>
    <w:p>
      <w:pPr>
        <w:spacing w:line="360" w:lineRule="auto"/>
        <w:ind w:firstLine="537" w:firstLineChars="224"/>
        <w:rPr>
          <w:rFonts w:hint="eastAsia" w:ascii="宋体" w:hAnsi="宋体" w:cs="仿宋"/>
          <w:bCs/>
          <w:sz w:val="24"/>
          <w:szCs w:val="24"/>
        </w:rPr>
      </w:pPr>
      <w:r>
        <w:rPr>
          <w:rFonts w:hint="eastAsia" w:ascii="宋体" w:hAnsi="宋体" w:cs="仿宋"/>
          <w:bCs/>
          <w:sz w:val="24"/>
          <w:szCs w:val="24"/>
        </w:rPr>
        <w:t>13.5.1中标的投标文件工程量清单中已有相同项目的适用综合单价，则沿用；</w:t>
      </w:r>
    </w:p>
    <w:p>
      <w:pPr>
        <w:spacing w:line="360" w:lineRule="auto"/>
        <w:ind w:firstLine="537" w:firstLineChars="224"/>
        <w:rPr>
          <w:rFonts w:hint="eastAsia" w:ascii="宋体" w:hAnsi="宋体" w:cs="仿宋"/>
          <w:bCs/>
          <w:sz w:val="24"/>
          <w:szCs w:val="24"/>
        </w:rPr>
      </w:pPr>
      <w:r>
        <w:rPr>
          <w:rFonts w:hint="eastAsia" w:ascii="宋体" w:hAnsi="宋体" w:cs="仿宋"/>
          <w:bCs/>
          <w:sz w:val="24"/>
          <w:szCs w:val="24"/>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spacing w:line="360" w:lineRule="auto"/>
        <w:ind w:firstLine="537" w:firstLineChars="224"/>
        <w:rPr>
          <w:rFonts w:hint="eastAsia" w:ascii="宋体" w:hAnsi="宋体" w:cs="仿宋"/>
          <w:bCs/>
          <w:sz w:val="24"/>
          <w:szCs w:val="24"/>
        </w:rPr>
      </w:pPr>
      <w:r>
        <w:rPr>
          <w:rFonts w:hint="eastAsia" w:ascii="宋体" w:hAnsi="宋体" w:cs="仿宋"/>
          <w:bCs/>
          <w:sz w:val="24"/>
          <w:szCs w:val="24"/>
        </w:rPr>
        <w:t>13.5.3 中标的投标文件工程量清单中没有相同项目或类似项目的，如可套取相关定额，则以相关定额为基数下浮计算单价，下浮率为中标价相对于最高投标限价的下浮率（下浮率=（最高投标限价-中标价）/ 最高投标限价）。</w:t>
      </w:r>
    </w:p>
    <w:p>
      <w:pPr>
        <w:spacing w:line="360" w:lineRule="auto"/>
        <w:ind w:firstLine="537" w:firstLineChars="224"/>
        <w:rPr>
          <w:rFonts w:hint="eastAsia" w:ascii="宋体" w:hAnsi="宋体" w:cs="仿宋"/>
          <w:sz w:val="24"/>
          <w:szCs w:val="24"/>
        </w:rPr>
      </w:pPr>
      <w:r>
        <w:rPr>
          <w:rFonts w:hint="eastAsia" w:ascii="宋体" w:hAnsi="宋体" w:cs="仿宋"/>
          <w:bCs/>
          <w:sz w:val="24"/>
          <w:szCs w:val="24"/>
        </w:rPr>
        <w:t>13.5.4 如相关定额没有相应子目的，其计价方式由招标人在本招标文件第三章中另行规定。未规定的，中标后双方协商约定。</w:t>
      </w:r>
    </w:p>
    <w:p>
      <w:pPr>
        <w:pStyle w:val="5"/>
        <w:spacing w:after="0" w:line="360" w:lineRule="auto"/>
        <w:ind w:firstLine="482" w:firstLineChars="200"/>
        <w:rPr>
          <w:rFonts w:ascii="宋体"/>
          <w:color w:val="000000" w:themeColor="text1"/>
          <w:sz w:val="24"/>
          <w14:textFill>
            <w14:solidFill>
              <w14:schemeClr w14:val="tx1"/>
            </w14:solidFill>
          </w14:textFill>
        </w:rPr>
      </w:pPr>
      <w:r>
        <w:rPr>
          <w:rFonts w:hint="eastAsia" w:ascii="宋体" w:hAnsi="宋体" w:cs="仿宋"/>
          <w:b/>
          <w:sz w:val="24"/>
          <w:szCs w:val="24"/>
        </w:rPr>
        <w:t>现文：</w:t>
      </w:r>
      <w:r>
        <w:rPr>
          <w:rFonts w:hint="eastAsia" w:ascii="宋体" w:hAnsi="宋体" w:cs="仿宋"/>
          <w:b w:val="0"/>
          <w:bCs/>
          <w:sz w:val="24"/>
          <w:szCs w:val="24"/>
          <w:lang w:val="en-US" w:eastAsia="zh-CN"/>
        </w:rPr>
        <w:t>13.5</w:t>
      </w:r>
      <w:r>
        <w:rPr>
          <w:rFonts w:hint="eastAsia" w:ascii="宋体" w:hAnsi="宋体"/>
          <w:b w:val="0"/>
          <w:bCs/>
          <w:color w:val="000000" w:themeColor="text1"/>
          <w:sz w:val="24"/>
          <w14:textFill>
            <w14:solidFill>
              <w14:schemeClr w14:val="tx1"/>
            </w14:solidFill>
          </w14:textFill>
        </w:rPr>
        <w:t>工</w:t>
      </w:r>
      <w:r>
        <w:rPr>
          <w:rFonts w:hint="eastAsia" w:ascii="宋体" w:hAnsi="宋体"/>
          <w:color w:val="000000" w:themeColor="text1"/>
          <w:sz w:val="24"/>
          <w14:textFill>
            <w14:solidFill>
              <w14:schemeClr w14:val="tx1"/>
            </w14:solidFill>
          </w14:textFill>
        </w:rPr>
        <w:t>程项目实施期间和结算时，招标文件工程量清单中漏列而由监理单位和招标人现场签证确认的工程项目、原设计没有而由招标人批准设计变更产生的工程项目，视为新增项目，按以下顺序确定价格</w:t>
      </w:r>
      <w:r>
        <w:rPr>
          <w:rFonts w:hint="eastAsia" w:ascii="宋体" w:hAnsi="宋体"/>
          <w:color w:val="000000" w:themeColor="text1"/>
          <w:sz w:val="24"/>
          <w:highlight w:val="none"/>
          <w:u w:val="single"/>
          <w:lang w:eastAsia="zh-CN"/>
          <w14:textFill>
            <w14:solidFill>
              <w14:schemeClr w14:val="tx1"/>
            </w14:solidFill>
          </w14:textFill>
        </w:rPr>
        <w:t>（</w:t>
      </w:r>
      <w:r>
        <w:rPr>
          <w:rFonts w:hint="eastAsia" w:ascii="宋体" w:hAnsi="宋体"/>
          <w:color w:val="000000" w:themeColor="text1"/>
          <w:sz w:val="24"/>
          <w:highlight w:val="none"/>
          <w:u w:val="single"/>
          <w:lang w:val="en-US" w:eastAsia="zh-CN"/>
          <w14:textFill>
            <w14:solidFill>
              <w14:schemeClr w14:val="tx1"/>
            </w14:solidFill>
          </w14:textFill>
        </w:rPr>
        <w:t>涉及不平衡项目以合同约定结算方式为准）</w:t>
      </w:r>
      <w:r>
        <w:rPr>
          <w:rFonts w:hint="eastAsia" w:ascii="宋体" w:hAnsi="宋体"/>
          <w:color w:val="000000" w:themeColor="text1"/>
          <w:sz w:val="24"/>
          <w14:textFill>
            <w14:solidFill>
              <w14:schemeClr w14:val="tx1"/>
            </w14:solidFill>
          </w14:textFill>
        </w:rPr>
        <w:t>：</w:t>
      </w:r>
    </w:p>
    <w:p>
      <w:pPr>
        <w:pStyle w:val="5"/>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13.5.1</w:t>
      </w:r>
      <w:r>
        <w:rPr>
          <w:rFonts w:hint="eastAsia" w:ascii="宋体" w:hAnsi="宋体"/>
          <w:color w:val="000000" w:themeColor="text1"/>
          <w:sz w:val="24"/>
          <w:highlight w:val="none"/>
          <w14:textFill>
            <w14:solidFill>
              <w14:schemeClr w14:val="tx1"/>
            </w14:solidFill>
          </w14:textFill>
        </w:rPr>
        <w:t>中标的投标文件工程量清单中已有相同项目的适用综合单价，则沿用；</w:t>
      </w:r>
    </w:p>
    <w:p>
      <w:pPr>
        <w:pStyle w:val="5"/>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13.5.2</w:t>
      </w:r>
      <w:r>
        <w:rPr>
          <w:rFonts w:hint="eastAsia" w:ascii="宋体" w:hAnsi="宋体"/>
          <w:color w:val="000000" w:themeColor="text1"/>
          <w:sz w:val="24"/>
          <w:highlight w:val="none"/>
          <w14:textFill>
            <w14:solidFill>
              <w14:schemeClr w14:val="tx1"/>
            </w14:solidFill>
          </w14:textFill>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pStyle w:val="5"/>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13.5.3 </w:t>
      </w:r>
      <w:r>
        <w:rPr>
          <w:rFonts w:hint="eastAsia" w:ascii="宋体" w:hAnsi="宋体"/>
          <w:color w:val="000000" w:themeColor="text1"/>
          <w:sz w:val="24"/>
          <w:highlight w:val="none"/>
          <w14:textFill>
            <w14:solidFill>
              <w14:schemeClr w14:val="tx1"/>
            </w14:solidFill>
          </w14:textFill>
        </w:rPr>
        <w:t>中标的投标文件工程量清单中没有相同项目或类似项目的，如可套取相关定额，则以相关定额为基数下浮计算单价，下浮率为中标价</w:t>
      </w:r>
      <w:r>
        <w:rPr>
          <w:rFonts w:hint="eastAsia" w:ascii="宋体" w:hAnsi="宋体"/>
          <w:color w:val="000000" w:themeColor="text1"/>
          <w:sz w:val="24"/>
          <w:szCs w:val="24"/>
          <w:highlight w:val="none"/>
          <w14:textFill>
            <w14:solidFill>
              <w14:schemeClr w14:val="tx1"/>
            </w14:solidFill>
          </w14:textFill>
        </w:rPr>
        <w:t>相对于最高投标限价的下</w:t>
      </w:r>
      <w:r>
        <w:rPr>
          <w:rFonts w:hint="eastAsia" w:ascii="宋体" w:hAnsi="宋体"/>
          <w:color w:val="000000" w:themeColor="text1"/>
          <w:sz w:val="24"/>
          <w:highlight w:val="none"/>
          <w14:textFill>
            <w14:solidFill>
              <w14:schemeClr w14:val="tx1"/>
            </w14:solidFill>
          </w14:textFill>
        </w:rPr>
        <w:t>浮率（下浮率</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最高投标限价</w:t>
      </w:r>
      <w:r>
        <w:rPr>
          <w:rFonts w:asci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中标价）</w:t>
      </w:r>
      <w:r>
        <w:rPr>
          <w:rFonts w:ascii="宋体" w:hAnsi="宋体"/>
          <w:color w:val="000000" w:themeColor="text1"/>
          <w:sz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最高投标限价</w:t>
      </w:r>
      <w:r>
        <w:rPr>
          <w:rFonts w:hint="eastAsia" w:ascii="宋体" w:hAnsi="宋体"/>
          <w:color w:val="000000" w:themeColor="text1"/>
          <w:sz w:val="24"/>
          <w:highlight w:val="none"/>
          <w14:textFill>
            <w14:solidFill>
              <w14:schemeClr w14:val="tx1"/>
            </w14:solidFill>
          </w14:textFill>
        </w:rPr>
        <w:t>）。</w:t>
      </w:r>
    </w:p>
    <w:p>
      <w:pPr>
        <w:pBdr>
          <w:bottom w:val="single" w:color="auto" w:sz="6" w:space="1"/>
        </w:pBdr>
        <w:spacing w:line="360" w:lineRule="auto"/>
        <w:ind w:firstLine="537" w:firstLineChars="224"/>
        <w:rPr>
          <w:rFonts w:hint="eastAsia" w:ascii="宋体" w:hAnsi="宋体" w:cs="仿宋"/>
          <w:sz w:val="24"/>
          <w:szCs w:val="24"/>
        </w:rPr>
      </w:pPr>
      <w:r>
        <w:rPr>
          <w:rFonts w:ascii="宋体" w:hAnsi="宋体"/>
          <w:color w:val="000000" w:themeColor="text1"/>
          <w:sz w:val="24"/>
          <w14:textFill>
            <w14:solidFill>
              <w14:schemeClr w14:val="tx1"/>
            </w14:solidFill>
          </w14:textFill>
        </w:rPr>
        <w:t xml:space="preserve">13.5.4 </w:t>
      </w:r>
      <w:r>
        <w:rPr>
          <w:rFonts w:hint="eastAsia" w:ascii="宋体" w:hAnsi="宋体"/>
          <w:color w:val="000000" w:themeColor="text1"/>
          <w:sz w:val="24"/>
          <w14:textFill>
            <w14:solidFill>
              <w14:schemeClr w14:val="tx1"/>
            </w14:solidFill>
          </w14:textFill>
        </w:rPr>
        <w:t>如相关定额没有相应子目的，其计价方式由招标人在本招标文件第三章中另行规定。未规定的，中标后双方协商约定。</w:t>
      </w:r>
    </w:p>
    <w:p>
      <w:pPr>
        <w:spacing w:line="360" w:lineRule="auto"/>
        <w:ind w:firstLine="540" w:firstLineChars="224"/>
        <w:rPr>
          <w:rFonts w:hint="eastAsia" w:ascii="宋体" w:hAnsi="宋体" w:cs="仿宋"/>
          <w:b/>
          <w:sz w:val="24"/>
          <w:szCs w:val="24"/>
        </w:rPr>
      </w:pPr>
      <w:r>
        <w:rPr>
          <w:rFonts w:hint="eastAsia" w:ascii="宋体" w:hAnsi="宋体" w:cs="仿宋"/>
          <w:b/>
          <w:sz w:val="24"/>
          <w:szCs w:val="24"/>
        </w:rPr>
        <w:t>条款号：13.6.4        修改类型：修改</w:t>
      </w:r>
    </w:p>
    <w:p>
      <w:pPr>
        <w:pBdr>
          <w:bottom w:val="single" w:color="auto" w:sz="6" w:space="1"/>
        </w:pBdr>
        <w:spacing w:line="360" w:lineRule="auto"/>
        <w:ind w:firstLine="540" w:firstLineChars="224"/>
        <w:rPr>
          <w:rFonts w:hint="eastAsia" w:ascii="宋体" w:hAnsi="宋体" w:cs="仿宋"/>
          <w:sz w:val="24"/>
          <w:szCs w:val="24"/>
        </w:rPr>
      </w:pPr>
      <w:r>
        <w:rPr>
          <w:rFonts w:hint="eastAsia" w:ascii="宋体" w:hAnsi="宋体" w:cs="仿宋"/>
          <w:b/>
          <w:sz w:val="24"/>
          <w:szCs w:val="24"/>
        </w:rPr>
        <w:t>原文：</w:t>
      </w:r>
      <w:r>
        <w:rPr>
          <w:rFonts w:hint="eastAsia" w:ascii="宋体" w:hAnsi="宋体" w:cs="仿宋"/>
          <w:bCs/>
          <w:sz w:val="24"/>
          <w:szCs w:val="24"/>
        </w:rPr>
        <w:t>13.6.4</w:t>
      </w:r>
      <w:r>
        <w:rPr>
          <w:rFonts w:hint="eastAsia" w:ascii="宋体" w:hAnsi="宋体" w:cs="仿宋"/>
          <w:sz w:val="24"/>
          <w:szCs w:val="24"/>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pPr>
        <w:pBdr>
          <w:bottom w:val="single" w:color="auto" w:sz="6" w:space="1"/>
        </w:pBdr>
        <w:spacing w:line="360" w:lineRule="auto"/>
        <w:ind w:firstLine="540" w:firstLineChars="224"/>
        <w:rPr>
          <w:rFonts w:hint="eastAsia" w:ascii="宋体" w:hAnsi="宋体" w:cs="仿宋"/>
          <w:b/>
          <w:sz w:val="24"/>
          <w:szCs w:val="24"/>
        </w:rPr>
      </w:pPr>
      <w:r>
        <w:rPr>
          <w:rFonts w:hint="eastAsia" w:ascii="宋体" w:hAnsi="宋体" w:cs="仿宋"/>
          <w:b/>
          <w:sz w:val="24"/>
          <w:szCs w:val="24"/>
        </w:rPr>
        <w:t>现文:</w:t>
      </w:r>
      <w:r>
        <w:rPr>
          <w:rFonts w:hint="eastAsia" w:ascii="宋体" w:hAnsi="宋体" w:cs="仿宋"/>
          <w:bCs/>
          <w:sz w:val="24"/>
          <w:szCs w:val="24"/>
        </w:rPr>
        <w:t>13.6.4在工程实施中，暂列金额、暂估价所包含的工作范围和图纸、标准深化固定后，按照工程专业、设备、材料类别等分类汇总的金额，未达到法定招标范围标准也不适用政府采购规定，承包人有法定的承包资格的，</w:t>
      </w:r>
      <w:r>
        <w:rPr>
          <w:rFonts w:hint="eastAsia" w:ascii="宋体" w:hAnsi="宋体" w:cs="仿宋"/>
          <w:bCs/>
          <w:sz w:val="24"/>
          <w:szCs w:val="24"/>
          <w:u w:val="single"/>
        </w:rPr>
        <w:t>经发包人同意后</w:t>
      </w:r>
      <w:r>
        <w:rPr>
          <w:rFonts w:hint="eastAsia" w:ascii="宋体" w:hAnsi="宋体" w:cs="仿宋"/>
          <w:bCs/>
          <w:sz w:val="24"/>
          <w:szCs w:val="24"/>
        </w:rPr>
        <w:t>，由承包人承包，承包人无法定的承包资格但有法定的分包权的</w:t>
      </w:r>
      <w:r>
        <w:rPr>
          <w:rFonts w:hint="eastAsia" w:ascii="宋体" w:hAnsi="宋体" w:cs="仿宋"/>
          <w:bCs/>
          <w:sz w:val="24"/>
          <w:szCs w:val="24"/>
          <w:u w:val="single"/>
        </w:rPr>
        <w:t>，经发包人同意后</w:t>
      </w:r>
      <w:r>
        <w:rPr>
          <w:rFonts w:hint="eastAsia" w:ascii="宋体" w:hAnsi="宋体" w:cs="仿宋"/>
          <w:bCs/>
          <w:sz w:val="24"/>
          <w:szCs w:val="24"/>
        </w:rPr>
        <w:t>，由承包人分包，招标人同承包人结算的价格按本投标须知13.5款规定确定。</w:t>
      </w:r>
    </w:p>
    <w:p>
      <w:pPr>
        <w:spacing w:line="360" w:lineRule="auto"/>
        <w:ind w:firstLine="540" w:firstLineChars="224"/>
        <w:rPr>
          <w:rFonts w:hint="eastAsia" w:ascii="宋体" w:hAnsi="宋体" w:cs="仿宋"/>
          <w:b/>
          <w:sz w:val="24"/>
          <w:szCs w:val="24"/>
        </w:rPr>
      </w:pPr>
      <w:r>
        <w:rPr>
          <w:rFonts w:hint="eastAsia" w:ascii="宋体" w:hAnsi="宋体" w:cs="仿宋"/>
          <w:b/>
          <w:sz w:val="24"/>
          <w:szCs w:val="24"/>
        </w:rPr>
        <w:t>条款号：13.9          修改类型：修改</w:t>
      </w:r>
    </w:p>
    <w:p>
      <w:pPr>
        <w:spacing w:line="360" w:lineRule="auto"/>
        <w:ind w:firstLine="540" w:firstLineChars="224"/>
        <w:rPr>
          <w:rFonts w:hint="eastAsia" w:ascii="宋体" w:hAnsi="宋体" w:cs="仿宋"/>
          <w:sz w:val="24"/>
          <w:szCs w:val="24"/>
        </w:rPr>
      </w:pPr>
      <w:r>
        <w:rPr>
          <w:rFonts w:hint="eastAsia" w:ascii="宋体" w:hAnsi="宋体" w:cs="仿宋"/>
          <w:b/>
          <w:sz w:val="24"/>
          <w:szCs w:val="24"/>
        </w:rPr>
        <w:t>原文：</w:t>
      </w:r>
      <w:r>
        <w:rPr>
          <w:rFonts w:hint="eastAsia" w:ascii="宋体" w:hAnsi="宋体" w:cs="仿宋"/>
          <w:bCs/>
          <w:sz w:val="24"/>
          <w:szCs w:val="24"/>
        </w:rPr>
        <w:t>13.9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pPr>
        <w:pBdr>
          <w:bottom w:val="single" w:color="auto" w:sz="6" w:space="1"/>
        </w:pBdr>
        <w:spacing w:line="360" w:lineRule="auto"/>
        <w:ind w:firstLine="540" w:firstLineChars="224"/>
        <w:rPr>
          <w:rFonts w:hint="eastAsia" w:ascii="宋体" w:hAnsi="宋体" w:cs="仿宋"/>
          <w:sz w:val="24"/>
          <w:szCs w:val="24"/>
        </w:rPr>
      </w:pPr>
      <w:r>
        <w:rPr>
          <w:rFonts w:hint="eastAsia" w:ascii="宋体" w:hAnsi="宋体" w:cs="仿宋"/>
          <w:b/>
          <w:sz w:val="24"/>
          <w:szCs w:val="24"/>
        </w:rPr>
        <w:t>现文：</w:t>
      </w:r>
      <w:r>
        <w:rPr>
          <w:rFonts w:hint="eastAsia" w:ascii="宋体" w:hAnsi="宋体" w:cs="仿宋"/>
          <w:bCs/>
          <w:sz w:val="24"/>
          <w:szCs w:val="24"/>
        </w:rPr>
        <w:t>13.9</w:t>
      </w:r>
      <w:r>
        <w:rPr>
          <w:rFonts w:hint="eastAsia" w:ascii="宋体" w:hAnsi="宋体" w:cs="仿宋"/>
          <w:sz w:val="24"/>
          <w:szCs w:val="24"/>
        </w:rPr>
        <w:t>详见本项目施工合同相应条款。</w:t>
      </w:r>
    </w:p>
    <w:p>
      <w:pPr>
        <w:spacing w:line="360" w:lineRule="auto"/>
        <w:ind w:firstLine="540" w:firstLineChars="224"/>
        <w:rPr>
          <w:rFonts w:ascii="Times New Roman" w:hAnsi="Times New Roman"/>
          <w:b/>
          <w:sz w:val="24"/>
          <w:szCs w:val="24"/>
        </w:rPr>
      </w:pPr>
      <w:r>
        <w:rPr>
          <w:rFonts w:hint="eastAsia" w:ascii="Times New Roman" w:hAnsi="Times New Roman"/>
          <w:b/>
          <w:sz w:val="24"/>
          <w:szCs w:val="24"/>
        </w:rPr>
        <w:t>条款号：17.1</w:t>
      </w:r>
      <w:r>
        <w:rPr>
          <w:rFonts w:ascii="Times New Roman" w:hAnsi="Times New Roman"/>
          <w:b/>
          <w:sz w:val="24"/>
          <w:szCs w:val="24"/>
        </w:rPr>
        <w:t xml:space="preserve">             </w:t>
      </w:r>
      <w:r>
        <w:rPr>
          <w:rFonts w:hint="eastAsia" w:ascii="Times New Roman" w:hAnsi="Times New Roman"/>
          <w:b/>
          <w:sz w:val="24"/>
          <w:szCs w:val="24"/>
        </w:rPr>
        <w:t>修改类型：修改</w:t>
      </w:r>
    </w:p>
    <w:p>
      <w:pPr>
        <w:spacing w:line="360" w:lineRule="auto"/>
        <w:ind w:firstLine="540" w:firstLineChars="224"/>
        <w:rPr>
          <w:rFonts w:ascii="Times New Roman" w:hAnsi="Times New Roman"/>
          <w:b/>
          <w:sz w:val="24"/>
          <w:szCs w:val="24"/>
        </w:rPr>
      </w:pPr>
      <w:r>
        <w:rPr>
          <w:rFonts w:hint="eastAsia" w:ascii="Times New Roman" w:hAnsi="Times New Roman"/>
          <w:b/>
          <w:sz w:val="24"/>
          <w:szCs w:val="24"/>
        </w:rPr>
        <w:t>原文：</w:t>
      </w:r>
      <w:r>
        <w:rPr>
          <w:rFonts w:ascii="Times New Roman" w:hAnsi="Times New Roman"/>
          <w:sz w:val="24"/>
          <w:szCs w:val="24"/>
        </w:rPr>
        <w:t>17.1</w:t>
      </w:r>
      <w:r>
        <w:rPr>
          <w:rFonts w:hint="eastAsia" w:ascii="Times New Roman" w:hAnsi="Times New Roman"/>
          <w:sz w:val="24"/>
          <w:szCs w:val="24"/>
        </w:rPr>
        <w:t>投标人应采用单位数字证书，按招标文件要求在相应位置加盖电子印章。投标文件中需个人签字或盖章的，应手签后扫描上传。按照交易平台关于全流程电子化项目的相关指南进行操作。详见：</w:t>
      </w:r>
      <w:r>
        <w:rPr>
          <w:rFonts w:hint="eastAsia" w:ascii="Times New Roman" w:hAnsi="Times New Roman"/>
          <w:sz w:val="24"/>
          <w:szCs w:val="24"/>
          <w:u w:val="single"/>
        </w:rPr>
        <w:t xml:space="preserve">            </w:t>
      </w:r>
      <w:r>
        <w:rPr>
          <w:rFonts w:hint="eastAsia" w:ascii="Times New Roman" w:hAnsi="Times New Roman"/>
          <w:sz w:val="24"/>
          <w:szCs w:val="24"/>
        </w:rPr>
        <w:t xml:space="preserve"> 。</w:t>
      </w:r>
    </w:p>
    <w:p>
      <w:pPr>
        <w:pBdr>
          <w:bottom w:val="single" w:color="auto" w:sz="6" w:space="1"/>
        </w:pBdr>
        <w:spacing w:line="360" w:lineRule="auto"/>
        <w:ind w:firstLine="602" w:firstLineChars="250"/>
        <w:rPr>
          <w:rFonts w:ascii="Times New Roman" w:hAnsi="Times New Roman"/>
          <w:sz w:val="24"/>
          <w:szCs w:val="24"/>
        </w:rPr>
      </w:pPr>
      <w:r>
        <w:rPr>
          <w:rFonts w:hint="eastAsia" w:ascii="Times New Roman" w:hAnsi="Times New Roman"/>
          <w:b/>
          <w:sz w:val="24"/>
          <w:szCs w:val="24"/>
        </w:rPr>
        <w:t>现文：</w:t>
      </w:r>
      <w:r>
        <w:rPr>
          <w:rFonts w:ascii="Times New Roman" w:hAnsi="Times New Roman"/>
          <w:sz w:val="24"/>
          <w:szCs w:val="24"/>
        </w:rPr>
        <w:t>17.1</w:t>
      </w:r>
      <w:r>
        <w:rPr>
          <w:rFonts w:hint="eastAsia" w:ascii="Times New Roman" w:hAnsi="Times New Roman"/>
          <w:sz w:val="24"/>
          <w:szCs w:val="24"/>
        </w:rPr>
        <w:t>投标人应采用单位数字证书，按招标文件要求加盖电子印章。投标文件中需个人签字或盖章的，应加盖个人电子印章或在线下完成后扫描上传。按照交易平台关于全流程电子化项目的相关指南进行操作。详见：</w:t>
      </w:r>
      <w:r>
        <w:rPr>
          <w:rFonts w:hint="eastAsia" w:ascii="Times New Roman" w:hAnsi="Times New Roman"/>
          <w:sz w:val="24"/>
          <w:szCs w:val="24"/>
          <w:u w:val="single"/>
        </w:rPr>
        <w:t>https://ywtb.gzggzy.cn/相关指引</w:t>
      </w:r>
      <w:r>
        <w:rPr>
          <w:rFonts w:hint="eastAsia" w:ascii="Times New Roman" w:hAnsi="Times New Roman"/>
          <w:sz w:val="24"/>
          <w:szCs w:val="24"/>
        </w:rPr>
        <w:t>。</w:t>
      </w:r>
    </w:p>
    <w:p>
      <w:pPr>
        <w:spacing w:line="360" w:lineRule="auto"/>
        <w:ind w:firstLine="540" w:firstLineChars="224"/>
        <w:rPr>
          <w:rFonts w:ascii="Times New Roman" w:hAnsi="Times New Roman"/>
          <w:b/>
          <w:sz w:val="24"/>
          <w:szCs w:val="24"/>
        </w:rPr>
      </w:pPr>
      <w:r>
        <w:rPr>
          <w:rFonts w:hint="eastAsia" w:ascii="Times New Roman" w:hAnsi="Times New Roman"/>
          <w:b/>
          <w:sz w:val="24"/>
          <w:szCs w:val="24"/>
        </w:rPr>
        <w:t>条款号：18.1</w:t>
      </w:r>
      <w:r>
        <w:rPr>
          <w:rFonts w:ascii="Times New Roman" w:hAnsi="Times New Roman"/>
          <w:b/>
          <w:sz w:val="24"/>
          <w:szCs w:val="24"/>
        </w:rPr>
        <w:t xml:space="preserve">             </w:t>
      </w:r>
      <w:r>
        <w:rPr>
          <w:rFonts w:hint="eastAsia" w:ascii="Times New Roman" w:hAnsi="Times New Roman"/>
          <w:b/>
          <w:sz w:val="24"/>
          <w:szCs w:val="24"/>
        </w:rPr>
        <w:t>修改类型：修改</w:t>
      </w:r>
    </w:p>
    <w:p>
      <w:pPr>
        <w:spacing w:line="360" w:lineRule="auto"/>
        <w:ind w:firstLine="540" w:firstLineChars="224"/>
        <w:rPr>
          <w:rFonts w:ascii="Times New Roman" w:hAnsi="Times New Roman"/>
          <w:b/>
          <w:sz w:val="24"/>
          <w:szCs w:val="24"/>
        </w:rPr>
      </w:pPr>
      <w:r>
        <w:rPr>
          <w:rFonts w:hint="eastAsia" w:ascii="Times New Roman" w:hAnsi="Times New Roman"/>
          <w:b/>
          <w:sz w:val="24"/>
          <w:szCs w:val="24"/>
        </w:rPr>
        <w:t>原文：</w:t>
      </w:r>
      <w:r>
        <w:rPr>
          <w:rFonts w:ascii="Times New Roman" w:hAnsi="Times New Roman"/>
          <w:bCs/>
          <w:sz w:val="24"/>
          <w:szCs w:val="24"/>
        </w:rPr>
        <w:t>1</w:t>
      </w:r>
      <w:r>
        <w:rPr>
          <w:rFonts w:hint="eastAsia" w:ascii="Times New Roman" w:hAnsi="Times New Roman"/>
          <w:bCs/>
          <w:sz w:val="24"/>
          <w:szCs w:val="24"/>
        </w:rPr>
        <w:t>8</w:t>
      </w:r>
      <w:r>
        <w:rPr>
          <w:rFonts w:ascii="Times New Roman" w:hAnsi="Times New Roman"/>
          <w:bCs/>
          <w:sz w:val="24"/>
          <w:szCs w:val="24"/>
        </w:rPr>
        <w:t>.1</w:t>
      </w:r>
      <w:r>
        <w:rPr>
          <w:rFonts w:hint="eastAsia" w:ascii="Times New Roman" w:hAnsi="Times New Roman"/>
          <w:bCs/>
          <w:sz w:val="24"/>
          <w:szCs w:val="24"/>
        </w:rPr>
        <w:t>递交的电子投标文件（不含备用光盘）必须进行加密。按照交易平台关于</w:t>
      </w:r>
      <w:r>
        <w:rPr>
          <w:rFonts w:hint="eastAsia" w:ascii="Times New Roman" w:hAnsi="Times New Roman"/>
          <w:sz w:val="24"/>
          <w:szCs w:val="24"/>
        </w:rPr>
        <w:t>全流程电子化项目的相关指南进行操作。详见：</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rPr>
        <w:t xml:space="preserve"> 。</w:t>
      </w:r>
    </w:p>
    <w:p>
      <w:pPr>
        <w:pBdr>
          <w:bottom w:val="single" w:color="auto" w:sz="6" w:space="1"/>
        </w:pBdr>
        <w:spacing w:line="360" w:lineRule="auto"/>
        <w:ind w:firstLine="602" w:firstLineChars="250"/>
        <w:rPr>
          <w:rFonts w:ascii="Times New Roman" w:hAnsi="Times New Roman"/>
          <w:sz w:val="24"/>
          <w:szCs w:val="24"/>
        </w:rPr>
      </w:pPr>
      <w:r>
        <w:rPr>
          <w:rFonts w:hint="eastAsia" w:ascii="Times New Roman" w:hAnsi="Times New Roman"/>
          <w:b/>
          <w:sz w:val="24"/>
          <w:szCs w:val="24"/>
        </w:rPr>
        <w:t>现文：</w:t>
      </w:r>
      <w:r>
        <w:rPr>
          <w:rFonts w:ascii="Times New Roman" w:hAnsi="Times New Roman"/>
          <w:bCs/>
          <w:sz w:val="24"/>
          <w:szCs w:val="24"/>
        </w:rPr>
        <w:t>1</w:t>
      </w:r>
      <w:r>
        <w:rPr>
          <w:rFonts w:hint="eastAsia" w:ascii="Times New Roman" w:hAnsi="Times New Roman"/>
          <w:bCs/>
          <w:sz w:val="24"/>
          <w:szCs w:val="24"/>
        </w:rPr>
        <w:t>8</w:t>
      </w:r>
      <w:r>
        <w:rPr>
          <w:rFonts w:ascii="Times New Roman" w:hAnsi="Times New Roman"/>
          <w:bCs/>
          <w:sz w:val="24"/>
          <w:szCs w:val="24"/>
        </w:rPr>
        <w:t>.1</w:t>
      </w:r>
      <w:r>
        <w:rPr>
          <w:rFonts w:hint="eastAsia" w:ascii="Times New Roman" w:hAnsi="Times New Roman"/>
          <w:bCs/>
          <w:sz w:val="24"/>
          <w:szCs w:val="24"/>
        </w:rPr>
        <w:t>递交的电子投标文件（不含备用光盘）必须进行加密。按照交易平台关于</w:t>
      </w:r>
      <w:r>
        <w:rPr>
          <w:rFonts w:hint="eastAsia" w:ascii="Times New Roman" w:hAnsi="Times New Roman"/>
          <w:sz w:val="24"/>
          <w:szCs w:val="24"/>
        </w:rPr>
        <w:t>全流程电子化项目的相关指南进行操作。详见：</w:t>
      </w:r>
      <w:r>
        <w:rPr>
          <w:rFonts w:hint="eastAsia" w:ascii="Times New Roman" w:hAnsi="Times New Roman"/>
          <w:sz w:val="24"/>
          <w:szCs w:val="24"/>
          <w:u w:val="single"/>
        </w:rPr>
        <w:t>https://ywtb.gzggzy.cn/相关指引</w:t>
      </w:r>
      <w:r>
        <w:rPr>
          <w:rFonts w:hint="eastAsia" w:ascii="Times New Roman" w:hAnsi="Times New Roman"/>
          <w:sz w:val="24"/>
          <w:szCs w:val="24"/>
        </w:rPr>
        <w:t xml:space="preserve"> 。</w:t>
      </w:r>
    </w:p>
    <w:p>
      <w:pPr>
        <w:spacing w:line="360" w:lineRule="auto"/>
        <w:ind w:firstLine="540" w:firstLineChars="224"/>
        <w:rPr>
          <w:rFonts w:ascii="Times New Roman" w:hAnsi="Times New Roman"/>
          <w:b/>
          <w:sz w:val="24"/>
          <w:szCs w:val="24"/>
        </w:rPr>
      </w:pPr>
      <w:r>
        <w:rPr>
          <w:rFonts w:hint="eastAsia" w:ascii="Times New Roman" w:hAnsi="Times New Roman"/>
          <w:b/>
          <w:sz w:val="24"/>
          <w:szCs w:val="24"/>
        </w:rPr>
        <w:t>条款号：18.2</w:t>
      </w:r>
      <w:r>
        <w:rPr>
          <w:rFonts w:ascii="Times New Roman" w:hAnsi="Times New Roman"/>
          <w:b/>
          <w:sz w:val="24"/>
          <w:szCs w:val="24"/>
        </w:rPr>
        <w:t xml:space="preserve">             </w:t>
      </w:r>
      <w:r>
        <w:rPr>
          <w:rFonts w:hint="eastAsia" w:ascii="Times New Roman" w:hAnsi="Times New Roman"/>
          <w:b/>
          <w:sz w:val="24"/>
          <w:szCs w:val="24"/>
        </w:rPr>
        <w:t>修改类型：修改</w:t>
      </w:r>
    </w:p>
    <w:p>
      <w:pPr>
        <w:spacing w:line="360" w:lineRule="auto"/>
        <w:ind w:firstLine="540" w:firstLineChars="224"/>
        <w:rPr>
          <w:rFonts w:ascii="Times New Roman" w:hAnsi="Times New Roman"/>
          <w:b/>
          <w:sz w:val="24"/>
          <w:szCs w:val="24"/>
        </w:rPr>
      </w:pPr>
      <w:r>
        <w:rPr>
          <w:rFonts w:hint="eastAsia" w:ascii="Times New Roman" w:hAnsi="Times New Roman"/>
          <w:b/>
          <w:sz w:val="24"/>
          <w:szCs w:val="24"/>
        </w:rPr>
        <w:t>原文：</w:t>
      </w:r>
      <w:r>
        <w:rPr>
          <w:rFonts w:ascii="Times New Roman" w:hAnsi="Times New Roman"/>
          <w:bCs/>
          <w:sz w:val="24"/>
          <w:szCs w:val="24"/>
        </w:rPr>
        <w:t>1</w:t>
      </w:r>
      <w:r>
        <w:rPr>
          <w:rFonts w:hint="eastAsia" w:ascii="Times New Roman" w:hAnsi="Times New Roman"/>
          <w:bCs/>
          <w:sz w:val="24"/>
          <w:szCs w:val="24"/>
        </w:rPr>
        <w:t>8</w:t>
      </w:r>
      <w:r>
        <w:rPr>
          <w:rFonts w:ascii="Times New Roman" w:hAnsi="Times New Roman"/>
          <w:bCs/>
          <w:sz w:val="24"/>
          <w:szCs w:val="24"/>
        </w:rPr>
        <w:t xml:space="preserve">.2 </w:t>
      </w:r>
      <w:r>
        <w:rPr>
          <w:rFonts w:hint="eastAsia" w:ascii="Times New Roman" w:hAnsi="Times New Roman"/>
          <w:bCs/>
          <w:sz w:val="24"/>
          <w:szCs w:val="24"/>
        </w:rPr>
        <w:t>未按要求加密的投标文件，</w:t>
      </w:r>
      <w:r>
        <w:rPr>
          <w:rFonts w:ascii="Times New Roman" w:hAnsi="Times New Roman"/>
          <w:sz w:val="24"/>
          <w:szCs w:val="24"/>
          <w:u w:val="single"/>
        </w:rPr>
        <w:t xml:space="preserve">        </w:t>
      </w:r>
      <w:r>
        <w:rPr>
          <w:rFonts w:hint="eastAsia" w:ascii="Times New Roman" w:hAnsi="Times New Roman"/>
          <w:sz w:val="24"/>
          <w:szCs w:val="24"/>
        </w:rPr>
        <w:t>交易平台</w:t>
      </w:r>
      <w:r>
        <w:rPr>
          <w:rFonts w:hint="eastAsia" w:ascii="Times New Roman" w:hAnsi="Times New Roman"/>
          <w:bCs/>
          <w:sz w:val="24"/>
          <w:szCs w:val="24"/>
        </w:rPr>
        <w:t>将予以拒收。</w:t>
      </w:r>
    </w:p>
    <w:p>
      <w:pPr>
        <w:pBdr>
          <w:bottom w:val="single" w:color="auto" w:sz="6" w:space="1"/>
        </w:pBdr>
        <w:spacing w:line="360" w:lineRule="auto"/>
        <w:ind w:firstLine="602" w:firstLineChars="250"/>
        <w:rPr>
          <w:rFonts w:ascii="Times New Roman" w:hAnsi="Times New Roman"/>
          <w:sz w:val="24"/>
          <w:szCs w:val="24"/>
        </w:rPr>
      </w:pPr>
      <w:r>
        <w:rPr>
          <w:rFonts w:hint="eastAsia" w:ascii="Times New Roman" w:hAnsi="Times New Roman"/>
          <w:b/>
          <w:sz w:val="24"/>
          <w:szCs w:val="24"/>
        </w:rPr>
        <w:t>现文：</w:t>
      </w:r>
      <w:r>
        <w:rPr>
          <w:rFonts w:ascii="Times New Roman" w:hAnsi="Times New Roman"/>
          <w:bCs/>
          <w:sz w:val="24"/>
          <w:szCs w:val="24"/>
        </w:rPr>
        <w:t>1</w:t>
      </w:r>
      <w:r>
        <w:rPr>
          <w:rFonts w:hint="eastAsia" w:ascii="Times New Roman" w:hAnsi="Times New Roman"/>
          <w:bCs/>
          <w:sz w:val="24"/>
          <w:szCs w:val="24"/>
        </w:rPr>
        <w:t>8</w:t>
      </w:r>
      <w:r>
        <w:rPr>
          <w:rFonts w:ascii="Times New Roman" w:hAnsi="Times New Roman"/>
          <w:bCs/>
          <w:sz w:val="24"/>
          <w:szCs w:val="24"/>
        </w:rPr>
        <w:t xml:space="preserve">.2 </w:t>
      </w:r>
      <w:r>
        <w:rPr>
          <w:rFonts w:hint="eastAsia" w:ascii="Times New Roman" w:hAnsi="Times New Roman"/>
          <w:bCs/>
          <w:sz w:val="24"/>
          <w:szCs w:val="24"/>
        </w:rPr>
        <w:t>未按要求加密的投标文件，</w:t>
      </w:r>
      <w:r>
        <w:rPr>
          <w:rFonts w:hint="eastAsia" w:ascii="Times New Roman" w:hAnsi="Times New Roman"/>
          <w:sz w:val="24"/>
          <w:szCs w:val="24"/>
          <w:u w:val="single"/>
        </w:rPr>
        <w:t>广州交易集团有限公司（广州公共资源交易中心）</w:t>
      </w:r>
      <w:r>
        <w:rPr>
          <w:rFonts w:hint="eastAsia" w:ascii="Times New Roman" w:hAnsi="Times New Roman"/>
          <w:sz w:val="24"/>
          <w:szCs w:val="24"/>
        </w:rPr>
        <w:t>交易平台</w:t>
      </w:r>
      <w:r>
        <w:rPr>
          <w:rFonts w:hint="eastAsia" w:ascii="Times New Roman" w:hAnsi="Times New Roman"/>
          <w:bCs/>
          <w:sz w:val="24"/>
          <w:szCs w:val="24"/>
        </w:rPr>
        <w:t>将予以拒收。</w:t>
      </w:r>
    </w:p>
    <w:p>
      <w:pPr>
        <w:spacing w:line="360" w:lineRule="auto"/>
        <w:ind w:firstLine="540" w:firstLineChars="224"/>
        <w:rPr>
          <w:rFonts w:ascii="Times New Roman" w:hAnsi="Times New Roman"/>
          <w:b/>
          <w:sz w:val="24"/>
          <w:szCs w:val="24"/>
        </w:rPr>
      </w:pPr>
      <w:r>
        <w:rPr>
          <w:rFonts w:hint="eastAsia" w:ascii="Times New Roman" w:hAnsi="Times New Roman"/>
          <w:b/>
          <w:sz w:val="24"/>
          <w:szCs w:val="24"/>
        </w:rPr>
        <w:t>条款号：19.1</w:t>
      </w:r>
      <w:r>
        <w:rPr>
          <w:rFonts w:ascii="Times New Roman" w:hAnsi="Times New Roman"/>
          <w:b/>
          <w:sz w:val="24"/>
          <w:szCs w:val="24"/>
        </w:rPr>
        <w:t xml:space="preserve">             </w:t>
      </w:r>
      <w:r>
        <w:rPr>
          <w:rFonts w:hint="eastAsia" w:ascii="Times New Roman" w:hAnsi="Times New Roman"/>
          <w:b/>
          <w:sz w:val="24"/>
          <w:szCs w:val="24"/>
        </w:rPr>
        <w:t>修改类型：修改</w:t>
      </w:r>
    </w:p>
    <w:p>
      <w:pPr>
        <w:spacing w:line="360" w:lineRule="auto"/>
        <w:ind w:firstLine="540" w:firstLineChars="224"/>
        <w:rPr>
          <w:rFonts w:ascii="Times New Roman" w:hAnsi="Times New Roman"/>
          <w:b/>
          <w:sz w:val="24"/>
          <w:szCs w:val="24"/>
        </w:rPr>
      </w:pPr>
      <w:r>
        <w:rPr>
          <w:rFonts w:hint="eastAsia" w:ascii="Times New Roman" w:hAnsi="Times New Roman"/>
          <w:b/>
          <w:sz w:val="24"/>
          <w:szCs w:val="24"/>
        </w:rPr>
        <w:t>原文：</w:t>
      </w:r>
      <w:r>
        <w:rPr>
          <w:rFonts w:ascii="Times New Roman" w:hAnsi="Times New Roman"/>
          <w:bCs/>
          <w:sz w:val="24"/>
          <w:szCs w:val="24"/>
        </w:rPr>
        <w:t>1</w:t>
      </w:r>
      <w:r>
        <w:rPr>
          <w:rFonts w:hint="eastAsia" w:ascii="Times New Roman" w:hAnsi="Times New Roman"/>
          <w:bCs/>
          <w:sz w:val="24"/>
          <w:szCs w:val="24"/>
        </w:rPr>
        <w:t>9</w:t>
      </w:r>
      <w:r>
        <w:rPr>
          <w:rFonts w:ascii="Times New Roman" w:hAnsi="Times New Roman"/>
          <w:bCs/>
          <w:sz w:val="24"/>
          <w:szCs w:val="24"/>
        </w:rPr>
        <w:t>.</w:t>
      </w:r>
      <w:r>
        <w:rPr>
          <w:rFonts w:hint="eastAsia" w:ascii="Times New Roman" w:hAnsi="Times New Roman"/>
          <w:bCs/>
          <w:sz w:val="24"/>
          <w:szCs w:val="24"/>
        </w:rPr>
        <w:t>1投标人通过</w:t>
      </w:r>
      <w:r>
        <w:rPr>
          <w:rFonts w:ascii="Times New Roman" w:hAnsi="Times New Roman"/>
          <w:sz w:val="24"/>
          <w:szCs w:val="24"/>
          <w:u w:val="single"/>
        </w:rPr>
        <w:t xml:space="preserve">        </w:t>
      </w:r>
      <w:r>
        <w:rPr>
          <w:rFonts w:hint="eastAsia" w:ascii="Times New Roman" w:hAnsi="Times New Roman"/>
          <w:sz w:val="24"/>
          <w:szCs w:val="24"/>
        </w:rPr>
        <w:t>交易平台递交电子投标文件。</w:t>
      </w:r>
    </w:p>
    <w:p>
      <w:pPr>
        <w:pBdr>
          <w:bottom w:val="single" w:color="auto" w:sz="6" w:space="1"/>
        </w:pBdr>
        <w:spacing w:line="360" w:lineRule="auto"/>
        <w:ind w:firstLine="602" w:firstLineChars="250"/>
        <w:rPr>
          <w:rFonts w:ascii="Times New Roman" w:hAnsi="Times New Roman"/>
          <w:sz w:val="24"/>
          <w:szCs w:val="24"/>
        </w:rPr>
      </w:pPr>
      <w:r>
        <w:rPr>
          <w:rFonts w:hint="eastAsia" w:ascii="Times New Roman" w:hAnsi="Times New Roman"/>
          <w:b/>
          <w:sz w:val="24"/>
          <w:szCs w:val="24"/>
        </w:rPr>
        <w:t>现文：</w:t>
      </w:r>
      <w:r>
        <w:rPr>
          <w:rFonts w:ascii="Times New Roman" w:hAnsi="Times New Roman"/>
          <w:bCs/>
          <w:sz w:val="24"/>
          <w:szCs w:val="24"/>
        </w:rPr>
        <w:t>1</w:t>
      </w:r>
      <w:r>
        <w:rPr>
          <w:rFonts w:hint="eastAsia" w:ascii="Times New Roman" w:hAnsi="Times New Roman"/>
          <w:bCs/>
          <w:sz w:val="24"/>
          <w:szCs w:val="24"/>
        </w:rPr>
        <w:t>9</w:t>
      </w:r>
      <w:r>
        <w:rPr>
          <w:rFonts w:ascii="Times New Roman" w:hAnsi="Times New Roman"/>
          <w:bCs/>
          <w:sz w:val="24"/>
          <w:szCs w:val="24"/>
        </w:rPr>
        <w:t>.</w:t>
      </w:r>
      <w:r>
        <w:rPr>
          <w:rFonts w:hint="eastAsia" w:ascii="Times New Roman" w:hAnsi="Times New Roman"/>
          <w:bCs/>
          <w:sz w:val="24"/>
          <w:szCs w:val="24"/>
        </w:rPr>
        <w:t>1投标人通过</w:t>
      </w:r>
      <w:r>
        <w:rPr>
          <w:rFonts w:hint="eastAsia" w:ascii="Times New Roman" w:hAnsi="Times New Roman"/>
          <w:sz w:val="24"/>
          <w:szCs w:val="24"/>
          <w:u w:val="single"/>
        </w:rPr>
        <w:t>广州交易集团有限公司（广州公共资源交易中心）</w:t>
      </w:r>
      <w:r>
        <w:rPr>
          <w:rFonts w:ascii="Times New Roman" w:hAnsi="Times New Roman"/>
          <w:sz w:val="24"/>
          <w:szCs w:val="24"/>
          <w:u w:val="single"/>
        </w:rPr>
        <w:t xml:space="preserve"> </w:t>
      </w:r>
      <w:r>
        <w:rPr>
          <w:rFonts w:hint="eastAsia" w:ascii="Times New Roman" w:hAnsi="Times New Roman"/>
          <w:sz w:val="24"/>
          <w:szCs w:val="24"/>
        </w:rPr>
        <w:t>交易平台递交电子投标文件。</w:t>
      </w:r>
    </w:p>
    <w:p>
      <w:pPr>
        <w:spacing w:line="360" w:lineRule="auto"/>
        <w:ind w:firstLine="540" w:firstLineChars="224"/>
        <w:rPr>
          <w:rFonts w:ascii="Times New Roman" w:hAnsi="Times New Roman"/>
          <w:b/>
          <w:sz w:val="24"/>
          <w:szCs w:val="24"/>
        </w:rPr>
      </w:pPr>
      <w:r>
        <w:rPr>
          <w:rFonts w:hint="eastAsia" w:ascii="Times New Roman" w:hAnsi="Times New Roman"/>
          <w:b/>
          <w:sz w:val="24"/>
          <w:szCs w:val="24"/>
        </w:rPr>
        <w:t>条款号：</w:t>
      </w:r>
      <w:r>
        <w:rPr>
          <w:rFonts w:ascii="Times New Roman" w:hAnsi="Times New Roman"/>
          <w:b/>
          <w:sz w:val="24"/>
          <w:szCs w:val="24"/>
        </w:rPr>
        <w:t xml:space="preserve"> </w:t>
      </w:r>
      <w:r>
        <w:rPr>
          <w:rFonts w:hint="eastAsia" w:ascii="Times New Roman" w:hAnsi="Times New Roman"/>
          <w:b/>
          <w:sz w:val="24"/>
          <w:szCs w:val="24"/>
        </w:rPr>
        <w:t>19.2</w:t>
      </w:r>
      <w:r>
        <w:rPr>
          <w:rFonts w:ascii="Times New Roman" w:hAnsi="Times New Roman"/>
          <w:b/>
          <w:sz w:val="24"/>
          <w:szCs w:val="24"/>
        </w:rPr>
        <w:t xml:space="preserve">            </w:t>
      </w:r>
      <w:r>
        <w:rPr>
          <w:rFonts w:hint="eastAsia" w:ascii="Times New Roman" w:hAnsi="Times New Roman"/>
          <w:b/>
          <w:sz w:val="24"/>
          <w:szCs w:val="24"/>
        </w:rPr>
        <w:t>修改类型：修改</w:t>
      </w:r>
    </w:p>
    <w:p>
      <w:pPr>
        <w:spacing w:line="360" w:lineRule="auto"/>
        <w:ind w:firstLine="540" w:firstLineChars="224"/>
        <w:rPr>
          <w:rFonts w:ascii="Times New Roman" w:hAnsi="Times New Roman"/>
          <w:b/>
          <w:sz w:val="24"/>
          <w:szCs w:val="24"/>
        </w:rPr>
      </w:pPr>
      <w:r>
        <w:rPr>
          <w:rFonts w:hint="eastAsia" w:ascii="Times New Roman" w:hAnsi="Times New Roman"/>
          <w:b/>
          <w:sz w:val="24"/>
          <w:szCs w:val="24"/>
        </w:rPr>
        <w:t>原文：</w:t>
      </w:r>
      <w:r>
        <w:rPr>
          <w:rFonts w:ascii="Times New Roman" w:hAnsi="Times New Roman"/>
          <w:bCs/>
          <w:sz w:val="24"/>
          <w:szCs w:val="24"/>
        </w:rPr>
        <w:t>1</w:t>
      </w:r>
      <w:r>
        <w:rPr>
          <w:rFonts w:hint="eastAsia" w:ascii="Times New Roman" w:hAnsi="Times New Roman"/>
          <w:bCs/>
          <w:sz w:val="24"/>
          <w:szCs w:val="24"/>
        </w:rPr>
        <w:t>9</w:t>
      </w:r>
      <w:r>
        <w:rPr>
          <w:rFonts w:ascii="Times New Roman" w:hAnsi="Times New Roman"/>
          <w:bCs/>
          <w:sz w:val="24"/>
          <w:szCs w:val="24"/>
        </w:rPr>
        <w:t>.</w:t>
      </w:r>
      <w:r>
        <w:rPr>
          <w:rFonts w:hint="eastAsia" w:ascii="Times New Roman" w:hAnsi="Times New Roman"/>
          <w:bCs/>
          <w:sz w:val="24"/>
          <w:szCs w:val="24"/>
        </w:rPr>
        <w:t>2投标人完成电子</w:t>
      </w:r>
      <w:r>
        <w:rPr>
          <w:rFonts w:hint="eastAsia" w:ascii="Times New Roman" w:hAnsi="Times New Roman"/>
          <w:sz w:val="24"/>
          <w:szCs w:val="24"/>
        </w:rPr>
        <w:t>投标文件</w:t>
      </w:r>
      <w:r>
        <w:rPr>
          <w:rFonts w:hint="eastAsia" w:ascii="Times New Roman" w:hAnsi="Times New Roman"/>
          <w:bCs/>
          <w:sz w:val="24"/>
          <w:szCs w:val="24"/>
        </w:rPr>
        <w:t>上传后，</w:t>
      </w:r>
      <w:r>
        <w:rPr>
          <w:rFonts w:ascii="Times New Roman" w:hAnsi="Times New Roman"/>
          <w:sz w:val="24"/>
          <w:szCs w:val="24"/>
          <w:u w:val="single"/>
        </w:rPr>
        <w:t xml:space="preserve">        </w:t>
      </w:r>
      <w:r>
        <w:rPr>
          <w:rFonts w:hint="eastAsia" w:ascii="Times New Roman" w:hAnsi="Times New Roman"/>
          <w:sz w:val="24"/>
          <w:szCs w:val="24"/>
        </w:rPr>
        <w:t>交易平台即时向投标人发出递交回执通知。递交时间以递交回执通知载明的传输完成时间为准。</w:t>
      </w:r>
    </w:p>
    <w:p>
      <w:pPr>
        <w:pBdr>
          <w:bottom w:val="single" w:color="auto" w:sz="6" w:space="1"/>
        </w:pBdr>
        <w:spacing w:line="360" w:lineRule="auto"/>
        <w:ind w:firstLine="602" w:firstLineChars="250"/>
        <w:rPr>
          <w:rFonts w:ascii="Times New Roman" w:hAnsi="Times New Roman"/>
          <w:sz w:val="24"/>
          <w:szCs w:val="24"/>
        </w:rPr>
      </w:pPr>
      <w:r>
        <w:rPr>
          <w:rFonts w:hint="eastAsia" w:ascii="Times New Roman" w:hAnsi="Times New Roman"/>
          <w:b/>
          <w:sz w:val="24"/>
          <w:szCs w:val="24"/>
        </w:rPr>
        <w:t>现文：</w:t>
      </w:r>
      <w:r>
        <w:rPr>
          <w:rFonts w:ascii="Times New Roman" w:hAnsi="Times New Roman"/>
          <w:bCs/>
          <w:sz w:val="24"/>
          <w:szCs w:val="24"/>
        </w:rPr>
        <w:t>1</w:t>
      </w:r>
      <w:r>
        <w:rPr>
          <w:rFonts w:hint="eastAsia" w:ascii="Times New Roman" w:hAnsi="Times New Roman"/>
          <w:bCs/>
          <w:sz w:val="24"/>
          <w:szCs w:val="24"/>
        </w:rPr>
        <w:t>9</w:t>
      </w:r>
      <w:r>
        <w:rPr>
          <w:rFonts w:ascii="Times New Roman" w:hAnsi="Times New Roman"/>
          <w:bCs/>
          <w:sz w:val="24"/>
          <w:szCs w:val="24"/>
        </w:rPr>
        <w:t>.</w:t>
      </w:r>
      <w:r>
        <w:rPr>
          <w:rFonts w:hint="eastAsia" w:ascii="Times New Roman" w:hAnsi="Times New Roman"/>
          <w:bCs/>
          <w:sz w:val="24"/>
          <w:szCs w:val="24"/>
        </w:rPr>
        <w:t>2投标人完成电子</w:t>
      </w:r>
      <w:r>
        <w:rPr>
          <w:rFonts w:hint="eastAsia" w:ascii="Times New Roman" w:hAnsi="Times New Roman"/>
          <w:sz w:val="24"/>
          <w:szCs w:val="24"/>
        </w:rPr>
        <w:t>投标文件</w:t>
      </w:r>
      <w:r>
        <w:rPr>
          <w:rFonts w:hint="eastAsia" w:ascii="Times New Roman" w:hAnsi="Times New Roman"/>
          <w:bCs/>
          <w:sz w:val="24"/>
          <w:szCs w:val="24"/>
        </w:rPr>
        <w:t>上传后，</w:t>
      </w:r>
      <w:r>
        <w:rPr>
          <w:rFonts w:hint="eastAsia" w:ascii="Times New Roman" w:hAnsi="Times New Roman"/>
          <w:sz w:val="24"/>
          <w:szCs w:val="24"/>
          <w:u w:val="single"/>
        </w:rPr>
        <w:t>广州交易集团有限公司（广州公共资源交易中心）</w:t>
      </w:r>
      <w:r>
        <w:rPr>
          <w:rFonts w:hint="eastAsia" w:ascii="Times New Roman" w:hAnsi="Times New Roman"/>
          <w:sz w:val="24"/>
          <w:szCs w:val="24"/>
        </w:rPr>
        <w:t>交易平台即时向投标人发出递交回执通知。递交时间以递交回执通知载明的传输完成时间为准。</w:t>
      </w:r>
    </w:p>
    <w:p>
      <w:pPr>
        <w:spacing w:line="360" w:lineRule="auto"/>
        <w:ind w:firstLine="540" w:firstLineChars="224"/>
        <w:rPr>
          <w:rFonts w:ascii="Times New Roman" w:hAnsi="Times New Roman"/>
          <w:b/>
          <w:sz w:val="24"/>
          <w:szCs w:val="24"/>
        </w:rPr>
      </w:pPr>
      <w:r>
        <w:rPr>
          <w:rFonts w:hint="eastAsia" w:ascii="Times New Roman" w:hAnsi="Times New Roman"/>
          <w:b/>
          <w:sz w:val="24"/>
          <w:szCs w:val="24"/>
        </w:rPr>
        <w:t>条款号：19.3</w:t>
      </w:r>
      <w:r>
        <w:rPr>
          <w:rFonts w:ascii="Times New Roman" w:hAnsi="Times New Roman"/>
          <w:b/>
          <w:sz w:val="24"/>
          <w:szCs w:val="24"/>
        </w:rPr>
        <w:t xml:space="preserve">             </w:t>
      </w:r>
      <w:r>
        <w:rPr>
          <w:rFonts w:hint="eastAsia" w:ascii="Times New Roman" w:hAnsi="Times New Roman"/>
          <w:b/>
          <w:sz w:val="24"/>
          <w:szCs w:val="24"/>
        </w:rPr>
        <w:t>修改类型：修改</w:t>
      </w:r>
    </w:p>
    <w:p>
      <w:pPr>
        <w:spacing w:line="360" w:lineRule="auto"/>
        <w:ind w:firstLine="540" w:firstLineChars="224"/>
        <w:rPr>
          <w:rFonts w:ascii="Times New Roman" w:hAnsi="Times New Roman"/>
          <w:b/>
          <w:sz w:val="24"/>
          <w:szCs w:val="24"/>
        </w:rPr>
      </w:pPr>
      <w:r>
        <w:rPr>
          <w:rFonts w:hint="eastAsia" w:ascii="Times New Roman" w:hAnsi="Times New Roman"/>
          <w:b/>
          <w:sz w:val="24"/>
          <w:szCs w:val="24"/>
        </w:rPr>
        <w:t>原文：</w:t>
      </w:r>
      <w:r>
        <w:rPr>
          <w:rFonts w:ascii="Times New Roman" w:hAnsi="Times New Roman"/>
          <w:bCs/>
          <w:sz w:val="24"/>
          <w:szCs w:val="24"/>
        </w:rPr>
        <w:t>1</w:t>
      </w:r>
      <w:r>
        <w:rPr>
          <w:rFonts w:hint="eastAsia" w:ascii="Times New Roman" w:hAnsi="Times New Roman"/>
          <w:bCs/>
          <w:sz w:val="24"/>
          <w:szCs w:val="24"/>
        </w:rPr>
        <w:t>9</w:t>
      </w:r>
      <w:r>
        <w:rPr>
          <w:rFonts w:ascii="Times New Roman" w:hAnsi="Times New Roman"/>
          <w:bCs/>
          <w:sz w:val="24"/>
          <w:szCs w:val="24"/>
        </w:rPr>
        <w:t>.</w:t>
      </w:r>
      <w:r>
        <w:rPr>
          <w:rFonts w:hint="eastAsia" w:ascii="Times New Roman" w:hAnsi="Times New Roman"/>
          <w:bCs/>
          <w:sz w:val="24"/>
          <w:szCs w:val="24"/>
        </w:rPr>
        <w:t>3逾期送达的电子投标文件，</w:t>
      </w:r>
      <w:r>
        <w:rPr>
          <w:rFonts w:ascii="Times New Roman" w:hAnsi="Times New Roman"/>
          <w:sz w:val="24"/>
          <w:szCs w:val="24"/>
          <w:u w:val="single"/>
        </w:rPr>
        <w:t xml:space="preserve">        </w:t>
      </w:r>
      <w:r>
        <w:rPr>
          <w:rFonts w:hint="eastAsia" w:ascii="Times New Roman" w:hAnsi="Times New Roman"/>
          <w:sz w:val="24"/>
          <w:szCs w:val="24"/>
        </w:rPr>
        <w:t>交易平台将予以拒收。</w:t>
      </w:r>
    </w:p>
    <w:p>
      <w:pPr>
        <w:pBdr>
          <w:bottom w:val="single" w:color="auto" w:sz="6" w:space="1"/>
        </w:pBdr>
        <w:spacing w:line="360" w:lineRule="auto"/>
        <w:ind w:firstLine="482" w:firstLineChars="200"/>
        <w:rPr>
          <w:rFonts w:ascii="Times New Roman" w:hAnsi="Times New Roman"/>
          <w:sz w:val="24"/>
          <w:szCs w:val="24"/>
        </w:rPr>
      </w:pPr>
      <w:r>
        <w:rPr>
          <w:rFonts w:hint="eastAsia" w:ascii="Times New Roman" w:hAnsi="Times New Roman"/>
          <w:b/>
          <w:sz w:val="24"/>
          <w:szCs w:val="24"/>
        </w:rPr>
        <w:t>现文：</w:t>
      </w:r>
      <w:r>
        <w:rPr>
          <w:rFonts w:ascii="Times New Roman" w:hAnsi="Times New Roman"/>
          <w:bCs/>
          <w:sz w:val="24"/>
          <w:szCs w:val="24"/>
        </w:rPr>
        <w:t>1</w:t>
      </w:r>
      <w:r>
        <w:rPr>
          <w:rFonts w:hint="eastAsia" w:ascii="Times New Roman" w:hAnsi="Times New Roman"/>
          <w:bCs/>
          <w:sz w:val="24"/>
          <w:szCs w:val="24"/>
        </w:rPr>
        <w:t>9</w:t>
      </w:r>
      <w:r>
        <w:rPr>
          <w:rFonts w:ascii="Times New Roman" w:hAnsi="Times New Roman"/>
          <w:bCs/>
          <w:sz w:val="24"/>
          <w:szCs w:val="24"/>
        </w:rPr>
        <w:t>.</w:t>
      </w:r>
      <w:r>
        <w:rPr>
          <w:rFonts w:hint="eastAsia" w:ascii="Times New Roman" w:hAnsi="Times New Roman"/>
          <w:bCs/>
          <w:sz w:val="24"/>
          <w:szCs w:val="24"/>
        </w:rPr>
        <w:t>3逾期送达的电子投标文件，</w:t>
      </w:r>
      <w:r>
        <w:rPr>
          <w:rFonts w:ascii="Times New Roman" w:hAnsi="Times New Roman"/>
          <w:sz w:val="24"/>
          <w:szCs w:val="24"/>
          <w:u w:val="single"/>
        </w:rPr>
        <w:t xml:space="preserve"> </w:t>
      </w:r>
      <w:r>
        <w:rPr>
          <w:rFonts w:hint="eastAsia" w:ascii="Times New Roman" w:hAnsi="Times New Roman"/>
          <w:sz w:val="24"/>
          <w:szCs w:val="24"/>
          <w:u w:val="single"/>
        </w:rPr>
        <w:t>广州交易集团有限公司（广州公共资源交易中心）</w:t>
      </w:r>
      <w:r>
        <w:rPr>
          <w:rFonts w:ascii="Times New Roman" w:hAnsi="Times New Roman"/>
          <w:sz w:val="24"/>
          <w:szCs w:val="24"/>
          <w:u w:val="single"/>
        </w:rPr>
        <w:t xml:space="preserve"> </w:t>
      </w:r>
      <w:r>
        <w:rPr>
          <w:rFonts w:hint="eastAsia" w:ascii="Times New Roman" w:hAnsi="Times New Roman"/>
          <w:sz w:val="24"/>
          <w:szCs w:val="24"/>
        </w:rPr>
        <w:t>交易平台将予以拒收。</w:t>
      </w:r>
    </w:p>
    <w:p>
      <w:pPr>
        <w:spacing w:line="360" w:lineRule="auto"/>
        <w:ind w:firstLine="540" w:firstLineChars="224"/>
        <w:rPr>
          <w:rFonts w:ascii="Times New Roman" w:hAnsi="Times New Roman"/>
          <w:b/>
          <w:sz w:val="24"/>
          <w:szCs w:val="24"/>
        </w:rPr>
      </w:pPr>
      <w:r>
        <w:rPr>
          <w:rFonts w:hint="eastAsia" w:ascii="Times New Roman" w:hAnsi="Times New Roman"/>
          <w:b/>
          <w:sz w:val="24"/>
          <w:szCs w:val="24"/>
        </w:rPr>
        <w:t>条款号：19.5</w:t>
      </w:r>
      <w:r>
        <w:rPr>
          <w:rFonts w:ascii="Times New Roman" w:hAnsi="Times New Roman"/>
          <w:b/>
          <w:sz w:val="24"/>
          <w:szCs w:val="24"/>
        </w:rPr>
        <w:t xml:space="preserve">             </w:t>
      </w:r>
      <w:r>
        <w:rPr>
          <w:rFonts w:hint="eastAsia" w:ascii="Times New Roman" w:hAnsi="Times New Roman"/>
          <w:b/>
          <w:sz w:val="24"/>
          <w:szCs w:val="24"/>
        </w:rPr>
        <w:t>修改类型：修改</w:t>
      </w:r>
    </w:p>
    <w:p>
      <w:pPr>
        <w:pBdr>
          <w:bottom w:val="single" w:color="auto" w:sz="6" w:space="1"/>
        </w:pBdr>
        <w:spacing w:line="360" w:lineRule="auto"/>
        <w:ind w:firstLine="482" w:firstLineChars="200"/>
        <w:rPr>
          <w:rFonts w:ascii="Times New Roman" w:hAnsi="Times New Roman"/>
          <w:sz w:val="24"/>
          <w:szCs w:val="24"/>
        </w:rPr>
      </w:pPr>
      <w:r>
        <w:rPr>
          <w:rFonts w:hint="eastAsia" w:ascii="Times New Roman" w:hAnsi="Times New Roman"/>
          <w:b/>
          <w:sz w:val="24"/>
          <w:szCs w:val="24"/>
        </w:rPr>
        <w:t>原文：</w:t>
      </w:r>
      <w:r>
        <w:rPr>
          <w:rFonts w:ascii="Times New Roman" w:hAnsi="Times New Roman"/>
          <w:sz w:val="24"/>
          <w:szCs w:val="24"/>
        </w:rPr>
        <w:t>19.</w:t>
      </w:r>
      <w:r>
        <w:rPr>
          <w:rFonts w:hint="eastAsia" w:ascii="Times New Roman" w:hAnsi="Times New Roman"/>
          <w:sz w:val="24"/>
          <w:szCs w:val="24"/>
        </w:rPr>
        <w:t>5如技术标和经济标先后分别开启，</w:t>
      </w:r>
      <w:r>
        <w:rPr>
          <w:rFonts w:ascii="Times New Roman" w:hAnsi="Times New Roman"/>
          <w:sz w:val="24"/>
          <w:szCs w:val="24"/>
          <w:u w:val="single"/>
        </w:rPr>
        <w:t xml:space="preserve">        </w:t>
      </w:r>
      <w:r>
        <w:rPr>
          <w:rFonts w:hint="eastAsia" w:ascii="Times New Roman" w:hAnsi="Times New Roman"/>
          <w:sz w:val="24"/>
          <w:szCs w:val="24"/>
        </w:rPr>
        <w:t>交易平台将按招标文件规定的时间分别开启技术标和经济标。</w:t>
      </w:r>
    </w:p>
    <w:p>
      <w:pPr>
        <w:pBdr>
          <w:bottom w:val="single" w:color="auto" w:sz="6" w:space="1"/>
        </w:pBdr>
        <w:spacing w:line="360" w:lineRule="auto"/>
        <w:ind w:firstLine="482" w:firstLineChars="200"/>
        <w:rPr>
          <w:rFonts w:ascii="Times New Roman" w:hAnsi="Times New Roman"/>
          <w:sz w:val="24"/>
          <w:szCs w:val="24"/>
        </w:rPr>
      </w:pPr>
      <w:r>
        <w:rPr>
          <w:rFonts w:hint="eastAsia" w:ascii="Times New Roman" w:hAnsi="Times New Roman"/>
          <w:b/>
          <w:sz w:val="24"/>
          <w:szCs w:val="24"/>
        </w:rPr>
        <w:t>现文：</w:t>
      </w:r>
      <w:r>
        <w:rPr>
          <w:rFonts w:ascii="Times New Roman" w:hAnsi="Times New Roman"/>
          <w:bCs/>
          <w:sz w:val="24"/>
          <w:szCs w:val="24"/>
        </w:rPr>
        <w:t>1</w:t>
      </w:r>
      <w:r>
        <w:rPr>
          <w:rFonts w:hint="eastAsia" w:ascii="Times New Roman" w:hAnsi="Times New Roman"/>
          <w:bCs/>
          <w:sz w:val="24"/>
          <w:szCs w:val="24"/>
        </w:rPr>
        <w:t>9</w:t>
      </w:r>
      <w:r>
        <w:rPr>
          <w:rFonts w:ascii="Times New Roman" w:hAnsi="Times New Roman"/>
          <w:bCs/>
          <w:sz w:val="24"/>
          <w:szCs w:val="24"/>
        </w:rPr>
        <w:t>.</w:t>
      </w:r>
      <w:r>
        <w:rPr>
          <w:rFonts w:hint="eastAsia" w:ascii="Times New Roman" w:hAnsi="Times New Roman"/>
          <w:bCs/>
          <w:sz w:val="24"/>
          <w:szCs w:val="24"/>
        </w:rPr>
        <w:t>5</w:t>
      </w:r>
      <w:r>
        <w:rPr>
          <w:rFonts w:hint="eastAsia" w:ascii="宋体" w:hAnsi="宋体" w:cs="宋体"/>
          <w:sz w:val="24"/>
          <w:szCs w:val="24"/>
          <w:u w:val="single"/>
        </w:rPr>
        <w:t>技术标和经济标同时开启，广州交易集团有限公司（广州公共资源交易中心）交易平台将按招标文件规定的时间同时开启技术标和经济标。</w:t>
      </w:r>
    </w:p>
    <w:p>
      <w:pPr>
        <w:spacing w:line="360" w:lineRule="auto"/>
        <w:ind w:firstLine="540" w:firstLineChars="224"/>
        <w:rPr>
          <w:rFonts w:ascii="Times New Roman" w:hAnsi="Times New Roman"/>
          <w:b/>
          <w:sz w:val="24"/>
          <w:szCs w:val="24"/>
        </w:rPr>
      </w:pPr>
      <w:r>
        <w:rPr>
          <w:rFonts w:hint="eastAsia" w:ascii="Times New Roman" w:hAnsi="Times New Roman"/>
          <w:b/>
          <w:sz w:val="24"/>
          <w:szCs w:val="24"/>
        </w:rPr>
        <w:t>条款号：</w:t>
      </w:r>
      <w:r>
        <w:rPr>
          <w:rFonts w:ascii="Times New Roman" w:hAnsi="Times New Roman"/>
          <w:b/>
          <w:sz w:val="24"/>
          <w:szCs w:val="24"/>
        </w:rPr>
        <w:t xml:space="preserve"> </w:t>
      </w:r>
      <w:r>
        <w:rPr>
          <w:rFonts w:hint="eastAsia" w:ascii="Times New Roman" w:hAnsi="Times New Roman"/>
          <w:b/>
          <w:sz w:val="24"/>
          <w:szCs w:val="24"/>
        </w:rPr>
        <w:t>21.1</w:t>
      </w:r>
      <w:r>
        <w:rPr>
          <w:rFonts w:ascii="Times New Roman" w:hAnsi="Times New Roman"/>
          <w:b/>
          <w:sz w:val="24"/>
          <w:szCs w:val="24"/>
        </w:rPr>
        <w:t xml:space="preserve">            </w:t>
      </w:r>
      <w:r>
        <w:rPr>
          <w:rFonts w:hint="eastAsia" w:ascii="Times New Roman" w:hAnsi="Times New Roman"/>
          <w:b/>
          <w:sz w:val="24"/>
          <w:szCs w:val="24"/>
        </w:rPr>
        <w:t>修改类型：修改</w:t>
      </w:r>
    </w:p>
    <w:p>
      <w:pPr>
        <w:spacing w:line="360" w:lineRule="auto"/>
        <w:ind w:firstLine="540" w:firstLineChars="224"/>
        <w:rPr>
          <w:rFonts w:ascii="Times New Roman" w:hAnsi="Times New Roman"/>
          <w:b/>
          <w:sz w:val="24"/>
          <w:szCs w:val="24"/>
        </w:rPr>
      </w:pPr>
      <w:r>
        <w:rPr>
          <w:rFonts w:hint="eastAsia" w:ascii="Times New Roman" w:hAnsi="Times New Roman"/>
          <w:b/>
          <w:sz w:val="24"/>
          <w:szCs w:val="24"/>
        </w:rPr>
        <w:t>原文：</w:t>
      </w:r>
      <w:r>
        <w:rPr>
          <w:rFonts w:ascii="Times New Roman" w:hAnsi="Times New Roman"/>
          <w:sz w:val="24"/>
          <w:szCs w:val="24"/>
        </w:rPr>
        <w:t xml:space="preserve">21.1 </w:t>
      </w:r>
      <w:r>
        <w:rPr>
          <w:rFonts w:hint="eastAsia" w:ascii="Times New Roman" w:hAnsi="Times New Roman"/>
          <w:sz w:val="24"/>
          <w:szCs w:val="24"/>
        </w:rPr>
        <w:t>本须知前附表第</w:t>
      </w:r>
      <w:r>
        <w:rPr>
          <w:rFonts w:ascii="Times New Roman" w:hAnsi="Times New Roman"/>
          <w:sz w:val="24"/>
          <w:szCs w:val="24"/>
        </w:rPr>
        <w:t>1</w:t>
      </w:r>
      <w:r>
        <w:rPr>
          <w:rFonts w:hint="eastAsia" w:ascii="Times New Roman" w:hAnsi="Times New Roman"/>
          <w:sz w:val="24"/>
          <w:szCs w:val="24"/>
        </w:rPr>
        <w:t>7项规定的投标截止时间</w:t>
      </w:r>
      <w:r>
        <w:rPr>
          <w:rFonts w:hint="eastAsia" w:ascii="Times New Roman" w:hAnsi="Times New Roman"/>
          <w:bCs/>
          <w:sz w:val="24"/>
          <w:szCs w:val="24"/>
        </w:rPr>
        <w:t>后送达的电子投标文件，</w:t>
      </w:r>
      <w:r>
        <w:rPr>
          <w:rFonts w:ascii="Times New Roman" w:hAnsi="Times New Roman"/>
          <w:sz w:val="24"/>
          <w:szCs w:val="24"/>
          <w:u w:val="single"/>
        </w:rPr>
        <w:t xml:space="preserve">       </w:t>
      </w:r>
      <w:r>
        <w:rPr>
          <w:rFonts w:hint="eastAsia" w:ascii="Times New Roman" w:hAnsi="Times New Roman"/>
          <w:sz w:val="24"/>
          <w:szCs w:val="24"/>
        </w:rPr>
        <w:t>交易平台将予以拒收。</w:t>
      </w:r>
    </w:p>
    <w:p>
      <w:pPr>
        <w:pBdr>
          <w:bottom w:val="single" w:color="auto" w:sz="6" w:space="1"/>
        </w:pBdr>
        <w:spacing w:line="360" w:lineRule="auto"/>
        <w:ind w:firstLine="602" w:firstLineChars="250"/>
        <w:rPr>
          <w:rFonts w:ascii="Times New Roman" w:hAnsi="Times New Roman"/>
          <w:sz w:val="24"/>
          <w:szCs w:val="24"/>
        </w:rPr>
      </w:pPr>
      <w:r>
        <w:rPr>
          <w:rFonts w:hint="eastAsia" w:ascii="Times New Roman" w:hAnsi="Times New Roman"/>
          <w:b/>
          <w:sz w:val="24"/>
          <w:szCs w:val="24"/>
        </w:rPr>
        <w:t>现文：</w:t>
      </w:r>
      <w:r>
        <w:rPr>
          <w:rFonts w:ascii="Times New Roman" w:hAnsi="Times New Roman"/>
          <w:sz w:val="24"/>
          <w:szCs w:val="24"/>
        </w:rPr>
        <w:t xml:space="preserve">21.1 </w:t>
      </w:r>
      <w:r>
        <w:rPr>
          <w:rFonts w:hint="eastAsia" w:ascii="Times New Roman" w:hAnsi="Times New Roman"/>
          <w:sz w:val="24"/>
          <w:szCs w:val="24"/>
        </w:rPr>
        <w:t>本须知前附表第</w:t>
      </w:r>
      <w:r>
        <w:rPr>
          <w:rFonts w:ascii="Times New Roman" w:hAnsi="Times New Roman"/>
          <w:sz w:val="24"/>
          <w:szCs w:val="24"/>
        </w:rPr>
        <w:t>1</w:t>
      </w:r>
      <w:r>
        <w:rPr>
          <w:rFonts w:hint="eastAsia" w:ascii="Times New Roman" w:hAnsi="Times New Roman"/>
          <w:sz w:val="24"/>
          <w:szCs w:val="24"/>
        </w:rPr>
        <w:t>7项规定的投标截止时间</w:t>
      </w:r>
      <w:r>
        <w:rPr>
          <w:rFonts w:hint="eastAsia" w:ascii="Times New Roman" w:hAnsi="Times New Roman"/>
          <w:bCs/>
          <w:sz w:val="24"/>
          <w:szCs w:val="24"/>
        </w:rPr>
        <w:t>后送达的电子投标文件，</w:t>
      </w:r>
      <w:r>
        <w:rPr>
          <w:rFonts w:hint="eastAsia" w:ascii="Times New Roman" w:hAnsi="Times New Roman"/>
          <w:sz w:val="24"/>
          <w:szCs w:val="24"/>
          <w:u w:val="single"/>
        </w:rPr>
        <w:t>广州交易集团有限公司（广州公共资源交易中心）</w:t>
      </w:r>
      <w:r>
        <w:rPr>
          <w:rFonts w:ascii="Times New Roman" w:hAnsi="Times New Roman"/>
          <w:sz w:val="24"/>
          <w:szCs w:val="24"/>
          <w:u w:val="single"/>
        </w:rPr>
        <w:t xml:space="preserve"> </w:t>
      </w:r>
      <w:r>
        <w:rPr>
          <w:rFonts w:hint="eastAsia" w:ascii="Times New Roman" w:hAnsi="Times New Roman"/>
          <w:sz w:val="24"/>
          <w:szCs w:val="24"/>
        </w:rPr>
        <w:t>交易平台将予以拒收。</w:t>
      </w:r>
    </w:p>
    <w:p>
      <w:pPr>
        <w:spacing w:line="360" w:lineRule="auto"/>
        <w:ind w:firstLine="540" w:firstLineChars="224"/>
        <w:rPr>
          <w:rFonts w:ascii="Times New Roman" w:hAnsi="Times New Roman"/>
          <w:b/>
          <w:sz w:val="24"/>
          <w:szCs w:val="24"/>
        </w:rPr>
      </w:pPr>
      <w:r>
        <w:rPr>
          <w:rFonts w:hint="eastAsia" w:ascii="Times New Roman" w:hAnsi="Times New Roman"/>
          <w:b/>
          <w:sz w:val="24"/>
          <w:szCs w:val="24"/>
        </w:rPr>
        <w:t>条款号：27.1</w:t>
      </w:r>
      <w:r>
        <w:rPr>
          <w:rFonts w:ascii="Times New Roman" w:hAnsi="Times New Roman"/>
          <w:b/>
          <w:sz w:val="24"/>
          <w:szCs w:val="24"/>
        </w:rPr>
        <w:t xml:space="preserve">             </w:t>
      </w:r>
      <w:r>
        <w:rPr>
          <w:rFonts w:hint="eastAsia" w:ascii="Times New Roman" w:hAnsi="Times New Roman"/>
          <w:b/>
          <w:sz w:val="24"/>
          <w:szCs w:val="24"/>
        </w:rPr>
        <w:t>修改类型：修改</w:t>
      </w:r>
    </w:p>
    <w:p>
      <w:pPr>
        <w:spacing w:line="360" w:lineRule="auto"/>
        <w:ind w:firstLine="540" w:firstLineChars="224"/>
        <w:rPr>
          <w:rFonts w:ascii="Times New Roman" w:hAnsi="Times New Roman"/>
          <w:b/>
          <w:sz w:val="24"/>
          <w:szCs w:val="24"/>
        </w:rPr>
      </w:pPr>
      <w:r>
        <w:rPr>
          <w:rFonts w:hint="eastAsia" w:ascii="Times New Roman" w:hAnsi="Times New Roman"/>
          <w:b/>
          <w:sz w:val="24"/>
          <w:szCs w:val="24"/>
        </w:rPr>
        <w:t>原文：</w:t>
      </w:r>
      <w:r>
        <w:rPr>
          <w:rFonts w:ascii="Times New Roman" w:hAnsi="Times New Roman"/>
          <w:sz w:val="24"/>
          <w:szCs w:val="24"/>
        </w:rPr>
        <w:t>27.1</w:t>
      </w:r>
      <w:r>
        <w:rPr>
          <w:rFonts w:hint="eastAsia" w:ascii="Times New Roman" w:hAnsi="Times New Roman"/>
          <w:sz w:val="24"/>
          <w:szCs w:val="24"/>
        </w:rPr>
        <w:t>招标人将在</w:t>
      </w:r>
      <w:r>
        <w:rPr>
          <w:rFonts w:ascii="Times New Roman" w:hAnsi="Times New Roman"/>
          <w:sz w:val="24"/>
          <w:szCs w:val="24"/>
          <w:u w:val="single"/>
        </w:rPr>
        <w:t xml:space="preserve">        </w:t>
      </w:r>
      <w:r>
        <w:rPr>
          <w:rFonts w:hint="eastAsia" w:ascii="Times New Roman" w:hAnsi="Times New Roman"/>
          <w:sz w:val="24"/>
          <w:szCs w:val="24"/>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pBdr>
          <w:bottom w:val="single" w:color="auto" w:sz="6" w:space="1"/>
        </w:pBdr>
        <w:spacing w:line="360" w:lineRule="auto"/>
        <w:ind w:firstLine="602" w:firstLineChars="250"/>
        <w:rPr>
          <w:rFonts w:ascii="Times New Roman" w:hAnsi="Times New Roman"/>
          <w:sz w:val="24"/>
          <w:szCs w:val="24"/>
        </w:rPr>
      </w:pPr>
      <w:r>
        <w:rPr>
          <w:rFonts w:hint="eastAsia" w:ascii="Times New Roman" w:hAnsi="Times New Roman"/>
          <w:b/>
          <w:sz w:val="24"/>
          <w:szCs w:val="24"/>
        </w:rPr>
        <w:t>现文：</w:t>
      </w:r>
      <w:r>
        <w:rPr>
          <w:rFonts w:ascii="Times New Roman" w:hAnsi="Times New Roman"/>
          <w:sz w:val="24"/>
          <w:szCs w:val="24"/>
        </w:rPr>
        <w:t>27.1</w:t>
      </w:r>
      <w:r>
        <w:rPr>
          <w:rFonts w:hint="eastAsia" w:ascii="Times New Roman" w:hAnsi="Times New Roman"/>
          <w:sz w:val="24"/>
          <w:szCs w:val="24"/>
        </w:rPr>
        <w:t>招标人将在</w:t>
      </w:r>
      <w:r>
        <w:rPr>
          <w:rFonts w:hint="eastAsia" w:ascii="Times New Roman" w:hAnsi="Times New Roman"/>
          <w:sz w:val="24"/>
          <w:szCs w:val="24"/>
          <w:u w:val="single"/>
        </w:rPr>
        <w:t>广州交易集团有限公司（广州公共资源交易中心）</w:t>
      </w:r>
      <w:r>
        <w:rPr>
          <w:rFonts w:hint="eastAsia" w:ascii="Times New Roman" w:hAnsi="Times New Roman"/>
          <w:sz w:val="24"/>
          <w:szCs w:val="24"/>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spacing w:line="360" w:lineRule="auto"/>
        <w:ind w:firstLine="540" w:firstLineChars="224"/>
        <w:rPr>
          <w:rFonts w:ascii="Times New Roman" w:hAnsi="Times New Roman"/>
          <w:b/>
          <w:sz w:val="24"/>
          <w:szCs w:val="24"/>
        </w:rPr>
      </w:pPr>
      <w:r>
        <w:rPr>
          <w:rFonts w:hint="eastAsia" w:ascii="Times New Roman" w:hAnsi="Times New Roman"/>
          <w:b/>
          <w:sz w:val="24"/>
          <w:szCs w:val="24"/>
        </w:rPr>
        <w:t>条款号：</w:t>
      </w:r>
      <w:r>
        <w:rPr>
          <w:rFonts w:ascii="Times New Roman" w:hAnsi="Times New Roman"/>
          <w:b/>
          <w:sz w:val="24"/>
          <w:szCs w:val="24"/>
        </w:rPr>
        <w:t xml:space="preserve"> </w:t>
      </w:r>
      <w:r>
        <w:rPr>
          <w:rFonts w:hint="eastAsia" w:ascii="Times New Roman" w:hAnsi="Times New Roman"/>
          <w:b/>
          <w:sz w:val="24"/>
          <w:szCs w:val="24"/>
        </w:rPr>
        <w:t>27.4</w:t>
      </w:r>
      <w:r>
        <w:rPr>
          <w:rFonts w:ascii="Times New Roman" w:hAnsi="Times New Roman"/>
          <w:b/>
          <w:sz w:val="24"/>
          <w:szCs w:val="24"/>
        </w:rPr>
        <w:t xml:space="preserve">            </w:t>
      </w:r>
      <w:r>
        <w:rPr>
          <w:rFonts w:hint="eastAsia" w:ascii="Times New Roman" w:hAnsi="Times New Roman"/>
          <w:b/>
          <w:sz w:val="24"/>
          <w:szCs w:val="24"/>
        </w:rPr>
        <w:t>修改类型：修改</w:t>
      </w:r>
    </w:p>
    <w:p>
      <w:pPr>
        <w:spacing w:line="360" w:lineRule="auto"/>
        <w:ind w:firstLine="540" w:firstLineChars="224"/>
        <w:rPr>
          <w:rFonts w:ascii="Times New Roman" w:hAnsi="Times New Roman"/>
          <w:b/>
          <w:sz w:val="24"/>
          <w:szCs w:val="24"/>
        </w:rPr>
      </w:pPr>
      <w:r>
        <w:rPr>
          <w:rFonts w:hint="eastAsia" w:ascii="Times New Roman" w:hAnsi="Times New Roman"/>
          <w:b/>
          <w:sz w:val="24"/>
          <w:szCs w:val="24"/>
        </w:rPr>
        <w:t>原文：</w:t>
      </w:r>
      <w:r>
        <w:rPr>
          <w:rFonts w:hint="eastAsia" w:ascii="Times New Roman" w:hAnsi="Times New Roman"/>
          <w:sz w:val="24"/>
          <w:szCs w:val="24"/>
        </w:rPr>
        <w:t>27.4在产生中标候选人后，招标人将中标候选人的投标文件商务部分文件的所有内容（包括人员、业绩、奖项等资料）在</w:t>
      </w:r>
      <w:r>
        <w:rPr>
          <w:rFonts w:ascii="Times New Roman" w:hAnsi="Times New Roman"/>
          <w:sz w:val="24"/>
          <w:szCs w:val="24"/>
          <w:u w:val="single"/>
        </w:rPr>
        <w:t xml:space="preserve">        </w:t>
      </w:r>
      <w:r>
        <w:rPr>
          <w:rFonts w:hint="eastAsia" w:ascii="Times New Roman" w:hAnsi="Times New Roman"/>
          <w:sz w:val="24"/>
          <w:szCs w:val="24"/>
        </w:rPr>
        <w:t>交易平台和广东省招标投标监管网公开。</w:t>
      </w:r>
    </w:p>
    <w:p>
      <w:pPr>
        <w:pBdr>
          <w:bottom w:val="single" w:color="auto" w:sz="6" w:space="1"/>
        </w:pBdr>
        <w:spacing w:line="360" w:lineRule="auto"/>
        <w:ind w:firstLine="602" w:firstLineChars="250"/>
      </w:pPr>
      <w:r>
        <w:rPr>
          <w:rFonts w:hint="eastAsia" w:ascii="Times New Roman" w:hAnsi="Times New Roman"/>
          <w:b/>
          <w:sz w:val="24"/>
          <w:szCs w:val="24"/>
        </w:rPr>
        <w:t>现文：</w:t>
      </w:r>
      <w:r>
        <w:rPr>
          <w:rFonts w:hint="eastAsia" w:ascii="Times New Roman" w:hAnsi="Times New Roman"/>
          <w:sz w:val="24"/>
          <w:szCs w:val="24"/>
        </w:rPr>
        <w:t>27.4在产生中标候选人后，招标人将中标候选人的投标文件商务部分文件的所有内容（包括人员、业绩、奖项等资料）在</w:t>
      </w:r>
      <w:r>
        <w:rPr>
          <w:rFonts w:ascii="Times New Roman" w:hAnsi="Times New Roman"/>
          <w:sz w:val="24"/>
          <w:szCs w:val="24"/>
          <w:u w:val="single"/>
        </w:rPr>
        <w:t xml:space="preserve"> </w:t>
      </w:r>
      <w:r>
        <w:rPr>
          <w:rFonts w:hint="eastAsia" w:ascii="Times New Roman" w:hAnsi="Times New Roman"/>
          <w:sz w:val="24"/>
          <w:szCs w:val="24"/>
          <w:u w:val="single"/>
        </w:rPr>
        <w:t>广州交易集团有限公司（广州公共资源交易中心）</w:t>
      </w:r>
      <w:r>
        <w:rPr>
          <w:rFonts w:ascii="Times New Roman" w:hAnsi="Times New Roman"/>
          <w:sz w:val="24"/>
          <w:szCs w:val="24"/>
          <w:u w:val="single"/>
        </w:rPr>
        <w:t xml:space="preserve"> </w:t>
      </w:r>
      <w:r>
        <w:rPr>
          <w:rFonts w:hint="eastAsia" w:ascii="Times New Roman" w:hAnsi="Times New Roman"/>
          <w:sz w:val="24"/>
          <w:szCs w:val="24"/>
        </w:rPr>
        <w:t>交易平台和广东省招标投标监管网公开。</w:t>
      </w:r>
    </w:p>
    <w:p>
      <w:pPr>
        <w:spacing w:line="360" w:lineRule="auto"/>
        <w:rPr>
          <w:rFonts w:ascii="Times New Roman" w:hAnsi="Times New Roman"/>
          <w:b/>
          <w:sz w:val="24"/>
          <w:szCs w:val="24"/>
        </w:rPr>
      </w:pPr>
      <w:r>
        <w:rPr>
          <w:rFonts w:hint="eastAsia" w:ascii="Times New Roman" w:hAnsi="Times New Roman"/>
          <w:b/>
          <w:sz w:val="24"/>
          <w:szCs w:val="24"/>
        </w:rPr>
        <w:t>注：以上修改，仅限于本范本中有可供选择条款的情形。</w:t>
      </w:r>
    </w:p>
    <w:p>
      <w:pPr>
        <w:spacing w:line="360" w:lineRule="auto"/>
        <w:rPr>
          <w:rFonts w:ascii="Times New Roman" w:hAnsi="Times New Roman"/>
          <w:sz w:val="24"/>
          <w:szCs w:val="24"/>
        </w:rPr>
      </w:pPr>
      <w:r>
        <w:rPr>
          <w:rFonts w:hint="eastAsia" w:ascii="Times New Roman" w:hAnsi="Times New Roman"/>
          <w:b/>
          <w:sz w:val="24"/>
          <w:szCs w:val="24"/>
        </w:rPr>
        <w:t>（以下无正文）</w:t>
      </w:r>
    </w:p>
    <w:p>
      <w:pPr>
        <w:spacing w:line="360" w:lineRule="auto"/>
        <w:rPr>
          <w:color w:val="000000" w:themeColor="text1"/>
          <w14:textFill>
            <w14:solidFill>
              <w14:schemeClr w14:val="tx1"/>
            </w14:solidFill>
          </w14:textFill>
        </w:rPr>
      </w:pPr>
    </w:p>
    <w:p>
      <w:pPr>
        <w:pStyle w:val="2"/>
        <w:rPr>
          <w:rFonts w:hint="eastAsia" w:ascii="黑体" w:hAnsi="黑体" w:eastAsia="黑体" w:cs="黑体"/>
          <w:color w:val="000000" w:themeColor="text1"/>
          <w:sz w:val="32"/>
          <w:szCs w:val="32"/>
          <w14:textFill>
            <w14:solidFill>
              <w14:schemeClr w14:val="tx1"/>
            </w14:solidFill>
          </w14:textFill>
        </w:rPr>
      </w:pPr>
      <w:r>
        <w:rPr>
          <w:color w:val="000000" w:themeColor="text1"/>
          <w14:textFill>
            <w14:solidFill>
              <w14:schemeClr w14:val="tx1"/>
            </w14:solidFill>
          </w14:textFill>
        </w:rPr>
        <w:br w:type="page"/>
      </w:r>
      <w:bookmarkStart w:id="12" w:name="_Toc2272548"/>
      <w:bookmarkStart w:id="13" w:name="_Toc25354"/>
      <w:bookmarkStart w:id="14" w:name="_Toc21525492"/>
      <w:r>
        <w:rPr>
          <w:rFonts w:hint="eastAsia" w:ascii="黑体" w:hAnsi="黑体" w:eastAsia="黑体" w:cs="黑体"/>
          <w:color w:val="000000" w:themeColor="text1"/>
          <w:sz w:val="32"/>
          <w:szCs w:val="32"/>
          <w14:textFill>
            <w14:solidFill>
              <w14:schemeClr w14:val="tx1"/>
            </w14:solidFill>
          </w14:textFill>
        </w:rPr>
        <w:t>三、投标须知通用条款</w:t>
      </w:r>
      <w:bookmarkEnd w:id="12"/>
      <w:bookmarkEnd w:id="13"/>
      <w:bookmarkEnd w:id="14"/>
    </w:p>
    <w:p>
      <w:pPr>
        <w:pStyle w:val="5"/>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leftChars="0" w:firstLine="0" w:firstLineChars="0"/>
        <w:textAlignment w:val="auto"/>
        <w:rPr>
          <w:rFonts w:hint="eastAsia" w:ascii="宋体" w:hAnsi="宋体" w:eastAsia="宋体" w:cs="Times New Roman"/>
          <w:b/>
          <w:bCs/>
          <w:color w:val="000000" w:themeColor="text1"/>
          <w:sz w:val="24"/>
          <w14:textFill>
            <w14:solidFill>
              <w14:schemeClr w14:val="tx1"/>
            </w14:solidFill>
          </w14:textFill>
        </w:rPr>
      </w:pPr>
      <w:bookmarkStart w:id="15" w:name="_Toc21525493"/>
      <w:bookmarkStart w:id="16" w:name="_Toc3791"/>
      <w:bookmarkStart w:id="17" w:name="_Toc2272549"/>
      <w:r>
        <w:rPr>
          <w:rFonts w:hint="eastAsia" w:ascii="宋体" w:hAnsi="宋体" w:eastAsia="宋体" w:cs="Times New Roman"/>
          <w:b/>
          <w:bCs/>
          <w:color w:val="000000" w:themeColor="text1"/>
          <w:sz w:val="24"/>
          <w14:textFill>
            <w14:solidFill>
              <w14:schemeClr w14:val="tx1"/>
            </w14:solidFill>
          </w14:textFill>
        </w:rPr>
        <w:t>（一）总则</w:t>
      </w:r>
      <w:bookmarkEnd w:id="15"/>
      <w:bookmarkEnd w:id="16"/>
      <w:bookmarkEnd w:id="17"/>
    </w:p>
    <w:p>
      <w:pPr>
        <w:pStyle w:val="5"/>
        <w:spacing w:after="0" w:line="360" w:lineRule="auto"/>
        <w:ind w:firstLine="482" w:firstLineChars="200"/>
        <w:rPr>
          <w:rFonts w:asci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1</w:t>
      </w:r>
      <w:r>
        <w:rPr>
          <w:rFonts w:hint="eastAsia" w:ascii="宋体" w:hAnsi="宋体"/>
          <w:b/>
          <w:color w:val="000000" w:themeColor="text1"/>
          <w:sz w:val="24"/>
          <w14:textFill>
            <w14:solidFill>
              <w14:schemeClr w14:val="tx1"/>
            </w14:solidFill>
          </w14:textFill>
        </w:rPr>
        <w:t>．</w:t>
      </w:r>
      <w:r>
        <w:rPr>
          <w:rFonts w:hint="eastAsia" w:ascii="宋体" w:hAnsi="宋体"/>
          <w:b/>
          <w:bCs/>
          <w:color w:val="000000" w:themeColor="text1"/>
          <w:sz w:val="24"/>
          <w14:textFill>
            <w14:solidFill>
              <w14:schemeClr w14:val="tx1"/>
            </w14:solidFill>
          </w14:textFill>
        </w:rPr>
        <w:t>定义</w:t>
      </w:r>
    </w:p>
    <w:p>
      <w:pPr>
        <w:pStyle w:val="5"/>
        <w:spacing w:after="0" w:line="360" w:lineRule="auto"/>
        <w:ind w:firstLine="480" w:firstLineChars="200"/>
        <w:rPr>
          <w:rFonts w:ascii="宋体"/>
          <w:b/>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本招标文件使用的下列词语具有如下规定的意义：</w:t>
      </w:r>
    </w:p>
    <w:p>
      <w:pPr>
        <w:pStyle w:val="5"/>
        <w:spacing w:after="0" w:line="360" w:lineRule="auto"/>
        <w:ind w:firstLine="480" w:firstLineChars="200"/>
        <w:rPr>
          <w:rFonts w:ascii="宋体"/>
          <w:b/>
          <w:bCs/>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）“招标人”（即发包人）、“项目建设管理单位</w:t>
      </w:r>
      <w:r>
        <w:rPr>
          <w:rFonts w:hint="eastAsia" w:asci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（或称“项目代建单位”）、“招标代理”、“设计单位”、“监理单位”均已在投标须知前附表中列明。</w:t>
      </w:r>
    </w:p>
    <w:p>
      <w:pPr>
        <w:pStyle w:val="5"/>
        <w:spacing w:after="0" w:line="360" w:lineRule="auto"/>
        <w:ind w:firstLine="480" w:firstLineChars="200"/>
        <w:rPr>
          <w:rFonts w:asci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）“投标人”指向招标人提交投标文件的当事人。</w:t>
      </w:r>
      <w:r>
        <w:rPr>
          <w:rFonts w:ascii="宋体" w:hAnsi="宋体"/>
          <w:color w:val="000000" w:themeColor="text1"/>
          <w:sz w:val="24"/>
          <w14:textFill>
            <w14:solidFill>
              <w14:schemeClr w14:val="tx1"/>
            </w14:solidFill>
          </w14:textFill>
        </w:rPr>
        <w:t xml:space="preserve">   </w:t>
      </w:r>
    </w:p>
    <w:p>
      <w:pPr>
        <w:pStyle w:val="5"/>
        <w:spacing w:after="0" w:line="360" w:lineRule="auto"/>
        <w:ind w:firstLine="480" w:firstLineChars="200"/>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）“承包人”指其投标被招标人接受并与其签订承包合同的当事人。</w:t>
      </w:r>
    </w:p>
    <w:p>
      <w:pPr>
        <w:pStyle w:val="5"/>
        <w:spacing w:after="0" w:line="360" w:lineRule="auto"/>
        <w:ind w:firstLine="480" w:firstLineChars="200"/>
        <w:rPr>
          <w:rFonts w:asci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4</w:t>
      </w:r>
      <w:r>
        <w:rPr>
          <w:rFonts w:hint="eastAsia" w:ascii="宋体" w:hAnsi="宋体"/>
          <w:color w:val="000000" w:themeColor="text1"/>
          <w:sz w:val="24"/>
          <w14:textFill>
            <w14:solidFill>
              <w14:schemeClr w14:val="tx1"/>
            </w14:solidFill>
          </w14:textFill>
        </w:rPr>
        <w:t>）“招标文件”指由招标代理发出的本文件（包括全部章节、附件）及招标答疑会会议纪要和</w:t>
      </w:r>
      <w:r>
        <w:rPr>
          <w:rFonts w:hint="eastAsia" w:ascii="宋体" w:hAnsi="宋体"/>
          <w:bCs/>
          <w:color w:val="000000" w:themeColor="text1"/>
          <w:sz w:val="24"/>
          <w14:textFill>
            <w14:solidFill>
              <w14:schemeClr w14:val="tx1"/>
            </w14:solidFill>
          </w14:textFill>
        </w:rPr>
        <w:t>招标文件的澄清与修改</w:t>
      </w:r>
      <w:r>
        <w:rPr>
          <w:rFonts w:hint="eastAsia" w:ascii="宋体" w:hAnsi="宋体"/>
          <w:color w:val="000000" w:themeColor="text1"/>
          <w:sz w:val="24"/>
          <w14:textFill>
            <w14:solidFill>
              <w14:schemeClr w14:val="tx1"/>
            </w14:solidFill>
          </w14:textFill>
        </w:rPr>
        <w:t>文件。</w:t>
      </w:r>
    </w:p>
    <w:p>
      <w:pPr>
        <w:pStyle w:val="5"/>
        <w:spacing w:after="0" w:line="360" w:lineRule="auto"/>
        <w:ind w:firstLine="480" w:firstLineChars="200"/>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5</w:t>
      </w:r>
      <w:r>
        <w:rPr>
          <w:rFonts w:hint="eastAsia" w:ascii="宋体" w:hAnsi="宋体"/>
          <w:color w:val="000000" w:themeColor="text1"/>
          <w:sz w:val="24"/>
          <w14:textFill>
            <w14:solidFill>
              <w14:schemeClr w14:val="tx1"/>
            </w14:solidFill>
          </w14:textFill>
        </w:rPr>
        <w:t>）“投标文件”指投标人根据本项目招标文件向招标人提交的全部文件。</w:t>
      </w:r>
    </w:p>
    <w:p>
      <w:pPr>
        <w:pStyle w:val="5"/>
        <w:spacing w:after="0" w:line="360" w:lineRule="auto"/>
        <w:ind w:firstLine="480" w:firstLineChars="200"/>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6</w:t>
      </w:r>
      <w:r>
        <w:rPr>
          <w:rFonts w:hint="eastAsia" w:ascii="宋体" w:hAnsi="宋体"/>
          <w:color w:val="000000" w:themeColor="text1"/>
          <w:sz w:val="24"/>
          <w14:textFill>
            <w14:solidFill>
              <w14:schemeClr w14:val="tx1"/>
            </w14:solidFill>
          </w14:textFill>
        </w:rPr>
        <w:t>）“书面形式”指打字或印刷的文件和数据电文（包括电报、电传、传真、电子数据交换和电子邮件）。</w:t>
      </w:r>
    </w:p>
    <w:p>
      <w:pPr>
        <w:spacing w:line="360" w:lineRule="auto"/>
        <w:ind w:firstLine="482" w:firstLineChars="200"/>
        <w:rPr>
          <w:rFonts w:asci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2</w:t>
      </w:r>
      <w:r>
        <w:rPr>
          <w:rFonts w:hint="eastAsia" w:ascii="宋体" w:hAnsi="宋体"/>
          <w:b/>
          <w:color w:val="000000" w:themeColor="text1"/>
          <w:sz w:val="24"/>
          <w14:textFill>
            <w14:solidFill>
              <w14:schemeClr w14:val="tx1"/>
            </w14:solidFill>
          </w14:textFill>
        </w:rPr>
        <w:t>．招标说明</w:t>
      </w:r>
    </w:p>
    <w:p>
      <w:pPr>
        <w:spacing w:line="360" w:lineRule="auto"/>
        <w:ind w:firstLine="480" w:firstLineChars="200"/>
        <w:rPr>
          <w:rFonts w:asci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2.1</w:t>
      </w:r>
      <w:r>
        <w:rPr>
          <w:rFonts w:hint="eastAsia" w:ascii="宋体" w:hAnsi="宋体"/>
          <w:bCs/>
          <w:color w:val="000000" w:themeColor="text1"/>
          <w:sz w:val="24"/>
          <w14:textFill>
            <w14:solidFill>
              <w14:schemeClr w14:val="tx1"/>
            </w14:solidFill>
          </w14:textFill>
        </w:rPr>
        <w:t>本招标工程项目按照《中华人民共和国招标投标法》等有关法律、行政法规、规章和规范性文件，通过招标方式选定承包人。</w:t>
      </w:r>
    </w:p>
    <w:p>
      <w:pPr>
        <w:spacing w:line="360" w:lineRule="auto"/>
        <w:ind w:firstLine="480" w:firstLineChars="200"/>
        <w:rPr>
          <w:rFonts w:asci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2.2</w:t>
      </w:r>
      <w:r>
        <w:rPr>
          <w:rFonts w:hint="eastAsia" w:ascii="宋体" w:hAnsi="宋体"/>
          <w:bCs/>
          <w:color w:val="000000" w:themeColor="text1"/>
          <w:sz w:val="24"/>
          <w14:textFill>
            <w14:solidFill>
              <w14:schemeClr w14:val="tx1"/>
            </w14:solidFill>
          </w14:textFill>
        </w:rPr>
        <w:t>工程名称、建设地点、建设规模、承包方式、质量标准、招标范围、工期要求等均在投标须知前附表中列明。</w:t>
      </w:r>
    </w:p>
    <w:p>
      <w:pPr>
        <w:spacing w:line="360" w:lineRule="auto"/>
        <w:ind w:firstLine="480" w:firstLineChars="200"/>
        <w:rPr>
          <w:rFonts w:asci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2.3</w:t>
      </w:r>
      <w:r>
        <w:rPr>
          <w:rFonts w:hint="eastAsia" w:ascii="宋体" w:hAnsi="宋体"/>
          <w:bCs/>
          <w:color w:val="000000" w:themeColor="text1"/>
          <w:sz w:val="24"/>
          <w14:textFill>
            <w14:solidFill>
              <w14:schemeClr w14:val="tx1"/>
            </w14:solidFill>
          </w14:textFill>
        </w:rPr>
        <w:t>设计说明：详见招标图纸。</w:t>
      </w:r>
    </w:p>
    <w:p>
      <w:pPr>
        <w:spacing w:line="360" w:lineRule="auto"/>
        <w:ind w:firstLine="480" w:firstLineChars="200"/>
        <w:rPr>
          <w:rFonts w:asci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2.4</w:t>
      </w:r>
      <w:r>
        <w:rPr>
          <w:rFonts w:hint="eastAsia" w:ascii="宋体" w:hAnsi="宋体"/>
          <w:bCs/>
          <w:color w:val="000000" w:themeColor="text1"/>
          <w:sz w:val="24"/>
          <w14:textFill>
            <w14:solidFill>
              <w14:schemeClr w14:val="tx1"/>
            </w14:solidFill>
          </w14:textFill>
        </w:rPr>
        <w:t>工程施工特点：详见招标图纸。</w:t>
      </w:r>
    </w:p>
    <w:p>
      <w:pPr>
        <w:tabs>
          <w:tab w:val="left" w:pos="105"/>
        </w:tabs>
        <w:spacing w:line="360" w:lineRule="auto"/>
        <w:ind w:firstLine="482" w:firstLineChars="200"/>
        <w:rPr>
          <w:rFonts w:asci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3</w:t>
      </w:r>
      <w:r>
        <w:rPr>
          <w:rFonts w:hint="eastAsia" w:ascii="宋体" w:hAnsi="宋体"/>
          <w:b/>
          <w:color w:val="000000" w:themeColor="text1"/>
          <w:sz w:val="24"/>
          <w14:textFill>
            <w14:solidFill>
              <w14:schemeClr w14:val="tx1"/>
            </w14:solidFill>
          </w14:textFill>
        </w:rPr>
        <w:t>．资金来源</w:t>
      </w:r>
    </w:p>
    <w:p>
      <w:pPr>
        <w:spacing w:line="360" w:lineRule="auto"/>
        <w:ind w:firstLine="480" w:firstLineChars="200"/>
        <w:rPr>
          <w:rFonts w:asci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3.1</w:t>
      </w:r>
      <w:r>
        <w:rPr>
          <w:rFonts w:hint="eastAsia" w:ascii="宋体" w:hAnsi="宋体"/>
          <w:bCs/>
          <w:color w:val="000000" w:themeColor="text1"/>
          <w:sz w:val="24"/>
          <w14:textFill>
            <w14:solidFill>
              <w14:schemeClr w14:val="tx1"/>
            </w14:solidFill>
          </w14:textFill>
        </w:rPr>
        <w:t>本招标工程项目资金来源见投标须知前附表第</w:t>
      </w:r>
      <w:r>
        <w:rPr>
          <w:rFonts w:ascii="宋体" w:hAnsi="宋体"/>
          <w:bCs/>
          <w:color w:val="000000" w:themeColor="text1"/>
          <w:sz w:val="24"/>
          <w14:textFill>
            <w14:solidFill>
              <w14:schemeClr w14:val="tx1"/>
            </w14:solidFill>
          </w14:textFill>
        </w:rPr>
        <w:t>9</w:t>
      </w:r>
      <w:r>
        <w:rPr>
          <w:rFonts w:hint="eastAsia" w:ascii="宋体" w:hAnsi="宋体"/>
          <w:bCs/>
          <w:color w:val="000000" w:themeColor="text1"/>
          <w:sz w:val="24"/>
          <w14:textFill>
            <w14:solidFill>
              <w14:schemeClr w14:val="tx1"/>
            </w14:solidFill>
          </w14:textFill>
        </w:rPr>
        <w:t>项</w:t>
      </w:r>
    </w:p>
    <w:p>
      <w:pPr>
        <w:tabs>
          <w:tab w:val="left" w:pos="105"/>
        </w:tabs>
        <w:spacing w:line="360" w:lineRule="auto"/>
        <w:ind w:firstLine="482" w:firstLineChars="200"/>
        <w:rPr>
          <w:rFonts w:asci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4</w:t>
      </w:r>
      <w:r>
        <w:rPr>
          <w:rFonts w:hint="eastAsia" w:ascii="宋体" w:hAnsi="宋体"/>
          <w:b/>
          <w:color w:val="000000" w:themeColor="text1"/>
          <w:sz w:val="24"/>
          <w14:textFill>
            <w14:solidFill>
              <w14:schemeClr w14:val="tx1"/>
            </w14:solidFill>
          </w14:textFill>
        </w:rPr>
        <w:t>．合格投标人的条件</w:t>
      </w:r>
    </w:p>
    <w:p>
      <w:pPr>
        <w:spacing w:line="360" w:lineRule="auto"/>
        <w:ind w:firstLine="480" w:firstLineChars="200"/>
        <w:rPr>
          <w:rFonts w:asci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4.1</w:t>
      </w:r>
      <w:r>
        <w:rPr>
          <w:rFonts w:hint="eastAsia" w:ascii="宋体" w:hAnsi="宋体"/>
          <w:bCs/>
          <w:color w:val="000000" w:themeColor="text1"/>
          <w:sz w:val="24"/>
          <w14:textFill>
            <w14:solidFill>
              <w14:schemeClr w14:val="tx1"/>
            </w14:solidFill>
          </w14:textFill>
        </w:rPr>
        <w:t>详见本项目招标公告</w:t>
      </w:r>
    </w:p>
    <w:p>
      <w:pPr>
        <w:tabs>
          <w:tab w:val="left" w:pos="105"/>
        </w:tabs>
        <w:spacing w:line="360" w:lineRule="auto"/>
        <w:ind w:firstLine="482" w:firstLineChars="200"/>
        <w:rPr>
          <w:rFonts w:asci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5</w:t>
      </w:r>
      <w:r>
        <w:rPr>
          <w:rFonts w:hint="eastAsia" w:ascii="宋体" w:hAnsi="宋体"/>
          <w:b/>
          <w:color w:val="000000" w:themeColor="text1"/>
          <w:sz w:val="24"/>
          <w14:textFill>
            <w14:solidFill>
              <w14:schemeClr w14:val="tx1"/>
            </w14:solidFill>
          </w14:textFill>
        </w:rPr>
        <w:t>．踏勘现场</w:t>
      </w:r>
    </w:p>
    <w:p>
      <w:pPr>
        <w:spacing w:line="360" w:lineRule="auto"/>
        <w:ind w:firstLine="480" w:firstLineChars="200"/>
        <w:rPr>
          <w:rFonts w:ascii="宋体"/>
          <w:bCs/>
          <w:color w:val="000000" w:themeColor="text1"/>
          <w:sz w:val="24"/>
          <w:u w:val="single"/>
          <w14:textFill>
            <w14:solidFill>
              <w14:schemeClr w14:val="tx1"/>
            </w14:solidFill>
          </w14:textFill>
        </w:rPr>
      </w:pPr>
      <w:r>
        <w:rPr>
          <w:rFonts w:ascii="宋体" w:hAnsi="宋体"/>
          <w:bCs/>
          <w:color w:val="000000" w:themeColor="text1"/>
          <w:sz w:val="24"/>
          <w14:textFill>
            <w14:solidFill>
              <w14:schemeClr w14:val="tx1"/>
            </w14:solidFill>
          </w14:textFill>
        </w:rPr>
        <w:t>5.1</w:t>
      </w:r>
      <w:r>
        <w:rPr>
          <w:rFonts w:hint="eastAsia" w:ascii="宋体" w:hAnsi="宋体"/>
          <w:bCs/>
          <w:color w:val="000000" w:themeColor="text1"/>
          <w:sz w:val="24"/>
          <w14:textFill>
            <w14:solidFill>
              <w14:schemeClr w14:val="tx1"/>
            </w14:solidFill>
          </w14:textFill>
        </w:rPr>
        <w:t>投标人应按本投标须知前附表第</w:t>
      </w:r>
      <w:r>
        <w:rPr>
          <w:rFonts w:ascii="宋体" w:hAnsi="宋体"/>
          <w:bCs/>
          <w:color w:val="000000" w:themeColor="text1"/>
          <w:sz w:val="24"/>
          <w14:textFill>
            <w14:solidFill>
              <w14:schemeClr w14:val="tx1"/>
            </w14:solidFill>
          </w14:textFill>
        </w:rPr>
        <w:t>15</w:t>
      </w:r>
      <w:r>
        <w:rPr>
          <w:rFonts w:hint="eastAsia" w:ascii="宋体" w:hAnsi="宋体"/>
          <w:bCs/>
          <w:color w:val="000000" w:themeColor="text1"/>
          <w:sz w:val="24"/>
          <w14:textFill>
            <w14:solidFill>
              <w14:schemeClr w14:val="tx1"/>
            </w14:solidFill>
          </w14:textFill>
        </w:rPr>
        <w:t>项所述时间和要求对工程现场及周围环境进行踏勘，</w:t>
      </w:r>
      <w:r>
        <w:rPr>
          <w:rFonts w:hint="eastAsia" w:ascii="宋体" w:hAnsi="宋体"/>
          <w:color w:val="000000" w:themeColor="text1"/>
          <w:sz w:val="24"/>
          <w14:textFill>
            <w14:solidFill>
              <w14:schemeClr w14:val="tx1"/>
            </w14:solidFill>
          </w14:textFill>
        </w:rPr>
        <w:t>投标人应充分重视和仔细地进行这种考察，</w:t>
      </w:r>
      <w:r>
        <w:rPr>
          <w:rFonts w:hint="eastAsia" w:ascii="宋体" w:hAnsi="宋体"/>
          <w:bCs/>
          <w:color w:val="000000" w:themeColor="text1"/>
          <w:sz w:val="24"/>
          <w14:textFill>
            <w14:solidFill>
              <w14:schemeClr w14:val="tx1"/>
            </w14:solidFill>
          </w14:textFill>
        </w:rPr>
        <w:t>以便投标人获取</w:t>
      </w:r>
      <w:r>
        <w:rPr>
          <w:rFonts w:hint="eastAsia" w:ascii="宋体" w:hAnsi="宋体"/>
          <w:color w:val="000000" w:themeColor="text1"/>
          <w:sz w:val="24"/>
          <w14:textFill>
            <w14:solidFill>
              <w14:schemeClr w14:val="tx1"/>
            </w14:solidFill>
          </w14:textFill>
        </w:rPr>
        <w:t>那些须投标人自己负责的</w:t>
      </w:r>
      <w:r>
        <w:rPr>
          <w:rFonts w:hint="eastAsia" w:ascii="宋体" w:hAnsi="宋体"/>
          <w:bCs/>
          <w:color w:val="000000" w:themeColor="text1"/>
          <w:sz w:val="24"/>
          <w14:textFill>
            <w14:solidFill>
              <w14:schemeClr w14:val="tx1"/>
            </w14:solidFill>
          </w14:textFill>
        </w:rPr>
        <w:t>有关编制投标文件和签署合同所涉及现场所有的资料。</w:t>
      </w:r>
      <w:r>
        <w:rPr>
          <w:rFonts w:hint="eastAsia" w:ascii="宋体" w:hAnsi="宋体"/>
          <w:color w:val="000000" w:themeColor="text1"/>
          <w:sz w:val="24"/>
          <w14:textFill>
            <w14:solidFill>
              <w14:schemeClr w14:val="tx1"/>
            </w14:solidFill>
          </w14:textFill>
        </w:rPr>
        <w:t>一旦中标，这种考察即被认为其结果已在中标文件中得到充分反映。考察现场的费用由投标人自己承担。</w:t>
      </w:r>
    </w:p>
    <w:p>
      <w:pPr>
        <w:tabs>
          <w:tab w:val="left" w:pos="105"/>
        </w:tabs>
        <w:spacing w:line="360" w:lineRule="auto"/>
        <w:ind w:firstLine="480" w:firstLineChars="200"/>
        <w:rPr>
          <w:rFonts w:asci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5.2</w:t>
      </w:r>
      <w:r>
        <w:rPr>
          <w:rFonts w:hint="eastAsia" w:ascii="宋体" w:hAnsi="宋体"/>
          <w:bCs/>
          <w:color w:val="000000" w:themeColor="text1"/>
          <w:sz w:val="24"/>
          <w14:textFill>
            <w14:solidFill>
              <w14:schemeClr w14:val="tx1"/>
            </w14:solidFill>
          </w14:textFill>
        </w:rPr>
        <w:t>招标人向投标人提供的有关现场的数据和资料，是招标人现有的能被投标人利用的资料，招标人对投标人做出的任何推论、理解和结论均不负责任。</w:t>
      </w:r>
    </w:p>
    <w:p>
      <w:pPr>
        <w:spacing w:line="360" w:lineRule="auto"/>
        <w:ind w:firstLine="480" w:firstLineChars="200"/>
        <w:rPr>
          <w:rFonts w:asci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5.3</w:t>
      </w:r>
      <w:r>
        <w:rPr>
          <w:rFonts w:hint="eastAsia" w:ascii="宋体" w:hAnsi="宋体"/>
          <w:bCs/>
          <w:color w:val="000000" w:themeColor="text1"/>
          <w:sz w:val="24"/>
          <w14:textFill>
            <w14:solidFill>
              <w14:schemeClr w14:val="tx1"/>
            </w14:solidFill>
          </w14:textFill>
        </w:rPr>
        <w:t>经招标人允许，投标人可为踏勘目的进入招标人的项目现场。</w:t>
      </w:r>
      <w:r>
        <w:rPr>
          <w:rFonts w:hint="eastAsia" w:ascii="宋体" w:hAnsi="宋体"/>
          <w:color w:val="000000" w:themeColor="text1"/>
          <w:sz w:val="24"/>
          <w14:textFill>
            <w14:solidFill>
              <w14:schemeClr w14:val="tx1"/>
            </w14:solidFill>
          </w14:textFill>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bCs/>
          <w:color w:val="000000" w:themeColor="text1"/>
          <w:sz w:val="24"/>
          <w14:textFill>
            <w14:solidFill>
              <w14:schemeClr w14:val="tx1"/>
            </w14:solidFill>
          </w14:textFill>
        </w:rPr>
        <w:t>投标人不得因此使招标人承担有关的责任和蒙受损失。</w:t>
      </w:r>
    </w:p>
    <w:p>
      <w:pPr>
        <w:tabs>
          <w:tab w:val="left" w:pos="105"/>
        </w:tabs>
        <w:spacing w:line="360" w:lineRule="auto"/>
        <w:ind w:firstLine="482" w:firstLineChars="200"/>
        <w:rPr>
          <w:rFonts w:asci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6</w:t>
      </w:r>
      <w:r>
        <w:rPr>
          <w:rFonts w:hint="eastAsia" w:ascii="宋体" w:hAnsi="宋体"/>
          <w:b/>
          <w:color w:val="000000" w:themeColor="text1"/>
          <w:sz w:val="24"/>
          <w14:textFill>
            <w14:solidFill>
              <w14:schemeClr w14:val="tx1"/>
            </w14:solidFill>
          </w14:textFill>
        </w:rPr>
        <w:t>．投标费用</w:t>
      </w:r>
    </w:p>
    <w:p>
      <w:pPr>
        <w:tabs>
          <w:tab w:val="left" w:pos="105"/>
        </w:tabs>
        <w:spacing w:line="360" w:lineRule="auto"/>
        <w:ind w:firstLine="480" w:firstLineChars="200"/>
        <w:rPr>
          <w:rFonts w:asci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6.1</w:t>
      </w:r>
      <w:r>
        <w:rPr>
          <w:rFonts w:hint="eastAsia" w:ascii="宋体" w:hAnsi="宋体"/>
          <w:color w:val="000000" w:themeColor="text1"/>
          <w:sz w:val="24"/>
          <w14:textFill>
            <w14:solidFill>
              <w14:schemeClr w14:val="tx1"/>
            </w14:solidFill>
          </w14:textFill>
        </w:rPr>
        <w:t>不论投标结果如何，投标人应承担</w:t>
      </w:r>
      <w:r>
        <w:rPr>
          <w:rFonts w:hint="eastAsia" w:ascii="宋体" w:hAnsi="宋体"/>
          <w:bCs/>
          <w:color w:val="000000" w:themeColor="text1"/>
          <w:sz w:val="24"/>
          <w14:textFill>
            <w14:solidFill>
              <w14:schemeClr w14:val="tx1"/>
            </w14:solidFill>
          </w14:textFill>
        </w:rPr>
        <w:t>自身</w:t>
      </w:r>
      <w:r>
        <w:rPr>
          <w:rFonts w:hint="eastAsia" w:ascii="宋体" w:hAnsi="宋体"/>
          <w:color w:val="000000" w:themeColor="text1"/>
          <w:sz w:val="24"/>
          <w14:textFill>
            <w14:solidFill>
              <w14:schemeClr w14:val="tx1"/>
            </w14:solidFill>
          </w14:textFill>
        </w:rPr>
        <w:t>因投标文件编制、递交及其他</w:t>
      </w:r>
      <w:r>
        <w:rPr>
          <w:rFonts w:hint="eastAsia" w:ascii="宋体" w:hAnsi="宋体"/>
          <w:bCs/>
          <w:color w:val="000000" w:themeColor="text1"/>
          <w:sz w:val="24"/>
          <w14:textFill>
            <w14:solidFill>
              <w14:schemeClr w14:val="tx1"/>
            </w14:solidFill>
          </w14:textFill>
        </w:rPr>
        <w:t>参加本招标活动</w:t>
      </w:r>
      <w:r>
        <w:rPr>
          <w:rFonts w:hint="eastAsia" w:ascii="宋体" w:hAnsi="宋体"/>
          <w:color w:val="000000" w:themeColor="text1"/>
          <w:sz w:val="24"/>
          <w14:textFill>
            <w14:solidFill>
              <w14:schemeClr w14:val="tx1"/>
            </w14:solidFill>
          </w14:textFill>
        </w:rPr>
        <w:t>所涉及的一切费用，招标人对上述费用不负任何责任。</w:t>
      </w:r>
    </w:p>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jc w:val="left"/>
        <w:textAlignment w:val="auto"/>
        <w:rPr>
          <w:rFonts w:hint="eastAsia" w:ascii="宋体" w:hAnsi="宋体" w:eastAsia="宋体" w:cs="Times New Roman"/>
          <w:b/>
          <w:bCs/>
          <w:color w:val="000000" w:themeColor="text1"/>
          <w:sz w:val="24"/>
          <w:szCs w:val="20"/>
          <w14:textFill>
            <w14:solidFill>
              <w14:schemeClr w14:val="tx1"/>
            </w14:solidFill>
          </w14:textFill>
        </w:rPr>
      </w:pPr>
      <w:bookmarkStart w:id="18" w:name="_Toc2272550"/>
      <w:bookmarkStart w:id="19" w:name="_Toc18687"/>
      <w:bookmarkStart w:id="20" w:name="_Toc21525494"/>
      <w:r>
        <w:rPr>
          <w:rFonts w:hint="eastAsia" w:ascii="宋体" w:hAnsi="宋体" w:eastAsia="宋体" w:cs="Times New Roman"/>
          <w:b/>
          <w:bCs/>
          <w:color w:val="000000" w:themeColor="text1"/>
          <w:sz w:val="24"/>
          <w:szCs w:val="20"/>
          <w14:textFill>
            <w14:solidFill>
              <w14:schemeClr w14:val="tx1"/>
            </w14:solidFill>
          </w14:textFill>
        </w:rPr>
        <w:t>（二）招标文件</w:t>
      </w:r>
      <w:bookmarkEnd w:id="18"/>
      <w:bookmarkEnd w:id="19"/>
      <w:bookmarkEnd w:id="20"/>
    </w:p>
    <w:p>
      <w:pPr>
        <w:tabs>
          <w:tab w:val="left" w:pos="105"/>
        </w:tabs>
        <w:spacing w:line="360" w:lineRule="auto"/>
        <w:ind w:firstLine="482" w:firstLineChars="200"/>
        <w:rPr>
          <w:rFonts w:asci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7.</w:t>
      </w:r>
      <w:r>
        <w:rPr>
          <w:rFonts w:hint="eastAsia" w:ascii="宋体" w:hAnsi="宋体"/>
          <w:b/>
          <w:color w:val="000000" w:themeColor="text1"/>
          <w:sz w:val="24"/>
          <w14:textFill>
            <w14:solidFill>
              <w14:schemeClr w14:val="tx1"/>
            </w14:solidFill>
          </w14:textFill>
        </w:rPr>
        <w:t>招标文件的组成</w:t>
      </w:r>
    </w:p>
    <w:p>
      <w:pPr>
        <w:widowControl/>
        <w:spacing w:line="360" w:lineRule="auto"/>
        <w:ind w:firstLine="480" w:firstLineChars="200"/>
        <w:jc w:val="left"/>
        <w:rPr>
          <w:rFonts w:hint="eastAsia" w:ascii="宋体" w:hAnsi="宋体"/>
          <w:color w:val="000000" w:themeColor="text1"/>
          <w:sz w:val="24"/>
          <w:szCs w:val="20"/>
          <w14:textFill>
            <w14:solidFill>
              <w14:schemeClr w14:val="tx1"/>
            </w14:solidFill>
          </w14:textFill>
        </w:rPr>
      </w:pPr>
      <w:r>
        <w:rPr>
          <w:rFonts w:ascii="宋体" w:hAnsi="宋体"/>
          <w:color w:val="000000" w:themeColor="text1"/>
          <w:sz w:val="24"/>
          <w:szCs w:val="20"/>
          <w14:textFill>
            <w14:solidFill>
              <w14:schemeClr w14:val="tx1"/>
            </w14:solidFill>
          </w14:textFill>
        </w:rPr>
        <w:t>7.1本招标文件包括下列文件，以及所有按本须知第8条发出的招标答疑会会议纪要和按本须知第9条发出的澄清或修改：</w:t>
      </w:r>
    </w:p>
    <w:p>
      <w:pPr>
        <w:widowControl/>
        <w:spacing w:line="360" w:lineRule="auto"/>
        <w:ind w:firstLine="480" w:firstLineChars="200"/>
        <w:jc w:val="left"/>
        <w:rPr>
          <w:rFonts w:hint="eastAsia" w:ascii="宋体" w:hAnsi="宋体"/>
          <w:color w:val="000000" w:themeColor="text1"/>
          <w:sz w:val="24"/>
          <w:szCs w:val="20"/>
          <w14:textFill>
            <w14:solidFill>
              <w14:schemeClr w14:val="tx1"/>
            </w14:solidFill>
          </w14:textFill>
        </w:rPr>
      </w:pPr>
      <w:r>
        <w:rPr>
          <w:rFonts w:ascii="宋体" w:hAnsi="宋体"/>
          <w:color w:val="000000" w:themeColor="text1"/>
          <w:sz w:val="24"/>
          <w:szCs w:val="20"/>
          <w14:textFill>
            <w14:solidFill>
              <w14:schemeClr w14:val="tx1"/>
            </w14:solidFill>
          </w14:textFill>
        </w:rPr>
        <w:t>第一章  投标须知</w:t>
      </w:r>
    </w:p>
    <w:p>
      <w:pPr>
        <w:widowControl/>
        <w:spacing w:line="360" w:lineRule="auto"/>
        <w:ind w:firstLine="480" w:firstLineChars="200"/>
        <w:jc w:val="left"/>
        <w:rPr>
          <w:rFonts w:hint="eastAsia" w:ascii="宋体" w:hAnsi="宋体"/>
          <w:color w:val="000000" w:themeColor="text1"/>
          <w:sz w:val="24"/>
          <w:szCs w:val="20"/>
          <w14:textFill>
            <w14:solidFill>
              <w14:schemeClr w14:val="tx1"/>
            </w14:solidFill>
          </w14:textFill>
        </w:rPr>
      </w:pPr>
      <w:r>
        <w:rPr>
          <w:rFonts w:ascii="宋体" w:hAnsi="宋体"/>
          <w:color w:val="000000" w:themeColor="text1"/>
          <w:sz w:val="24"/>
          <w:szCs w:val="20"/>
          <w14:textFill>
            <w14:solidFill>
              <w14:schemeClr w14:val="tx1"/>
            </w14:solidFill>
          </w14:textFill>
        </w:rPr>
        <w:t>第二章  开标、评标及定标办法</w:t>
      </w:r>
    </w:p>
    <w:p>
      <w:pPr>
        <w:widowControl/>
        <w:spacing w:line="360" w:lineRule="auto"/>
        <w:ind w:firstLine="480" w:firstLineChars="200"/>
        <w:jc w:val="left"/>
        <w:rPr>
          <w:rFonts w:hint="eastAsia" w:ascii="宋体" w:hAnsi="宋体"/>
          <w:color w:val="000000" w:themeColor="text1"/>
          <w:sz w:val="24"/>
          <w:szCs w:val="20"/>
          <w14:textFill>
            <w14:solidFill>
              <w14:schemeClr w14:val="tx1"/>
            </w14:solidFill>
          </w14:textFill>
        </w:rPr>
      </w:pPr>
      <w:r>
        <w:rPr>
          <w:rFonts w:ascii="宋体" w:hAnsi="宋体"/>
          <w:color w:val="000000" w:themeColor="text1"/>
          <w:sz w:val="24"/>
          <w:szCs w:val="20"/>
          <w14:textFill>
            <w14:solidFill>
              <w14:schemeClr w14:val="tx1"/>
            </w14:solidFill>
          </w14:textFill>
        </w:rPr>
        <w:t>第三章  合同条款</w:t>
      </w:r>
    </w:p>
    <w:p>
      <w:pPr>
        <w:widowControl/>
        <w:spacing w:line="360" w:lineRule="auto"/>
        <w:ind w:firstLine="480" w:firstLineChars="200"/>
        <w:jc w:val="left"/>
        <w:rPr>
          <w:rFonts w:hint="eastAsia" w:ascii="宋体" w:hAnsi="宋体"/>
          <w:color w:val="000000" w:themeColor="text1"/>
          <w:sz w:val="24"/>
          <w:szCs w:val="20"/>
          <w14:textFill>
            <w14:solidFill>
              <w14:schemeClr w14:val="tx1"/>
            </w14:solidFill>
          </w14:textFill>
        </w:rPr>
      </w:pPr>
      <w:r>
        <w:rPr>
          <w:rFonts w:ascii="宋体" w:hAnsi="宋体"/>
          <w:color w:val="000000" w:themeColor="text1"/>
          <w:sz w:val="24"/>
          <w:szCs w:val="20"/>
          <w14:textFill>
            <w14:solidFill>
              <w14:schemeClr w14:val="tx1"/>
            </w14:solidFill>
          </w14:textFill>
        </w:rPr>
        <w:t>第四章  投标文件格式</w:t>
      </w:r>
    </w:p>
    <w:p>
      <w:pPr>
        <w:widowControl/>
        <w:spacing w:line="360" w:lineRule="auto"/>
        <w:ind w:firstLine="480" w:firstLineChars="200"/>
        <w:jc w:val="left"/>
        <w:rPr>
          <w:rFonts w:hint="eastAsia" w:ascii="宋体" w:hAnsi="宋体"/>
          <w:color w:val="000000" w:themeColor="text1"/>
          <w:sz w:val="24"/>
          <w:szCs w:val="20"/>
          <w14:textFill>
            <w14:solidFill>
              <w14:schemeClr w14:val="tx1"/>
            </w14:solidFill>
          </w14:textFill>
        </w:rPr>
      </w:pPr>
      <w:r>
        <w:rPr>
          <w:rFonts w:ascii="宋体" w:hAnsi="宋体"/>
          <w:color w:val="000000" w:themeColor="text1"/>
          <w:sz w:val="24"/>
          <w:szCs w:val="20"/>
          <w14:textFill>
            <w14:solidFill>
              <w14:schemeClr w14:val="tx1"/>
            </w14:solidFill>
          </w14:textFill>
        </w:rPr>
        <w:t>第五章  技术条件（工程建设标准）（另册）</w:t>
      </w:r>
    </w:p>
    <w:p>
      <w:pPr>
        <w:widowControl/>
        <w:spacing w:line="360" w:lineRule="auto"/>
        <w:ind w:firstLine="480" w:firstLineChars="200"/>
        <w:jc w:val="left"/>
        <w:rPr>
          <w:rFonts w:hint="eastAsia" w:ascii="宋体" w:hAnsi="宋体"/>
          <w:color w:val="000000" w:themeColor="text1"/>
          <w:sz w:val="24"/>
          <w:szCs w:val="20"/>
          <w14:textFill>
            <w14:solidFill>
              <w14:schemeClr w14:val="tx1"/>
            </w14:solidFill>
          </w14:textFill>
        </w:rPr>
      </w:pPr>
      <w:r>
        <w:rPr>
          <w:rFonts w:ascii="宋体" w:hAnsi="宋体"/>
          <w:color w:val="000000" w:themeColor="text1"/>
          <w:sz w:val="24"/>
          <w:szCs w:val="20"/>
          <w14:textFill>
            <w14:solidFill>
              <w14:schemeClr w14:val="tx1"/>
            </w14:solidFill>
          </w14:textFill>
        </w:rPr>
        <w:t>第六章  图纸及勘察资料（另册）</w:t>
      </w:r>
    </w:p>
    <w:p>
      <w:pPr>
        <w:widowControl/>
        <w:spacing w:line="360" w:lineRule="auto"/>
        <w:ind w:firstLine="480" w:firstLineChars="200"/>
        <w:jc w:val="left"/>
        <w:rPr>
          <w:rFonts w:hint="eastAsia" w:ascii="宋体" w:hAnsi="宋体"/>
          <w:color w:val="000000" w:themeColor="text1"/>
          <w:sz w:val="24"/>
          <w:szCs w:val="20"/>
          <w14:textFill>
            <w14:solidFill>
              <w14:schemeClr w14:val="tx1"/>
            </w14:solidFill>
          </w14:textFill>
        </w:rPr>
      </w:pPr>
      <w:r>
        <w:rPr>
          <w:rFonts w:ascii="宋体" w:hAnsi="宋体"/>
          <w:color w:val="000000" w:themeColor="text1"/>
          <w:sz w:val="24"/>
          <w:szCs w:val="20"/>
          <w14:textFill>
            <w14:solidFill>
              <w14:schemeClr w14:val="tx1"/>
            </w14:solidFill>
          </w14:textFill>
        </w:rPr>
        <w:t>第七章  招标工程量清单（另册）</w:t>
      </w:r>
    </w:p>
    <w:p>
      <w:pPr>
        <w:widowControl/>
        <w:spacing w:line="360" w:lineRule="auto"/>
        <w:ind w:firstLine="480" w:firstLineChars="200"/>
        <w:jc w:val="left"/>
        <w:rPr>
          <w:rFonts w:hint="eastAsia" w:ascii="宋体" w:hAnsi="宋体"/>
          <w:color w:val="000000" w:themeColor="text1"/>
          <w:sz w:val="24"/>
          <w:szCs w:val="20"/>
          <w:highlight w:val="non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t>第八章  最高投标限价</w:t>
      </w:r>
    </w:p>
    <w:p>
      <w:pPr>
        <w:pStyle w:val="5"/>
        <w:spacing w:after="0" w:line="360" w:lineRule="auto"/>
        <w:ind w:left="-2" w:firstLine="480" w:firstLineChars="200"/>
        <w:rPr>
          <w:rFonts w:hint="eastAsia" w:ascii="宋体" w:hAnsi="宋体"/>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注：</w:t>
      </w:r>
      <w:r>
        <w:rPr>
          <w:rFonts w:ascii="宋体" w:hAnsi="宋体"/>
          <w:bCs/>
          <w:color w:val="000000" w:themeColor="text1"/>
          <w:sz w:val="24"/>
          <w:highlight w:val="none"/>
          <w14:textFill>
            <w14:solidFill>
              <w14:schemeClr w14:val="tx1"/>
            </w14:solidFill>
          </w14:textFill>
        </w:rPr>
        <w:fldChar w:fldCharType="begin"/>
      </w:r>
      <w:r>
        <w:rPr>
          <w:rFonts w:ascii="宋体" w:hAnsi="宋体"/>
          <w:bCs/>
          <w:color w:val="000000" w:themeColor="text1"/>
          <w:sz w:val="24"/>
          <w:highlight w:val="none"/>
          <w14:textFill>
            <w14:solidFill>
              <w14:schemeClr w14:val="tx1"/>
            </w14:solidFill>
          </w14:textFill>
        </w:rPr>
        <w:instrText xml:space="preserve"> = 1 \* GB3 </w:instrText>
      </w:r>
      <w:r>
        <w:rPr>
          <w:rFonts w:ascii="宋体" w:hAnsi="宋体"/>
          <w:bCs/>
          <w:color w:val="000000" w:themeColor="text1"/>
          <w:sz w:val="24"/>
          <w:highlight w:val="none"/>
          <w14:textFill>
            <w14:solidFill>
              <w14:schemeClr w14:val="tx1"/>
            </w14:solidFill>
          </w14:textFill>
        </w:rPr>
        <w:fldChar w:fldCharType="separate"/>
      </w:r>
      <w:r>
        <w:rPr>
          <w:rFonts w:ascii="宋体" w:hAnsi="宋体"/>
          <w:bCs/>
          <w:color w:val="000000" w:themeColor="text1"/>
          <w:sz w:val="24"/>
          <w:highlight w:val="none"/>
          <w14:textFill>
            <w14:solidFill>
              <w14:schemeClr w14:val="tx1"/>
            </w14:solidFill>
          </w14:textFill>
        </w:rPr>
        <w:t>①</w:t>
      </w:r>
      <w:r>
        <w:rPr>
          <w:rFonts w:ascii="宋体" w:hAnsi="宋体"/>
          <w:bCs/>
          <w:color w:val="000000" w:themeColor="text1"/>
          <w:sz w:val="24"/>
          <w:highlight w:val="none"/>
          <w14:textFill>
            <w14:solidFill>
              <w14:schemeClr w14:val="tx1"/>
            </w14:solidFill>
          </w14:textFill>
        </w:rPr>
        <w:fldChar w:fldCharType="end"/>
      </w:r>
      <w:r>
        <w:rPr>
          <w:rFonts w:ascii="宋体" w:hAnsi="宋体"/>
          <w:bCs/>
          <w:color w:val="000000" w:themeColor="text1"/>
          <w:sz w:val="24"/>
          <w:highlight w:val="none"/>
          <w14:textFill>
            <w14:solidFill>
              <w14:schemeClr w14:val="tx1"/>
            </w14:solidFill>
          </w14:textFill>
        </w:rPr>
        <w:t>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w:t>
      </w:r>
      <w:r>
        <w:rPr>
          <w:rFonts w:ascii="宋体" w:hAnsi="宋体"/>
          <w:bCs/>
          <w:color w:val="000000" w:themeColor="text1"/>
          <w:sz w:val="24"/>
          <w:highlight w:val="none"/>
          <w14:textFill>
            <w14:solidFill>
              <w14:schemeClr w14:val="tx1"/>
            </w14:solidFill>
          </w14:textFill>
        </w:rPr>
        <w:fldChar w:fldCharType="begin"/>
      </w:r>
      <w:r>
        <w:rPr>
          <w:rFonts w:ascii="宋体" w:hAnsi="宋体"/>
          <w:bCs/>
          <w:color w:val="000000" w:themeColor="text1"/>
          <w:sz w:val="24"/>
          <w:highlight w:val="none"/>
          <w14:textFill>
            <w14:solidFill>
              <w14:schemeClr w14:val="tx1"/>
            </w14:solidFill>
          </w14:textFill>
        </w:rPr>
        <w:instrText xml:space="preserve"> = 2 \* GB3 </w:instrText>
      </w:r>
      <w:r>
        <w:rPr>
          <w:rFonts w:ascii="宋体" w:hAnsi="宋体"/>
          <w:bCs/>
          <w:color w:val="000000" w:themeColor="text1"/>
          <w:sz w:val="24"/>
          <w:highlight w:val="none"/>
          <w14:textFill>
            <w14:solidFill>
              <w14:schemeClr w14:val="tx1"/>
            </w14:solidFill>
          </w14:textFill>
        </w:rPr>
        <w:fldChar w:fldCharType="separate"/>
      </w:r>
      <w:r>
        <w:rPr>
          <w:rFonts w:ascii="宋体" w:hAnsi="宋体"/>
          <w:bCs/>
          <w:color w:val="000000" w:themeColor="text1"/>
          <w:sz w:val="24"/>
          <w:highlight w:val="none"/>
          <w14:textFill>
            <w14:solidFill>
              <w14:schemeClr w14:val="tx1"/>
            </w14:solidFill>
          </w14:textFill>
        </w:rPr>
        <w:t>②</w:t>
      </w:r>
      <w:r>
        <w:rPr>
          <w:rFonts w:ascii="宋体" w:hAnsi="宋体"/>
          <w:bCs/>
          <w:color w:val="000000" w:themeColor="text1"/>
          <w:sz w:val="24"/>
          <w:highlight w:val="none"/>
          <w14:textFill>
            <w14:solidFill>
              <w14:schemeClr w14:val="tx1"/>
            </w14:solidFill>
          </w14:textFill>
        </w:rPr>
        <w:fldChar w:fldCharType="end"/>
      </w:r>
      <w:r>
        <w:rPr>
          <w:rFonts w:ascii="宋体" w:hAnsi="宋体"/>
          <w:bCs/>
          <w:color w:val="000000" w:themeColor="text1"/>
          <w:sz w:val="24"/>
          <w:highlight w:val="none"/>
          <w14:textFill>
            <w14:solidFill>
              <w14:schemeClr w14:val="tx1"/>
            </w14:solidFill>
          </w14:textFill>
        </w:rPr>
        <w:t>鼓励招标人对施工组织设计或施工方案实行隐藏投标人信息的暗标评审。</w:t>
      </w:r>
    </w:p>
    <w:p>
      <w:pPr>
        <w:pStyle w:val="5"/>
        <w:spacing w:after="0"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highlight w:val="none"/>
          <w14:textFill>
            <w14:solidFill>
              <w14:schemeClr w14:val="tx1"/>
            </w14:solidFill>
          </w14:textFill>
        </w:rPr>
        <w:t>7.2</w:t>
      </w:r>
      <w:r>
        <w:rPr>
          <w:rFonts w:hint="eastAsia" w:ascii="宋体" w:hAnsi="宋体"/>
          <w:color w:val="000000" w:themeColor="text1"/>
          <w:sz w:val="24"/>
          <w:highlight w:val="none"/>
          <w14:textFill>
            <w14:solidFill>
              <w14:schemeClr w14:val="tx1"/>
            </w14:solidFill>
          </w14:textFill>
        </w:rPr>
        <w:t>投标人获取招标文件后，应仔细检查招标文件的所有内容，认真审阅招标文件</w:t>
      </w:r>
      <w:r>
        <w:rPr>
          <w:rFonts w:hint="eastAsia" w:ascii="宋体" w:hAnsi="宋体"/>
          <w:color w:val="000000" w:themeColor="text1"/>
          <w:sz w:val="24"/>
          <w14:textFill>
            <w14:solidFill>
              <w14:schemeClr w14:val="tx1"/>
            </w14:solidFill>
          </w14:textFill>
        </w:rPr>
        <w:t>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pPr>
        <w:pStyle w:val="5"/>
        <w:spacing w:after="0"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7.3</w:t>
      </w:r>
      <w:r>
        <w:rPr>
          <w:rFonts w:hint="eastAsia" w:ascii="宋体" w:hAnsi="宋体"/>
          <w:color w:val="000000" w:themeColor="text1"/>
          <w:sz w:val="24"/>
          <w14:textFill>
            <w14:solidFill>
              <w14:schemeClr w14:val="tx1"/>
            </w14:solidFill>
          </w14:textFill>
        </w:rPr>
        <w:t>投标人一旦中标，招标文件的内容对招标人和中标人双方均有约束力。</w:t>
      </w:r>
    </w:p>
    <w:p>
      <w:pPr>
        <w:pStyle w:val="5"/>
        <w:spacing w:after="0" w:line="360" w:lineRule="auto"/>
        <w:ind w:firstLine="482" w:firstLineChars="200"/>
        <w:rPr>
          <w:rFonts w:asci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8</w:t>
      </w:r>
      <w:r>
        <w:rPr>
          <w:rFonts w:hint="eastAsia" w:ascii="宋体" w:hAnsi="宋体"/>
          <w:b/>
          <w:bCs/>
          <w:color w:val="000000" w:themeColor="text1"/>
          <w:sz w:val="24"/>
          <w14:textFill>
            <w14:solidFill>
              <w14:schemeClr w14:val="tx1"/>
            </w14:solidFill>
          </w14:textFill>
        </w:rPr>
        <w:t>．招标答疑</w:t>
      </w:r>
    </w:p>
    <w:p>
      <w:pPr>
        <w:pStyle w:val="5"/>
        <w:spacing w:after="0"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8.1</w:t>
      </w:r>
      <w:r>
        <w:rPr>
          <w:rFonts w:hint="eastAsia" w:ascii="宋体" w:hAnsi="宋体"/>
          <w:color w:val="000000" w:themeColor="text1"/>
          <w:sz w:val="24"/>
          <w14:textFill>
            <w14:solidFill>
              <w14:schemeClr w14:val="tx1"/>
            </w14:solidFill>
          </w14:textFill>
        </w:rPr>
        <w:t>投标人若对招标文件（包括招标图纸）中有疑问，可以书面形式</w:t>
      </w:r>
      <w:r>
        <w:rPr>
          <w:rFonts w:hint="eastAsia"/>
          <w:color w:val="000000" w:themeColor="text1"/>
          <w:sz w:val="24"/>
          <w:szCs w:val="24"/>
          <w14:textFill>
            <w14:solidFill>
              <w14:schemeClr w14:val="tx1"/>
            </w14:solidFill>
          </w14:textFill>
        </w:rPr>
        <w:t>通过</w:t>
      </w:r>
      <w:r>
        <w:rPr>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交易平台</w:t>
      </w:r>
      <w:r>
        <w:rPr>
          <w:rFonts w:hint="eastAsia"/>
          <w:color w:val="000000" w:themeColor="text1"/>
          <w:sz w:val="24"/>
          <w:szCs w:val="24"/>
          <w14:textFill>
            <w14:solidFill>
              <w14:schemeClr w14:val="tx1"/>
            </w14:solidFill>
          </w14:textFill>
        </w:rPr>
        <w:t>提交</w:t>
      </w:r>
      <w:r>
        <w:rPr>
          <w:rFonts w:hint="eastAsia" w:ascii="宋体" w:hAnsi="宋体"/>
          <w:color w:val="000000" w:themeColor="text1"/>
          <w:sz w:val="24"/>
          <w14:textFill>
            <w14:solidFill>
              <w14:schemeClr w14:val="tx1"/>
            </w14:solidFill>
          </w14:textFill>
        </w:rPr>
        <w:t>给招标人或招标代理人，提交形式见本须知前附表第</w:t>
      </w:r>
      <w:r>
        <w:rPr>
          <w:rFonts w:ascii="宋体" w:hAnsi="宋体"/>
          <w:color w:val="000000" w:themeColor="text1"/>
          <w:sz w:val="24"/>
          <w14:textFill>
            <w14:solidFill>
              <w14:schemeClr w14:val="tx1"/>
            </w14:solidFill>
          </w14:textFill>
        </w:rPr>
        <w:t>16</w:t>
      </w:r>
      <w:r>
        <w:rPr>
          <w:rFonts w:hint="eastAsia" w:ascii="宋体" w:hAnsi="宋体"/>
          <w:color w:val="000000" w:themeColor="text1"/>
          <w:sz w:val="24"/>
          <w14:textFill>
            <w14:solidFill>
              <w14:schemeClr w14:val="tx1"/>
            </w14:solidFill>
          </w14:textFill>
        </w:rPr>
        <w:t>项。</w:t>
      </w:r>
    </w:p>
    <w:p>
      <w:pPr>
        <w:pStyle w:val="5"/>
        <w:spacing w:after="0"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8.2</w:t>
      </w:r>
      <w:r>
        <w:rPr>
          <w:rFonts w:hint="eastAsia" w:ascii="宋体"/>
          <w:color w:val="000000" w:themeColor="text1"/>
          <w:sz w:val="24"/>
          <w14:textFill>
            <w14:solidFill>
              <w14:schemeClr w14:val="tx1"/>
            </w14:solidFill>
          </w14:textFill>
        </w:rPr>
        <w:t>招标答疑会会议纪要将在提交投标文件截止时间15日前在</w:t>
      </w:r>
      <w:r>
        <w:rPr>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交易平台</w:t>
      </w:r>
      <w:r>
        <w:rPr>
          <w:rFonts w:hint="eastAsia" w:ascii="宋体"/>
          <w:color w:val="000000" w:themeColor="text1"/>
          <w:sz w:val="24"/>
          <w14:textFill>
            <w14:solidFill>
              <w14:schemeClr w14:val="tx1"/>
            </w14:solidFill>
          </w14:textFill>
        </w:rPr>
        <w:t xml:space="preserve"> “项目答疑纪要”专区公开发布。答疑纪要一经在</w:t>
      </w:r>
      <w:r>
        <w:rPr>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交易平台</w:t>
      </w:r>
      <w:r>
        <w:rPr>
          <w:rFonts w:hint="eastAsia" w:ascii="宋体"/>
          <w:color w:val="000000" w:themeColor="text1"/>
          <w:sz w:val="24"/>
          <w14:textFill>
            <w14:solidFill>
              <w14:schemeClr w14:val="tx1"/>
            </w14:solidFill>
          </w14:textFill>
        </w:rPr>
        <w:t>发布，视作已发放给所有投标人。</w:t>
      </w:r>
    </w:p>
    <w:p>
      <w:pPr>
        <w:pStyle w:val="5"/>
        <w:spacing w:after="0"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8.3</w:t>
      </w:r>
      <w:r>
        <w:rPr>
          <w:rFonts w:hint="eastAsia" w:ascii="宋体" w:hAnsi="宋体"/>
          <w:color w:val="000000" w:themeColor="text1"/>
          <w:sz w:val="24"/>
          <w14:textFill>
            <w14:solidFill>
              <w14:schemeClr w14:val="tx1"/>
            </w14:solidFill>
          </w14:textFill>
        </w:rPr>
        <w:t>答疑会会议纪要为招标文件的一部分。</w:t>
      </w:r>
    </w:p>
    <w:p>
      <w:pPr>
        <w:pStyle w:val="5"/>
        <w:spacing w:after="0"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8.4</w:t>
      </w:r>
      <w:r>
        <w:rPr>
          <w:rFonts w:hint="eastAsia" w:ascii="宋体" w:hAnsi="宋体"/>
          <w:color w:val="000000" w:themeColor="text1"/>
          <w:sz w:val="24"/>
          <w14:textFill>
            <w14:solidFill>
              <w14:schemeClr w14:val="tx1"/>
            </w14:solidFill>
          </w14:textFill>
        </w:rPr>
        <w:t>若招标答疑会会议纪要与招标文件有矛盾，以答疑会议纪要最后发出的书面形式的文件为准。</w:t>
      </w:r>
    </w:p>
    <w:p>
      <w:pPr>
        <w:pStyle w:val="5"/>
        <w:spacing w:after="0" w:line="360" w:lineRule="auto"/>
        <w:ind w:firstLine="482" w:firstLineChars="200"/>
        <w:rPr>
          <w:rFonts w:asci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9</w:t>
      </w:r>
      <w:r>
        <w:rPr>
          <w:rFonts w:hint="eastAsia" w:ascii="宋体" w:hAnsi="宋体"/>
          <w:b/>
          <w:bCs/>
          <w:color w:val="000000" w:themeColor="text1"/>
          <w:sz w:val="24"/>
          <w14:textFill>
            <w14:solidFill>
              <w14:schemeClr w14:val="tx1"/>
            </w14:solidFill>
          </w14:textFill>
        </w:rPr>
        <w:t>．招标文件的澄清与修改</w:t>
      </w:r>
    </w:p>
    <w:p>
      <w:pPr>
        <w:pStyle w:val="5"/>
        <w:spacing w:after="0"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9.1</w:t>
      </w:r>
      <w:r>
        <w:rPr>
          <w:rFonts w:hint="eastAsia" w:ascii="宋体" w:hAnsi="宋体"/>
          <w:color w:val="000000" w:themeColor="text1"/>
          <w:sz w:val="24"/>
          <w14:textFill>
            <w14:solidFill>
              <w14:schemeClr w14:val="tx1"/>
            </w14:solidFill>
          </w14:textFill>
        </w:rPr>
        <w:t>招标文件发出后，在提交投标文件截止时间15日前，招标人可对招标文件进行必要的澄清或修改。</w:t>
      </w:r>
    </w:p>
    <w:p>
      <w:pPr>
        <w:pStyle w:val="5"/>
        <w:spacing w:after="0"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9.2</w:t>
      </w:r>
      <w:r>
        <w:rPr>
          <w:rFonts w:hint="eastAsia" w:ascii="宋体"/>
          <w:color w:val="000000" w:themeColor="text1"/>
          <w:sz w:val="24"/>
          <w14:textFill>
            <w14:solidFill>
              <w14:schemeClr w14:val="tx1"/>
            </w14:solidFill>
          </w14:textFill>
        </w:rPr>
        <w:t>招标文件的澄清或修改将在</w:t>
      </w:r>
      <w:r>
        <w:rPr>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交易平台</w:t>
      </w:r>
      <w:r>
        <w:rPr>
          <w:rFonts w:hint="eastAsia" w:ascii="宋体"/>
          <w:color w:val="000000" w:themeColor="text1"/>
          <w:sz w:val="24"/>
          <w14:textFill>
            <w14:solidFill>
              <w14:schemeClr w14:val="tx1"/>
            </w14:solidFill>
          </w14:textFill>
        </w:rPr>
        <w:t>“项目答疑纪要”专区公开发布。答疑纪要一经在</w:t>
      </w:r>
      <w:r>
        <w:rPr>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交易平台</w:t>
      </w:r>
      <w:r>
        <w:rPr>
          <w:rFonts w:hint="eastAsia" w:ascii="宋体"/>
          <w:color w:val="000000" w:themeColor="text1"/>
          <w:sz w:val="24"/>
          <w14:textFill>
            <w14:solidFill>
              <w14:schemeClr w14:val="tx1"/>
            </w14:solidFill>
          </w14:textFill>
        </w:rPr>
        <w:t>发布，视作已发放给所有投标人，以</w:t>
      </w:r>
      <w:r>
        <w:rPr>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交易平台</w:t>
      </w:r>
      <w:r>
        <w:rPr>
          <w:rFonts w:hint="eastAsia" w:ascii="宋体"/>
          <w:color w:val="000000" w:themeColor="text1"/>
          <w:sz w:val="24"/>
          <w14:textFill>
            <w14:solidFill>
              <w14:schemeClr w14:val="tx1"/>
            </w14:solidFill>
          </w14:textFill>
        </w:rPr>
        <w:t>上网发布时间作为送达时间。</w:t>
      </w:r>
    </w:p>
    <w:p>
      <w:pPr>
        <w:pStyle w:val="5"/>
        <w:spacing w:after="0"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9.3</w:t>
      </w:r>
      <w:r>
        <w:rPr>
          <w:rFonts w:hint="eastAsia" w:ascii="宋体" w:hAnsi="宋体"/>
          <w:color w:val="000000" w:themeColor="text1"/>
          <w:sz w:val="24"/>
          <w14:textFill>
            <w14:solidFill>
              <w14:schemeClr w14:val="tx1"/>
            </w14:solidFill>
          </w14:textFill>
        </w:rPr>
        <w:t>招标文件的修改内容为招标文件的组成部分。</w:t>
      </w:r>
    </w:p>
    <w:p>
      <w:pPr>
        <w:pStyle w:val="5"/>
        <w:spacing w:after="0"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9.4</w:t>
      </w:r>
      <w:r>
        <w:rPr>
          <w:rFonts w:hint="eastAsia" w:ascii="宋体" w:hAnsi="宋体"/>
          <w:color w:val="000000" w:themeColor="text1"/>
          <w:sz w:val="24"/>
          <w14:textFill>
            <w14:solidFill>
              <w14:schemeClr w14:val="tx1"/>
            </w14:solidFill>
          </w14:textFill>
        </w:rPr>
        <w:t>招标文件的澄清或修改均以书面形式明确的内容为准。当招标文件的澄清、修改、补充等在同一内容的表述不一致时，以最后发出的书面形式的文件为准。</w:t>
      </w:r>
    </w:p>
    <w:p>
      <w:pPr>
        <w:pStyle w:val="5"/>
        <w:spacing w:after="0"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9.5</w:t>
      </w:r>
      <w:r>
        <w:rPr>
          <w:rFonts w:hint="eastAsia" w:ascii="宋体" w:hAnsi="宋体"/>
          <w:color w:val="000000" w:themeColor="text1"/>
          <w:sz w:val="24"/>
          <w14:textFill>
            <w14:solidFill>
              <w14:schemeClr w14:val="tx1"/>
            </w14:solidFill>
          </w14:textFill>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pPr>
        <w:pStyle w:val="7"/>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textAlignment w:val="auto"/>
        <w:rPr>
          <w:rFonts w:hint="eastAsia" w:ascii="宋体" w:hAnsi="宋体" w:eastAsia="宋体" w:cs="Times New Roman"/>
          <w:b/>
          <w:bCs/>
          <w:color w:val="000000" w:themeColor="text1"/>
          <w:kern w:val="2"/>
          <w:sz w:val="24"/>
          <w:szCs w:val="20"/>
          <w:lang w:val="en-US" w:eastAsia="zh-CN" w:bidi="ar-SA"/>
          <w14:textFill>
            <w14:solidFill>
              <w14:schemeClr w14:val="tx1"/>
            </w14:solidFill>
          </w14:textFill>
        </w:rPr>
      </w:pPr>
      <w:bookmarkStart w:id="21" w:name="_Toc2272551"/>
      <w:bookmarkStart w:id="22" w:name="_Toc4967"/>
      <w:bookmarkStart w:id="23" w:name="_Toc21525495"/>
      <w:r>
        <w:rPr>
          <w:rFonts w:hint="eastAsia" w:ascii="宋体" w:hAnsi="宋体" w:eastAsia="宋体" w:cs="Times New Roman"/>
          <w:b/>
          <w:bCs/>
          <w:color w:val="000000" w:themeColor="text1"/>
          <w:kern w:val="2"/>
          <w:sz w:val="24"/>
          <w:szCs w:val="20"/>
          <w:lang w:val="en-US" w:eastAsia="zh-CN" w:bidi="ar-SA"/>
          <w14:textFill>
            <w14:solidFill>
              <w14:schemeClr w14:val="tx1"/>
            </w14:solidFill>
          </w14:textFill>
        </w:rPr>
        <w:t>（三）投标文件的编制</w:t>
      </w:r>
      <w:bookmarkEnd w:id="21"/>
      <w:bookmarkEnd w:id="22"/>
      <w:bookmarkEnd w:id="23"/>
    </w:p>
    <w:p>
      <w:pPr>
        <w:pStyle w:val="5"/>
        <w:spacing w:after="0" w:line="360" w:lineRule="auto"/>
        <w:ind w:firstLine="482" w:firstLineChars="200"/>
        <w:rPr>
          <w:rFonts w:asci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10</w:t>
      </w:r>
      <w:r>
        <w:rPr>
          <w:rFonts w:hint="eastAsia" w:ascii="宋体" w:hAnsi="宋体"/>
          <w:b/>
          <w:bCs/>
          <w:color w:val="000000" w:themeColor="text1"/>
          <w:sz w:val="24"/>
          <w14:textFill>
            <w14:solidFill>
              <w14:schemeClr w14:val="tx1"/>
            </w14:solidFill>
          </w14:textFill>
        </w:rPr>
        <w:t>．投标文件的语言及度量衡单位</w:t>
      </w:r>
    </w:p>
    <w:p>
      <w:pPr>
        <w:pStyle w:val="5"/>
        <w:spacing w:after="0"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10.1</w:t>
      </w:r>
      <w:r>
        <w:rPr>
          <w:rFonts w:hint="eastAsia" w:ascii="宋体" w:hAnsi="宋体"/>
          <w:color w:val="000000" w:themeColor="text1"/>
          <w:sz w:val="24"/>
          <w14:textFill>
            <w14:solidFill>
              <w14:schemeClr w14:val="tx1"/>
            </w14:solidFill>
          </w14:textFill>
        </w:rPr>
        <w:t>投标文件和与投标有关的所有文件均应使用中文。</w:t>
      </w:r>
    </w:p>
    <w:p>
      <w:pPr>
        <w:pStyle w:val="5"/>
        <w:spacing w:after="0"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10.2</w:t>
      </w:r>
      <w:r>
        <w:rPr>
          <w:rFonts w:hint="eastAsia" w:ascii="宋体" w:hAnsi="宋体"/>
          <w:color w:val="000000" w:themeColor="text1"/>
          <w:sz w:val="24"/>
          <w14:textFill>
            <w14:solidFill>
              <w14:schemeClr w14:val="tx1"/>
            </w14:solidFill>
          </w14:textFill>
        </w:rPr>
        <w:t>除工程规范另有规定外，投标文件使用的度量衡单位，均采用中华人民共和国法定计量单位。</w:t>
      </w:r>
    </w:p>
    <w:p>
      <w:pPr>
        <w:pStyle w:val="5"/>
        <w:spacing w:after="0" w:line="360" w:lineRule="auto"/>
        <w:ind w:firstLine="482" w:firstLineChars="200"/>
        <w:rPr>
          <w:rFonts w:asci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11</w:t>
      </w:r>
      <w:r>
        <w:rPr>
          <w:rFonts w:hint="eastAsia" w:ascii="宋体" w:hAnsi="宋体"/>
          <w:b/>
          <w:bCs/>
          <w:color w:val="000000" w:themeColor="text1"/>
          <w:sz w:val="24"/>
          <w14:textFill>
            <w14:solidFill>
              <w14:schemeClr w14:val="tx1"/>
            </w14:solidFill>
          </w14:textFill>
        </w:rPr>
        <w:t>．投标文件的组成</w:t>
      </w:r>
    </w:p>
    <w:p>
      <w:pPr>
        <w:pStyle w:val="5"/>
        <w:spacing w:after="0" w:line="360" w:lineRule="auto"/>
        <w:ind w:firstLine="480" w:firstLineChars="200"/>
        <w:rPr>
          <w:rFonts w:ascii="宋体"/>
          <w:b/>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11.1</w:t>
      </w:r>
      <w:r>
        <w:rPr>
          <w:rFonts w:hint="eastAsia" w:ascii="宋体" w:hAnsi="宋体"/>
          <w:color w:val="000000" w:themeColor="text1"/>
          <w:sz w:val="24"/>
          <w14:textFill>
            <w14:solidFill>
              <w14:schemeClr w14:val="tx1"/>
            </w14:solidFill>
          </w14:textFill>
        </w:rPr>
        <w:t>投标文件由技术部分（含资格审查文件）和经济部分二部分投标文件组成</w:t>
      </w:r>
      <w:r>
        <w:rPr>
          <w:rFonts w:hint="eastAsia" w:ascii="宋体" w:hAnsi="宋体"/>
          <w:b/>
          <w:color w:val="000000" w:themeColor="text1"/>
          <w:sz w:val="24"/>
          <w14:textFill>
            <w14:solidFill>
              <w14:schemeClr w14:val="tx1"/>
            </w14:solidFill>
          </w14:textFill>
        </w:rPr>
        <w:t>。</w:t>
      </w:r>
    </w:p>
    <w:p>
      <w:pPr>
        <w:spacing w:line="360" w:lineRule="auto"/>
        <w:ind w:firstLine="480" w:firstLineChars="200"/>
        <w:rPr>
          <w:rFonts w:hint="eastAsia"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11.2</w:t>
      </w:r>
      <w:r>
        <w:rPr>
          <w:rFonts w:hint="eastAsia" w:ascii="宋体" w:hAnsi="宋体"/>
          <w:bCs/>
          <w:color w:val="000000" w:themeColor="text1"/>
          <w:sz w:val="24"/>
          <w14:textFill>
            <w14:solidFill>
              <w14:schemeClr w14:val="tx1"/>
            </w14:solidFill>
          </w14:textFill>
        </w:rPr>
        <w:t>投标文件技术标部分主要包括下列内容：</w:t>
      </w:r>
    </w:p>
    <w:p>
      <w:pPr>
        <w:spacing w:line="360" w:lineRule="auto"/>
        <w:ind w:firstLine="480" w:firstLineChars="200"/>
        <w:rPr>
          <w:rFonts w:ascii="宋体"/>
          <w:bCs/>
          <w:color w:val="000000" w:themeColor="text1"/>
          <w:sz w:val="24"/>
          <w14:textFill>
            <w14:solidFill>
              <w14:schemeClr w14:val="tx1"/>
            </w14:solidFill>
          </w14:textFill>
        </w:rPr>
      </w:pPr>
      <w:r>
        <w:rPr>
          <w:rFonts w:hint="eastAsia" w:ascii="宋体"/>
          <w:bCs/>
          <w:color w:val="000000" w:themeColor="text1"/>
          <w:sz w:val="24"/>
          <w14:textFill>
            <w14:solidFill>
              <w14:schemeClr w14:val="tx1"/>
            </w14:solidFill>
          </w14:textFill>
        </w:rPr>
        <w:t>11.2.1技术投标文件（</w:t>
      </w:r>
      <w:r>
        <w:rPr>
          <w:rFonts w:hint="eastAsia" w:ascii="宋体" w:hAnsi="宋体"/>
          <w:color w:val="000000" w:themeColor="text1"/>
          <w:sz w:val="24"/>
          <w14:textFill>
            <w14:solidFill>
              <w14:schemeClr w14:val="tx1"/>
            </w14:solidFill>
          </w14:textFill>
        </w:rPr>
        <w:t>按招标文件的要求填写）</w:t>
      </w:r>
      <w:r>
        <w:rPr>
          <w:rFonts w:hint="eastAsia" w:ascii="宋体"/>
          <w:bCs/>
          <w:color w:val="000000" w:themeColor="text1"/>
          <w:sz w:val="24"/>
          <w14:textFill>
            <w14:solidFill>
              <w14:schemeClr w14:val="tx1"/>
            </w14:solidFill>
          </w14:textFill>
        </w:rPr>
        <w:t>；</w:t>
      </w:r>
    </w:p>
    <w:p>
      <w:pPr>
        <w:spacing w:line="360" w:lineRule="auto"/>
        <w:ind w:firstLine="480" w:firstLineChars="200"/>
        <w:rPr>
          <w:rFonts w:ascii="宋体"/>
          <w:bCs/>
          <w:color w:val="000000" w:themeColor="text1"/>
          <w:sz w:val="24"/>
          <w14:textFill>
            <w14:solidFill>
              <w14:schemeClr w14:val="tx1"/>
            </w14:solidFill>
          </w14:textFill>
        </w:rPr>
      </w:pPr>
      <w:r>
        <w:rPr>
          <w:rFonts w:hint="eastAsia" w:ascii="宋体"/>
          <w:bCs/>
          <w:color w:val="000000" w:themeColor="text1"/>
          <w:sz w:val="24"/>
          <w14:textFill>
            <w14:solidFill>
              <w14:schemeClr w14:val="tx1"/>
            </w14:solidFill>
          </w14:textFill>
        </w:rPr>
        <w:t>11.2.2资格审查文件：</w:t>
      </w:r>
    </w:p>
    <w:p>
      <w:pPr>
        <w:widowControl/>
        <w:spacing w:line="360" w:lineRule="auto"/>
        <w:ind w:firstLine="480" w:firstLineChars="200"/>
        <w:jc w:val="left"/>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 xml:space="preserve">（1）投标人声明； </w:t>
      </w:r>
    </w:p>
    <w:p>
      <w:pPr>
        <w:widowControl/>
        <w:spacing w:line="360" w:lineRule="auto"/>
        <w:ind w:firstLine="480" w:firstLineChars="200"/>
        <w:jc w:val="left"/>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（2）法定代表人证明书、法定代表人签字或盖章的本投标文件授权委托证明书；</w:t>
      </w:r>
    </w:p>
    <w:p>
      <w:pPr>
        <w:widowControl/>
        <w:spacing w:line="360" w:lineRule="auto"/>
        <w:ind w:firstLine="480" w:firstLineChars="200"/>
        <w:jc w:val="left"/>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（3）企业营业执照扫描件或电子证照；</w:t>
      </w:r>
    </w:p>
    <w:p>
      <w:pPr>
        <w:widowControl/>
        <w:spacing w:line="360" w:lineRule="auto"/>
        <w:ind w:firstLine="480" w:firstLineChars="200"/>
        <w:jc w:val="left"/>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（4）企业资质证书扫描件或电子证照；</w:t>
      </w:r>
    </w:p>
    <w:p>
      <w:pPr>
        <w:widowControl/>
        <w:spacing w:line="360" w:lineRule="auto"/>
        <w:ind w:firstLine="480" w:firstLineChars="200"/>
        <w:jc w:val="left"/>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（5）建筑施工企业安全生产许可证扫描件或电子证照；</w:t>
      </w:r>
    </w:p>
    <w:p>
      <w:pPr>
        <w:widowControl/>
        <w:spacing w:line="360" w:lineRule="auto"/>
        <w:ind w:firstLine="480" w:firstLineChars="200"/>
        <w:jc w:val="left"/>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（6）项目负责人（按网上投标登记时选择拟投入本项目的项目负责人）</w:t>
      </w:r>
    </w:p>
    <w:p>
      <w:pPr>
        <w:widowControl/>
        <w:spacing w:line="360" w:lineRule="auto"/>
        <w:ind w:firstLine="480" w:firstLineChars="200"/>
        <w:jc w:val="left"/>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（7）专职安全员（按网上投标登记时选择拟投入本项目的专职安全员）</w:t>
      </w:r>
    </w:p>
    <w:p>
      <w:pPr>
        <w:widowControl/>
        <w:spacing w:line="360" w:lineRule="auto"/>
        <w:ind w:firstLine="480" w:firstLineChars="200"/>
        <w:jc w:val="left"/>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（8）拟委托技术负责人的相关证书、资料（具体要求由招标人明确）</w:t>
      </w:r>
    </w:p>
    <w:p>
      <w:pPr>
        <w:widowControl/>
        <w:spacing w:line="360" w:lineRule="auto"/>
        <w:ind w:firstLine="480" w:firstLineChars="200"/>
        <w:jc w:val="left"/>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 xml:space="preserve">（9）拟委派项目负责人的有效期内的建造师注册证书扫描件或电子证书；  </w:t>
      </w:r>
    </w:p>
    <w:p>
      <w:pPr>
        <w:widowControl/>
        <w:spacing w:line="360" w:lineRule="auto"/>
        <w:ind w:firstLine="480" w:firstLineChars="200"/>
        <w:jc w:val="left"/>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（10）项目负责人在有效期内的安全生产考核合格证书（B类）或建筑施工企业项目负责人安全生产考核合格证书扫描件或电子证书；</w:t>
      </w:r>
    </w:p>
    <w:p>
      <w:pPr>
        <w:widowControl/>
        <w:spacing w:line="360" w:lineRule="auto"/>
        <w:ind w:firstLine="480" w:firstLineChars="200"/>
        <w:jc w:val="left"/>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（11）专职安全员须具有在有效期内的安全生产考核合格证书（C类）或建筑施工企业专职安全生产管理人员安全生产考核合格证书（C3）扫描件或电子证书；</w:t>
      </w:r>
    </w:p>
    <w:p>
      <w:pPr>
        <w:widowControl/>
        <w:spacing w:line="360" w:lineRule="auto"/>
        <w:ind w:firstLine="480" w:firstLineChars="200"/>
        <w:jc w:val="left"/>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（12）用于资格审查的业绩（设置业绩要求时选择此项，投标人须提供类似工程业绩的项目名称及项目编号，具体格式由招标人自定）；</w:t>
      </w:r>
    </w:p>
    <w:p>
      <w:pPr>
        <w:widowControl/>
        <w:spacing w:line="360" w:lineRule="auto"/>
        <w:ind w:firstLine="480" w:firstLineChars="200"/>
        <w:jc w:val="left"/>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 xml:space="preserve">（13）资格审查前，投标人须在广州市住房和城乡建设局建立企业信用档案，拟担任本工程项目负责人、专职安全员须是本企业信用档案中的在册人员； </w:t>
      </w:r>
    </w:p>
    <w:p>
      <w:pPr>
        <w:widowControl/>
        <w:spacing w:line="360" w:lineRule="auto"/>
        <w:ind w:firstLine="480" w:firstLineChars="200"/>
        <w:jc w:val="left"/>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（14）列明主办单位的联合体工作协议（采用联合体投标时需递交，投标人拟任本工程项目负责人应为联合体主办方信用档案中的在册人员，联合体工作协议应明确约定各方拟承担的工作和责任）；</w:t>
      </w:r>
    </w:p>
    <w:p>
      <w:pPr>
        <w:widowControl/>
        <w:spacing w:line="360" w:lineRule="auto"/>
        <w:ind w:firstLine="480" w:firstLineChars="200"/>
        <w:jc w:val="left"/>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注：1.相关电子证书按规定需打印后手写本人签名的，应按照规定手写本人签名后再扫描提交。</w:t>
      </w:r>
    </w:p>
    <w:p>
      <w:pPr>
        <w:spacing w:line="360" w:lineRule="auto"/>
        <w:ind w:firstLine="480" w:firstLineChars="200"/>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pPr>
        <w:spacing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11.2.3</w:t>
      </w:r>
      <w:r>
        <w:rPr>
          <w:rFonts w:hint="eastAsia" w:ascii="宋体" w:hAnsi="宋体"/>
          <w:color w:val="000000" w:themeColor="text1"/>
          <w:sz w:val="24"/>
          <w14:textFill>
            <w14:solidFill>
              <w14:schemeClr w14:val="tx1"/>
            </w14:solidFill>
          </w14:textFill>
        </w:rPr>
        <w:t>项目管理机构配备。</w:t>
      </w: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）投标人应列出该项目工程的施工组织机构构成和画出机构框架图及其负责人；</w:t>
      </w:r>
    </w:p>
    <w:p>
      <w:pPr>
        <w:spacing w:line="360" w:lineRule="auto"/>
        <w:ind w:firstLine="480" w:firstLineChars="200"/>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）投标人应详细列出该施工组织机构中主要成员的名单、简历资料、职务职称和在本项目中拟担任的职务等资料，并附上有关证明材料扫描件；</w:t>
      </w:r>
    </w:p>
    <w:p>
      <w:pPr>
        <w:spacing w:line="360" w:lineRule="auto"/>
        <w:ind w:firstLine="480" w:firstLineChars="200"/>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）其他辅助说明资料。</w:t>
      </w:r>
    </w:p>
    <w:p>
      <w:pPr>
        <w:spacing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11.2.4</w:t>
      </w:r>
      <w:r>
        <w:rPr>
          <w:rFonts w:hint="eastAsia" w:ascii="宋体" w:hAnsi="宋体"/>
          <w:color w:val="000000" w:themeColor="text1"/>
          <w:sz w:val="24"/>
          <w14:textFill>
            <w14:solidFill>
              <w14:schemeClr w14:val="tx1"/>
            </w14:solidFill>
          </w14:textFill>
        </w:rPr>
        <w:t>投标人在广州市可使用适合本工程的机械设备（附：机械设备为自有或租赁的说明；及承诺机械设备如属于租赁的，其租赁是不属于重复租赁）。</w:t>
      </w: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11.2.5</w:t>
      </w:r>
      <w:r>
        <w:rPr>
          <w:rFonts w:hint="eastAsia" w:ascii="宋体" w:hAnsi="宋体"/>
          <w:color w:val="000000" w:themeColor="text1"/>
          <w:sz w:val="24"/>
          <w14:textFill>
            <w14:solidFill>
              <w14:schemeClr w14:val="tx1"/>
            </w14:solidFill>
          </w14:textFill>
        </w:rPr>
        <w:t>施工组织设计或施工方案。</w:t>
      </w: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（1）投标人在编制施工组织设计或施工方案时应按照招标人提出的施工现场建筑垃圾源头减量的具体要求以及建筑垃圾综合利用产品的使用要求提供相应措施。</w:t>
      </w: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p>
    <w:p>
      <w:pPr>
        <w:tabs>
          <w:tab w:val="left" w:pos="1125"/>
        </w:tabs>
        <w:spacing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11.2.</w:t>
      </w:r>
      <w:r>
        <w:rPr>
          <w:rFonts w:hint="eastAsia" w:ascii="宋体" w:hAnsi="宋体"/>
          <w:color w:val="000000" w:themeColor="text1"/>
          <w:sz w:val="24"/>
          <w14:textFill>
            <w14:solidFill>
              <w14:schemeClr w14:val="tx1"/>
            </w14:solidFill>
          </w14:textFill>
        </w:rPr>
        <w:t>6按照</w:t>
      </w:r>
      <w:r>
        <w:rPr>
          <w:rFonts w:hint="eastAsia" w:ascii="宋体" w:hAnsi="宋体"/>
          <w:bCs/>
          <w:color w:val="000000" w:themeColor="text1"/>
          <w:sz w:val="24"/>
          <w14:textFill>
            <w14:solidFill>
              <w14:schemeClr w14:val="tx1"/>
            </w14:solidFill>
          </w14:textFill>
        </w:rPr>
        <w:t>招标文件要求</w:t>
      </w:r>
      <w:r>
        <w:rPr>
          <w:rFonts w:hint="eastAsia" w:ascii="宋体" w:hAnsi="宋体"/>
          <w:color w:val="000000" w:themeColor="text1"/>
          <w:sz w:val="24"/>
          <w14:textFill>
            <w14:solidFill>
              <w14:schemeClr w14:val="tx1"/>
            </w14:solidFill>
          </w14:textFill>
        </w:rPr>
        <w:t>填写的《参与编制技术标投标文件人员名单》。</w:t>
      </w:r>
    </w:p>
    <w:p>
      <w:pPr>
        <w:spacing w:line="360" w:lineRule="auto"/>
        <w:ind w:firstLine="480" w:firstLineChars="200"/>
        <w:rPr>
          <w:rFonts w:asci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11.3</w:t>
      </w:r>
      <w:r>
        <w:rPr>
          <w:rFonts w:hint="eastAsia" w:ascii="宋体" w:hAnsi="宋体"/>
          <w:bCs/>
          <w:color w:val="000000" w:themeColor="text1"/>
          <w:sz w:val="24"/>
          <w14:textFill>
            <w14:solidFill>
              <w14:schemeClr w14:val="tx1"/>
            </w14:solidFill>
          </w14:textFill>
        </w:rPr>
        <w:t>经济部分投标文件主要包括下列内容：</w:t>
      </w:r>
    </w:p>
    <w:p>
      <w:pPr>
        <w:spacing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11.3.1</w:t>
      </w:r>
      <w:r>
        <w:rPr>
          <w:rFonts w:hint="eastAsia" w:ascii="宋体" w:hAnsi="宋体"/>
          <w:color w:val="000000" w:themeColor="text1"/>
          <w:sz w:val="24"/>
          <w14:textFill>
            <w14:solidFill>
              <w14:schemeClr w14:val="tx1"/>
            </w14:solidFill>
          </w14:textFill>
        </w:rPr>
        <w:t>经济投标文件（按招标文件的要求填写）。</w:t>
      </w:r>
    </w:p>
    <w:p>
      <w:pPr>
        <w:spacing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11.3.2</w:t>
      </w:r>
      <w:r>
        <w:rPr>
          <w:rFonts w:hint="eastAsia" w:ascii="宋体" w:hAnsi="宋体"/>
          <w:color w:val="000000" w:themeColor="text1"/>
          <w:sz w:val="24"/>
          <w14:textFill>
            <w14:solidFill>
              <w14:schemeClr w14:val="tx1"/>
            </w14:solidFill>
          </w14:textFill>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color w:val="000000" w:themeColor="text1"/>
          <w:sz w:val="24"/>
          <w:szCs w:val="24"/>
          <w14:textFill>
            <w14:solidFill>
              <w14:schemeClr w14:val="tx1"/>
            </w14:solidFill>
          </w14:textFill>
        </w:rPr>
        <w:t>其中包括如下：</w:t>
      </w:r>
      <w:r>
        <w:rPr>
          <w:rFonts w:ascii="宋体"/>
          <w:color w:val="000000" w:themeColor="text1"/>
          <w:sz w:val="24"/>
          <w14:textFill>
            <w14:solidFill>
              <w14:schemeClr w14:val="tx1"/>
            </w14:solidFill>
          </w14:textFill>
        </w:rPr>
        <w:t xml:space="preserve"> </w:t>
      </w:r>
    </w:p>
    <w:p>
      <w:pPr>
        <w:spacing w:line="360" w:lineRule="auto"/>
        <w:ind w:firstLine="566" w:firstLineChars="236"/>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）投标总价封面、扉页；</w:t>
      </w:r>
    </w:p>
    <w:p>
      <w:pPr>
        <w:spacing w:line="360" w:lineRule="auto"/>
        <w:ind w:firstLine="566" w:firstLineChars="236"/>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）总说明</w:t>
      </w:r>
    </w:p>
    <w:p>
      <w:pPr>
        <w:spacing w:line="360" w:lineRule="auto"/>
        <w:ind w:firstLine="566" w:firstLineChars="236"/>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（3）工程项目投标报价汇总表；</w:t>
      </w:r>
    </w:p>
    <w:p>
      <w:pPr>
        <w:spacing w:line="360" w:lineRule="auto"/>
        <w:ind w:firstLine="566" w:firstLineChars="236"/>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（4）单项工程投标报价汇总表；</w:t>
      </w:r>
    </w:p>
    <w:p>
      <w:pPr>
        <w:spacing w:line="360" w:lineRule="auto"/>
        <w:ind w:firstLine="566" w:firstLineChars="236"/>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（5）单位工程投标报价汇总表；</w:t>
      </w:r>
    </w:p>
    <w:p>
      <w:pPr>
        <w:spacing w:line="360" w:lineRule="auto"/>
        <w:ind w:firstLine="566" w:firstLineChars="236"/>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（6）分部分项工程清单与计价表；</w:t>
      </w:r>
    </w:p>
    <w:p>
      <w:pPr>
        <w:spacing w:line="360" w:lineRule="auto"/>
        <w:ind w:firstLine="566" w:firstLineChars="236"/>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（7）单价措施项目清单与计价表；</w:t>
      </w:r>
    </w:p>
    <w:p>
      <w:pPr>
        <w:spacing w:line="360" w:lineRule="auto"/>
        <w:ind w:firstLine="566" w:firstLineChars="236"/>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（8）总价措施项目清单与计价表；</w:t>
      </w:r>
    </w:p>
    <w:p>
      <w:pPr>
        <w:spacing w:line="360" w:lineRule="auto"/>
        <w:ind w:firstLine="566" w:firstLineChars="236"/>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（9）综合单价分析表；</w:t>
      </w:r>
    </w:p>
    <w:p>
      <w:pPr>
        <w:spacing w:line="360" w:lineRule="auto"/>
        <w:ind w:firstLine="566" w:firstLineChars="236"/>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（10）其他项目清单与计价汇总表；</w:t>
      </w:r>
    </w:p>
    <w:p>
      <w:pPr>
        <w:spacing w:line="360" w:lineRule="auto"/>
        <w:ind w:firstLine="566" w:firstLineChars="236"/>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（11）暂列金额明细表；</w:t>
      </w:r>
    </w:p>
    <w:p>
      <w:pPr>
        <w:spacing w:line="360" w:lineRule="auto"/>
        <w:ind w:firstLine="566" w:firstLineChars="236"/>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（12）材料（工程设备）暂估价明细表；</w:t>
      </w:r>
    </w:p>
    <w:p>
      <w:pPr>
        <w:spacing w:line="360" w:lineRule="auto"/>
        <w:ind w:firstLine="566" w:firstLineChars="236"/>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（13）专业工程暂估价明细表；</w:t>
      </w:r>
    </w:p>
    <w:p>
      <w:pPr>
        <w:spacing w:line="360" w:lineRule="auto"/>
        <w:ind w:firstLine="566" w:firstLineChars="236"/>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（14）计日工表；</w:t>
      </w:r>
    </w:p>
    <w:p>
      <w:pPr>
        <w:spacing w:line="360" w:lineRule="auto"/>
        <w:ind w:firstLine="566" w:firstLineChars="236"/>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（15）总承包服务计价表；</w:t>
      </w:r>
    </w:p>
    <w:p>
      <w:pPr>
        <w:spacing w:line="360" w:lineRule="auto"/>
        <w:ind w:firstLine="566" w:firstLineChars="236"/>
        <w:rPr>
          <w:rFonts w:ascii="宋体"/>
          <w:color w:val="000000" w:themeColor="text1"/>
          <w:sz w:val="24"/>
          <w:szCs w:val="24"/>
          <w14:textFill>
            <w14:solidFill>
              <w14:schemeClr w14:val="tx1"/>
            </w14:solidFill>
          </w14:textFill>
        </w:rPr>
      </w:pPr>
      <w:bookmarkStart w:id="24" w:name="OLE_LINK2"/>
      <w:r>
        <w:rPr>
          <w:rFonts w:hint="eastAsia" w:ascii="宋体" w:hAnsi="宋体"/>
          <w:color w:val="000000" w:themeColor="text1"/>
          <w:sz w:val="24"/>
          <w:szCs w:val="24"/>
          <w14:textFill>
            <w14:solidFill>
              <w14:schemeClr w14:val="tx1"/>
            </w14:solidFill>
          </w14:textFill>
        </w:rPr>
        <w:t>（16）</w:t>
      </w:r>
      <w:bookmarkEnd w:id="24"/>
      <w:r>
        <w:rPr>
          <w:rFonts w:hint="eastAsia" w:ascii="宋体" w:hAnsi="宋体"/>
          <w:color w:val="000000" w:themeColor="text1"/>
          <w:sz w:val="24"/>
          <w:szCs w:val="24"/>
          <w14:textFill>
            <w14:solidFill>
              <w14:schemeClr w14:val="tx1"/>
            </w14:solidFill>
          </w14:textFill>
        </w:rPr>
        <w:t>规费和税金项目计价表；</w:t>
      </w:r>
    </w:p>
    <w:p>
      <w:pPr>
        <w:spacing w:line="360" w:lineRule="auto"/>
        <w:ind w:firstLine="566" w:firstLineChars="236"/>
        <w:rPr>
          <w:rFonts w:ascii="宋体"/>
          <w:color w:val="000000" w:themeColor="text1"/>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lang w:val="en-US" w:eastAsia="zh-CN"/>
          <w14:textFill>
            <w14:solidFill>
              <w14:schemeClr w14:val="tx1"/>
            </w14:solidFill>
          </w14:textFill>
        </w:rPr>
        <w:t>7</w:t>
      </w:r>
      <w:r>
        <w:rPr>
          <w:rFonts w:hint="eastAsia" w:ascii="宋体" w:hAnsi="宋体"/>
          <w:color w:val="000000" w:themeColor="text1"/>
          <w:sz w:val="24"/>
          <w:szCs w:val="24"/>
          <w14:textFill>
            <w14:solidFill>
              <w14:schemeClr w14:val="tx1"/>
            </w14:solidFill>
          </w14:textFill>
        </w:rPr>
        <w:t>）人工、主要材料和设备一览表</w:t>
      </w:r>
    </w:p>
    <w:p>
      <w:pPr>
        <w:tabs>
          <w:tab w:val="left" w:pos="1125"/>
        </w:tabs>
        <w:spacing w:line="360" w:lineRule="auto"/>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11.3.</w:t>
      </w:r>
      <w:r>
        <w:rPr>
          <w:rFonts w:hint="eastAsia" w:ascii="宋体" w:hAnsi="宋体"/>
          <w:color w:val="000000" w:themeColor="text1"/>
          <w:sz w:val="24"/>
          <w14:textFill>
            <w14:solidFill>
              <w14:schemeClr w14:val="tx1"/>
            </w14:solidFill>
          </w14:textFill>
        </w:rPr>
        <w:t>3按照</w:t>
      </w:r>
      <w:r>
        <w:rPr>
          <w:rFonts w:hint="eastAsia" w:ascii="宋体" w:hAnsi="宋体"/>
          <w:bCs/>
          <w:color w:val="000000" w:themeColor="text1"/>
          <w:sz w:val="24"/>
          <w14:textFill>
            <w14:solidFill>
              <w14:schemeClr w14:val="tx1"/>
            </w14:solidFill>
          </w14:textFill>
        </w:rPr>
        <w:t>招标文件要求</w:t>
      </w:r>
      <w:r>
        <w:rPr>
          <w:rFonts w:hint="eastAsia" w:ascii="宋体" w:hAnsi="宋体"/>
          <w:color w:val="000000" w:themeColor="text1"/>
          <w:sz w:val="24"/>
          <w14:textFill>
            <w14:solidFill>
              <w14:schemeClr w14:val="tx1"/>
            </w14:solidFill>
          </w14:textFill>
        </w:rPr>
        <w:t>填写的《参与编制经济标投标文件人员名单》。</w:t>
      </w:r>
    </w:p>
    <w:p>
      <w:pPr>
        <w:tabs>
          <w:tab w:val="left" w:pos="1125"/>
        </w:tabs>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11.3.4若投标人的投标报价低于工程成本警戒价的，投标人还须提供详细的施工组织设计、单价、措施性费用、单价分析表、主要材料价格表、投标人成本分析供评标委员会评审。</w:t>
      </w:r>
    </w:p>
    <w:p>
      <w:pPr>
        <w:pStyle w:val="5"/>
        <w:spacing w:after="0" w:line="360" w:lineRule="auto"/>
        <w:ind w:firstLine="482" w:firstLineChars="200"/>
        <w:rPr>
          <w:rFonts w:asci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12</w:t>
      </w:r>
      <w:r>
        <w:rPr>
          <w:rFonts w:hint="eastAsia" w:ascii="宋体" w:hAnsi="宋体"/>
          <w:b/>
          <w:bCs/>
          <w:color w:val="000000" w:themeColor="text1"/>
          <w:sz w:val="24"/>
          <w14:textFill>
            <w14:solidFill>
              <w14:schemeClr w14:val="tx1"/>
            </w14:solidFill>
          </w14:textFill>
        </w:rPr>
        <w:t>．投标文件格式</w:t>
      </w:r>
    </w:p>
    <w:p>
      <w:pPr>
        <w:pStyle w:val="5"/>
        <w:spacing w:after="0" w:line="360" w:lineRule="auto"/>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12.1</w:t>
      </w:r>
      <w:r>
        <w:rPr>
          <w:rFonts w:hint="eastAsia" w:ascii="宋体" w:hAnsi="宋体"/>
          <w:color w:val="000000" w:themeColor="text1"/>
          <w:sz w:val="24"/>
          <w14:textFill>
            <w14:solidFill>
              <w14:schemeClr w14:val="tx1"/>
            </w14:solidFill>
          </w14:textFill>
        </w:rPr>
        <w:t>投标文件包括本须知第</w:t>
      </w:r>
      <w:r>
        <w:rPr>
          <w:rFonts w:ascii="宋体" w:hAnsi="宋体"/>
          <w:color w:val="000000" w:themeColor="text1"/>
          <w:sz w:val="24"/>
          <w14:textFill>
            <w14:solidFill>
              <w14:schemeClr w14:val="tx1"/>
            </w14:solidFill>
          </w14:textFill>
        </w:rPr>
        <w:t>11</w:t>
      </w:r>
      <w:r>
        <w:rPr>
          <w:rFonts w:hint="eastAsia" w:ascii="宋体" w:hAnsi="宋体"/>
          <w:color w:val="000000" w:themeColor="text1"/>
          <w:sz w:val="24"/>
          <w14:textFill>
            <w14:solidFill>
              <w14:schemeClr w14:val="tx1"/>
            </w14:solidFill>
          </w14:textFill>
        </w:rPr>
        <w:t>条中规定的内容，投标人提交的投标文件应当使用招标文件所提供的投标文件全部格式（表格可以按同样格式扩展）。</w:t>
      </w:r>
    </w:p>
    <w:p>
      <w:pPr>
        <w:pStyle w:val="5"/>
        <w:spacing w:after="0"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12.2投标文件全部采用电子文档，投标文件所附证书证件均为原件扫描件，并采用单位数字证书，</w:t>
      </w:r>
      <w:r>
        <w:rPr>
          <w:rFonts w:hint="eastAsia" w:ascii="宋体" w:hAnsi="宋体"/>
          <w:color w:val="000000" w:themeColor="text1"/>
          <w:sz w:val="24"/>
          <w:lang w:val="en-US" w:eastAsia="zh-CN"/>
          <w14:textFill>
            <w14:solidFill>
              <w14:schemeClr w14:val="tx1"/>
            </w14:solidFill>
          </w14:textFill>
        </w:rPr>
        <w:t>按招标文件要求在相应位置</w:t>
      </w:r>
      <w:r>
        <w:rPr>
          <w:rFonts w:hint="eastAsia" w:ascii="宋体" w:hAnsi="宋体"/>
          <w:color w:val="000000" w:themeColor="text1"/>
          <w:sz w:val="24"/>
          <w14:textFill>
            <w14:solidFill>
              <w14:schemeClr w14:val="tx1"/>
            </w14:solidFill>
          </w14:textFill>
        </w:rPr>
        <w:t>加盖电子印章。投标文件中需个人签字或盖章的，应加盖个人电子印章或在线下完成后扫描上传。按照交易平台关于</w:t>
      </w:r>
      <w:r>
        <w:rPr>
          <w:rFonts w:hint="eastAsia"/>
          <w:color w:val="000000" w:themeColor="text1"/>
          <w:sz w:val="24"/>
          <w:szCs w:val="24"/>
          <w14:textFill>
            <w14:solidFill>
              <w14:schemeClr w14:val="tx1"/>
            </w14:solidFill>
          </w14:textFill>
        </w:rPr>
        <w:t>全流程电子化项目的相关指南进行操作。详见：</w:t>
      </w:r>
      <w:r>
        <w:rPr>
          <w:color w:val="000000" w:themeColor="text1"/>
          <w:sz w:val="24"/>
          <w:szCs w:val="24"/>
          <w:u w:val="single"/>
          <w14:textFill>
            <w14:solidFill>
              <w14:schemeClr w14:val="tx1"/>
            </w14:solidFill>
          </w14:textFill>
        </w:rPr>
        <w:t xml:space="preserve">      </w:t>
      </w:r>
      <w:r>
        <w:rPr>
          <w:rFonts w:hint="eastAsia"/>
          <w:color w:val="000000" w:themeColor="text1"/>
          <w:sz w:val="24"/>
          <w:szCs w:val="24"/>
          <w:u w:val="single"/>
          <w14:textFill>
            <w14:solidFill>
              <w14:schemeClr w14:val="tx1"/>
            </w14:solidFill>
          </w14:textFill>
        </w:rPr>
        <w:t xml:space="preserve">    </w:t>
      </w:r>
      <w:r>
        <w:rPr>
          <w:color w:val="000000" w:themeColor="text1"/>
          <w:sz w:val="24"/>
          <w:szCs w:val="24"/>
          <w:u w:val="single"/>
          <w14:textFill>
            <w14:solidFill>
              <w14:schemeClr w14:val="tx1"/>
            </w14:solidFill>
          </w14:textFill>
        </w:rPr>
        <w:t xml:space="preserve">  </w:t>
      </w:r>
      <w:r>
        <w:rPr>
          <w:rFonts w:hint="eastAsia"/>
          <w:color w:val="000000" w:themeColor="text1"/>
          <w:sz w:val="24"/>
          <w:szCs w:val="24"/>
          <w14:textFill>
            <w14:solidFill>
              <w14:schemeClr w14:val="tx1"/>
            </w14:solidFill>
          </w14:textFill>
        </w:rPr>
        <w:t xml:space="preserve"> 。</w:t>
      </w:r>
    </w:p>
    <w:p>
      <w:pPr>
        <w:pStyle w:val="5"/>
        <w:spacing w:after="0"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注：投标文件电子文档需要投标人单位盖章的材料，投标人加盖电子印章即可，不得将投标人未对电子文档加盖实物印章作为否决投标的情形。</w:t>
      </w:r>
    </w:p>
    <w:p>
      <w:pPr>
        <w:pStyle w:val="5"/>
        <w:spacing w:after="0"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12.3</w:t>
      </w:r>
      <w:r>
        <w:rPr>
          <w:rFonts w:hint="eastAsia" w:ascii="宋体" w:hAnsi="宋体"/>
          <w:bCs/>
          <w:color w:val="000000" w:themeColor="text1"/>
          <w:sz w:val="24"/>
          <w:szCs w:val="24"/>
          <w14:textFill>
            <w14:solidFill>
              <w14:schemeClr w14:val="tx1"/>
            </w14:solidFill>
          </w14:textFill>
        </w:rPr>
        <w:t>投标文件应按</w:t>
      </w:r>
      <w:r>
        <w:rPr>
          <w:rFonts w:hint="eastAsia" w:ascii="宋体" w:hAnsi="宋体"/>
          <w:color w:val="000000" w:themeColor="text1"/>
          <w:sz w:val="24"/>
          <w14:textFill>
            <w14:solidFill>
              <w14:schemeClr w14:val="tx1"/>
            </w14:solidFill>
          </w14:textFill>
        </w:rPr>
        <w:t>照交易平台关于全流程电子化项目的相关指南进行编制，详见：</w:t>
      </w:r>
      <w:r>
        <w:rPr>
          <w:color w:val="000000" w:themeColor="text1"/>
          <w:sz w:val="24"/>
          <w:szCs w:val="24"/>
          <w:u w:val="single"/>
          <w14:textFill>
            <w14:solidFill>
              <w14:schemeClr w14:val="tx1"/>
            </w14:solidFill>
          </w14:textFill>
        </w:rPr>
        <w:t xml:space="preserve">       </w:t>
      </w:r>
      <w:r>
        <w:rPr>
          <w:rFonts w:hint="eastAsia"/>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w:t>
      </w:r>
    </w:p>
    <w:p>
      <w:pPr>
        <w:pStyle w:val="5"/>
        <w:spacing w:after="0" w:line="360" w:lineRule="auto"/>
        <w:ind w:firstLine="0"/>
        <w:rPr>
          <w:rFonts w:hint="eastAsia" w:ascii="宋体" w:hAnsi="宋体"/>
          <w:color w:val="000000" w:themeColor="text1"/>
          <w:sz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如不按上述要求编制引起系统无法检索、读取相关信息的，其后果由投标人承担。</w:t>
      </w:r>
    </w:p>
    <w:p>
      <w:pPr>
        <w:pStyle w:val="5"/>
        <w:spacing w:after="0" w:line="360" w:lineRule="auto"/>
        <w:ind w:firstLine="482" w:firstLineChars="200"/>
        <w:rPr>
          <w:rFonts w:asci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13</w:t>
      </w:r>
      <w:r>
        <w:rPr>
          <w:rFonts w:hint="eastAsia" w:ascii="宋体" w:hAnsi="宋体"/>
          <w:b/>
          <w:bCs/>
          <w:color w:val="000000" w:themeColor="text1"/>
          <w:sz w:val="24"/>
          <w14:textFill>
            <w14:solidFill>
              <w14:schemeClr w14:val="tx1"/>
            </w14:solidFill>
          </w14:textFill>
        </w:rPr>
        <w:t>．投标报价及造价承包和变更结算方式</w:t>
      </w:r>
    </w:p>
    <w:p>
      <w:pPr>
        <w:pStyle w:val="5"/>
        <w:spacing w:after="0"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13.1</w:t>
      </w:r>
      <w:r>
        <w:rPr>
          <w:rFonts w:hint="eastAsia" w:ascii="宋体" w:hAnsi="宋体"/>
          <w:color w:val="000000" w:themeColor="text1"/>
          <w:sz w:val="24"/>
          <w14:textFill>
            <w14:solidFill>
              <w14:schemeClr w14:val="tx1"/>
            </w14:solidFill>
          </w14:textFill>
        </w:rPr>
        <w:t>本工程的投标报价采用投标须知前附表第</w:t>
      </w:r>
      <w:r>
        <w:rPr>
          <w:rFonts w:ascii="宋体" w:hAnsi="宋体"/>
          <w:color w:val="000000" w:themeColor="text1"/>
          <w:sz w:val="24"/>
          <w14:textFill>
            <w14:solidFill>
              <w14:schemeClr w14:val="tx1"/>
            </w14:solidFill>
          </w14:textFill>
        </w:rPr>
        <w:t>12</w:t>
      </w:r>
      <w:r>
        <w:rPr>
          <w:rFonts w:hint="eastAsia" w:ascii="宋体" w:hAnsi="宋体"/>
          <w:color w:val="000000" w:themeColor="text1"/>
          <w:sz w:val="24"/>
          <w14:textFill>
            <w14:solidFill>
              <w14:schemeClr w14:val="tx1"/>
            </w14:solidFill>
          </w14:textFill>
        </w:rPr>
        <w:t>项所规定的方式。投标报价（含单价及总价）精确到“分”。</w:t>
      </w:r>
    </w:p>
    <w:p>
      <w:pPr>
        <w:pStyle w:val="5"/>
        <w:spacing w:after="0"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13.2</w:t>
      </w:r>
      <w:r>
        <w:rPr>
          <w:rFonts w:hint="eastAsia" w:ascii="宋体" w:hAnsi="宋体"/>
          <w:color w:val="000000" w:themeColor="text1"/>
          <w:sz w:val="24"/>
          <w14:textFill>
            <w14:solidFill>
              <w14:schemeClr w14:val="tx1"/>
            </w14:solidFill>
          </w14:textFill>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pPr>
        <w:pStyle w:val="5"/>
        <w:spacing w:after="0"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13.3</w:t>
      </w:r>
      <w:r>
        <w:rPr>
          <w:rFonts w:hint="eastAsia" w:ascii="宋体" w:hAnsi="宋体"/>
          <w:color w:val="000000" w:themeColor="text1"/>
          <w:sz w:val="24"/>
          <w14:textFill>
            <w14:solidFill>
              <w14:schemeClr w14:val="tx1"/>
            </w14:solidFill>
          </w14:textFill>
        </w:rPr>
        <w:t>投标人的投标报价，应是按照投标须知前附表第</w:t>
      </w:r>
      <w:r>
        <w:rPr>
          <w:rFonts w:ascii="宋体" w:hAnsi="宋体"/>
          <w:color w:val="000000" w:themeColor="text1"/>
          <w:sz w:val="24"/>
          <w14:textFill>
            <w14:solidFill>
              <w14:schemeClr w14:val="tx1"/>
            </w14:solidFill>
          </w14:textFill>
        </w:rPr>
        <w:t>8</w:t>
      </w:r>
      <w:r>
        <w:rPr>
          <w:rFonts w:hint="eastAsia" w:ascii="宋体" w:hAnsi="宋体"/>
          <w:color w:val="000000" w:themeColor="text1"/>
          <w:sz w:val="24"/>
          <w14:textFill>
            <w14:solidFill>
              <w14:schemeClr w14:val="tx1"/>
            </w14:solidFill>
          </w14:textFill>
        </w:rPr>
        <w:t>项的工期要求，在投标须知前附表第</w:t>
      </w: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项的建设地点，完成投标须知前附表第</w:t>
      </w:r>
      <w:r>
        <w:rPr>
          <w:rFonts w:ascii="宋体" w:hAnsi="宋体"/>
          <w:color w:val="000000" w:themeColor="text1"/>
          <w:sz w:val="24"/>
          <w14:textFill>
            <w14:solidFill>
              <w14:schemeClr w14:val="tx1"/>
            </w14:solidFill>
          </w14:textFill>
        </w:rPr>
        <w:t>7</w:t>
      </w:r>
      <w:r>
        <w:rPr>
          <w:rFonts w:hint="eastAsia" w:ascii="宋体" w:hAnsi="宋体"/>
          <w:color w:val="000000" w:themeColor="text1"/>
          <w:sz w:val="24"/>
          <w14:textFill>
            <w14:solidFill>
              <w14:schemeClr w14:val="tx1"/>
            </w14:solidFill>
          </w14:textFill>
        </w:rPr>
        <w:t>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hint="eastAsia" w:ascii="宋体" w:hAnsi="宋体"/>
          <w:color w:val="000000" w:themeColor="text1"/>
          <w:sz w:val="24"/>
          <w:szCs w:val="24"/>
          <w14:textFill>
            <w14:solidFill>
              <w14:schemeClr w14:val="tx1"/>
            </w14:solidFill>
          </w14:textFill>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pStyle w:val="5"/>
        <w:spacing w:after="0" w:line="360" w:lineRule="auto"/>
        <w:ind w:firstLine="480" w:firstLineChars="200"/>
        <w:rPr>
          <w:rFonts w:hint="default" w:ascii="宋体"/>
          <w:strike w:val="0"/>
          <w:color w:val="000000" w:themeColor="text1"/>
          <w:sz w:val="24"/>
          <w:highlight w:val="green"/>
          <w14:textFill>
            <w14:solidFill>
              <w14:schemeClr w14:val="tx1"/>
            </w14:solidFill>
          </w14:textFill>
        </w:rPr>
      </w:pPr>
      <w:r>
        <w:rPr>
          <w:rFonts w:ascii="宋体" w:hAnsi="宋体"/>
          <w:color w:val="000000" w:themeColor="text1"/>
          <w:sz w:val="24"/>
          <w14:textFill>
            <w14:solidFill>
              <w14:schemeClr w14:val="tx1"/>
            </w14:solidFill>
          </w14:textFill>
        </w:rPr>
        <w:t>13.4</w:t>
      </w:r>
      <w:r>
        <w:rPr>
          <w:rFonts w:hint="eastAsia" w:ascii="宋体" w:hAnsi="宋体"/>
          <w:color w:val="000000" w:themeColor="text1"/>
          <w:sz w:val="24"/>
          <w14:textFill>
            <w14:solidFill>
              <w14:schemeClr w14:val="tx1"/>
            </w14:solidFill>
          </w14:textFill>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w:t>
      </w:r>
      <w:r>
        <w:rPr>
          <w:rFonts w:hint="eastAsia" w:ascii="宋体" w:hAnsi="宋体"/>
          <w:strike w:val="0"/>
          <w:color w:val="000000" w:themeColor="text1"/>
          <w:sz w:val="24"/>
          <w14:textFill>
            <w14:solidFill>
              <w14:schemeClr w14:val="tx1"/>
            </w14:solidFill>
          </w14:textFill>
        </w:rPr>
        <w:t>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Style w:val="5"/>
        <w:spacing w:after="0"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13.5</w:t>
      </w:r>
      <w:r>
        <w:rPr>
          <w:rFonts w:hint="eastAsia" w:ascii="宋体" w:hAnsi="宋体"/>
          <w:color w:val="000000" w:themeColor="text1"/>
          <w:sz w:val="24"/>
          <w14:textFill>
            <w14:solidFill>
              <w14:schemeClr w14:val="tx1"/>
            </w14:solidFill>
          </w14:textFill>
        </w:rPr>
        <w:t>工程项目实施期间和结算时，招标文件工程量清单中漏列而由监理单位和招标人现场签证确认的工程项目、原设计没有而由招标人批准设计变更产生的工程项目，视为新增项目，按以下顺序确定价格：</w:t>
      </w:r>
    </w:p>
    <w:p>
      <w:pPr>
        <w:pStyle w:val="5"/>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13.5.1</w:t>
      </w:r>
      <w:r>
        <w:rPr>
          <w:rFonts w:hint="eastAsia" w:ascii="宋体" w:hAnsi="宋体"/>
          <w:color w:val="000000" w:themeColor="text1"/>
          <w:sz w:val="24"/>
          <w:highlight w:val="none"/>
          <w14:textFill>
            <w14:solidFill>
              <w14:schemeClr w14:val="tx1"/>
            </w14:solidFill>
          </w14:textFill>
        </w:rPr>
        <w:t>中标的投标文件工程量清单中已有相同项目的适用综合单价，则沿用；</w:t>
      </w:r>
    </w:p>
    <w:p>
      <w:pPr>
        <w:pStyle w:val="5"/>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13.5.2</w:t>
      </w:r>
      <w:r>
        <w:rPr>
          <w:rFonts w:hint="eastAsia" w:ascii="宋体" w:hAnsi="宋体"/>
          <w:color w:val="000000" w:themeColor="text1"/>
          <w:sz w:val="24"/>
          <w:highlight w:val="none"/>
          <w14:textFill>
            <w14:solidFill>
              <w14:schemeClr w14:val="tx1"/>
            </w14:solidFill>
          </w14:textFill>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pStyle w:val="5"/>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13.5.3</w:t>
      </w:r>
      <w:r>
        <w:rPr>
          <w:rFonts w:hint="eastAsia" w:ascii="宋体" w:hAnsi="宋体"/>
          <w:color w:val="000000" w:themeColor="text1"/>
          <w:sz w:val="24"/>
          <w:highlight w:val="none"/>
          <w14:textFill>
            <w14:solidFill>
              <w14:schemeClr w14:val="tx1"/>
            </w14:solidFill>
          </w14:textFill>
        </w:rPr>
        <w:t>中标的投标文件工程量清单中没有相同项目或类似项目的，如可套取相关定额，则以相关定额为基数下浮计算单价，下浮率为中标价</w:t>
      </w:r>
      <w:r>
        <w:rPr>
          <w:rFonts w:hint="eastAsia" w:ascii="宋体" w:hAnsi="宋体"/>
          <w:color w:val="000000" w:themeColor="text1"/>
          <w:sz w:val="24"/>
          <w:szCs w:val="24"/>
          <w:highlight w:val="none"/>
          <w14:textFill>
            <w14:solidFill>
              <w14:schemeClr w14:val="tx1"/>
            </w14:solidFill>
          </w14:textFill>
        </w:rPr>
        <w:t>相对于最高投标限价的下</w:t>
      </w:r>
      <w:r>
        <w:rPr>
          <w:rFonts w:hint="eastAsia" w:ascii="宋体" w:hAnsi="宋体"/>
          <w:color w:val="000000" w:themeColor="text1"/>
          <w:sz w:val="24"/>
          <w:highlight w:val="none"/>
          <w14:textFill>
            <w14:solidFill>
              <w14:schemeClr w14:val="tx1"/>
            </w14:solidFill>
          </w14:textFill>
        </w:rPr>
        <w:t>浮率（下浮率</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最高投标限价</w:t>
      </w:r>
      <w:r>
        <w:rPr>
          <w:rFonts w:asci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中标价）</w:t>
      </w:r>
      <w:r>
        <w:rPr>
          <w:rFonts w:ascii="宋体" w:hAnsi="宋体"/>
          <w:color w:val="000000" w:themeColor="text1"/>
          <w:sz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最高投标限价</w:t>
      </w:r>
      <w:r>
        <w:rPr>
          <w:rFonts w:hint="eastAsia" w:ascii="宋体" w:hAnsi="宋体"/>
          <w:color w:val="000000" w:themeColor="text1"/>
          <w:sz w:val="24"/>
          <w:highlight w:val="none"/>
          <w14:textFill>
            <w14:solidFill>
              <w14:schemeClr w14:val="tx1"/>
            </w14:solidFill>
          </w14:textFill>
        </w:rPr>
        <w:t>）。</w:t>
      </w:r>
    </w:p>
    <w:p>
      <w:pPr>
        <w:pStyle w:val="5"/>
        <w:spacing w:after="0"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13.5.4</w:t>
      </w:r>
      <w:r>
        <w:rPr>
          <w:rFonts w:hint="eastAsia" w:ascii="宋体" w:hAnsi="宋体"/>
          <w:color w:val="000000" w:themeColor="text1"/>
          <w:sz w:val="24"/>
          <w14:textFill>
            <w14:solidFill>
              <w14:schemeClr w14:val="tx1"/>
            </w14:solidFill>
          </w14:textFill>
        </w:rPr>
        <w:t>如相关定额没有相应子目的，其计价方式由招标人在本招标文件第三章中另行规定。未规定的，中标后双方协商约定。</w:t>
      </w:r>
    </w:p>
    <w:p>
      <w:pPr>
        <w:pStyle w:val="5"/>
        <w:spacing w:after="0"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13.6</w:t>
      </w:r>
      <w:r>
        <w:rPr>
          <w:rFonts w:hint="eastAsia" w:ascii="宋体" w:hAnsi="宋体"/>
          <w:color w:val="000000" w:themeColor="text1"/>
          <w:sz w:val="24"/>
          <w14:textFill>
            <w14:solidFill>
              <w14:schemeClr w14:val="tx1"/>
            </w14:solidFill>
          </w14:textFill>
        </w:rPr>
        <w:t>暂列金额、暂估价</w:t>
      </w:r>
    </w:p>
    <w:p>
      <w:pPr>
        <w:pStyle w:val="5"/>
        <w:spacing w:after="0"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13.6.1</w:t>
      </w:r>
      <w:r>
        <w:rPr>
          <w:rFonts w:hint="eastAsia" w:ascii="宋体" w:hAnsi="宋体"/>
          <w:color w:val="000000" w:themeColor="text1"/>
          <w:sz w:val="24"/>
          <w14:textFill>
            <w14:solidFill>
              <w14:schemeClr w14:val="tx1"/>
            </w14:solidFill>
          </w14:textFill>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pPr>
        <w:pStyle w:val="5"/>
        <w:spacing w:after="0" w:line="360" w:lineRule="auto"/>
        <w:ind w:firstLine="480" w:firstLineChars="200"/>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暂估价是指招标人在工程量清单中提供的用于支付必然发生但暂时不能确定价格的材料的单价以及专业工程的金额。</w:t>
      </w:r>
    </w:p>
    <w:p>
      <w:pPr>
        <w:pStyle w:val="5"/>
        <w:spacing w:after="0"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13.6.2</w:t>
      </w:r>
      <w:r>
        <w:rPr>
          <w:rFonts w:hint="eastAsia" w:ascii="宋体" w:hAnsi="宋体"/>
          <w:color w:val="000000" w:themeColor="text1"/>
          <w:sz w:val="24"/>
          <w14:textFill>
            <w14:solidFill>
              <w14:schemeClr w14:val="tx1"/>
            </w14:solidFill>
          </w14:textFill>
        </w:rPr>
        <w:t>在工程实施中，暂列金额、暂估价所包含的工作范围和图纸、标准深化固定后，按照工程专业、设备、材料类别等分类汇总的金额，达到法定招标范围标准的，应由招标人同中标人联合招标，确定承包人和承包价格。</w:t>
      </w:r>
    </w:p>
    <w:p>
      <w:pPr>
        <w:pStyle w:val="5"/>
        <w:spacing w:after="0"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13.6.3</w:t>
      </w:r>
      <w:r>
        <w:rPr>
          <w:rFonts w:hint="eastAsia" w:ascii="宋体" w:hAnsi="宋体"/>
          <w:color w:val="000000" w:themeColor="text1"/>
          <w:sz w:val="24"/>
          <w14:textFill>
            <w14:solidFill>
              <w14:schemeClr w14:val="tx1"/>
            </w14:solidFill>
          </w14:textFill>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pPr>
        <w:pStyle w:val="5"/>
        <w:spacing w:after="0"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13.6.4</w:t>
      </w:r>
      <w:r>
        <w:rPr>
          <w:rFonts w:hint="eastAsia" w:ascii="宋体" w:hAnsi="宋体"/>
          <w:color w:val="000000" w:themeColor="text1"/>
          <w:sz w:val="24"/>
          <w14:textFill>
            <w14:solidFill>
              <w14:schemeClr w14:val="tx1"/>
            </w14:solidFill>
          </w14:textFill>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Pr>
          <w:rFonts w:ascii="宋体" w:hAnsi="宋体"/>
          <w:color w:val="000000" w:themeColor="text1"/>
          <w:sz w:val="24"/>
          <w14:textFill>
            <w14:solidFill>
              <w14:schemeClr w14:val="tx1"/>
            </w14:solidFill>
          </w14:textFill>
        </w:rPr>
        <w:t>13.5</w:t>
      </w:r>
      <w:r>
        <w:rPr>
          <w:rFonts w:hint="eastAsia" w:ascii="宋体" w:hAnsi="宋体"/>
          <w:color w:val="000000" w:themeColor="text1"/>
          <w:sz w:val="24"/>
          <w14:textFill>
            <w14:solidFill>
              <w14:schemeClr w14:val="tx1"/>
            </w14:solidFill>
          </w14:textFill>
        </w:rPr>
        <w:t>款规定确定。</w:t>
      </w:r>
    </w:p>
    <w:p>
      <w:pPr>
        <w:pStyle w:val="5"/>
        <w:spacing w:after="0"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13.6.5</w:t>
      </w:r>
      <w:r>
        <w:rPr>
          <w:rFonts w:hint="eastAsia" w:ascii="宋体" w:hAnsi="宋体"/>
          <w:color w:val="000000" w:themeColor="text1"/>
          <w:sz w:val="24"/>
          <w14:textFill>
            <w14:solidFill>
              <w14:schemeClr w14:val="tx1"/>
            </w14:solidFill>
          </w14:textFill>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pPr>
        <w:pStyle w:val="5"/>
        <w:spacing w:after="0"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13.6.6</w:t>
      </w:r>
      <w:r>
        <w:rPr>
          <w:rFonts w:hint="eastAsia" w:ascii="宋体" w:hAnsi="宋体"/>
          <w:color w:val="000000" w:themeColor="text1"/>
          <w:sz w:val="24"/>
          <w14:textFill>
            <w14:solidFill>
              <w14:schemeClr w14:val="tx1"/>
            </w14:solidFill>
          </w14:textFill>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pPr>
        <w:pStyle w:val="5"/>
        <w:spacing w:after="0"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13.7</w:t>
      </w:r>
      <w:r>
        <w:rPr>
          <w:rFonts w:hint="eastAsia" w:ascii="宋体" w:hAnsi="宋体"/>
          <w:color w:val="000000" w:themeColor="text1"/>
          <w:sz w:val="24"/>
          <w14:textFill>
            <w14:solidFill>
              <w14:schemeClr w14:val="tx1"/>
            </w14:solidFill>
          </w14:textFill>
        </w:rPr>
        <w:t>投标人可先到工地踏勘以充分了解工地位置、情况、道路、储存空间、装卸限制及任何其他足以影响承包价的情况，任何因忽视或误解工地情况而导致的索赔或工期延长申请将不被批准。</w:t>
      </w:r>
    </w:p>
    <w:p>
      <w:pPr>
        <w:pStyle w:val="5"/>
        <w:spacing w:after="0"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13.8</w:t>
      </w:r>
      <w:r>
        <w:rPr>
          <w:rFonts w:hint="eastAsia" w:ascii="宋体" w:hAnsi="宋体"/>
          <w:color w:val="000000" w:themeColor="text1"/>
          <w:sz w:val="24"/>
          <w14:textFill>
            <w14:solidFill>
              <w14:schemeClr w14:val="tx1"/>
            </w14:solidFill>
          </w14:textFill>
        </w:rPr>
        <w:t>属于承包人自行采购的主要材料、设备，招标人应当在招标文件中提出材料、设备的技术标准或者质量要求，或者提出不少于</w:t>
      </w: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个同等档次品牌或分包商供投标人报价时选择，凡招标人在招标文件中提出参考品牌的，必须在参考品牌后面加上“或相当于”字样。投标人在投标文件中应明确所选用主要材料、设备的品牌、厂家以及质量等级，并且应当符合招标文件的要求。</w:t>
      </w:r>
    </w:p>
    <w:p>
      <w:pPr>
        <w:pStyle w:val="5"/>
        <w:spacing w:after="0" w:line="360" w:lineRule="auto"/>
        <w:ind w:firstLine="480" w:firstLineChars="200"/>
        <w:rPr>
          <w:rFonts w:ascii="宋体"/>
          <w:color w:val="000000" w:themeColor="text1"/>
          <w:sz w:val="24"/>
          <w:szCs w:val="24"/>
          <w14:textFill>
            <w14:solidFill>
              <w14:schemeClr w14:val="tx1"/>
            </w14:solidFill>
          </w14:textFill>
        </w:rPr>
      </w:pPr>
      <w:r>
        <w:rPr>
          <w:rFonts w:ascii="宋体" w:hAnsi="宋体"/>
          <w:color w:val="000000" w:themeColor="text1"/>
          <w:sz w:val="24"/>
          <w14:textFill>
            <w14:solidFill>
              <w14:schemeClr w14:val="tx1"/>
            </w14:solidFill>
          </w14:textFill>
        </w:rPr>
        <w:t>13.9</w:t>
      </w:r>
      <w:r>
        <w:rPr>
          <w:rFonts w:hint="eastAsia" w:ascii="宋体"/>
          <w:color w:val="000000" w:themeColor="text1"/>
          <w:sz w:val="24"/>
          <w:szCs w:val="24"/>
          <w14:textFill>
            <w14:solidFill>
              <w14:schemeClr w14:val="tx1"/>
            </w14:solidFill>
          </w14:textFill>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pPr>
        <w:pStyle w:val="5"/>
        <w:spacing w:after="0" w:line="360" w:lineRule="auto"/>
        <w:ind w:firstLine="482" w:firstLineChars="200"/>
        <w:rPr>
          <w:rFonts w:asci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14</w:t>
      </w:r>
      <w:r>
        <w:rPr>
          <w:rFonts w:hint="eastAsia" w:ascii="宋体" w:hAnsi="宋体"/>
          <w:b/>
          <w:bCs/>
          <w:color w:val="000000" w:themeColor="text1"/>
          <w:sz w:val="24"/>
          <w14:textFill>
            <w14:solidFill>
              <w14:schemeClr w14:val="tx1"/>
            </w14:solidFill>
          </w14:textFill>
        </w:rPr>
        <w:t>．投标货币</w:t>
      </w:r>
    </w:p>
    <w:p>
      <w:pPr>
        <w:pStyle w:val="5"/>
        <w:spacing w:after="0"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14.1</w:t>
      </w:r>
      <w:r>
        <w:rPr>
          <w:rFonts w:hint="eastAsia" w:ascii="宋体" w:hAnsi="宋体"/>
          <w:color w:val="000000" w:themeColor="text1"/>
          <w:sz w:val="24"/>
          <w14:textFill>
            <w14:solidFill>
              <w14:schemeClr w14:val="tx1"/>
            </w14:solidFill>
          </w14:textFill>
        </w:rPr>
        <w:t>本工程投标报价采用的币种为人民币。</w:t>
      </w:r>
    </w:p>
    <w:p>
      <w:pPr>
        <w:pStyle w:val="5"/>
        <w:spacing w:after="0" w:line="360" w:lineRule="auto"/>
        <w:ind w:firstLine="482" w:firstLineChars="200"/>
        <w:rPr>
          <w:rFonts w:ascii="宋体"/>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15</w:t>
      </w:r>
      <w:r>
        <w:rPr>
          <w:rFonts w:hint="eastAsia" w:ascii="宋体" w:hAnsi="宋体"/>
          <w:b/>
          <w:bCs/>
          <w:color w:val="000000" w:themeColor="text1"/>
          <w:sz w:val="24"/>
          <w14:textFill>
            <w14:solidFill>
              <w14:schemeClr w14:val="tx1"/>
            </w14:solidFill>
          </w14:textFill>
        </w:rPr>
        <w:t>．投标有效期</w:t>
      </w:r>
    </w:p>
    <w:p>
      <w:pPr>
        <w:pStyle w:val="5"/>
        <w:spacing w:after="0"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15.1</w:t>
      </w:r>
      <w:r>
        <w:rPr>
          <w:rFonts w:hint="eastAsia" w:ascii="宋体" w:hAnsi="宋体"/>
          <w:color w:val="000000" w:themeColor="text1"/>
          <w:sz w:val="24"/>
          <w14:textFill>
            <w14:solidFill>
              <w14:schemeClr w14:val="tx1"/>
            </w14:solidFill>
          </w14:textFill>
        </w:rPr>
        <w:t>投标有效期见投标须知前附表第</w:t>
      </w:r>
      <w:r>
        <w:rPr>
          <w:rFonts w:ascii="宋体" w:hAnsi="宋体"/>
          <w:color w:val="000000" w:themeColor="text1"/>
          <w:sz w:val="24"/>
          <w14:textFill>
            <w14:solidFill>
              <w14:schemeClr w14:val="tx1"/>
            </w14:solidFill>
          </w14:textFill>
        </w:rPr>
        <w:t>13</w:t>
      </w:r>
      <w:r>
        <w:rPr>
          <w:rFonts w:hint="eastAsia" w:ascii="宋体" w:hAnsi="宋体"/>
          <w:color w:val="000000" w:themeColor="text1"/>
          <w:sz w:val="24"/>
          <w14:textFill>
            <w14:solidFill>
              <w14:schemeClr w14:val="tx1"/>
            </w14:solidFill>
          </w14:textFill>
        </w:rPr>
        <w:t>项所规定的期限，在此期限内，凡符合本招标文件要求的投标文件均保持有效。</w:t>
      </w:r>
    </w:p>
    <w:p>
      <w:pPr>
        <w:pStyle w:val="5"/>
        <w:spacing w:after="0"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15.2</w:t>
      </w:r>
      <w:r>
        <w:rPr>
          <w:rFonts w:hint="eastAsia" w:ascii="宋体" w:hAnsi="宋体"/>
          <w:color w:val="000000" w:themeColor="text1"/>
          <w:sz w:val="24"/>
          <w14:textFill>
            <w14:solidFill>
              <w14:schemeClr w14:val="tx1"/>
            </w14:solidFill>
          </w14:textFill>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Pr>
          <w:rFonts w:ascii="宋体" w:hAnsi="宋体"/>
          <w:color w:val="000000" w:themeColor="text1"/>
          <w:sz w:val="24"/>
          <w14:textFill>
            <w14:solidFill>
              <w14:schemeClr w14:val="tx1"/>
            </w14:solidFill>
          </w14:textFill>
        </w:rPr>
        <w:t>16</w:t>
      </w:r>
      <w:r>
        <w:rPr>
          <w:rFonts w:hint="eastAsia" w:ascii="宋体" w:hAnsi="宋体"/>
          <w:color w:val="000000" w:themeColor="text1"/>
          <w:sz w:val="24"/>
          <w14:textFill>
            <w14:solidFill>
              <w14:schemeClr w14:val="tx1"/>
            </w14:solidFill>
          </w14:textFill>
        </w:rPr>
        <w:t>条关于投标保证金的退还与不予退还的规定仍然适用。</w:t>
      </w:r>
    </w:p>
    <w:p>
      <w:pPr>
        <w:pStyle w:val="5"/>
        <w:spacing w:after="0" w:line="360" w:lineRule="auto"/>
        <w:ind w:firstLine="482" w:firstLineChars="200"/>
        <w:rPr>
          <w:rFonts w:asci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16</w:t>
      </w:r>
      <w:r>
        <w:rPr>
          <w:rFonts w:hint="eastAsia" w:ascii="宋体" w:hAnsi="宋体"/>
          <w:b/>
          <w:bCs/>
          <w:color w:val="000000" w:themeColor="text1"/>
          <w:sz w:val="24"/>
          <w14:textFill>
            <w14:solidFill>
              <w14:schemeClr w14:val="tx1"/>
            </w14:solidFill>
          </w14:textFill>
        </w:rPr>
        <w:t>．投标保证金</w:t>
      </w: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16.1</w:t>
      </w:r>
      <w:r>
        <w:rPr>
          <w:rFonts w:hint="eastAsia" w:ascii="宋体" w:hAnsi="宋体"/>
          <w:color w:val="000000" w:themeColor="text1"/>
          <w:sz w:val="24"/>
          <w14:textFill>
            <w14:solidFill>
              <w14:schemeClr w14:val="tx1"/>
            </w14:solidFill>
          </w14:textFill>
        </w:rPr>
        <w:t>投标人应按投标须知前附表第</w:t>
      </w:r>
      <w:r>
        <w:rPr>
          <w:rFonts w:ascii="宋体" w:hAnsi="宋体"/>
          <w:color w:val="000000" w:themeColor="text1"/>
          <w:sz w:val="24"/>
          <w14:textFill>
            <w14:solidFill>
              <w14:schemeClr w14:val="tx1"/>
            </w14:solidFill>
          </w14:textFill>
        </w:rPr>
        <w:t>14</w:t>
      </w:r>
      <w:r>
        <w:rPr>
          <w:rFonts w:hint="eastAsia" w:ascii="宋体" w:hAnsi="宋体"/>
          <w:color w:val="000000" w:themeColor="text1"/>
          <w:sz w:val="24"/>
          <w14:textFill>
            <w14:solidFill>
              <w14:schemeClr w14:val="tx1"/>
            </w14:solidFill>
          </w14:textFill>
        </w:rPr>
        <w:t>项所述金额和时间递交</w:t>
      </w:r>
      <w:r>
        <w:rPr>
          <w:rFonts w:hint="eastAsia" w:ascii="宋体" w:hAnsi="宋体"/>
          <w:bCs/>
          <w:color w:val="000000" w:themeColor="text1"/>
          <w:sz w:val="24"/>
          <w14:textFill>
            <w14:solidFill>
              <w14:schemeClr w14:val="tx1"/>
            </w14:solidFill>
          </w14:textFill>
        </w:rPr>
        <w:t>投标保证金</w:t>
      </w:r>
      <w:r>
        <w:rPr>
          <w:rFonts w:hint="eastAsia" w:ascii="宋体" w:hAnsi="宋体"/>
          <w:color w:val="000000" w:themeColor="text1"/>
          <w:sz w:val="24"/>
          <w14:textFill>
            <w14:solidFill>
              <w14:schemeClr w14:val="tx1"/>
            </w14:solidFill>
          </w14:textFill>
        </w:rPr>
        <w:t>。招标人应当允许投标人自主选择现金、银行保函、保证保险、专业工程担保公司担保等方式缴纳投标保证金。</w:t>
      </w: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16.1.1采用现金或者支票形式提交的，投标保证金须从投标人的银行基本账户转出。</w:t>
      </w: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16.1.2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16.1.3采用电子形式的保函、担保或保证保险提交投标保证金的，应在招标文件中明确电子递交途径。</w:t>
      </w: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16.2开标时投标人没有按要求提供投标保证金的，其投标文件将被否决；未按招标文件要求提交符合免予提供投标保证金相关证明材料，且未提交投标保证金的投标人，视为未按要求提供投标保证金。</w:t>
      </w: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16.3投标保证金应依据法律法规的相关规定退还。</w:t>
      </w: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16.4如有下列情况之一的，招标人可以不予退还投标保证金（是否退还投标保证金由招标人在招标文件中规定）：</w:t>
      </w: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16.4.1因投标人原因造成投标文件未解密的；</w:t>
      </w: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16.4.2投标人在投标有效期内撤销投标文件；</w:t>
      </w: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16.4.3中标人未能在规定期限内按要求提交履约担保；</w:t>
      </w: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16.4.4中标人未能在规定期限内签署合同协议。</w:t>
      </w: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16.5投标人如存在下列情况之一的，将被拒绝在一定时期内参与招标人后续工程投标（拒绝时限需在招标文件中明确）：</w:t>
      </w: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16.5.1投标人存在16.4条款所列情形且投标人提交的保函、担保或保证保险无法兑付的；</w:t>
      </w: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16.5.2采用非电子形式提交投标保证金的投标人存在16.4条款所列情形，且未按招标人要求补交银行保函、专业工程担保公司担保或保证保险原件的；</w:t>
      </w: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16.5.3按招标文件要求免于提供投标保证金的投标人存在16.4条款所列情形，且未按招标人要求补交投标保证金的；</w:t>
      </w: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16.5.3按招标文件要求免于提供投标保证金的投标人存在16.4条款所列情形的。</w:t>
      </w:r>
    </w:p>
    <w:p>
      <w:pPr>
        <w:spacing w:line="360" w:lineRule="auto"/>
        <w:ind w:firstLine="480" w:firstLineChars="200"/>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注：16.5.3款由招标人二选一，需在招标文件中明确。</w:t>
      </w:r>
    </w:p>
    <w:p>
      <w:pPr>
        <w:pStyle w:val="5"/>
        <w:spacing w:after="0" w:line="360" w:lineRule="auto"/>
        <w:ind w:firstLine="482" w:firstLineChars="200"/>
        <w:rPr>
          <w:rFonts w:asci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17</w:t>
      </w:r>
      <w:r>
        <w:rPr>
          <w:rFonts w:hint="eastAsia" w:ascii="宋体" w:hAnsi="宋体"/>
          <w:b/>
          <w:bCs/>
          <w:color w:val="000000" w:themeColor="text1"/>
          <w:sz w:val="24"/>
          <w14:textFill>
            <w14:solidFill>
              <w14:schemeClr w14:val="tx1"/>
            </w14:solidFill>
          </w14:textFill>
        </w:rPr>
        <w:t>．投标文件的签署</w:t>
      </w: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17.1</w:t>
      </w:r>
      <w:r>
        <w:rPr>
          <w:rFonts w:hint="eastAsia" w:ascii="宋体" w:hAnsi="宋体"/>
          <w:color w:val="000000" w:themeColor="text1"/>
          <w:sz w:val="24"/>
          <w14:textFill>
            <w14:solidFill>
              <w14:schemeClr w14:val="tx1"/>
            </w14:solidFill>
          </w14:textFill>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w:t>
      </w:r>
    </w:p>
    <w:p>
      <w:pPr>
        <w:pStyle w:val="5"/>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leftChars="0" w:firstLine="0" w:firstLineChars="0"/>
        <w:textAlignment w:val="auto"/>
        <w:rPr>
          <w:rFonts w:hint="eastAsia" w:ascii="宋体" w:hAnsi="宋体" w:eastAsia="宋体" w:cs="Times New Roman"/>
          <w:b/>
          <w:bCs/>
          <w:color w:val="000000" w:themeColor="text1"/>
          <w:sz w:val="24"/>
          <w14:textFill>
            <w14:solidFill>
              <w14:schemeClr w14:val="tx1"/>
            </w14:solidFill>
          </w14:textFill>
        </w:rPr>
      </w:pPr>
      <w:bookmarkStart w:id="25" w:name="_Toc21525496"/>
      <w:bookmarkStart w:id="26" w:name="_Toc29945"/>
      <w:bookmarkStart w:id="27" w:name="_Toc2272552"/>
      <w:r>
        <w:rPr>
          <w:rFonts w:hint="eastAsia" w:ascii="宋体" w:hAnsi="宋体" w:eastAsia="宋体" w:cs="Times New Roman"/>
          <w:b/>
          <w:bCs/>
          <w:color w:val="000000" w:themeColor="text1"/>
          <w:sz w:val="24"/>
          <w14:textFill>
            <w14:solidFill>
              <w14:schemeClr w14:val="tx1"/>
            </w14:solidFill>
          </w14:textFill>
        </w:rPr>
        <w:t>（四）投标文件的提交</w:t>
      </w:r>
      <w:bookmarkEnd w:id="25"/>
      <w:bookmarkEnd w:id="26"/>
      <w:bookmarkEnd w:id="27"/>
    </w:p>
    <w:p>
      <w:pPr>
        <w:pStyle w:val="5"/>
        <w:spacing w:after="0" w:line="360" w:lineRule="auto"/>
        <w:ind w:firstLine="482" w:firstLineChars="200"/>
        <w:rPr>
          <w:rFonts w:asci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18</w:t>
      </w:r>
      <w:r>
        <w:rPr>
          <w:rFonts w:hint="eastAsia" w:ascii="宋体" w:hAnsi="宋体"/>
          <w:b/>
          <w:bCs/>
          <w:color w:val="000000" w:themeColor="text1"/>
          <w:sz w:val="24"/>
          <w14:textFill>
            <w14:solidFill>
              <w14:schemeClr w14:val="tx1"/>
            </w14:solidFill>
          </w14:textFill>
        </w:rPr>
        <w:t>．</w:t>
      </w:r>
      <w:r>
        <w:rPr>
          <w:rFonts w:hint="eastAsia"/>
          <w:b/>
          <w:color w:val="000000" w:themeColor="text1"/>
          <w:sz w:val="24"/>
          <w:szCs w:val="24"/>
          <w14:textFill>
            <w14:solidFill>
              <w14:schemeClr w14:val="tx1"/>
            </w14:solidFill>
          </w14:textFill>
        </w:rPr>
        <w:t>投标文件的密封和标记</w:t>
      </w:r>
    </w:p>
    <w:p>
      <w:pPr>
        <w:spacing w:line="360" w:lineRule="auto"/>
        <w:ind w:firstLine="480" w:firstLineChars="200"/>
        <w:rPr>
          <w:rFonts w:asci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1</w:t>
      </w:r>
      <w:r>
        <w:rPr>
          <w:rFonts w:hint="eastAsia" w:ascii="宋体" w:hAnsi="宋体"/>
          <w:bCs/>
          <w:color w:val="000000" w:themeColor="text1"/>
          <w:sz w:val="24"/>
          <w14:textFill>
            <w14:solidFill>
              <w14:schemeClr w14:val="tx1"/>
            </w14:solidFill>
          </w14:textFill>
        </w:rPr>
        <w:t>8</w:t>
      </w:r>
      <w:r>
        <w:rPr>
          <w:rFonts w:ascii="宋体" w:hAnsi="宋体"/>
          <w:bCs/>
          <w:color w:val="000000" w:themeColor="text1"/>
          <w:sz w:val="24"/>
          <w14:textFill>
            <w14:solidFill>
              <w14:schemeClr w14:val="tx1"/>
            </w14:solidFill>
          </w14:textFill>
        </w:rPr>
        <w:t>.1</w:t>
      </w:r>
      <w:r>
        <w:rPr>
          <w:rFonts w:hint="eastAsia" w:ascii="宋体" w:hAnsi="宋体"/>
          <w:bCs/>
          <w:color w:val="000000" w:themeColor="text1"/>
          <w:sz w:val="24"/>
          <w14:textFill>
            <w14:solidFill>
              <w14:schemeClr w14:val="tx1"/>
            </w14:solidFill>
          </w14:textFill>
        </w:rPr>
        <w:t>递交的电子投标文件（不含备用光盘）必须进行加密。按照交易平台关于</w:t>
      </w:r>
      <w:r>
        <w:rPr>
          <w:rFonts w:hint="eastAsia"/>
          <w:color w:val="000000" w:themeColor="text1"/>
          <w:sz w:val="24"/>
          <w:szCs w:val="24"/>
          <w14:textFill>
            <w14:solidFill>
              <w14:schemeClr w14:val="tx1"/>
            </w14:solidFill>
          </w14:textFill>
        </w:rPr>
        <w:t>全流程电子化项目的相关指南进行操作。详见：</w:t>
      </w:r>
      <w:r>
        <w:rPr>
          <w:color w:val="000000" w:themeColor="text1"/>
          <w:sz w:val="24"/>
          <w:szCs w:val="24"/>
          <w:u w:val="single"/>
          <w14:textFill>
            <w14:solidFill>
              <w14:schemeClr w14:val="tx1"/>
            </w14:solidFill>
          </w14:textFill>
        </w:rPr>
        <w:t xml:space="preserve">       </w:t>
      </w:r>
      <w:r>
        <w:rPr>
          <w:rFonts w:hint="eastAsia"/>
          <w:color w:val="000000" w:themeColor="text1"/>
          <w:sz w:val="24"/>
          <w:szCs w:val="24"/>
          <w:u w:val="single"/>
          <w14:textFill>
            <w14:solidFill>
              <w14:schemeClr w14:val="tx1"/>
            </w14:solidFill>
          </w14:textFill>
        </w:rPr>
        <w:t xml:space="preserve">   </w:t>
      </w:r>
      <w:r>
        <w:rPr>
          <w:color w:val="000000" w:themeColor="text1"/>
          <w:sz w:val="24"/>
          <w:szCs w:val="24"/>
          <w:u w:val="single"/>
          <w14:textFill>
            <w14:solidFill>
              <w14:schemeClr w14:val="tx1"/>
            </w14:solidFill>
          </w14:textFill>
        </w:rPr>
        <w:t xml:space="preserve"> </w:t>
      </w:r>
      <w:r>
        <w:rPr>
          <w:rFonts w:hint="eastAsia"/>
          <w:color w:val="000000" w:themeColor="text1"/>
          <w:sz w:val="24"/>
          <w:szCs w:val="24"/>
          <w14:textFill>
            <w14:solidFill>
              <w14:schemeClr w14:val="tx1"/>
            </w14:solidFill>
          </w14:textFill>
        </w:rPr>
        <w:t xml:space="preserve"> 。</w:t>
      </w:r>
    </w:p>
    <w:p>
      <w:pPr>
        <w:spacing w:line="360" w:lineRule="auto"/>
        <w:ind w:firstLine="480" w:firstLineChars="200"/>
        <w:rPr>
          <w:rFonts w:asci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1</w:t>
      </w:r>
      <w:r>
        <w:rPr>
          <w:rFonts w:hint="eastAsia" w:ascii="宋体" w:hAnsi="宋体"/>
          <w:bCs/>
          <w:color w:val="000000" w:themeColor="text1"/>
          <w:sz w:val="24"/>
          <w14:textFill>
            <w14:solidFill>
              <w14:schemeClr w14:val="tx1"/>
            </w14:solidFill>
          </w14:textFill>
        </w:rPr>
        <w:t>8</w:t>
      </w:r>
      <w:r>
        <w:rPr>
          <w:rFonts w:ascii="宋体" w:hAnsi="宋体"/>
          <w:bCs/>
          <w:color w:val="000000" w:themeColor="text1"/>
          <w:sz w:val="24"/>
          <w14:textFill>
            <w14:solidFill>
              <w14:schemeClr w14:val="tx1"/>
            </w14:solidFill>
          </w14:textFill>
        </w:rPr>
        <w:t>.2</w:t>
      </w:r>
      <w:r>
        <w:rPr>
          <w:rFonts w:hint="eastAsia" w:ascii="宋体"/>
          <w:bCs/>
          <w:color w:val="000000" w:themeColor="text1"/>
          <w:sz w:val="24"/>
          <w14:textFill>
            <w14:solidFill>
              <w14:schemeClr w14:val="tx1"/>
            </w14:solidFill>
          </w14:textFill>
        </w:rPr>
        <w:t>未按要求加密的投标文件，</w:t>
      </w:r>
      <w:r>
        <w:rPr>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交易平台</w:t>
      </w:r>
      <w:r>
        <w:rPr>
          <w:rFonts w:hint="eastAsia" w:ascii="宋体"/>
          <w:bCs/>
          <w:color w:val="000000" w:themeColor="text1"/>
          <w:sz w:val="24"/>
          <w14:textFill>
            <w14:solidFill>
              <w14:schemeClr w14:val="tx1"/>
            </w14:solidFill>
          </w14:textFill>
        </w:rPr>
        <w:t>将予以拒收。</w:t>
      </w:r>
    </w:p>
    <w:p>
      <w:pPr>
        <w:spacing w:line="360" w:lineRule="auto"/>
        <w:ind w:firstLine="482" w:firstLineChars="200"/>
        <w:rPr>
          <w:rFonts w:asci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19</w:t>
      </w:r>
      <w:r>
        <w:rPr>
          <w:rFonts w:hint="eastAsia" w:ascii="宋体" w:hAnsi="宋体"/>
          <w:b/>
          <w:bCs/>
          <w:color w:val="000000" w:themeColor="text1"/>
          <w:sz w:val="24"/>
          <w14:textFill>
            <w14:solidFill>
              <w14:schemeClr w14:val="tx1"/>
            </w14:solidFill>
          </w14:textFill>
        </w:rPr>
        <w:t>．投标文件的递交和接收</w:t>
      </w:r>
    </w:p>
    <w:p>
      <w:pPr>
        <w:spacing w:line="360" w:lineRule="auto"/>
        <w:ind w:firstLine="480" w:firstLineChars="200"/>
        <w:rPr>
          <w:rFonts w:asci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1</w:t>
      </w:r>
      <w:r>
        <w:rPr>
          <w:rFonts w:hint="eastAsia" w:ascii="宋体" w:hAnsi="宋体"/>
          <w:bCs/>
          <w:color w:val="000000" w:themeColor="text1"/>
          <w:sz w:val="24"/>
          <w14:textFill>
            <w14:solidFill>
              <w14:schemeClr w14:val="tx1"/>
            </w14:solidFill>
          </w14:textFill>
        </w:rPr>
        <w:t>9</w:t>
      </w:r>
      <w:r>
        <w:rPr>
          <w:rFonts w:ascii="宋体" w:hAnsi="宋体"/>
          <w:bCs/>
          <w:color w:val="000000" w:themeColor="text1"/>
          <w:sz w:val="24"/>
          <w14:textFill>
            <w14:solidFill>
              <w14:schemeClr w14:val="tx1"/>
            </w14:solidFill>
          </w14:textFill>
        </w:rPr>
        <w:t>.</w:t>
      </w:r>
      <w:r>
        <w:rPr>
          <w:rFonts w:hint="eastAsia" w:ascii="宋体" w:hAnsi="宋体"/>
          <w:bCs/>
          <w:color w:val="000000" w:themeColor="text1"/>
          <w:sz w:val="24"/>
          <w14:textFill>
            <w14:solidFill>
              <w14:schemeClr w14:val="tx1"/>
            </w14:solidFill>
          </w14:textFill>
        </w:rPr>
        <w:t>1投标人通过</w:t>
      </w:r>
      <w:r>
        <w:rPr>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交易平台</w:t>
      </w:r>
      <w:r>
        <w:rPr>
          <w:rFonts w:hint="eastAsia" w:ascii="宋体" w:hAnsi="宋体"/>
          <w:color w:val="000000" w:themeColor="text1"/>
          <w:sz w:val="24"/>
          <w14:textFill>
            <w14:solidFill>
              <w14:schemeClr w14:val="tx1"/>
            </w14:solidFill>
          </w14:textFill>
        </w:rPr>
        <w:t>递交电子投标文件。</w:t>
      </w:r>
    </w:p>
    <w:p>
      <w:pPr>
        <w:spacing w:line="360" w:lineRule="auto"/>
        <w:ind w:firstLine="480" w:firstLineChars="200"/>
        <w:rPr>
          <w:rFonts w:asci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1</w:t>
      </w:r>
      <w:r>
        <w:rPr>
          <w:rFonts w:hint="eastAsia" w:ascii="宋体" w:hAnsi="宋体"/>
          <w:bCs/>
          <w:color w:val="000000" w:themeColor="text1"/>
          <w:sz w:val="24"/>
          <w14:textFill>
            <w14:solidFill>
              <w14:schemeClr w14:val="tx1"/>
            </w14:solidFill>
          </w14:textFill>
        </w:rPr>
        <w:t>9</w:t>
      </w:r>
      <w:r>
        <w:rPr>
          <w:rFonts w:ascii="宋体" w:hAnsi="宋体"/>
          <w:bCs/>
          <w:color w:val="000000" w:themeColor="text1"/>
          <w:sz w:val="24"/>
          <w14:textFill>
            <w14:solidFill>
              <w14:schemeClr w14:val="tx1"/>
            </w14:solidFill>
          </w14:textFill>
        </w:rPr>
        <w:t>.</w:t>
      </w:r>
      <w:r>
        <w:rPr>
          <w:rFonts w:hint="eastAsia" w:ascii="宋体" w:hAnsi="宋体"/>
          <w:bCs/>
          <w:color w:val="000000" w:themeColor="text1"/>
          <w:sz w:val="24"/>
          <w14:textFill>
            <w14:solidFill>
              <w14:schemeClr w14:val="tx1"/>
            </w14:solidFill>
          </w14:textFill>
        </w:rPr>
        <w:t>2投标人完成电子</w:t>
      </w:r>
      <w:r>
        <w:rPr>
          <w:rFonts w:hint="eastAsia" w:ascii="宋体" w:hAnsi="宋体"/>
          <w:color w:val="000000" w:themeColor="text1"/>
          <w:sz w:val="24"/>
          <w14:textFill>
            <w14:solidFill>
              <w14:schemeClr w14:val="tx1"/>
            </w14:solidFill>
          </w14:textFill>
        </w:rPr>
        <w:t>投标文件</w:t>
      </w:r>
      <w:r>
        <w:rPr>
          <w:rFonts w:hint="eastAsia" w:ascii="宋体" w:hAnsi="宋体"/>
          <w:bCs/>
          <w:color w:val="000000" w:themeColor="text1"/>
          <w:sz w:val="24"/>
          <w14:textFill>
            <w14:solidFill>
              <w14:schemeClr w14:val="tx1"/>
            </w14:solidFill>
          </w14:textFill>
        </w:rPr>
        <w:t>上传后，</w:t>
      </w:r>
      <w:r>
        <w:rPr>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交易平台</w:t>
      </w:r>
      <w:r>
        <w:rPr>
          <w:rFonts w:hint="eastAsia" w:ascii="宋体" w:hAnsi="宋体"/>
          <w:color w:val="000000" w:themeColor="text1"/>
          <w:sz w:val="24"/>
          <w14:textFill>
            <w14:solidFill>
              <w14:schemeClr w14:val="tx1"/>
            </w14:solidFill>
          </w14:textFill>
        </w:rPr>
        <w:t>即时向投标人发出递交回执通知。递交时间以递交回执通知载明的传输完成时间为准。</w:t>
      </w: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1</w:t>
      </w:r>
      <w:r>
        <w:rPr>
          <w:rFonts w:hint="eastAsia" w:ascii="宋体" w:hAnsi="宋体"/>
          <w:bCs/>
          <w:color w:val="000000" w:themeColor="text1"/>
          <w:sz w:val="24"/>
          <w14:textFill>
            <w14:solidFill>
              <w14:schemeClr w14:val="tx1"/>
            </w14:solidFill>
          </w14:textFill>
        </w:rPr>
        <w:t>9</w:t>
      </w:r>
      <w:r>
        <w:rPr>
          <w:rFonts w:ascii="宋体" w:hAnsi="宋体"/>
          <w:bCs/>
          <w:color w:val="000000" w:themeColor="text1"/>
          <w:sz w:val="24"/>
          <w14:textFill>
            <w14:solidFill>
              <w14:schemeClr w14:val="tx1"/>
            </w14:solidFill>
          </w14:textFill>
        </w:rPr>
        <w:t>.</w:t>
      </w:r>
      <w:r>
        <w:rPr>
          <w:rFonts w:hint="eastAsia" w:ascii="宋体" w:hAnsi="宋体"/>
          <w:bCs/>
          <w:color w:val="000000" w:themeColor="text1"/>
          <w:sz w:val="24"/>
          <w14:textFill>
            <w14:solidFill>
              <w14:schemeClr w14:val="tx1"/>
            </w14:solidFill>
          </w14:textFill>
        </w:rPr>
        <w:t>3</w:t>
      </w:r>
      <w:r>
        <w:rPr>
          <w:rFonts w:hint="eastAsia"/>
          <w:bCs/>
          <w:color w:val="000000" w:themeColor="text1"/>
          <w:sz w:val="24"/>
          <w:szCs w:val="24"/>
          <w14:textFill>
            <w14:solidFill>
              <w14:schemeClr w14:val="tx1"/>
            </w14:solidFill>
          </w14:textFill>
        </w:rPr>
        <w:t>逾期送达的</w:t>
      </w:r>
      <w:r>
        <w:rPr>
          <w:rFonts w:hint="eastAsia" w:ascii="宋体" w:hAnsi="宋体"/>
          <w:bCs/>
          <w:color w:val="000000" w:themeColor="text1"/>
          <w:sz w:val="24"/>
          <w14:textFill>
            <w14:solidFill>
              <w14:schemeClr w14:val="tx1"/>
            </w14:solidFill>
          </w14:textFill>
        </w:rPr>
        <w:t>电子投标文件，</w:t>
      </w:r>
      <w:r>
        <w:rPr>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交易平台</w:t>
      </w:r>
      <w:r>
        <w:rPr>
          <w:rFonts w:hint="eastAsia" w:ascii="宋体" w:hAnsi="宋体"/>
          <w:color w:val="000000" w:themeColor="text1"/>
          <w:sz w:val="24"/>
          <w14:textFill>
            <w14:solidFill>
              <w14:schemeClr w14:val="tx1"/>
            </w14:solidFill>
          </w14:textFill>
        </w:rPr>
        <w:t>将予以拒收。</w:t>
      </w:r>
    </w:p>
    <w:p>
      <w:pPr>
        <w:spacing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19.</w:t>
      </w:r>
      <w:r>
        <w:rPr>
          <w:rFonts w:hint="eastAsia" w:ascii="宋体" w:hAnsi="宋体"/>
          <w:color w:val="000000" w:themeColor="text1"/>
          <w:sz w:val="24"/>
          <w14:textFill>
            <w14:solidFill>
              <w14:schemeClr w14:val="tx1"/>
            </w14:solidFill>
          </w14:textFill>
        </w:rPr>
        <w:t>4</w:t>
      </w:r>
      <w:r>
        <w:rPr>
          <w:rFonts w:hint="eastAsia" w:ascii="宋体" w:hAnsi="宋体"/>
          <w:color w:val="000000" w:themeColor="text1"/>
          <w:sz w:val="24"/>
          <w:szCs w:val="24"/>
          <w14:textFill>
            <w14:solidFill>
              <w14:schemeClr w14:val="tx1"/>
            </w14:solidFill>
          </w14:textFill>
        </w:rPr>
        <w:t>投标截止前，</w:t>
      </w:r>
      <w:r>
        <w:rPr>
          <w:rFonts w:hint="eastAsia"/>
          <w:color w:val="000000" w:themeColor="text1"/>
          <w:sz w:val="24"/>
          <w:szCs w:val="24"/>
          <w14:textFill>
            <w14:solidFill>
              <w14:schemeClr w14:val="tx1"/>
            </w14:solidFill>
          </w14:textFill>
        </w:rPr>
        <w:t>招标人拒绝接收符合条件的投标文件，投标人可向招标投标监督机构投诉。</w:t>
      </w: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19.</w:t>
      </w:r>
      <w:r>
        <w:rPr>
          <w:rFonts w:hint="eastAsia" w:ascii="宋体" w:hAnsi="宋体"/>
          <w:color w:val="000000" w:themeColor="text1"/>
          <w:sz w:val="24"/>
          <w14:textFill>
            <w14:solidFill>
              <w14:schemeClr w14:val="tx1"/>
            </w14:solidFill>
          </w14:textFill>
        </w:rPr>
        <w:t>5如技术标和经济标先后分别开启，</w:t>
      </w:r>
      <w:r>
        <w:rPr>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交易平台</w:t>
      </w:r>
      <w:r>
        <w:rPr>
          <w:rFonts w:hint="eastAsia" w:ascii="宋体" w:hAnsi="宋体"/>
          <w:color w:val="000000" w:themeColor="text1"/>
          <w:sz w:val="24"/>
          <w14:textFill>
            <w14:solidFill>
              <w14:schemeClr w14:val="tx1"/>
            </w14:solidFill>
          </w14:textFill>
        </w:rPr>
        <w:t>将按招标文件规定的时间分别开启技术标和经济标。</w:t>
      </w:r>
    </w:p>
    <w:p>
      <w:pPr>
        <w:spacing w:line="360" w:lineRule="auto"/>
        <w:ind w:firstLine="482" w:firstLineChars="200"/>
        <w:rPr>
          <w:rFonts w:asci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20</w:t>
      </w:r>
      <w:r>
        <w:rPr>
          <w:rFonts w:hint="eastAsia" w:ascii="宋体" w:hAnsi="宋体"/>
          <w:b/>
          <w:bCs/>
          <w:color w:val="000000" w:themeColor="text1"/>
          <w:sz w:val="24"/>
          <w14:textFill>
            <w14:solidFill>
              <w14:schemeClr w14:val="tx1"/>
            </w14:solidFill>
          </w14:textFill>
        </w:rPr>
        <w:t>．投标文件提交的截止时间</w:t>
      </w:r>
    </w:p>
    <w:p>
      <w:pPr>
        <w:spacing w:line="360" w:lineRule="auto"/>
        <w:ind w:firstLine="480" w:firstLineChars="200"/>
        <w:rPr>
          <w:rFonts w:ascii="宋体"/>
          <w:b/>
          <w:bCs/>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20.1</w:t>
      </w:r>
      <w:r>
        <w:rPr>
          <w:rFonts w:hint="eastAsia" w:ascii="宋体" w:hAnsi="宋体"/>
          <w:color w:val="000000" w:themeColor="text1"/>
          <w:sz w:val="24"/>
          <w14:textFill>
            <w14:solidFill>
              <w14:schemeClr w14:val="tx1"/>
            </w14:solidFill>
          </w14:textFill>
        </w:rPr>
        <w:t>投标人应在投标须知前附表第17项所述的时间前提交投标文件。</w:t>
      </w:r>
    </w:p>
    <w:p>
      <w:pPr>
        <w:spacing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20.2</w:t>
      </w:r>
      <w:r>
        <w:rPr>
          <w:rFonts w:hint="eastAsia" w:ascii="宋体" w:hAnsi="宋体"/>
          <w:color w:val="000000" w:themeColor="text1"/>
          <w:sz w:val="24"/>
          <w14:textFill>
            <w14:solidFill>
              <w14:schemeClr w14:val="tx1"/>
            </w14:solidFill>
          </w14:textFill>
        </w:rPr>
        <w:t>招标人可按本须知第</w:t>
      </w:r>
      <w:r>
        <w:rPr>
          <w:rFonts w:ascii="宋体" w:hAnsi="宋体"/>
          <w:color w:val="000000" w:themeColor="text1"/>
          <w:sz w:val="24"/>
          <w14:textFill>
            <w14:solidFill>
              <w14:schemeClr w14:val="tx1"/>
            </w14:solidFill>
          </w14:textFill>
        </w:rPr>
        <w:t>9</w:t>
      </w:r>
      <w:r>
        <w:rPr>
          <w:rFonts w:hint="eastAsia" w:ascii="宋体" w:hAnsi="宋体"/>
          <w:color w:val="000000" w:themeColor="text1"/>
          <w:sz w:val="24"/>
          <w14:textFill>
            <w14:solidFill>
              <w14:schemeClr w14:val="tx1"/>
            </w14:solidFill>
          </w14:textFill>
        </w:rPr>
        <w:t>条规定以招标文件修改的方式，酌情延长提交投标文件的截止时间。在此情况下，投标人的所有权利和义务以及投标人受制约的截止时间，均以延长后新的投标截止时间为准。</w:t>
      </w:r>
    </w:p>
    <w:p>
      <w:pPr>
        <w:spacing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20.3</w:t>
      </w:r>
      <w:r>
        <w:rPr>
          <w:rFonts w:hint="eastAsia" w:ascii="宋体" w:hAnsi="宋体"/>
          <w:color w:val="000000" w:themeColor="text1"/>
          <w:sz w:val="24"/>
          <w14:textFill>
            <w14:solidFill>
              <w14:schemeClr w14:val="tx1"/>
            </w14:solidFill>
          </w14:textFill>
        </w:rPr>
        <w:t>到投标截止时间止，招标人收到的投标文件少于3家的，招标人将重新组织招标</w:t>
      </w:r>
      <w:r>
        <w:rPr>
          <w:rFonts w:hint="eastAsia" w:ascii="宋体" w:hAnsi="宋体"/>
          <w:color w:val="000000" w:themeColor="text1"/>
          <w:sz w:val="24"/>
          <w:szCs w:val="24"/>
          <w14:textFill>
            <w14:solidFill>
              <w14:schemeClr w14:val="tx1"/>
            </w14:solidFill>
          </w14:textFill>
        </w:rPr>
        <w:t>（当</w:t>
      </w:r>
      <w:r>
        <w:rPr>
          <w:rFonts w:ascii="宋体" w:hAnsi="宋体"/>
          <w:color w:val="000000" w:themeColor="text1"/>
          <w:sz w:val="24"/>
          <w:szCs w:val="24"/>
          <w14:textFill>
            <w14:solidFill>
              <w14:schemeClr w14:val="tx1"/>
            </w14:solidFill>
          </w14:textFill>
        </w:rPr>
        <w:t>N</w:t>
      </w:r>
      <w:r>
        <w:rPr>
          <w:rFonts w:hint="eastAsia" w:ascii="宋体" w:hAnsi="宋体"/>
          <w:color w:val="000000" w:themeColor="text1"/>
          <w:sz w:val="24"/>
          <w:szCs w:val="24"/>
          <w14:textFill>
            <w14:solidFill>
              <w14:schemeClr w14:val="tx1"/>
            </w14:solidFill>
          </w14:textFill>
        </w:rPr>
        <w:t>个标段同时招标且不允许兼中时，若有效投标人不足</w:t>
      </w:r>
      <w:r>
        <w:rPr>
          <w:rFonts w:ascii="宋体" w:hAnsi="宋体"/>
          <w:color w:val="000000" w:themeColor="text1"/>
          <w:sz w:val="24"/>
          <w:szCs w:val="24"/>
          <w14:textFill>
            <w14:solidFill>
              <w14:schemeClr w14:val="tx1"/>
            </w14:solidFill>
          </w14:textFill>
        </w:rPr>
        <w:t>N+</w:t>
      </w:r>
      <w:r>
        <w:rPr>
          <w:rFonts w:hint="eastAsia" w:ascii="宋体" w:hAnsi="宋体"/>
          <w:color w:val="000000" w:themeColor="text1"/>
          <w:sz w:val="24"/>
          <w:szCs w:val="24"/>
          <w14:textFill>
            <w14:solidFill>
              <w14:schemeClr w14:val="tx1"/>
            </w14:solidFill>
          </w14:textFill>
        </w:rPr>
        <w:t>2家，则重新组织招标）</w:t>
      </w:r>
      <w:r>
        <w:rPr>
          <w:rFonts w:hint="eastAsia" w:ascii="宋体" w:hAnsi="宋体"/>
          <w:color w:val="000000" w:themeColor="text1"/>
          <w:sz w:val="24"/>
          <w14:textFill>
            <w14:solidFill>
              <w14:schemeClr w14:val="tx1"/>
            </w14:solidFill>
          </w14:textFill>
        </w:rPr>
        <w:t>。</w:t>
      </w:r>
    </w:p>
    <w:p>
      <w:pPr>
        <w:spacing w:line="360" w:lineRule="auto"/>
        <w:ind w:firstLine="482" w:firstLineChars="200"/>
        <w:rPr>
          <w:rFonts w:asci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21</w:t>
      </w:r>
      <w:r>
        <w:rPr>
          <w:rFonts w:hint="eastAsia" w:ascii="宋体" w:hAnsi="宋体"/>
          <w:b/>
          <w:bCs/>
          <w:color w:val="000000" w:themeColor="text1"/>
          <w:sz w:val="24"/>
          <w14:textFill>
            <w14:solidFill>
              <w14:schemeClr w14:val="tx1"/>
            </w14:solidFill>
          </w14:textFill>
        </w:rPr>
        <w:t>．迟交的投标文件</w:t>
      </w:r>
    </w:p>
    <w:p>
      <w:pPr>
        <w:spacing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21.1</w:t>
      </w:r>
      <w:r>
        <w:rPr>
          <w:rFonts w:hint="eastAsia" w:ascii="宋体" w:hAnsi="宋体"/>
          <w:color w:val="000000" w:themeColor="text1"/>
          <w:sz w:val="24"/>
          <w14:textFill>
            <w14:solidFill>
              <w14:schemeClr w14:val="tx1"/>
            </w14:solidFill>
          </w14:textFill>
        </w:rPr>
        <w:t>本须知前附表第</w:t>
      </w: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7项规定的投标截止时间</w:t>
      </w:r>
      <w:r>
        <w:rPr>
          <w:rFonts w:hint="eastAsia"/>
          <w:bCs/>
          <w:color w:val="000000" w:themeColor="text1"/>
          <w:sz w:val="24"/>
          <w:szCs w:val="24"/>
          <w14:textFill>
            <w14:solidFill>
              <w14:schemeClr w14:val="tx1"/>
            </w14:solidFill>
          </w14:textFill>
        </w:rPr>
        <w:t>后送达的</w:t>
      </w:r>
      <w:r>
        <w:rPr>
          <w:rFonts w:hint="eastAsia" w:ascii="宋体" w:hAnsi="宋体"/>
          <w:bCs/>
          <w:color w:val="000000" w:themeColor="text1"/>
          <w:sz w:val="24"/>
          <w14:textFill>
            <w14:solidFill>
              <w14:schemeClr w14:val="tx1"/>
            </w14:solidFill>
          </w14:textFill>
        </w:rPr>
        <w:t>电子投标文件，</w:t>
      </w:r>
      <w:r>
        <w:rPr>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交易平台</w:t>
      </w:r>
      <w:r>
        <w:rPr>
          <w:rFonts w:hint="eastAsia" w:ascii="宋体" w:hAnsi="宋体"/>
          <w:color w:val="000000" w:themeColor="text1"/>
          <w:sz w:val="24"/>
          <w14:textFill>
            <w14:solidFill>
              <w14:schemeClr w14:val="tx1"/>
            </w14:solidFill>
          </w14:textFill>
        </w:rPr>
        <w:t>将予以拒收。</w:t>
      </w:r>
    </w:p>
    <w:p>
      <w:pPr>
        <w:spacing w:line="360" w:lineRule="auto"/>
        <w:ind w:firstLine="482" w:firstLineChars="200"/>
        <w:rPr>
          <w:rFonts w:asci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22</w:t>
      </w:r>
      <w:r>
        <w:rPr>
          <w:rFonts w:hint="eastAsia" w:ascii="宋体" w:hAnsi="宋体"/>
          <w:b/>
          <w:bCs/>
          <w:color w:val="000000" w:themeColor="text1"/>
          <w:sz w:val="24"/>
          <w14:textFill>
            <w14:solidFill>
              <w14:schemeClr w14:val="tx1"/>
            </w14:solidFill>
          </w14:textFill>
        </w:rPr>
        <w:t>．投标文件的修改与撤回</w:t>
      </w:r>
    </w:p>
    <w:p>
      <w:pPr>
        <w:spacing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22.1</w:t>
      </w:r>
      <w:r>
        <w:rPr>
          <w:rFonts w:hint="eastAsia" w:ascii="宋体" w:hAnsi="宋体"/>
          <w:color w:val="000000" w:themeColor="text1"/>
          <w:sz w:val="24"/>
          <w14:textFill>
            <w14:solidFill>
              <w14:schemeClr w14:val="tx1"/>
            </w14:solidFill>
          </w14:textFill>
        </w:rPr>
        <w:t>在规定的投标截止时间前，投标人可以修改或撤回已递交的投标文件，但应以书面形式通知招标人。</w:t>
      </w:r>
    </w:p>
    <w:p>
      <w:pPr>
        <w:spacing w:line="360" w:lineRule="auto"/>
        <w:ind w:firstLine="480" w:firstLineChars="200"/>
        <w:rPr>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22.2</w:t>
      </w:r>
      <w:r>
        <w:rPr>
          <w:color w:val="000000" w:themeColor="text1"/>
          <w:sz w:val="24"/>
          <w:szCs w:val="24"/>
          <w14:textFill>
            <w14:solidFill>
              <w14:schemeClr w14:val="tx1"/>
            </w14:solidFill>
          </w14:textFill>
        </w:rPr>
        <w:t>投标人修改或撤回已递交</w:t>
      </w:r>
      <w:r>
        <w:rPr>
          <w:rFonts w:hint="eastAsia"/>
          <w:color w:val="000000" w:themeColor="text1"/>
          <w:sz w:val="24"/>
          <w:szCs w:val="24"/>
          <w14:textFill>
            <w14:solidFill>
              <w14:schemeClr w14:val="tx1"/>
            </w14:solidFill>
          </w14:textFill>
        </w:rPr>
        <w:t>的</w:t>
      </w:r>
      <w:r>
        <w:rPr>
          <w:color w:val="000000" w:themeColor="text1"/>
          <w:sz w:val="24"/>
          <w:szCs w:val="24"/>
          <w14:textFill>
            <w14:solidFill>
              <w14:schemeClr w14:val="tx1"/>
            </w14:solidFill>
          </w14:textFill>
        </w:rPr>
        <w:t>投标文件</w:t>
      </w:r>
      <w:r>
        <w:rPr>
          <w:rFonts w:hint="eastAsia"/>
          <w:color w:val="000000" w:themeColor="text1"/>
          <w:sz w:val="24"/>
          <w:szCs w:val="24"/>
          <w14:textFill>
            <w14:solidFill>
              <w14:schemeClr w14:val="tx1"/>
            </w14:solidFill>
          </w14:textFill>
        </w:rPr>
        <w:t>，需在</w:t>
      </w:r>
      <w:r>
        <w:rPr>
          <w:rFonts w:hint="eastAsia" w:ascii="宋体" w:hAnsi="宋体"/>
          <w:color w:val="000000" w:themeColor="text1"/>
          <w:sz w:val="24"/>
          <w14:textFill>
            <w14:solidFill>
              <w14:schemeClr w14:val="tx1"/>
            </w14:solidFill>
          </w14:textFill>
        </w:rPr>
        <w:t>交易平台发出修改或撤回</w:t>
      </w:r>
      <w:r>
        <w:rPr>
          <w:color w:val="000000" w:themeColor="text1"/>
          <w:sz w:val="24"/>
          <w:szCs w:val="24"/>
          <w14:textFill>
            <w14:solidFill>
              <w14:schemeClr w14:val="tx1"/>
            </w14:solidFill>
          </w14:textFill>
        </w:rPr>
        <w:t>通知，</w:t>
      </w:r>
      <w:r>
        <w:rPr>
          <w:rFonts w:hint="eastAsia"/>
          <w:color w:val="000000" w:themeColor="text1"/>
          <w:sz w:val="24"/>
          <w:szCs w:val="24"/>
          <w14:textFill>
            <w14:solidFill>
              <w14:schemeClr w14:val="tx1"/>
            </w14:solidFill>
          </w14:textFill>
        </w:rPr>
        <w:t>并按</w:t>
      </w:r>
      <w:r>
        <w:rPr>
          <w:color w:val="000000" w:themeColor="text1"/>
          <w:sz w:val="24"/>
          <w:szCs w:val="24"/>
          <w14:textFill>
            <w14:solidFill>
              <w14:schemeClr w14:val="tx1"/>
            </w14:solidFill>
          </w14:textFill>
        </w:rPr>
        <w:t>要求加盖电子印章。</w:t>
      </w:r>
      <w:r>
        <w:rPr>
          <w:bCs/>
          <w:iCs/>
          <w:color w:val="000000" w:themeColor="text1"/>
          <w:sz w:val="24"/>
          <w:szCs w:val="24"/>
          <w14:textFill>
            <w14:solidFill>
              <w14:schemeClr w14:val="tx1"/>
            </w14:solidFill>
          </w14:textFill>
        </w:rPr>
        <w:t>电子招标投标交易平台收到通知后，</w:t>
      </w:r>
      <w:r>
        <w:rPr>
          <w:color w:val="000000" w:themeColor="text1"/>
          <w:sz w:val="24"/>
          <w:szCs w:val="24"/>
          <w14:textFill>
            <w14:solidFill>
              <w14:schemeClr w14:val="tx1"/>
            </w14:solidFill>
          </w14:textFill>
        </w:rPr>
        <w:t>即时向投标人发出确认回执通知。</w:t>
      </w:r>
    </w:p>
    <w:p>
      <w:pPr>
        <w:spacing w:line="360" w:lineRule="auto"/>
        <w:ind w:firstLine="480" w:firstLineChars="200"/>
        <w:rPr>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22.3</w:t>
      </w:r>
      <w:r>
        <w:rPr>
          <w:rFonts w:hint="eastAsia"/>
          <w:color w:val="000000" w:themeColor="text1"/>
          <w:sz w:val="24"/>
          <w:szCs w:val="24"/>
          <w14:textFill>
            <w14:solidFill>
              <w14:schemeClr w14:val="tx1"/>
            </w14:solidFill>
          </w14:textFill>
        </w:rPr>
        <w:t>修改后再次递交的，按19点的规定执行。</w:t>
      </w: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22.</w:t>
      </w:r>
      <w:r>
        <w:rPr>
          <w:rFonts w:hint="eastAsia" w:ascii="宋体" w:hAnsi="宋体"/>
          <w:color w:val="000000" w:themeColor="text1"/>
          <w:sz w:val="24"/>
          <w14:textFill>
            <w14:solidFill>
              <w14:schemeClr w14:val="tx1"/>
            </w14:solidFill>
          </w14:textFill>
        </w:rPr>
        <w:t>4在投标截止时间之后，投标人不得补充、修改和更换投标文件。</w:t>
      </w:r>
    </w:p>
    <w:p>
      <w:pPr>
        <w:pStyle w:val="5"/>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leftChars="0" w:firstLine="0" w:firstLineChars="0"/>
        <w:textAlignment w:val="auto"/>
        <w:rPr>
          <w:rFonts w:hint="eastAsia" w:ascii="宋体" w:hAnsi="宋体" w:eastAsia="宋体" w:cs="Times New Roman"/>
          <w:b/>
          <w:bCs/>
          <w:color w:val="000000" w:themeColor="text1"/>
          <w:sz w:val="24"/>
          <w14:textFill>
            <w14:solidFill>
              <w14:schemeClr w14:val="tx1"/>
            </w14:solidFill>
          </w14:textFill>
        </w:rPr>
      </w:pPr>
      <w:bookmarkStart w:id="28" w:name="_Toc2272553"/>
      <w:bookmarkStart w:id="29" w:name="_Toc21525497"/>
      <w:bookmarkStart w:id="30" w:name="_Toc19157"/>
      <w:r>
        <w:rPr>
          <w:rFonts w:hint="eastAsia" w:ascii="宋体" w:hAnsi="宋体" w:eastAsia="宋体" w:cs="Times New Roman"/>
          <w:b/>
          <w:bCs/>
          <w:color w:val="000000" w:themeColor="text1"/>
          <w:sz w:val="24"/>
          <w14:textFill>
            <w14:solidFill>
              <w14:schemeClr w14:val="tx1"/>
            </w14:solidFill>
          </w14:textFill>
        </w:rPr>
        <w:t>（五）开标、评标、定标及合同签定</w:t>
      </w:r>
      <w:bookmarkEnd w:id="28"/>
      <w:bookmarkEnd w:id="29"/>
      <w:bookmarkEnd w:id="30"/>
    </w:p>
    <w:p>
      <w:pPr>
        <w:spacing w:line="360" w:lineRule="auto"/>
        <w:ind w:firstLine="482" w:firstLineChars="200"/>
        <w:rPr>
          <w:rFonts w:asci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23</w:t>
      </w:r>
      <w:r>
        <w:rPr>
          <w:rFonts w:hint="eastAsia" w:ascii="宋体" w:hAnsi="宋体"/>
          <w:b/>
          <w:bCs/>
          <w:color w:val="000000" w:themeColor="text1"/>
          <w:sz w:val="24"/>
          <w14:textFill>
            <w14:solidFill>
              <w14:schemeClr w14:val="tx1"/>
            </w14:solidFill>
          </w14:textFill>
        </w:rPr>
        <w:t>．开标</w:t>
      </w:r>
    </w:p>
    <w:p>
      <w:pPr>
        <w:spacing w:line="360" w:lineRule="auto"/>
        <w:ind w:firstLine="480" w:firstLineChars="200"/>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详见第二章开标、评标及定标办法</w:t>
      </w:r>
    </w:p>
    <w:p>
      <w:pPr>
        <w:spacing w:line="360" w:lineRule="auto"/>
        <w:ind w:firstLine="482" w:firstLineChars="200"/>
        <w:rPr>
          <w:rFonts w:asci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24</w:t>
      </w:r>
      <w:r>
        <w:rPr>
          <w:rFonts w:hint="eastAsia" w:ascii="宋体" w:hAnsi="宋体"/>
          <w:b/>
          <w:bCs/>
          <w:color w:val="000000" w:themeColor="text1"/>
          <w:sz w:val="24"/>
          <w14:textFill>
            <w14:solidFill>
              <w14:schemeClr w14:val="tx1"/>
            </w14:solidFill>
          </w14:textFill>
        </w:rPr>
        <w:t>．评标过程的保密</w:t>
      </w:r>
    </w:p>
    <w:p>
      <w:pPr>
        <w:spacing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24.1</w:t>
      </w:r>
      <w:r>
        <w:rPr>
          <w:rFonts w:hint="eastAsia" w:ascii="宋体" w:hAnsi="宋体"/>
          <w:color w:val="000000" w:themeColor="text1"/>
          <w:sz w:val="24"/>
          <w14:textFill>
            <w14:solidFill>
              <w14:schemeClr w14:val="tx1"/>
            </w14:solidFill>
          </w14:textFill>
        </w:rPr>
        <w:t>开标后，直至中标公示为止，凡属于对投标文件的审查、澄清、评价和比较有关的资料以及中标候选人的推荐情况，与评标有关的其他任何情况均严格保密。</w:t>
      </w:r>
    </w:p>
    <w:p>
      <w:pPr>
        <w:spacing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24.2 </w:t>
      </w:r>
      <w:r>
        <w:rPr>
          <w:rFonts w:hint="eastAsia" w:ascii="宋体" w:hAnsi="宋体"/>
          <w:color w:val="000000" w:themeColor="text1"/>
          <w:sz w:val="24"/>
          <w14:textFill>
            <w14:solidFill>
              <w14:schemeClr w14:val="tx1"/>
            </w14:solidFill>
          </w14:textFill>
        </w:rPr>
        <w:t>在投标文件的评审和比较、中标候选人推荐以及授予合同的过程中，投标人向招标人和评标委员会施加不公正影响的任何行为，都将会导致其投标被拒绝。</w:t>
      </w:r>
    </w:p>
    <w:p>
      <w:pPr>
        <w:spacing w:line="360" w:lineRule="auto"/>
        <w:ind w:firstLine="482" w:firstLineChars="200"/>
        <w:rPr>
          <w:rFonts w:asci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25</w:t>
      </w:r>
      <w:r>
        <w:rPr>
          <w:rFonts w:hint="eastAsia" w:ascii="宋体" w:hAnsi="宋体"/>
          <w:b/>
          <w:bCs/>
          <w:color w:val="000000" w:themeColor="text1"/>
          <w:sz w:val="24"/>
          <w14:textFill>
            <w14:solidFill>
              <w14:schemeClr w14:val="tx1"/>
            </w14:solidFill>
          </w14:textFill>
        </w:rPr>
        <w:t>．投标文件的澄清，计算错误的修正</w:t>
      </w:r>
    </w:p>
    <w:p>
      <w:pPr>
        <w:spacing w:line="360" w:lineRule="auto"/>
        <w:ind w:firstLine="480" w:firstLineChars="200"/>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详见招标文件第二章开标、评标及定标办法</w:t>
      </w:r>
    </w:p>
    <w:p>
      <w:pPr>
        <w:spacing w:line="360" w:lineRule="auto"/>
        <w:ind w:firstLine="482" w:firstLineChars="200"/>
        <w:rPr>
          <w:rFonts w:asci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26</w:t>
      </w:r>
      <w:r>
        <w:rPr>
          <w:rFonts w:hint="eastAsia" w:ascii="宋体" w:hAnsi="宋体"/>
          <w:b/>
          <w:bCs/>
          <w:color w:val="000000" w:themeColor="text1"/>
          <w:sz w:val="24"/>
          <w14:textFill>
            <w14:solidFill>
              <w14:schemeClr w14:val="tx1"/>
            </w14:solidFill>
          </w14:textFill>
        </w:rPr>
        <w:t>．投标文件的评审、比较和否决</w:t>
      </w:r>
    </w:p>
    <w:p>
      <w:pPr>
        <w:spacing w:line="360" w:lineRule="auto"/>
        <w:ind w:firstLine="480" w:firstLineChars="200"/>
        <w:rPr>
          <w:rFonts w:ascii="宋体"/>
          <w:bCs/>
          <w:color w:val="000000" w:themeColor="text1"/>
          <w:sz w:val="24"/>
          <w:szCs w:val="24"/>
          <w14:textFill>
            <w14:solidFill>
              <w14:schemeClr w14:val="tx1"/>
            </w14:solidFill>
          </w14:textFill>
        </w:rPr>
      </w:pPr>
      <w:r>
        <w:rPr>
          <w:rFonts w:hint="eastAsia" w:ascii="宋体" w:hAnsi="宋体"/>
          <w:color w:val="000000" w:themeColor="text1"/>
          <w:sz w:val="24"/>
          <w14:textFill>
            <w14:solidFill>
              <w14:schemeClr w14:val="tx1"/>
            </w14:solidFill>
          </w14:textFill>
        </w:rPr>
        <w:t>详见招标文件第二章开标、评标及定标办法。</w:t>
      </w:r>
    </w:p>
    <w:p>
      <w:pPr>
        <w:spacing w:line="360" w:lineRule="auto"/>
        <w:ind w:firstLine="482" w:firstLineChars="200"/>
        <w:rPr>
          <w:rFonts w:asci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27</w:t>
      </w:r>
      <w:r>
        <w:rPr>
          <w:rFonts w:hint="eastAsia" w:ascii="宋体" w:hAnsi="宋体"/>
          <w:b/>
          <w:bCs/>
          <w:color w:val="000000" w:themeColor="text1"/>
          <w:sz w:val="24"/>
          <w14:textFill>
            <w14:solidFill>
              <w14:schemeClr w14:val="tx1"/>
            </w14:solidFill>
          </w14:textFill>
        </w:rPr>
        <w:t>．中标通知书</w:t>
      </w:r>
    </w:p>
    <w:p>
      <w:pPr>
        <w:spacing w:line="360" w:lineRule="auto"/>
        <w:ind w:firstLine="480" w:firstLineChars="200"/>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27.1招标人将在</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spacing w:line="360" w:lineRule="auto"/>
        <w:ind w:firstLine="480" w:firstLineChars="200"/>
        <w:rPr>
          <w:rFonts w:hint="eastAsia" w:ascii="仿宋_GB2312" w:hAnsi="宋体" w:eastAsia="仿宋_GB2312"/>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27.2</w:t>
      </w:r>
      <w:r>
        <w:rPr>
          <w:rFonts w:hint="eastAsia" w:ascii="宋体" w:hAnsi="宋体"/>
          <w:color w:val="000000" w:themeColor="text1"/>
          <w:sz w:val="24"/>
          <w14:textFill>
            <w14:solidFill>
              <w14:schemeClr w14:val="tx1"/>
            </w14:solidFill>
          </w14:textFill>
        </w:rPr>
        <w:t>招标人应当自确定中标人后，向招标投标监管机构提交招标投标情况的书面报告；经招投标监管机构备案后，方可发出中标通知书。</w:t>
      </w: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27.3</w:t>
      </w:r>
      <w:r>
        <w:rPr>
          <w:rFonts w:hint="eastAsia" w:ascii="宋体" w:hAnsi="宋体"/>
          <w:color w:val="000000" w:themeColor="text1"/>
          <w:sz w:val="24"/>
          <w14:textFill>
            <w14:solidFill>
              <w14:schemeClr w14:val="tx1"/>
            </w14:solidFill>
          </w14:textFill>
        </w:rPr>
        <w:t>中标人必须在收到中标通知书后</w:t>
      </w:r>
      <w:r>
        <w:rPr>
          <w:rFonts w:ascii="宋体" w:hAnsi="宋体"/>
          <w:color w:val="000000" w:themeColor="text1"/>
          <w:sz w:val="24"/>
          <w14:textFill>
            <w14:solidFill>
              <w14:schemeClr w14:val="tx1"/>
            </w14:solidFill>
          </w14:textFill>
        </w:rPr>
        <w:t>24</w:t>
      </w:r>
      <w:r>
        <w:rPr>
          <w:rFonts w:hint="eastAsia" w:ascii="宋体" w:hAnsi="宋体"/>
          <w:color w:val="000000" w:themeColor="text1"/>
          <w:sz w:val="24"/>
          <w14:textFill>
            <w14:solidFill>
              <w14:schemeClr w14:val="tx1"/>
            </w14:solidFill>
          </w14:textFill>
        </w:rPr>
        <w:t>小时之内以书面形式回复招标人，确认收到。</w:t>
      </w: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27.4在产生中标候选人后，招标人将中标候选人的投标文件商务部分文件的所有内容（包括人员、业绩、奖项等资料）在</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交易平台和广东省招标投标监管网公开。</w:t>
      </w:r>
    </w:p>
    <w:p>
      <w:pPr>
        <w:spacing w:line="360" w:lineRule="auto"/>
        <w:ind w:firstLine="482" w:firstLineChars="200"/>
        <w:rPr>
          <w:rFonts w:asci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28</w:t>
      </w:r>
      <w:r>
        <w:rPr>
          <w:rFonts w:hint="eastAsia" w:ascii="宋体" w:hAnsi="宋体"/>
          <w:b/>
          <w:bCs/>
          <w:color w:val="000000" w:themeColor="text1"/>
          <w:sz w:val="24"/>
          <w14:textFill>
            <w14:solidFill>
              <w14:schemeClr w14:val="tx1"/>
            </w14:solidFill>
          </w14:textFill>
        </w:rPr>
        <w:t>．合同协议书的签订</w:t>
      </w:r>
    </w:p>
    <w:p>
      <w:pPr>
        <w:spacing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28.1</w:t>
      </w:r>
      <w:r>
        <w:rPr>
          <w:rFonts w:hint="eastAsia" w:ascii="宋体" w:hAnsi="宋体"/>
          <w:color w:val="000000" w:themeColor="text1"/>
          <w:sz w:val="24"/>
          <w14:textFill>
            <w14:solidFill>
              <w14:schemeClr w14:val="tx1"/>
            </w14:solidFill>
          </w14:textFill>
        </w:rPr>
        <w:t>招标人与中标人将于中标通知书发出之日起</w:t>
      </w:r>
      <w:r>
        <w:rPr>
          <w:rFonts w:ascii="宋体" w:hAnsi="宋体"/>
          <w:color w:val="000000" w:themeColor="text1"/>
          <w:sz w:val="24"/>
          <w14:textFill>
            <w14:solidFill>
              <w14:schemeClr w14:val="tx1"/>
            </w14:solidFill>
          </w14:textFill>
        </w:rPr>
        <w:t>30</w:t>
      </w:r>
      <w:r>
        <w:rPr>
          <w:rFonts w:hint="eastAsia" w:ascii="宋体" w:hAnsi="宋体"/>
          <w:color w:val="000000" w:themeColor="text1"/>
          <w:sz w:val="24"/>
          <w14:textFill>
            <w14:solidFill>
              <w14:schemeClr w14:val="tx1"/>
            </w14:solidFill>
          </w14:textFill>
        </w:rPr>
        <w:t>日内，按照招标文件和中标人的投标文件商定和签订合同，招标人和中标人不得再行订立背离合同实质性内容的其他协议。</w:t>
      </w:r>
    </w:p>
    <w:p>
      <w:pPr>
        <w:spacing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28.2</w:t>
      </w:r>
      <w:r>
        <w:rPr>
          <w:rFonts w:hint="eastAsia" w:ascii="宋体" w:hAnsi="宋体"/>
          <w:color w:val="000000" w:themeColor="text1"/>
          <w:sz w:val="24"/>
          <w14:textFill>
            <w14:solidFill>
              <w14:schemeClr w14:val="tx1"/>
            </w14:solidFill>
          </w14:textFill>
        </w:rPr>
        <w:t>中标通知书发出之日起</w:t>
      </w:r>
      <w:r>
        <w:rPr>
          <w:rFonts w:ascii="宋体" w:hAnsi="宋体"/>
          <w:color w:val="000000" w:themeColor="text1"/>
          <w:sz w:val="24"/>
          <w14:textFill>
            <w14:solidFill>
              <w14:schemeClr w14:val="tx1"/>
            </w14:solidFill>
          </w14:textFill>
        </w:rPr>
        <w:t>30</w:t>
      </w:r>
      <w:r>
        <w:rPr>
          <w:rFonts w:hint="eastAsia" w:ascii="宋体" w:hAnsi="宋体"/>
          <w:color w:val="000000" w:themeColor="text1"/>
          <w:sz w:val="24"/>
          <w14:textFill>
            <w14:solidFill>
              <w14:schemeClr w14:val="tx1"/>
            </w14:solidFill>
          </w14:textFill>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28.3</w:t>
      </w:r>
      <w:r>
        <w:rPr>
          <w:rFonts w:hint="eastAsia" w:ascii="宋体" w:hAnsi="宋体"/>
          <w:color w:val="000000" w:themeColor="text1"/>
          <w:sz w:val="24"/>
          <w14:textFill>
            <w14:solidFill>
              <w14:schemeClr w14:val="tx1"/>
            </w14:solidFill>
          </w14:textFill>
        </w:rPr>
        <w:t>非经招标人同意，中标人在投标过程中使用的银行名称及帐号至完成竣工结算不得变更，否则招标人有权停止工程款项的拔付及至解除合同，由此造成的一切责任由中标人承担。</w:t>
      </w: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28.4</w:t>
      </w:r>
      <w:r>
        <w:rPr>
          <w:rFonts w:hint="eastAsia" w:ascii="宋体" w:hAnsi="宋体"/>
          <w:color w:val="000000" w:themeColor="text1"/>
          <w:sz w:val="24"/>
          <w14:textFill>
            <w14:solidFill>
              <w14:schemeClr w14:val="tx1"/>
            </w14:solidFill>
          </w14:textFill>
        </w:rPr>
        <w:t>工程进度款支付应不低于已完成工程价款的80%，招标人支付工程款时，中标人应按规定开具发票。质量保证金不超过工程价款总额3%。当年开工、当年不能竣工的新开工项目可以采用过程结算。</w:t>
      </w:r>
    </w:p>
    <w:p>
      <w:pPr>
        <w:spacing w:line="360" w:lineRule="auto"/>
        <w:ind w:firstLine="482" w:firstLineChars="200"/>
        <w:rPr>
          <w:rFonts w:asci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29</w:t>
      </w:r>
      <w:r>
        <w:rPr>
          <w:rFonts w:hint="eastAsia" w:ascii="宋体" w:hAnsi="宋体"/>
          <w:b/>
          <w:bCs/>
          <w:color w:val="000000" w:themeColor="text1"/>
          <w:sz w:val="24"/>
          <w14:textFill>
            <w14:solidFill>
              <w14:schemeClr w14:val="tx1"/>
            </w14:solidFill>
          </w14:textFill>
        </w:rPr>
        <w:t>．履约担保</w:t>
      </w:r>
    </w:p>
    <w:p>
      <w:pPr>
        <w:snapToGrid w:val="0"/>
        <w:spacing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29.1</w:t>
      </w:r>
      <w:r>
        <w:rPr>
          <w:rFonts w:hint="eastAsia" w:ascii="宋体" w:hAnsi="宋体"/>
          <w:color w:val="000000" w:themeColor="text1"/>
          <w:sz w:val="24"/>
          <w14:textFill>
            <w14:solidFill>
              <w14:schemeClr w14:val="tx1"/>
            </w14:solidFill>
          </w14:textFill>
        </w:rPr>
        <w:t>在收到中标通知书后的</w:t>
      </w:r>
      <w:r>
        <w:rPr>
          <w:rFonts w:ascii="宋体" w:hAnsi="宋体"/>
          <w:color w:val="000000" w:themeColor="text1"/>
          <w:sz w:val="24"/>
          <w14:textFill>
            <w14:solidFill>
              <w14:schemeClr w14:val="tx1"/>
            </w14:solidFill>
          </w14:textFill>
        </w:rPr>
        <w:t>15</w:t>
      </w:r>
      <w:r>
        <w:rPr>
          <w:rFonts w:hint="eastAsia" w:ascii="宋体" w:hAnsi="宋体"/>
          <w:color w:val="000000" w:themeColor="text1"/>
          <w:sz w:val="24"/>
          <w14:textFill>
            <w14:solidFill>
              <w14:schemeClr w14:val="tx1"/>
            </w14:solidFill>
          </w14:textFill>
        </w:rPr>
        <w:t>日内，中标人应按本须知前附表第</w:t>
      </w: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0项的规定向招标人提交履约担保。</w:t>
      </w:r>
    </w:p>
    <w:p>
      <w:pPr>
        <w:snapToGrid w:val="0"/>
        <w:spacing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29.2</w:t>
      </w:r>
      <w:r>
        <w:rPr>
          <w:rFonts w:hint="eastAsia" w:ascii="宋体" w:hAnsi="宋体"/>
          <w:color w:val="000000" w:themeColor="text1"/>
          <w:sz w:val="24"/>
          <w14:textFill>
            <w14:solidFill>
              <w14:schemeClr w14:val="tx1"/>
            </w14:solidFill>
          </w14:textFill>
        </w:rPr>
        <w:t>中标通知书发出之日起</w:t>
      </w:r>
      <w:r>
        <w:rPr>
          <w:rFonts w:ascii="宋体" w:hAnsi="宋体"/>
          <w:color w:val="000000" w:themeColor="text1"/>
          <w:sz w:val="24"/>
          <w14:textFill>
            <w14:solidFill>
              <w14:schemeClr w14:val="tx1"/>
            </w14:solidFill>
          </w14:textFill>
        </w:rPr>
        <w:t>15</w:t>
      </w:r>
      <w:r>
        <w:rPr>
          <w:rFonts w:hint="eastAsia" w:ascii="宋体" w:hAnsi="宋体"/>
          <w:color w:val="000000" w:themeColor="text1"/>
          <w:sz w:val="24"/>
          <w14:textFill>
            <w14:solidFill>
              <w14:schemeClr w14:val="tx1"/>
            </w14:solidFill>
          </w14:textFill>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2" w:firstLineChars="200"/>
        <w:rPr>
          <w:rFonts w:asci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30</w:t>
      </w:r>
      <w:r>
        <w:rPr>
          <w:rFonts w:hint="eastAsia" w:ascii="宋体" w:hAnsi="宋体"/>
          <w:b/>
          <w:bCs/>
          <w:color w:val="000000" w:themeColor="text1"/>
          <w:sz w:val="24"/>
          <w14:textFill>
            <w14:solidFill>
              <w14:schemeClr w14:val="tx1"/>
            </w14:solidFill>
          </w14:textFill>
        </w:rPr>
        <w:t>．合同生效</w:t>
      </w:r>
    </w:p>
    <w:p>
      <w:pPr>
        <w:spacing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30.1</w:t>
      </w:r>
      <w:r>
        <w:rPr>
          <w:rFonts w:hint="eastAsia" w:ascii="宋体" w:hAnsi="宋体"/>
          <w:color w:val="000000" w:themeColor="text1"/>
          <w:sz w:val="24"/>
          <w14:textFill>
            <w14:solidFill>
              <w14:schemeClr w14:val="tx1"/>
            </w14:solidFill>
          </w14:textFill>
        </w:rPr>
        <w:t>在合同双方全权代表在合同协议书上签字，并分别加盖双方单位的公章后，合同正式生效。</w:t>
      </w:r>
    </w:p>
    <w:p>
      <w:pPr>
        <w:spacing w:line="360" w:lineRule="auto"/>
        <w:ind w:firstLine="482" w:firstLineChars="200"/>
        <w:rPr>
          <w:rFonts w:asci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31</w:t>
      </w:r>
      <w:r>
        <w:rPr>
          <w:rFonts w:hint="eastAsia" w:ascii="宋体" w:hAnsi="宋体"/>
          <w:b/>
          <w:bCs/>
          <w:color w:val="000000" w:themeColor="text1"/>
          <w:sz w:val="24"/>
          <w14:textFill>
            <w14:solidFill>
              <w14:schemeClr w14:val="tx1"/>
            </w14:solidFill>
          </w14:textFill>
        </w:rPr>
        <w:t>．其它费用</w:t>
      </w:r>
    </w:p>
    <w:p>
      <w:pPr>
        <w:pStyle w:val="5"/>
        <w:spacing w:after="0" w:line="360" w:lineRule="auto"/>
        <w:ind w:firstLine="482" w:firstLineChars="200"/>
        <w:rPr>
          <w:rFonts w:asci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32</w:t>
      </w:r>
      <w:r>
        <w:rPr>
          <w:rFonts w:hint="eastAsia" w:ascii="宋体" w:hAnsi="宋体"/>
          <w:b/>
          <w:bCs/>
          <w:color w:val="000000" w:themeColor="text1"/>
          <w:sz w:val="24"/>
          <w14:textFill>
            <w14:solidFill>
              <w14:schemeClr w14:val="tx1"/>
            </w14:solidFill>
          </w14:textFill>
        </w:rPr>
        <w:t>．腐败与欺诈行为</w:t>
      </w:r>
    </w:p>
    <w:p>
      <w:pPr>
        <w:pStyle w:val="5"/>
        <w:spacing w:after="0" w:line="360" w:lineRule="auto"/>
        <w:ind w:firstLine="480" w:firstLineChars="200"/>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在招标和合同实施期间，招标人要求投标人和承包人遵守最高的道德标准。</w:t>
      </w:r>
    </w:p>
    <w:p>
      <w:pPr>
        <w:pStyle w:val="5"/>
        <w:spacing w:after="0"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32</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对本条款的规定，特定义如下词汇：</w:t>
      </w:r>
    </w:p>
    <w:p>
      <w:pPr>
        <w:pStyle w:val="5"/>
        <w:spacing w:after="0"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）、“腐败行为”是指在招标或合同执行期间，通过提供、给予、接受或索要任何有价值的东西，从而影响招标人有关人员工作的行为；</w:t>
      </w:r>
    </w:p>
    <w:p>
      <w:pPr>
        <w:pStyle w:val="5"/>
        <w:spacing w:after="0"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pPr>
        <w:pStyle w:val="5"/>
        <w:spacing w:after="0" w:line="360" w:lineRule="auto"/>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32</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如果投标人被认定在本招标的竞争中有腐败或欺诈行为，则会被取消投标资格。</w:t>
      </w:r>
    </w:p>
    <w:p>
      <w:pPr>
        <w:pStyle w:val="5"/>
        <w:spacing w:after="0" w:line="360" w:lineRule="auto"/>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32.3投标人如在本项目中存在串通投标、弄虚作假骗取中标、行贿情形的，中标无效，行政监督部门将对其违法行为进行政处罚。该投标人将被招标人列入黑名单并限制其参与招标人后续项目的投标。</w:t>
      </w:r>
    </w:p>
    <w:p>
      <w:pPr>
        <w:pStyle w:val="3"/>
        <w:rPr>
          <w:rFonts w:hint="eastAsia" w:ascii="黑体" w:hAnsi="黑体" w:eastAsia="黑体" w:cs="黑体"/>
          <w:color w:val="000000" w:themeColor="text1"/>
          <w:sz w:val="36"/>
          <w:szCs w:val="36"/>
          <w14:textFill>
            <w14:solidFill>
              <w14:schemeClr w14:val="tx1"/>
            </w14:solidFill>
          </w14:textFill>
        </w:rPr>
      </w:pPr>
      <w:r>
        <w:rPr>
          <w:rFonts w:ascii="宋体"/>
          <w:color w:val="000000" w:themeColor="text1"/>
          <w:sz w:val="24"/>
          <w14:textFill>
            <w14:solidFill>
              <w14:schemeClr w14:val="tx1"/>
            </w14:solidFill>
          </w14:textFill>
        </w:rPr>
        <w:br w:type="page"/>
      </w:r>
      <w:bookmarkStart w:id="31" w:name="_Toc25278"/>
      <w:bookmarkStart w:id="32" w:name="_Toc2272554"/>
      <w:bookmarkStart w:id="33" w:name="_Toc21525498"/>
      <w:r>
        <w:rPr>
          <w:rFonts w:hint="eastAsia" w:ascii="黑体" w:hAnsi="黑体" w:eastAsia="黑体" w:cs="黑体"/>
          <w:color w:val="000000" w:themeColor="text1"/>
          <w:sz w:val="36"/>
          <w:szCs w:val="36"/>
          <w14:textFill>
            <w14:solidFill>
              <w14:schemeClr w14:val="tx1"/>
            </w14:solidFill>
          </w14:textFill>
        </w:rPr>
        <w:t>第二章  开标、评标及定标办法</w:t>
      </w:r>
      <w:bookmarkEnd w:id="31"/>
      <w:bookmarkEnd w:id="32"/>
      <w:bookmarkEnd w:id="33"/>
    </w:p>
    <w:p>
      <w:pPr>
        <w:pStyle w:val="2"/>
        <w:rPr>
          <w:rFonts w:hint="eastAsia" w:ascii="黑体" w:hAnsi="黑体" w:eastAsia="黑体" w:cs="黑体"/>
          <w:color w:val="000000" w:themeColor="text1"/>
          <w:sz w:val="32"/>
          <w:szCs w:val="32"/>
          <w14:textFill>
            <w14:solidFill>
              <w14:schemeClr w14:val="tx1"/>
            </w14:solidFill>
          </w14:textFill>
        </w:rPr>
      </w:pPr>
      <w:bookmarkStart w:id="34" w:name="_Toc21525499"/>
      <w:bookmarkStart w:id="35" w:name="_Toc29430"/>
      <w:bookmarkStart w:id="36" w:name="_Toc2272555"/>
      <w:r>
        <w:rPr>
          <w:rFonts w:hint="eastAsia" w:ascii="黑体" w:hAnsi="黑体" w:eastAsia="黑体" w:cs="黑体"/>
          <w:color w:val="000000" w:themeColor="text1"/>
          <w:sz w:val="32"/>
          <w:szCs w:val="32"/>
          <w14:textFill>
            <w14:solidFill>
              <w14:schemeClr w14:val="tx1"/>
            </w14:solidFill>
          </w14:textFill>
        </w:rPr>
        <w:t>一、开标、评标及定标办法修改表</w:t>
      </w:r>
      <w:bookmarkEnd w:id="34"/>
      <w:bookmarkEnd w:id="35"/>
      <w:bookmarkEnd w:id="36"/>
    </w:p>
    <w:p>
      <w:pPr>
        <w:pStyle w:val="5"/>
        <w:spacing w:after="0" w:line="360" w:lineRule="auto"/>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声明：本</w:t>
      </w:r>
      <w:r>
        <w:rPr>
          <w:rFonts w:hint="eastAsia"/>
          <w:b/>
          <w:color w:val="000000" w:themeColor="text1"/>
          <w14:textFill>
            <w14:solidFill>
              <w14:schemeClr w14:val="tx1"/>
            </w14:solidFill>
          </w14:textFill>
        </w:rPr>
        <w:t>开标、评标及定标办法使用GZZB2018-3招标文件范本的开标、评标及定标办法通用条款，与该通用条款不同之处，均在本表中列明，并以现文为准，原</w:t>
      </w:r>
      <w:r>
        <w:rPr>
          <w:rFonts w:hint="eastAsia"/>
          <w:b/>
          <w:color w:val="000000" w:themeColor="text1"/>
          <w:szCs w:val="21"/>
          <w14:textFill>
            <w14:solidFill>
              <w14:schemeClr w14:val="tx1"/>
            </w14:solidFill>
          </w14:textFill>
        </w:rPr>
        <w:t>文不再有效。本招标文件中不再转录</w:t>
      </w:r>
      <w:r>
        <w:rPr>
          <w:rFonts w:hint="eastAsia"/>
          <w:b/>
          <w:color w:val="000000" w:themeColor="text1"/>
          <w14:textFill>
            <w14:solidFill>
              <w14:schemeClr w14:val="tx1"/>
            </w14:solidFill>
          </w14:textFill>
        </w:rPr>
        <w:t>开标、评标及定标办法</w:t>
      </w:r>
      <w:r>
        <w:rPr>
          <w:rFonts w:hint="eastAsia"/>
          <w:b/>
          <w:color w:val="000000" w:themeColor="text1"/>
          <w:szCs w:val="21"/>
          <w14:textFill>
            <w14:solidFill>
              <w14:schemeClr w14:val="tx1"/>
            </w14:solidFill>
          </w14:textFill>
        </w:rPr>
        <w:t>通用条款，请投标人自行到广州市住房和城乡建设局网站（网址：</w:t>
      </w:r>
      <w:r>
        <w:fldChar w:fldCharType="begin"/>
      </w:r>
      <w:r>
        <w:instrText xml:space="preserve"> HYPERLINK "http://www.gzcc.gov.cn/）下载GZZB2018-3" </w:instrText>
      </w:r>
      <w:r>
        <w:fldChar w:fldCharType="separate"/>
      </w:r>
      <w:r>
        <w:rPr>
          <w:rStyle w:val="43"/>
          <w:b/>
          <w:color w:val="000000" w:themeColor="text1"/>
          <w:szCs w:val="21"/>
          <w:u w:val="none"/>
          <w14:textFill>
            <w14:solidFill>
              <w14:schemeClr w14:val="tx1"/>
            </w14:solidFill>
          </w14:textFill>
        </w:rPr>
        <w:t>http://zfcj.gz.gov.cn/</w:t>
      </w:r>
      <w:r>
        <w:rPr>
          <w:rStyle w:val="43"/>
          <w:rFonts w:hint="eastAsia"/>
          <w:b/>
          <w:color w:val="000000" w:themeColor="text1"/>
          <w:szCs w:val="21"/>
          <w:u w:val="none"/>
          <w14:textFill>
            <w14:solidFill>
              <w14:schemeClr w14:val="tx1"/>
            </w14:solidFill>
          </w14:textFill>
        </w:rPr>
        <w:t>）下载GZZB2018-3</w:t>
      </w:r>
      <w:r>
        <w:rPr>
          <w:rStyle w:val="43"/>
          <w:rFonts w:hint="eastAsia"/>
          <w:b/>
          <w:color w:val="000000" w:themeColor="text1"/>
          <w:szCs w:val="21"/>
          <w:u w:val="none"/>
          <w14:textFill>
            <w14:solidFill>
              <w14:schemeClr w14:val="tx1"/>
            </w14:solidFill>
          </w14:textFill>
        </w:rPr>
        <w:fldChar w:fldCharType="end"/>
      </w:r>
      <w:r>
        <w:rPr>
          <w:rFonts w:hint="eastAsia"/>
          <w:b/>
          <w:color w:val="000000" w:themeColor="text1"/>
          <w:szCs w:val="21"/>
          <w14:textFill>
            <w14:solidFill>
              <w14:schemeClr w14:val="tx1"/>
            </w14:solidFill>
          </w14:textFill>
        </w:rPr>
        <w:t>范本查阅。</w:t>
      </w:r>
    </w:p>
    <w:p>
      <w:pPr>
        <w:spacing w:line="360" w:lineRule="auto"/>
        <w:ind w:firstLine="540" w:firstLineChars="224"/>
        <w:rPr>
          <w:rFonts w:ascii="Times New Roman" w:hAnsi="Times New Roman"/>
          <w:b/>
          <w:sz w:val="24"/>
          <w:szCs w:val="24"/>
        </w:rPr>
      </w:pPr>
      <w:r>
        <w:rPr>
          <w:rFonts w:hint="eastAsia" w:ascii="Times New Roman" w:hAnsi="Times New Roman"/>
          <w:b/>
          <w:sz w:val="24"/>
          <w:szCs w:val="24"/>
        </w:rPr>
        <w:t>条款号：36.3</w:t>
      </w:r>
      <w:r>
        <w:rPr>
          <w:rFonts w:ascii="Times New Roman" w:hAnsi="Times New Roman"/>
          <w:b/>
          <w:sz w:val="24"/>
          <w:szCs w:val="24"/>
        </w:rPr>
        <w:t xml:space="preserve">             </w:t>
      </w:r>
      <w:r>
        <w:rPr>
          <w:rFonts w:hint="eastAsia" w:ascii="Times New Roman" w:hAnsi="Times New Roman"/>
          <w:b/>
          <w:sz w:val="24"/>
          <w:szCs w:val="24"/>
        </w:rPr>
        <w:t>修改类型：删除</w:t>
      </w:r>
    </w:p>
    <w:p>
      <w:pPr>
        <w:pBdr>
          <w:bottom w:val="single" w:color="auto" w:sz="6" w:space="1"/>
        </w:pBdr>
        <w:spacing w:line="360" w:lineRule="auto"/>
        <w:ind w:firstLine="540" w:firstLineChars="224"/>
        <w:rPr>
          <w:rFonts w:ascii="Times New Roman" w:hAnsi="Times New Roman"/>
          <w:b/>
          <w:sz w:val="24"/>
          <w:szCs w:val="24"/>
        </w:rPr>
      </w:pPr>
      <w:r>
        <w:rPr>
          <w:rFonts w:hint="eastAsia" w:ascii="Times New Roman" w:hAnsi="Times New Roman"/>
          <w:b/>
          <w:sz w:val="24"/>
          <w:szCs w:val="24"/>
        </w:rPr>
        <w:t>原文：</w:t>
      </w:r>
      <w:r>
        <w:rPr>
          <w:rFonts w:hint="eastAsia" w:ascii="Times New Roman" w:hAnsi="Times New Roman"/>
          <w:sz w:val="24"/>
          <w:szCs w:val="24"/>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360" w:lineRule="auto"/>
        <w:ind w:firstLine="540" w:firstLineChars="224"/>
        <w:rPr>
          <w:rFonts w:ascii="Times New Roman" w:hAnsi="Times New Roman"/>
          <w:b/>
          <w:sz w:val="24"/>
          <w:szCs w:val="24"/>
        </w:rPr>
      </w:pPr>
      <w:r>
        <w:rPr>
          <w:rFonts w:hint="eastAsia" w:ascii="Times New Roman" w:hAnsi="Times New Roman"/>
          <w:b/>
          <w:sz w:val="24"/>
          <w:szCs w:val="24"/>
        </w:rPr>
        <w:t>条款号：36.5.1</w:t>
      </w:r>
      <w:r>
        <w:rPr>
          <w:rFonts w:ascii="Times New Roman" w:hAnsi="Times New Roman"/>
          <w:b/>
          <w:sz w:val="24"/>
          <w:szCs w:val="24"/>
        </w:rPr>
        <w:t xml:space="preserve">             </w:t>
      </w:r>
      <w:r>
        <w:rPr>
          <w:rFonts w:hint="eastAsia" w:ascii="Times New Roman" w:hAnsi="Times New Roman"/>
          <w:b/>
          <w:sz w:val="24"/>
          <w:szCs w:val="24"/>
        </w:rPr>
        <w:t>修改类型：修改</w:t>
      </w:r>
    </w:p>
    <w:p>
      <w:pPr>
        <w:spacing w:line="360" w:lineRule="auto"/>
        <w:ind w:firstLine="540" w:firstLineChars="224"/>
        <w:rPr>
          <w:rFonts w:ascii="Times New Roman" w:hAnsi="Times New Roman"/>
          <w:b/>
          <w:sz w:val="24"/>
          <w:szCs w:val="24"/>
        </w:rPr>
      </w:pPr>
      <w:r>
        <w:rPr>
          <w:rFonts w:hint="eastAsia" w:ascii="Times New Roman" w:hAnsi="Times New Roman"/>
          <w:b/>
          <w:sz w:val="24"/>
          <w:szCs w:val="24"/>
        </w:rPr>
        <w:t>原文：</w:t>
      </w:r>
      <w:r>
        <w:rPr>
          <w:rFonts w:hint="eastAsia" w:ascii="Times New Roman" w:hAnsi="Times New Roman"/>
          <w:sz w:val="24"/>
          <w:szCs w:val="24"/>
        </w:rPr>
        <w:t>36.5.1在投标截止时间后一小时内，投标人通过</w:t>
      </w:r>
      <w:r>
        <w:rPr>
          <w:rFonts w:ascii="Times New Roman" w:hAnsi="Times New Roman"/>
          <w:sz w:val="24"/>
          <w:szCs w:val="24"/>
          <w:u w:val="single"/>
        </w:rPr>
        <w:t xml:space="preserve">        </w:t>
      </w:r>
      <w:r>
        <w:rPr>
          <w:rFonts w:hint="eastAsia" w:ascii="Times New Roman" w:hAnsi="Times New Roman"/>
          <w:sz w:val="24"/>
          <w:szCs w:val="24"/>
        </w:rPr>
        <w:t>交易平台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pPr>
        <w:pBdr>
          <w:bottom w:val="single" w:color="auto" w:sz="6" w:space="1"/>
        </w:pBdr>
        <w:spacing w:line="360" w:lineRule="auto"/>
        <w:ind w:firstLine="602" w:firstLineChars="250"/>
        <w:rPr>
          <w:rFonts w:ascii="Times New Roman" w:hAnsi="Times New Roman"/>
          <w:sz w:val="24"/>
          <w:szCs w:val="24"/>
        </w:rPr>
      </w:pPr>
      <w:r>
        <w:rPr>
          <w:rFonts w:hint="eastAsia" w:ascii="Times New Roman" w:hAnsi="Times New Roman"/>
          <w:b/>
          <w:sz w:val="24"/>
          <w:szCs w:val="24"/>
        </w:rPr>
        <w:t>现文：</w:t>
      </w:r>
      <w:r>
        <w:rPr>
          <w:rFonts w:hint="eastAsia" w:ascii="Times New Roman" w:hAnsi="Times New Roman"/>
          <w:sz w:val="24"/>
          <w:szCs w:val="24"/>
        </w:rPr>
        <w:t>36.5.1在投标截止时间后一小时内，投标人通过</w:t>
      </w:r>
      <w:r>
        <w:rPr>
          <w:rFonts w:hint="eastAsia" w:ascii="Times New Roman" w:hAnsi="Times New Roman"/>
          <w:sz w:val="24"/>
          <w:szCs w:val="24"/>
          <w:u w:val="single"/>
        </w:rPr>
        <w:t>广州交易集团有限公司（广州公共资源交易中心）</w:t>
      </w:r>
      <w:r>
        <w:rPr>
          <w:rFonts w:hint="eastAsia" w:ascii="Times New Roman" w:hAnsi="Times New Roman"/>
          <w:sz w:val="24"/>
          <w:szCs w:val="24"/>
        </w:rPr>
        <w:t>交易平台对已递交的电子投标文件进行解密。投标人完成解密后，再由招标人进行解密。解密完成后，公布招标项目名称、投标人名称、投标报价、工期及其他内容；</w:t>
      </w:r>
    </w:p>
    <w:p>
      <w:pPr>
        <w:spacing w:line="360" w:lineRule="auto"/>
        <w:ind w:firstLine="540" w:firstLineChars="224"/>
        <w:rPr>
          <w:rFonts w:ascii="Times New Roman" w:hAnsi="Times New Roman"/>
          <w:b/>
          <w:sz w:val="24"/>
          <w:szCs w:val="24"/>
        </w:rPr>
      </w:pPr>
      <w:r>
        <w:rPr>
          <w:rFonts w:hint="eastAsia" w:ascii="Times New Roman" w:hAnsi="Times New Roman"/>
          <w:b/>
          <w:sz w:val="24"/>
          <w:szCs w:val="24"/>
        </w:rPr>
        <w:t>条款号：</w:t>
      </w:r>
      <w:r>
        <w:rPr>
          <w:rFonts w:ascii="Times New Roman" w:hAnsi="Times New Roman"/>
          <w:b/>
          <w:sz w:val="24"/>
          <w:szCs w:val="24"/>
        </w:rPr>
        <w:t xml:space="preserve">  </w:t>
      </w:r>
      <w:r>
        <w:rPr>
          <w:rFonts w:hint="eastAsia" w:ascii="Times New Roman" w:hAnsi="Times New Roman"/>
          <w:sz w:val="24"/>
          <w:szCs w:val="24"/>
        </w:rPr>
        <w:t>36.5.3</w:t>
      </w:r>
      <w:r>
        <w:rPr>
          <w:rFonts w:ascii="Times New Roman" w:hAnsi="Times New Roman"/>
          <w:b/>
          <w:sz w:val="24"/>
          <w:szCs w:val="24"/>
        </w:rPr>
        <w:t xml:space="preserve">           </w:t>
      </w:r>
      <w:r>
        <w:rPr>
          <w:rFonts w:hint="eastAsia" w:ascii="Times New Roman" w:hAnsi="Times New Roman"/>
          <w:b/>
          <w:sz w:val="24"/>
          <w:szCs w:val="24"/>
        </w:rPr>
        <w:t>修改类型：修改</w:t>
      </w:r>
    </w:p>
    <w:p>
      <w:pPr>
        <w:spacing w:line="360" w:lineRule="auto"/>
        <w:ind w:firstLine="482" w:firstLineChars="200"/>
        <w:rPr>
          <w:rFonts w:ascii="Times New Roman" w:hAnsi="Times New Roman"/>
          <w:sz w:val="24"/>
          <w:szCs w:val="24"/>
        </w:rPr>
      </w:pPr>
      <w:r>
        <w:rPr>
          <w:rFonts w:hint="eastAsia" w:ascii="Times New Roman" w:hAnsi="Times New Roman"/>
          <w:b/>
          <w:sz w:val="24"/>
          <w:szCs w:val="24"/>
        </w:rPr>
        <w:t>原文：</w:t>
      </w:r>
      <w:r>
        <w:rPr>
          <w:rFonts w:hint="eastAsia" w:ascii="Times New Roman" w:hAnsi="Times New Roman"/>
          <w:sz w:val="24"/>
          <w:szCs w:val="24"/>
        </w:rPr>
        <w:t>投标人代表、招标人代表、监标人、记录人等有关人员在开标记录上签字确认；若有关人员不签字的，不影响开标程序；</w:t>
      </w:r>
    </w:p>
    <w:p>
      <w:pPr>
        <w:pBdr>
          <w:bottom w:val="single" w:color="auto" w:sz="6" w:space="1"/>
        </w:pBdr>
        <w:spacing w:line="360" w:lineRule="auto"/>
        <w:ind w:firstLine="540" w:firstLineChars="224"/>
        <w:rPr>
          <w:rFonts w:ascii="Times New Roman" w:hAnsi="Times New Roman"/>
          <w:b/>
          <w:sz w:val="24"/>
          <w:szCs w:val="24"/>
        </w:rPr>
      </w:pPr>
      <w:r>
        <w:rPr>
          <w:rFonts w:ascii="Times New Roman" w:hAnsi="Times New Roman"/>
          <w:b/>
          <w:sz w:val="24"/>
          <w:szCs w:val="24"/>
        </w:rPr>
        <w:t>现文</w:t>
      </w:r>
      <w:r>
        <w:rPr>
          <w:rFonts w:hint="eastAsia" w:ascii="Times New Roman" w:hAnsi="Times New Roman"/>
          <w:b/>
          <w:sz w:val="24"/>
          <w:szCs w:val="24"/>
        </w:rPr>
        <w:t>：</w:t>
      </w:r>
      <w:r>
        <w:rPr>
          <w:rFonts w:hint="eastAsia" w:ascii="Times New Roman" w:hAnsi="Times New Roman"/>
          <w:sz w:val="24"/>
          <w:szCs w:val="24"/>
        </w:rPr>
        <w:t>投标人代表、招标人代表、监标人、记录人等有关人员在开标记录上签字确认；若有关人员不签字的，不影响开标程序；</w:t>
      </w:r>
      <w:r>
        <w:rPr>
          <w:rFonts w:hint="eastAsia" w:ascii="Times New Roman" w:hAnsi="Times New Roman"/>
          <w:sz w:val="24"/>
          <w:szCs w:val="24"/>
          <w:u w:val="single"/>
        </w:rPr>
        <w:t>若投标人不参加开标会的，或不签字确认的，视同该投标人认可开标结果。</w:t>
      </w:r>
    </w:p>
    <w:p>
      <w:pPr>
        <w:spacing w:line="360" w:lineRule="auto"/>
        <w:ind w:firstLine="540" w:firstLineChars="224"/>
        <w:rPr>
          <w:rFonts w:hint="eastAsia" w:ascii="宋体" w:hAnsi="宋体" w:cs="仿宋"/>
          <w:b/>
          <w:sz w:val="24"/>
          <w:szCs w:val="24"/>
        </w:rPr>
      </w:pPr>
      <w:r>
        <w:rPr>
          <w:rFonts w:hint="eastAsia" w:ascii="宋体" w:hAnsi="宋体" w:cs="仿宋"/>
          <w:b/>
          <w:sz w:val="24"/>
          <w:szCs w:val="24"/>
        </w:rPr>
        <w:t>条款号： 评标办法          修改类型：删除</w:t>
      </w:r>
    </w:p>
    <w:p>
      <w:pPr>
        <w:pBdr>
          <w:bottom w:val="single" w:color="auto" w:sz="6" w:space="1"/>
        </w:pBdr>
        <w:spacing w:line="360" w:lineRule="auto"/>
        <w:ind w:firstLine="482" w:firstLineChars="200"/>
        <w:rPr>
          <w:rFonts w:hint="eastAsia" w:ascii="宋体" w:hAnsi="宋体" w:cs="仿宋"/>
          <w:sz w:val="24"/>
          <w:szCs w:val="24"/>
          <w:shd w:val="clear" w:color="auto" w:fill="FFFFFF"/>
        </w:rPr>
      </w:pPr>
      <w:r>
        <w:rPr>
          <w:rFonts w:hint="eastAsia" w:ascii="宋体" w:hAnsi="宋体" w:cs="仿宋"/>
          <w:b/>
          <w:sz w:val="24"/>
          <w:szCs w:val="24"/>
        </w:rPr>
        <w:t>原文：</w:t>
      </w:r>
      <w:r>
        <w:rPr>
          <w:rFonts w:hint="eastAsia" w:ascii="宋体" w:hAnsi="宋体" w:cs="仿宋"/>
          <w:sz w:val="24"/>
          <w:szCs w:val="24"/>
          <w:shd w:val="clear" w:color="auto" w:fill="FFFFFF"/>
        </w:rPr>
        <w:t>可选办法一（适合综合评分法一，技术标与经济标先后分别开启）</w:t>
      </w:r>
    </w:p>
    <w:p>
      <w:pPr>
        <w:pBdr>
          <w:bottom w:val="single" w:color="auto" w:sz="6" w:space="1"/>
        </w:pBdr>
        <w:spacing w:line="360" w:lineRule="auto"/>
        <w:ind w:firstLine="1200" w:firstLineChars="500"/>
        <w:rPr>
          <w:rFonts w:hint="eastAsia" w:ascii="宋体" w:hAnsi="宋体" w:cs="仿宋"/>
          <w:sz w:val="24"/>
          <w:szCs w:val="24"/>
          <w:shd w:val="clear" w:color="auto" w:fill="FFFFFF"/>
        </w:rPr>
      </w:pPr>
      <w:r>
        <w:rPr>
          <w:rFonts w:hint="eastAsia" w:ascii="宋体" w:hAnsi="宋体" w:cs="仿宋"/>
          <w:sz w:val="24"/>
          <w:szCs w:val="24"/>
          <w:shd w:val="clear" w:color="auto" w:fill="FFFFFF"/>
        </w:rPr>
        <w:t>可选办法二（适合综合评分法一，技术标与经济标同时开启）</w:t>
      </w:r>
    </w:p>
    <w:p>
      <w:pPr>
        <w:pBdr>
          <w:bottom w:val="single" w:color="auto" w:sz="6" w:space="1"/>
        </w:pBdr>
        <w:spacing w:line="360" w:lineRule="auto"/>
        <w:ind w:firstLine="1200" w:firstLineChars="500"/>
        <w:rPr>
          <w:rFonts w:hint="eastAsia" w:ascii="宋体" w:hAnsi="宋体" w:cs="仿宋"/>
          <w:sz w:val="24"/>
          <w:szCs w:val="24"/>
          <w:shd w:val="clear" w:color="auto" w:fill="FFFFFF"/>
        </w:rPr>
      </w:pPr>
      <w:r>
        <w:rPr>
          <w:rFonts w:hint="eastAsia" w:ascii="宋体" w:hAnsi="宋体" w:cs="仿宋"/>
          <w:sz w:val="24"/>
          <w:szCs w:val="24"/>
          <w:shd w:val="clear" w:color="auto" w:fill="FFFFFF"/>
        </w:rPr>
        <w:t>可选办法三（适合综合评分法二，技术标与经济标先后分别开启）</w:t>
      </w:r>
    </w:p>
    <w:p>
      <w:pPr>
        <w:pBdr>
          <w:bottom w:val="single" w:color="auto" w:sz="6" w:space="1"/>
        </w:pBdr>
        <w:spacing w:line="360" w:lineRule="auto"/>
        <w:ind w:firstLine="1200" w:firstLineChars="500"/>
        <w:rPr>
          <w:rFonts w:hint="eastAsia" w:ascii="宋体" w:hAnsi="宋体" w:cs="仿宋"/>
          <w:sz w:val="24"/>
          <w:szCs w:val="24"/>
          <w:shd w:val="clear" w:color="auto" w:fill="FFFFFF"/>
        </w:rPr>
      </w:pPr>
      <w:r>
        <w:rPr>
          <w:rFonts w:hint="eastAsia" w:ascii="宋体" w:hAnsi="宋体" w:cs="仿宋"/>
          <w:sz w:val="24"/>
          <w:szCs w:val="24"/>
          <w:shd w:val="clear" w:color="auto" w:fill="FFFFFF"/>
        </w:rPr>
        <w:t>可选办法四（适合综合评分法二，技术标与经济标同时开启）</w:t>
      </w:r>
    </w:p>
    <w:p>
      <w:pPr>
        <w:pBdr>
          <w:bottom w:val="single" w:color="auto" w:sz="6" w:space="1"/>
        </w:pBdr>
        <w:spacing w:line="360" w:lineRule="auto"/>
        <w:ind w:firstLine="1200" w:firstLineChars="500"/>
        <w:rPr>
          <w:rFonts w:hint="eastAsia" w:ascii="宋体" w:hAnsi="宋体" w:cs="仿宋"/>
          <w:sz w:val="24"/>
          <w:szCs w:val="24"/>
          <w:shd w:val="clear" w:color="auto" w:fill="FFFFFF"/>
        </w:rPr>
      </w:pPr>
      <w:r>
        <w:rPr>
          <w:rFonts w:hint="eastAsia" w:ascii="宋体" w:hAnsi="宋体" w:cs="仿宋"/>
          <w:sz w:val="24"/>
          <w:szCs w:val="24"/>
          <w:shd w:val="clear" w:color="auto" w:fill="FFFFFF"/>
        </w:rPr>
        <w:t>可选办法五（适合综合评分法三，技术标与经济标先后分别开启）</w:t>
      </w:r>
    </w:p>
    <w:p>
      <w:pPr>
        <w:pBdr>
          <w:bottom w:val="single" w:color="auto" w:sz="6" w:space="1"/>
        </w:pBdr>
        <w:spacing w:line="360" w:lineRule="auto"/>
        <w:ind w:firstLine="1200" w:firstLineChars="500"/>
        <w:rPr>
          <w:rFonts w:hint="eastAsia" w:ascii="宋体" w:hAnsi="宋体" w:cs="仿宋"/>
          <w:sz w:val="24"/>
          <w:szCs w:val="24"/>
          <w:shd w:val="clear" w:color="auto" w:fill="FFFFFF"/>
        </w:rPr>
      </w:pPr>
      <w:r>
        <w:rPr>
          <w:rFonts w:hint="eastAsia" w:ascii="宋体" w:hAnsi="宋体" w:cs="仿宋"/>
          <w:sz w:val="24"/>
          <w:szCs w:val="24"/>
          <w:shd w:val="clear" w:color="auto" w:fill="FFFFFF"/>
        </w:rPr>
        <w:t>可选办法七（适合综合评分法四，技术标与经济标同时开启）</w:t>
      </w:r>
    </w:p>
    <w:p>
      <w:pPr>
        <w:pBdr>
          <w:bottom w:val="single" w:color="auto" w:sz="6" w:space="1"/>
        </w:pBdr>
        <w:spacing w:line="360" w:lineRule="auto"/>
        <w:ind w:firstLine="1200" w:firstLineChars="500"/>
        <w:rPr>
          <w:rFonts w:hint="eastAsia" w:ascii="宋体" w:hAnsi="宋体" w:cs="仿宋"/>
          <w:sz w:val="24"/>
          <w:szCs w:val="24"/>
          <w:shd w:val="clear" w:color="auto" w:fill="FFFFFF"/>
        </w:rPr>
      </w:pPr>
      <w:r>
        <w:rPr>
          <w:rFonts w:hint="eastAsia" w:ascii="宋体" w:hAnsi="宋体" w:cs="仿宋"/>
          <w:sz w:val="24"/>
          <w:szCs w:val="24"/>
          <w:shd w:val="clear" w:color="auto" w:fill="FFFFFF"/>
        </w:rPr>
        <w:t>可选办法八（适合经评审的最低投标价法，技术标与经济标同时开启）</w:t>
      </w:r>
    </w:p>
    <w:p>
      <w:pPr>
        <w:spacing w:line="360" w:lineRule="auto"/>
        <w:ind w:firstLine="482" w:firstLineChars="200"/>
        <w:rPr>
          <w:rFonts w:hint="eastAsia" w:ascii="宋体" w:hAnsi="宋体" w:cs="仿宋"/>
          <w:b/>
          <w:sz w:val="24"/>
          <w:szCs w:val="24"/>
        </w:rPr>
      </w:pPr>
      <w:r>
        <w:rPr>
          <w:rFonts w:hint="eastAsia" w:ascii="宋体" w:hAnsi="宋体" w:cs="仿宋"/>
          <w:b/>
          <w:sz w:val="24"/>
          <w:szCs w:val="24"/>
        </w:rPr>
        <w:t>条款号： 41.1              修改类型：修改</w:t>
      </w:r>
    </w:p>
    <w:p>
      <w:pPr>
        <w:pBdr>
          <w:bottom w:val="single" w:color="auto" w:sz="6" w:space="1"/>
        </w:pBdr>
        <w:spacing w:line="360" w:lineRule="auto"/>
        <w:ind w:firstLine="602" w:firstLineChars="250"/>
        <w:rPr>
          <w:rFonts w:hint="eastAsia" w:ascii="宋体" w:hAnsi="宋体" w:cs="仿宋"/>
          <w:b/>
          <w:sz w:val="24"/>
          <w:szCs w:val="24"/>
        </w:rPr>
      </w:pPr>
      <w:r>
        <w:rPr>
          <w:rFonts w:hint="eastAsia" w:ascii="宋体" w:hAnsi="宋体" w:cs="仿宋"/>
          <w:b/>
          <w:sz w:val="24"/>
          <w:szCs w:val="24"/>
        </w:rPr>
        <w:t>原文：</w:t>
      </w:r>
      <w:r>
        <w:rPr>
          <w:rFonts w:hint="eastAsia" w:ascii="宋体" w:hAnsi="宋体" w:cs="仿宋"/>
          <w:sz w:val="24"/>
          <w:szCs w:val="24"/>
        </w:rPr>
        <w:t>41.1 开标由招标人主持；</w:t>
      </w:r>
    </w:p>
    <w:p>
      <w:pPr>
        <w:pBdr>
          <w:bottom w:val="single" w:color="auto" w:sz="6" w:space="1"/>
        </w:pBdr>
        <w:spacing w:line="360" w:lineRule="auto"/>
        <w:ind w:firstLine="602" w:firstLineChars="250"/>
        <w:rPr>
          <w:rFonts w:hint="eastAsia" w:ascii="宋体" w:hAnsi="宋体" w:cs="仿宋"/>
          <w:b/>
          <w:sz w:val="24"/>
          <w:szCs w:val="24"/>
        </w:rPr>
      </w:pPr>
      <w:r>
        <w:rPr>
          <w:rFonts w:hint="eastAsia" w:ascii="宋体" w:hAnsi="宋体" w:cs="仿宋"/>
          <w:b/>
          <w:sz w:val="24"/>
          <w:szCs w:val="24"/>
        </w:rPr>
        <w:t>现文：</w:t>
      </w:r>
      <w:r>
        <w:rPr>
          <w:rFonts w:hint="eastAsia" w:ascii="宋体" w:hAnsi="宋体" w:cs="仿宋"/>
          <w:sz w:val="24"/>
          <w:szCs w:val="24"/>
        </w:rPr>
        <w:t xml:space="preserve">41.1 </w:t>
      </w:r>
      <w:r>
        <w:rPr>
          <w:rFonts w:hint="eastAsia" w:ascii="宋体" w:hAnsi="宋体" w:cs="仿宋"/>
          <w:sz w:val="24"/>
          <w:szCs w:val="24"/>
          <w:u w:val="single"/>
        </w:rPr>
        <w:t>开标由招标人或招标代理主持；</w:t>
      </w:r>
    </w:p>
    <w:p>
      <w:pPr>
        <w:spacing w:line="360" w:lineRule="auto"/>
        <w:ind w:firstLine="540" w:firstLineChars="224"/>
        <w:rPr>
          <w:rFonts w:hint="eastAsia" w:ascii="宋体" w:hAnsi="宋体" w:cs="仿宋"/>
          <w:b/>
          <w:sz w:val="24"/>
          <w:szCs w:val="24"/>
        </w:rPr>
      </w:pPr>
      <w:r>
        <w:rPr>
          <w:rFonts w:hint="eastAsia" w:ascii="宋体" w:hAnsi="宋体" w:cs="仿宋"/>
          <w:b/>
          <w:sz w:val="24"/>
          <w:szCs w:val="24"/>
        </w:rPr>
        <w:t>条款号：41.2.1             修改类型：修改</w:t>
      </w:r>
    </w:p>
    <w:p>
      <w:pPr>
        <w:spacing w:line="360" w:lineRule="auto"/>
        <w:ind w:firstLine="540" w:firstLineChars="224"/>
        <w:rPr>
          <w:rFonts w:hint="eastAsia" w:ascii="宋体" w:hAnsi="宋体" w:cs="仿宋"/>
          <w:b/>
          <w:sz w:val="24"/>
          <w:szCs w:val="24"/>
        </w:rPr>
      </w:pPr>
      <w:r>
        <w:rPr>
          <w:rFonts w:hint="eastAsia" w:ascii="宋体" w:hAnsi="宋体" w:cs="仿宋"/>
          <w:b/>
          <w:sz w:val="24"/>
          <w:szCs w:val="24"/>
        </w:rPr>
        <w:t>原文：</w:t>
      </w:r>
      <w:r>
        <w:rPr>
          <w:rFonts w:hint="eastAsia" w:ascii="宋体" w:hAnsi="宋体" w:cs="仿宋"/>
          <w:b/>
          <w:bCs/>
          <w:sz w:val="24"/>
          <w:szCs w:val="24"/>
        </w:rPr>
        <w:t>41.2.1</w:t>
      </w:r>
      <w:r>
        <w:rPr>
          <w:rFonts w:hint="eastAsia" w:ascii="宋体" w:hAnsi="宋体" w:cs="仿宋"/>
          <w:bCs/>
          <w:sz w:val="24"/>
          <w:szCs w:val="24"/>
        </w:rPr>
        <w:t xml:space="preserve">投标截止期前，各投标人递交投标文件（包括技术标投标文件、经济标投标文件）至交易平台。有关投标文件提交的事项详见第一章投标须知。 </w:t>
      </w:r>
    </w:p>
    <w:p>
      <w:pPr>
        <w:pBdr>
          <w:bottom w:val="single" w:color="auto" w:sz="6" w:space="1"/>
        </w:pBdr>
        <w:spacing w:line="360" w:lineRule="auto"/>
        <w:ind w:firstLine="602" w:firstLineChars="250"/>
        <w:rPr>
          <w:rFonts w:hint="eastAsia" w:ascii="宋体" w:hAnsi="宋体" w:cs="仿宋"/>
          <w:sz w:val="24"/>
          <w:szCs w:val="24"/>
        </w:rPr>
      </w:pPr>
      <w:r>
        <w:rPr>
          <w:rFonts w:hint="eastAsia" w:ascii="宋体" w:hAnsi="宋体" w:cs="仿宋"/>
          <w:b/>
          <w:sz w:val="24"/>
          <w:szCs w:val="24"/>
        </w:rPr>
        <w:t>现文：</w:t>
      </w:r>
      <w:r>
        <w:rPr>
          <w:rFonts w:hint="eastAsia" w:ascii="宋体" w:hAnsi="宋体" w:cs="仿宋"/>
          <w:b/>
          <w:bCs/>
          <w:sz w:val="24"/>
          <w:szCs w:val="24"/>
        </w:rPr>
        <w:t>41.2.1</w:t>
      </w:r>
      <w:r>
        <w:rPr>
          <w:rFonts w:hint="eastAsia" w:ascii="宋体" w:hAnsi="宋体" w:cs="仿宋"/>
          <w:bCs/>
          <w:sz w:val="24"/>
          <w:szCs w:val="24"/>
        </w:rPr>
        <w:t>投标截止期前，各投标人递交投标文件（包括技术标投标文件、经济标投标文件）至</w:t>
      </w:r>
      <w:r>
        <w:rPr>
          <w:rFonts w:hint="eastAsia" w:ascii="宋体" w:hAnsi="宋体" w:cs="仿宋"/>
          <w:bCs/>
          <w:sz w:val="24"/>
          <w:szCs w:val="24"/>
          <w:u w:val="single"/>
        </w:rPr>
        <w:t>广州交易集团有限公司（广州公共资源交易中心）</w:t>
      </w:r>
      <w:r>
        <w:rPr>
          <w:rFonts w:hint="eastAsia" w:ascii="宋体" w:hAnsi="宋体" w:cs="仿宋"/>
          <w:bCs/>
          <w:sz w:val="24"/>
          <w:szCs w:val="24"/>
        </w:rPr>
        <w:t>交易平台。有关投标文件提交的事项详见第一章投标须知。</w:t>
      </w:r>
    </w:p>
    <w:p>
      <w:pPr>
        <w:spacing w:line="360" w:lineRule="auto"/>
        <w:ind w:firstLine="540" w:firstLineChars="224"/>
        <w:rPr>
          <w:rFonts w:hint="eastAsia" w:ascii="宋体" w:hAnsi="宋体" w:cs="仿宋"/>
          <w:b/>
          <w:sz w:val="24"/>
          <w:szCs w:val="24"/>
        </w:rPr>
      </w:pPr>
      <w:r>
        <w:rPr>
          <w:rFonts w:hint="eastAsia" w:ascii="宋体" w:hAnsi="宋体" w:cs="仿宋"/>
          <w:b/>
          <w:sz w:val="24"/>
          <w:szCs w:val="24"/>
        </w:rPr>
        <w:t>条款号： 42.1            修改类型：修改</w:t>
      </w:r>
    </w:p>
    <w:p>
      <w:pPr>
        <w:spacing w:line="360" w:lineRule="auto"/>
        <w:ind w:firstLine="482" w:firstLineChars="200"/>
        <w:rPr>
          <w:rFonts w:hint="eastAsia" w:ascii="宋体" w:hAnsi="宋体"/>
          <w:sz w:val="24"/>
          <w:szCs w:val="24"/>
        </w:rPr>
      </w:pPr>
      <w:r>
        <w:rPr>
          <w:rFonts w:hint="eastAsia"/>
          <w:b/>
          <w:sz w:val="24"/>
          <w:szCs w:val="24"/>
        </w:rPr>
        <w:t>原文：</w:t>
      </w:r>
      <w:r>
        <w:rPr>
          <w:rFonts w:hint="eastAsia" w:ascii="宋体" w:hAnsi="宋体"/>
          <w:sz w:val="24"/>
          <w:szCs w:val="24"/>
        </w:rPr>
        <w:t>42.1评标委员会的组成：方式</w:t>
      </w:r>
      <w:r>
        <w:rPr>
          <w:rFonts w:hint="eastAsia" w:ascii="宋体" w:hAnsi="宋体"/>
          <w:sz w:val="24"/>
          <w:szCs w:val="24"/>
          <w:u w:val="single"/>
        </w:rPr>
        <w:t xml:space="preserve">      </w:t>
      </w:r>
      <w:r>
        <w:rPr>
          <w:rFonts w:hint="eastAsia" w:ascii="宋体" w:hAnsi="宋体"/>
          <w:sz w:val="24"/>
          <w:szCs w:val="24"/>
        </w:rPr>
        <w:t>。</w:t>
      </w:r>
    </w:p>
    <w:p>
      <w:pPr>
        <w:spacing w:line="360" w:lineRule="auto"/>
        <w:ind w:firstLine="480" w:firstLineChars="200"/>
        <w:rPr>
          <w:rFonts w:hint="eastAsia" w:ascii="宋体" w:hAnsi="宋体"/>
          <w:sz w:val="24"/>
          <w:szCs w:val="24"/>
        </w:rPr>
      </w:pPr>
      <w:r>
        <w:rPr>
          <w:rFonts w:hint="eastAsia" w:ascii="宋体" w:hAnsi="宋体"/>
          <w:sz w:val="24"/>
          <w:szCs w:val="24"/>
        </w:rPr>
        <w:t>方式一：评标委员会为综合评标委员会，负责评标工作。</w:t>
      </w:r>
    </w:p>
    <w:p>
      <w:pPr>
        <w:spacing w:line="480" w:lineRule="auto"/>
        <w:ind w:firstLine="537" w:firstLineChars="224"/>
        <w:rPr>
          <w:b/>
          <w:sz w:val="24"/>
          <w:szCs w:val="24"/>
        </w:rPr>
      </w:pPr>
      <w:r>
        <w:rPr>
          <w:rFonts w:hint="eastAsia" w:ascii="宋体" w:hAnsi="宋体"/>
          <w:sz w:val="24"/>
          <w:szCs w:val="24"/>
        </w:rPr>
        <w:t>方式二：评标委员会由技术评审组和经济评审组组成。其中：资格审查、技术评审由技术评标组负责，经济评审由经济评审组负责。</w:t>
      </w:r>
    </w:p>
    <w:p>
      <w:pPr>
        <w:spacing w:line="360" w:lineRule="auto"/>
        <w:ind w:firstLine="482" w:firstLineChars="200"/>
        <w:rPr>
          <w:rFonts w:hint="eastAsia" w:ascii="宋体" w:hAnsi="宋体"/>
          <w:sz w:val="24"/>
          <w:szCs w:val="24"/>
        </w:rPr>
      </w:pPr>
      <w:r>
        <w:rPr>
          <w:rFonts w:hint="eastAsia"/>
          <w:b/>
          <w:sz w:val="24"/>
          <w:szCs w:val="24"/>
        </w:rPr>
        <w:t>现文：</w:t>
      </w:r>
      <w:r>
        <w:rPr>
          <w:rFonts w:hint="eastAsia" w:ascii="宋体" w:hAnsi="宋体"/>
          <w:sz w:val="24"/>
          <w:szCs w:val="24"/>
        </w:rPr>
        <w:t>42.1评标委员会的组成：方式</w:t>
      </w:r>
      <w:r>
        <w:rPr>
          <w:rFonts w:hint="eastAsia" w:ascii="宋体" w:hAnsi="宋体"/>
          <w:sz w:val="24"/>
          <w:szCs w:val="24"/>
          <w:u w:val="single"/>
        </w:rPr>
        <w:t xml:space="preserve">  一  </w:t>
      </w:r>
      <w:r>
        <w:rPr>
          <w:rFonts w:hint="eastAsia" w:ascii="宋体" w:hAnsi="宋体"/>
          <w:sz w:val="24"/>
          <w:szCs w:val="24"/>
        </w:rPr>
        <w:t>。</w:t>
      </w:r>
    </w:p>
    <w:p>
      <w:pPr>
        <w:pBdr>
          <w:bottom w:val="single" w:color="auto" w:sz="4" w:space="0"/>
        </w:pBdr>
        <w:spacing w:line="360" w:lineRule="auto"/>
        <w:ind w:firstLine="537" w:firstLineChars="224"/>
        <w:rPr>
          <w:rFonts w:hint="eastAsia" w:ascii="宋体" w:hAnsi="宋体"/>
        </w:rPr>
      </w:pPr>
      <w:r>
        <w:rPr>
          <w:rFonts w:hint="eastAsia" w:ascii="宋体" w:hAnsi="宋体"/>
          <w:sz w:val="24"/>
          <w:szCs w:val="24"/>
        </w:rPr>
        <w:t>方式一：评标委员会为综合评标委员会，负责</w:t>
      </w:r>
      <w:r>
        <w:rPr>
          <w:rFonts w:hint="eastAsia" w:ascii="宋体" w:hAnsi="宋体"/>
          <w:sz w:val="24"/>
          <w:szCs w:val="24"/>
          <w:u w:val="single"/>
        </w:rPr>
        <w:t>资格审查及</w:t>
      </w:r>
      <w:r>
        <w:rPr>
          <w:rFonts w:hint="eastAsia" w:ascii="宋体" w:hAnsi="宋体"/>
          <w:sz w:val="24"/>
          <w:szCs w:val="24"/>
        </w:rPr>
        <w:t>评标工作。</w:t>
      </w:r>
    </w:p>
    <w:p>
      <w:pPr>
        <w:spacing w:line="360" w:lineRule="auto"/>
        <w:ind w:firstLine="540" w:firstLineChars="224"/>
        <w:rPr>
          <w:rFonts w:hint="eastAsia" w:ascii="宋体" w:hAnsi="宋体" w:cs="宋体"/>
          <w:b/>
          <w:sz w:val="24"/>
          <w:szCs w:val="24"/>
        </w:rPr>
      </w:pPr>
      <w:r>
        <w:rPr>
          <w:rFonts w:hint="eastAsia" w:ascii="宋体" w:hAnsi="宋体" w:cs="宋体"/>
          <w:b/>
          <w:sz w:val="24"/>
          <w:szCs w:val="24"/>
        </w:rPr>
        <w:t>条款号：</w:t>
      </w:r>
      <w:r>
        <w:rPr>
          <w:rFonts w:hint="eastAsia" w:ascii="宋体" w:hAnsi="宋体" w:cs="宋体"/>
          <w:sz w:val="24"/>
          <w:szCs w:val="24"/>
        </w:rPr>
        <w:t>42.3.2</w:t>
      </w:r>
      <w:r>
        <w:rPr>
          <w:rFonts w:hint="eastAsia" w:ascii="宋体" w:hAnsi="宋体" w:cs="宋体"/>
          <w:b/>
          <w:sz w:val="24"/>
          <w:szCs w:val="24"/>
        </w:rPr>
        <w:t xml:space="preserve">           修改类型：修改</w:t>
      </w:r>
    </w:p>
    <w:p>
      <w:pPr>
        <w:spacing w:line="360" w:lineRule="auto"/>
        <w:ind w:firstLine="482" w:firstLineChars="200"/>
        <w:rPr>
          <w:rFonts w:hint="eastAsia" w:ascii="宋体" w:hAnsi="宋体" w:cs="宋体"/>
          <w:sz w:val="24"/>
          <w:szCs w:val="24"/>
        </w:rPr>
      </w:pPr>
      <w:r>
        <w:rPr>
          <w:rFonts w:hint="eastAsia" w:ascii="宋体" w:hAnsi="宋体" w:cs="宋体"/>
          <w:b/>
          <w:sz w:val="24"/>
          <w:szCs w:val="24"/>
        </w:rPr>
        <w:t>原文：</w:t>
      </w:r>
      <w:r>
        <w:rPr>
          <w:rFonts w:hint="eastAsia" w:ascii="宋体" w:hAnsi="宋体" w:cs="宋体"/>
          <w:sz w:val="24"/>
          <w:szCs w:val="24"/>
        </w:rPr>
        <w:t>42.3.2</w:t>
      </w:r>
      <w:r>
        <w:rPr>
          <w:rFonts w:hint="eastAsia" w:ascii="宋体" w:hAnsi="宋体" w:cs="宋体"/>
          <w:sz w:val="24"/>
          <w:szCs w:val="24"/>
          <w:u w:val="single"/>
        </w:rPr>
        <w:t xml:space="preserve">     </w:t>
      </w:r>
      <w:r>
        <w:rPr>
          <w:rFonts w:hint="eastAsia" w:ascii="宋体" w:hAnsi="宋体" w:cs="宋体"/>
          <w:sz w:val="24"/>
          <w:szCs w:val="24"/>
        </w:rPr>
        <w:t>详细审查评分：评标委员会按照本办法附表</w:t>
      </w:r>
      <w:r>
        <w:rPr>
          <w:rFonts w:hint="eastAsia" w:ascii="宋体" w:hAnsi="宋体" w:cs="宋体"/>
          <w:sz w:val="24"/>
          <w:szCs w:val="24"/>
          <w:u w:val="single"/>
        </w:rPr>
        <w:t xml:space="preserve">    </w:t>
      </w:r>
      <w:r>
        <w:rPr>
          <w:rFonts w:hint="eastAsia" w:ascii="宋体" w:hAnsi="宋体" w:cs="宋体"/>
          <w:sz w:val="24"/>
          <w:szCs w:val="24"/>
        </w:rPr>
        <w:t>《</w:t>
      </w:r>
      <w:r>
        <w:rPr>
          <w:rFonts w:hint="eastAsia" w:ascii="宋体" w:hAnsi="宋体" w:cs="宋体"/>
          <w:sz w:val="24"/>
          <w:szCs w:val="24"/>
          <w:u w:val="single"/>
        </w:rPr>
        <w:t xml:space="preserve">      </w:t>
      </w:r>
      <w:r>
        <w:rPr>
          <w:rFonts w:hint="eastAsia" w:ascii="宋体" w:hAnsi="宋体" w:cs="宋体"/>
          <w:sz w:val="24"/>
          <w:szCs w:val="24"/>
        </w:rPr>
        <w:t>详细审查评分表》对通过技术标有效性审查的投标文件进行详细审查，评出</w:t>
      </w:r>
      <w:r>
        <w:rPr>
          <w:rFonts w:hint="eastAsia" w:ascii="宋体" w:hAnsi="宋体" w:cs="宋体"/>
          <w:sz w:val="24"/>
          <w:szCs w:val="24"/>
          <w:u w:val="single"/>
        </w:rPr>
        <w:t xml:space="preserve">     </w:t>
      </w:r>
      <w:r>
        <w:rPr>
          <w:rFonts w:hint="eastAsia" w:ascii="宋体" w:hAnsi="宋体" w:cs="宋体"/>
          <w:sz w:val="24"/>
          <w:szCs w:val="24"/>
        </w:rPr>
        <w:t>得分。</w:t>
      </w:r>
    </w:p>
    <w:p>
      <w:pPr>
        <w:pBdr>
          <w:bottom w:val="single" w:color="auto" w:sz="6" w:space="1"/>
        </w:pBdr>
        <w:spacing w:line="360" w:lineRule="auto"/>
        <w:ind w:firstLine="602" w:firstLineChars="250"/>
        <w:rPr>
          <w:rFonts w:hint="eastAsia" w:ascii="宋体" w:hAnsi="宋体" w:cs="仿宋"/>
          <w:sz w:val="24"/>
          <w:szCs w:val="24"/>
        </w:rPr>
      </w:pPr>
      <w:r>
        <w:rPr>
          <w:rFonts w:hint="eastAsia" w:ascii="宋体" w:hAnsi="宋体" w:cs="宋体"/>
          <w:b/>
          <w:sz w:val="24"/>
          <w:szCs w:val="24"/>
        </w:rPr>
        <w:t>现文：</w:t>
      </w:r>
      <w:r>
        <w:rPr>
          <w:rFonts w:hint="eastAsia" w:ascii="宋体" w:hAnsi="宋体" w:cs="宋体"/>
          <w:sz w:val="24"/>
          <w:szCs w:val="24"/>
        </w:rPr>
        <w:t>42.3.2</w:t>
      </w:r>
      <w:r>
        <w:rPr>
          <w:rFonts w:hint="eastAsia" w:ascii="宋体" w:hAnsi="宋体"/>
          <w:sz w:val="24"/>
          <w:szCs w:val="24"/>
          <w:u w:val="single"/>
        </w:rPr>
        <w:t>第一阶段详细审查评分</w:t>
      </w:r>
      <w:r>
        <w:rPr>
          <w:rFonts w:hint="eastAsia" w:ascii="宋体" w:hAnsi="宋体"/>
          <w:sz w:val="24"/>
          <w:szCs w:val="24"/>
        </w:rPr>
        <w:t>：评标委员会按照本办法附表</w:t>
      </w:r>
      <w:r>
        <w:rPr>
          <w:rFonts w:hint="eastAsia" w:ascii="宋体" w:hAnsi="宋体"/>
          <w:sz w:val="24"/>
          <w:szCs w:val="24"/>
          <w:u w:val="single"/>
        </w:rPr>
        <w:t>四《第一阶段详细审查评分表</w:t>
      </w:r>
      <w:r>
        <w:rPr>
          <w:rFonts w:hint="eastAsia" w:ascii="宋体" w:hAnsi="宋体"/>
          <w:sz w:val="24"/>
          <w:szCs w:val="24"/>
        </w:rPr>
        <w:t>》对通过技术标有效性审查的投标文件进行详细审查，评出</w:t>
      </w:r>
      <w:r>
        <w:rPr>
          <w:rFonts w:hint="eastAsia" w:ascii="宋体" w:hAnsi="宋体"/>
          <w:sz w:val="24"/>
          <w:szCs w:val="24"/>
          <w:u w:val="single"/>
        </w:rPr>
        <w:t>第一阶段详细审查</w:t>
      </w:r>
      <w:r>
        <w:rPr>
          <w:rFonts w:hint="eastAsia" w:ascii="宋体" w:hAnsi="宋体"/>
          <w:sz w:val="24"/>
          <w:szCs w:val="24"/>
        </w:rPr>
        <w:t>得分</w:t>
      </w:r>
      <w:r>
        <w:rPr>
          <w:rFonts w:hint="eastAsia" w:ascii="宋体" w:hAnsi="宋体" w:cs="仿宋"/>
          <w:sz w:val="24"/>
          <w:szCs w:val="24"/>
        </w:rPr>
        <w:t>。</w:t>
      </w:r>
    </w:p>
    <w:p>
      <w:pPr>
        <w:spacing w:line="480" w:lineRule="auto"/>
        <w:ind w:firstLine="540" w:firstLineChars="224"/>
        <w:rPr>
          <w:rFonts w:hint="eastAsia" w:ascii="宋体" w:hAnsi="宋体" w:cs="宋体"/>
          <w:b/>
          <w:sz w:val="24"/>
          <w:szCs w:val="24"/>
        </w:rPr>
      </w:pPr>
      <w:r>
        <w:rPr>
          <w:rFonts w:hint="eastAsia" w:ascii="宋体" w:hAnsi="宋体" w:cs="宋体"/>
          <w:b/>
          <w:sz w:val="24"/>
          <w:szCs w:val="24"/>
        </w:rPr>
        <w:t>条款号：</w:t>
      </w:r>
      <w:r>
        <w:rPr>
          <w:rFonts w:hint="eastAsia" w:ascii="宋体" w:hAnsi="宋体" w:cs="宋体"/>
          <w:sz w:val="24"/>
          <w:szCs w:val="24"/>
        </w:rPr>
        <w:t>42.3.4</w:t>
      </w:r>
      <w:r>
        <w:rPr>
          <w:rFonts w:hint="eastAsia" w:ascii="宋体" w:hAnsi="宋体" w:cs="宋体"/>
          <w:b/>
          <w:sz w:val="24"/>
          <w:szCs w:val="24"/>
        </w:rPr>
        <w:t xml:space="preserve"> </w:t>
      </w:r>
      <w:r>
        <w:rPr>
          <w:rFonts w:ascii="宋体" w:hAnsi="宋体" w:cs="宋体"/>
          <w:b/>
          <w:sz w:val="24"/>
          <w:szCs w:val="24"/>
        </w:rPr>
        <w:t xml:space="preserve">      </w:t>
      </w:r>
      <w:r>
        <w:rPr>
          <w:rFonts w:hint="eastAsia" w:ascii="宋体" w:hAnsi="宋体" w:cs="宋体"/>
          <w:b/>
          <w:sz w:val="24"/>
          <w:szCs w:val="24"/>
        </w:rPr>
        <w:t xml:space="preserve">       修改类型：修改</w:t>
      </w:r>
    </w:p>
    <w:p>
      <w:pPr>
        <w:spacing w:line="360" w:lineRule="auto"/>
        <w:ind w:firstLine="482" w:firstLineChars="200"/>
        <w:rPr>
          <w:rFonts w:hint="eastAsia" w:ascii="宋体" w:hAnsi="宋体" w:cs="宋体"/>
          <w:sz w:val="24"/>
          <w:szCs w:val="24"/>
        </w:rPr>
      </w:pPr>
      <w:r>
        <w:rPr>
          <w:rFonts w:hint="eastAsia" w:ascii="宋体" w:hAnsi="宋体" w:cs="宋体"/>
          <w:b/>
          <w:sz w:val="24"/>
          <w:szCs w:val="24"/>
        </w:rPr>
        <w:t>原文：</w:t>
      </w:r>
      <w:r>
        <w:rPr>
          <w:rFonts w:hint="eastAsia" w:ascii="宋体" w:hAnsi="宋体" w:cs="宋体"/>
          <w:sz w:val="24"/>
          <w:szCs w:val="24"/>
        </w:rPr>
        <w:t>42.3.4评标委员会按照“第一阶段得分=</w:t>
      </w:r>
      <w:r>
        <w:rPr>
          <w:rFonts w:hint="eastAsia" w:ascii="宋体" w:hAnsi="宋体" w:cs="宋体"/>
          <w:sz w:val="24"/>
          <w:szCs w:val="24"/>
          <w:u w:val="single"/>
        </w:rPr>
        <w:t xml:space="preserve">                 </w:t>
      </w:r>
      <w:r>
        <w:rPr>
          <w:rFonts w:hint="eastAsia" w:ascii="宋体" w:hAnsi="宋体" w:cs="宋体"/>
          <w:sz w:val="24"/>
          <w:szCs w:val="24"/>
        </w:rPr>
        <w:t>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pPr>
        <w:pBdr>
          <w:bottom w:val="single" w:color="auto" w:sz="4" w:space="0"/>
        </w:pBdr>
        <w:spacing w:line="360" w:lineRule="auto"/>
        <w:ind w:firstLine="540" w:firstLineChars="224"/>
        <w:rPr>
          <w:rFonts w:hint="eastAsia" w:ascii="宋体" w:hAnsi="宋体" w:cs="宋体"/>
          <w:sz w:val="24"/>
          <w:szCs w:val="24"/>
        </w:rPr>
      </w:pPr>
      <w:r>
        <w:rPr>
          <w:rFonts w:hint="eastAsia" w:ascii="宋体" w:hAnsi="宋体" w:cs="宋体"/>
          <w:b/>
          <w:sz w:val="24"/>
          <w:szCs w:val="24"/>
        </w:rPr>
        <w:t>现文：</w:t>
      </w:r>
      <w:r>
        <w:rPr>
          <w:rFonts w:hint="eastAsia" w:ascii="宋体" w:hAnsi="宋体" w:cs="宋体"/>
          <w:sz w:val="24"/>
          <w:szCs w:val="24"/>
        </w:rPr>
        <w:t>42.3.4</w:t>
      </w:r>
      <w:r>
        <w:rPr>
          <w:rFonts w:hint="eastAsia" w:ascii="宋体" w:hAnsi="宋体" w:cs="宋体"/>
          <w:sz w:val="24"/>
          <w:szCs w:val="24"/>
          <w:u w:val="single"/>
        </w:rPr>
        <w:t>综合评标委员会按照“</w:t>
      </w:r>
      <w:r>
        <w:rPr>
          <w:rFonts w:hint="eastAsia" w:ascii="宋体" w:hAnsi="宋体" w:cs="宋体"/>
          <w:sz w:val="24"/>
          <w:szCs w:val="24"/>
          <w:highlight w:val="none"/>
          <w:u w:val="single"/>
        </w:rPr>
        <w:t>第一阶段得分（满分100分）=团队答辩得分20分+项目管理机构得分80分</w:t>
      </w:r>
      <w:r>
        <w:rPr>
          <w:rFonts w:hint="eastAsia" w:ascii="宋体" w:hAnsi="宋体" w:cs="宋体"/>
          <w:sz w:val="24"/>
          <w:szCs w:val="24"/>
          <w:u w:val="single"/>
        </w:rPr>
        <w:t>。”的</w:t>
      </w:r>
      <w:r>
        <w:rPr>
          <w:rFonts w:hint="eastAsia" w:ascii="宋体" w:hAnsi="宋体" w:cs="宋体"/>
          <w:sz w:val="24"/>
          <w:szCs w:val="24"/>
        </w:rPr>
        <w:t>公式及投标须知前附表第27项的规定，计算各投标人第一阶段得分(按四舍五入的原则保留两位小数)，并按照得分从高到低排列先后次序，若投标人得分相同的，则名次并列，占用名次。</w:t>
      </w:r>
    </w:p>
    <w:p>
      <w:pPr>
        <w:spacing w:line="480" w:lineRule="auto"/>
        <w:ind w:firstLine="540" w:firstLineChars="224"/>
        <w:rPr>
          <w:rFonts w:hint="eastAsia" w:ascii="宋体" w:hAnsi="宋体" w:cs="宋体"/>
          <w:b/>
          <w:sz w:val="24"/>
          <w:szCs w:val="24"/>
        </w:rPr>
      </w:pPr>
      <w:r>
        <w:rPr>
          <w:rFonts w:hint="eastAsia" w:ascii="宋体" w:hAnsi="宋体" w:cs="宋体"/>
          <w:b/>
          <w:sz w:val="24"/>
          <w:szCs w:val="24"/>
        </w:rPr>
        <w:t>条款号：</w:t>
      </w:r>
      <w:r>
        <w:rPr>
          <w:rFonts w:hint="eastAsia" w:ascii="宋体" w:hAnsi="宋体" w:cs="宋体"/>
          <w:sz w:val="24"/>
          <w:szCs w:val="24"/>
        </w:rPr>
        <w:t>42.4.2.1</w:t>
      </w:r>
      <w:r>
        <w:rPr>
          <w:rFonts w:hint="eastAsia" w:ascii="宋体" w:hAnsi="宋体" w:cs="宋体"/>
          <w:b/>
          <w:sz w:val="24"/>
          <w:szCs w:val="24"/>
        </w:rPr>
        <w:t xml:space="preserve"> </w:t>
      </w:r>
      <w:r>
        <w:rPr>
          <w:rFonts w:ascii="宋体" w:hAnsi="宋体" w:cs="宋体"/>
          <w:b/>
          <w:sz w:val="24"/>
          <w:szCs w:val="24"/>
        </w:rPr>
        <w:t xml:space="preserve">      </w:t>
      </w:r>
      <w:r>
        <w:rPr>
          <w:rFonts w:hint="eastAsia" w:ascii="宋体" w:hAnsi="宋体" w:cs="宋体"/>
          <w:b/>
          <w:sz w:val="24"/>
          <w:szCs w:val="24"/>
        </w:rPr>
        <w:t xml:space="preserve">       修改类型：修改</w:t>
      </w:r>
    </w:p>
    <w:p>
      <w:pPr>
        <w:spacing w:line="360" w:lineRule="auto"/>
        <w:ind w:firstLine="482" w:firstLineChars="200"/>
        <w:rPr>
          <w:rFonts w:hint="eastAsia" w:ascii="宋体" w:hAnsi="宋体" w:cs="宋体"/>
          <w:sz w:val="24"/>
          <w:szCs w:val="24"/>
        </w:rPr>
      </w:pPr>
      <w:r>
        <w:rPr>
          <w:rFonts w:hint="eastAsia" w:ascii="宋体" w:hAnsi="宋体" w:cs="宋体"/>
          <w:b/>
          <w:sz w:val="24"/>
          <w:szCs w:val="24"/>
        </w:rPr>
        <w:t>原文：</w:t>
      </w:r>
      <w:r>
        <w:rPr>
          <w:rFonts w:hint="eastAsia" w:ascii="宋体" w:hAnsi="宋体" w:cs="宋体"/>
          <w:sz w:val="24"/>
          <w:szCs w:val="24"/>
        </w:rPr>
        <w:t>42.4.2.1计算评标参考价</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区间抽取法：</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评标参考价=（</w:t>
      </w:r>
      <w:r>
        <w:rPr>
          <w:rFonts w:ascii="宋体" w:hAnsi="宋体" w:cs="仿宋"/>
          <w:color w:val="000000" w:themeColor="text1"/>
          <w:kern w:val="0"/>
          <w:sz w:val="24"/>
          <w:szCs w:val="24"/>
          <w14:textFill>
            <w14:solidFill>
              <w14:schemeClr w14:val="tx1"/>
            </w14:solidFill>
          </w14:textFill>
        </w:rPr>
        <w:t>Q</w:t>
      </w:r>
      <w:r>
        <w:rPr>
          <w:rFonts w:hint="eastAsia" w:ascii="宋体" w:hAnsi="宋体" w:cs="仿宋"/>
          <w:color w:val="000000" w:themeColor="text1"/>
          <w:kern w:val="0"/>
          <w:sz w:val="24"/>
          <w:szCs w:val="24"/>
          <w:vertAlign w:val="subscript"/>
          <w14:textFill>
            <w14:solidFill>
              <w14:schemeClr w14:val="tx1"/>
            </w14:solidFill>
          </w14:textFill>
        </w:rPr>
        <w:t>高</w:t>
      </w:r>
      <w:r>
        <w:rPr>
          <w:rFonts w:hint="eastAsia" w:ascii="宋体" w:hAnsi="宋体" w:cs="宋体"/>
          <w:sz w:val="24"/>
          <w:szCs w:val="24"/>
        </w:rPr>
        <w:t>-</w:t>
      </w:r>
      <w:r>
        <w:rPr>
          <w:rFonts w:ascii="宋体" w:hAnsi="宋体" w:cs="仿宋"/>
          <w:color w:val="000000" w:themeColor="text1"/>
          <w:sz w:val="24"/>
          <w:szCs w:val="24"/>
          <w14:textFill>
            <w14:solidFill>
              <w14:schemeClr w14:val="tx1"/>
            </w14:solidFill>
          </w14:textFill>
        </w:rPr>
        <w:t>Q</w:t>
      </w:r>
      <w:r>
        <w:rPr>
          <w:rFonts w:hint="eastAsia" w:ascii="宋体" w:hAnsi="宋体" w:cs="仿宋"/>
          <w:color w:val="000000" w:themeColor="text1"/>
          <w:sz w:val="24"/>
          <w:szCs w:val="24"/>
          <w:vertAlign w:val="subscript"/>
          <w14:textFill>
            <w14:solidFill>
              <w14:schemeClr w14:val="tx1"/>
            </w14:solidFill>
          </w14:textFill>
        </w:rPr>
        <w:t>低</w:t>
      </w:r>
      <w:r>
        <w:rPr>
          <w:rFonts w:hint="eastAsia" w:ascii="宋体" w:hAnsi="宋体" w:cs="宋体"/>
          <w:sz w:val="24"/>
          <w:szCs w:val="24"/>
        </w:rPr>
        <w:t>）/100*Ｘ+</w:t>
      </w:r>
      <w:r>
        <w:rPr>
          <w:rFonts w:ascii="宋体" w:hAnsi="宋体" w:cs="仿宋"/>
          <w:color w:val="000000" w:themeColor="text1"/>
          <w:sz w:val="24"/>
          <w:szCs w:val="24"/>
          <w14:textFill>
            <w14:solidFill>
              <w14:schemeClr w14:val="tx1"/>
            </w14:solidFill>
          </w14:textFill>
        </w:rPr>
        <w:t>Q</w:t>
      </w:r>
      <w:r>
        <w:rPr>
          <w:rFonts w:hint="eastAsia" w:ascii="宋体" w:hAnsi="宋体" w:cs="仿宋"/>
          <w:color w:val="000000" w:themeColor="text1"/>
          <w:sz w:val="24"/>
          <w:szCs w:val="24"/>
          <w:vertAlign w:val="subscript"/>
          <w14:textFill>
            <w14:solidFill>
              <w14:schemeClr w14:val="tx1"/>
            </w14:solidFill>
          </w14:textFill>
        </w:rPr>
        <w:t>低</w:t>
      </w:r>
    </w:p>
    <w:p>
      <w:pPr>
        <w:spacing w:line="360" w:lineRule="auto"/>
        <w:ind w:firstLine="480" w:firstLineChars="200"/>
        <w:rPr>
          <w:rFonts w:hint="eastAsia" w:ascii="宋体" w:hAnsi="宋体" w:cs="宋体"/>
          <w:sz w:val="24"/>
          <w:szCs w:val="24"/>
        </w:rPr>
      </w:pPr>
      <w:r>
        <w:rPr>
          <w:rFonts w:ascii="宋体" w:hAnsi="宋体" w:cs="仿宋"/>
          <w:color w:val="000000" w:themeColor="text1"/>
          <w:sz w:val="24"/>
          <w:szCs w:val="24"/>
          <w14:textFill>
            <w14:solidFill>
              <w14:schemeClr w14:val="tx1"/>
            </w14:solidFill>
          </w14:textFill>
        </w:rPr>
        <w:t>Q</w:t>
      </w:r>
      <w:r>
        <w:rPr>
          <w:rFonts w:hint="eastAsia" w:ascii="宋体" w:hAnsi="宋体" w:cs="仿宋"/>
          <w:color w:val="000000" w:themeColor="text1"/>
          <w:sz w:val="24"/>
          <w:szCs w:val="24"/>
          <w:vertAlign w:val="subscript"/>
          <w14:textFill>
            <w14:solidFill>
              <w14:schemeClr w14:val="tx1"/>
            </w14:solidFill>
          </w14:textFill>
        </w:rPr>
        <w:t>低</w:t>
      </w:r>
      <w:r>
        <w:rPr>
          <w:rFonts w:hint="eastAsia" w:ascii="宋体" w:hAnsi="宋体" w:cs="宋体"/>
          <w:sz w:val="24"/>
          <w:szCs w:val="24"/>
        </w:rPr>
        <w:t>：为达到或超过技术标及格分数线的投标人最低报价与工程成本警示价两者中的较高值；</w:t>
      </w:r>
    </w:p>
    <w:p>
      <w:pPr>
        <w:spacing w:line="360" w:lineRule="auto"/>
        <w:ind w:firstLine="480" w:firstLineChars="200"/>
        <w:rPr>
          <w:rFonts w:hint="eastAsia" w:ascii="宋体" w:hAnsi="宋体" w:cs="宋体"/>
          <w:sz w:val="24"/>
          <w:szCs w:val="24"/>
        </w:rPr>
      </w:pPr>
      <w:r>
        <w:rPr>
          <w:rFonts w:ascii="宋体" w:hAnsi="宋体" w:cs="仿宋"/>
          <w:color w:val="000000" w:themeColor="text1"/>
          <w:kern w:val="0"/>
          <w:sz w:val="24"/>
          <w:szCs w:val="24"/>
          <w14:textFill>
            <w14:solidFill>
              <w14:schemeClr w14:val="tx1"/>
            </w14:solidFill>
          </w14:textFill>
        </w:rPr>
        <w:t>Q</w:t>
      </w:r>
      <w:r>
        <w:rPr>
          <w:rFonts w:hint="eastAsia" w:ascii="宋体" w:hAnsi="宋体" w:cs="仿宋"/>
          <w:color w:val="000000" w:themeColor="text1"/>
          <w:kern w:val="0"/>
          <w:sz w:val="24"/>
          <w:szCs w:val="24"/>
          <w:vertAlign w:val="subscript"/>
          <w14:textFill>
            <w14:solidFill>
              <w14:schemeClr w14:val="tx1"/>
            </w14:solidFill>
          </w14:textFill>
        </w:rPr>
        <w:t>高</w:t>
      </w:r>
      <w:r>
        <w:rPr>
          <w:rFonts w:hint="eastAsia" w:ascii="宋体" w:hAnsi="宋体" w:cs="宋体"/>
          <w:sz w:val="24"/>
          <w:szCs w:val="24"/>
        </w:rPr>
        <w:t>：最高投标限价</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X：为等分点值，在开标前从[0,100]整数中随机抽取</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42.4.2.2当标价等于评标参考价时得100分，标价每高于评标参考价1%，扣1.5分，每低于评标参考价1%，扣1分，扣至0分为止，得出经济分，精确到小数点后两位。</w:t>
      </w:r>
    </w:p>
    <w:p>
      <w:pPr>
        <w:pBdr>
          <w:bottom w:val="single" w:color="auto" w:sz="4" w:space="0"/>
        </w:pBdr>
        <w:spacing w:line="360" w:lineRule="auto"/>
        <w:ind w:firstLine="540" w:firstLineChars="224"/>
        <w:rPr>
          <w:rFonts w:hint="eastAsia" w:ascii="宋体" w:hAnsi="宋体" w:cs="宋体"/>
          <w:sz w:val="24"/>
          <w:szCs w:val="24"/>
        </w:rPr>
      </w:pPr>
      <w:r>
        <w:rPr>
          <w:rFonts w:hint="eastAsia" w:ascii="宋体" w:hAnsi="宋体" w:cs="宋体"/>
          <w:b/>
          <w:sz w:val="24"/>
          <w:szCs w:val="24"/>
        </w:rPr>
        <w:t>现文：</w:t>
      </w:r>
      <w:r>
        <w:rPr>
          <w:rFonts w:hint="eastAsia" w:ascii="宋体" w:hAnsi="宋体" w:cs="宋体"/>
          <w:sz w:val="24"/>
          <w:szCs w:val="24"/>
        </w:rPr>
        <w:t>42.4.2.1计算评标参考价</w:t>
      </w:r>
    </w:p>
    <w:p>
      <w:pPr>
        <w:pBdr>
          <w:bottom w:val="single" w:color="auto" w:sz="4" w:space="0"/>
        </w:pBdr>
        <w:spacing w:line="360" w:lineRule="auto"/>
        <w:ind w:firstLine="537" w:firstLineChars="224"/>
        <w:rPr>
          <w:rFonts w:hint="eastAsia" w:ascii="宋体" w:hAnsi="宋体" w:cs="宋体"/>
          <w:sz w:val="24"/>
          <w:szCs w:val="24"/>
        </w:rPr>
      </w:pPr>
      <w:r>
        <w:rPr>
          <w:rFonts w:hint="eastAsia" w:ascii="宋体" w:hAnsi="宋体" w:cs="宋体"/>
          <w:sz w:val="24"/>
          <w:szCs w:val="24"/>
        </w:rPr>
        <w:t>区间抽取法：</w:t>
      </w:r>
    </w:p>
    <w:p>
      <w:pPr>
        <w:pBdr>
          <w:bottom w:val="single" w:color="auto" w:sz="4" w:space="0"/>
        </w:pBdr>
        <w:spacing w:line="360" w:lineRule="auto"/>
        <w:ind w:firstLine="537" w:firstLineChars="224"/>
        <w:rPr>
          <w:rFonts w:hint="eastAsia" w:ascii="宋体" w:hAnsi="宋体" w:cs="宋体"/>
          <w:sz w:val="24"/>
          <w:szCs w:val="24"/>
        </w:rPr>
      </w:pPr>
      <w:r>
        <w:rPr>
          <w:rFonts w:hint="eastAsia" w:ascii="宋体" w:hAnsi="宋体" w:cs="宋体"/>
          <w:sz w:val="24"/>
          <w:szCs w:val="24"/>
        </w:rPr>
        <w:t>设立入围合格分数线</w:t>
      </w:r>
      <w:r>
        <w:rPr>
          <w:rFonts w:hint="eastAsia" w:ascii="宋体" w:hAnsi="宋体" w:cs="宋体"/>
          <w:b/>
          <w:bCs/>
          <w:sz w:val="24"/>
          <w:szCs w:val="24"/>
          <w:u w:val="single"/>
          <w:lang w:eastAsia="zh-CN"/>
        </w:rPr>
        <w:t>（</w:t>
      </w:r>
      <w:r>
        <w:rPr>
          <w:rFonts w:hint="eastAsia" w:ascii="宋体" w:hAnsi="宋体" w:cs="宋体"/>
          <w:b/>
          <w:bCs/>
          <w:sz w:val="24"/>
          <w:szCs w:val="24"/>
          <w:highlight w:val="none"/>
          <w:u w:val="single"/>
          <w:lang w:val="en-US" w:eastAsia="zh-CN"/>
        </w:rPr>
        <w:t>第一阶段详细审查</w:t>
      </w:r>
      <w:r>
        <w:rPr>
          <w:rFonts w:hint="eastAsia" w:ascii="宋体" w:hAnsi="宋体" w:cs="宋体"/>
          <w:b/>
          <w:bCs/>
          <w:sz w:val="24"/>
          <w:szCs w:val="24"/>
          <w:highlight w:val="none"/>
          <w:u w:val="single"/>
        </w:rPr>
        <w:t>得分85分</w:t>
      </w:r>
      <w:r>
        <w:rPr>
          <w:rFonts w:hint="eastAsia" w:ascii="宋体" w:hAnsi="宋体" w:cs="宋体"/>
          <w:b/>
          <w:bCs/>
          <w:sz w:val="24"/>
          <w:szCs w:val="24"/>
          <w:u w:val="single"/>
          <w:lang w:eastAsia="zh-CN"/>
        </w:rPr>
        <w:t>）</w:t>
      </w:r>
      <w:r>
        <w:rPr>
          <w:rFonts w:hint="eastAsia" w:ascii="宋体" w:hAnsi="宋体" w:cs="宋体"/>
          <w:sz w:val="24"/>
          <w:szCs w:val="24"/>
        </w:rPr>
        <w:t>，达到或超过入围合格分数线</w:t>
      </w:r>
      <w:r>
        <w:rPr>
          <w:rFonts w:ascii="宋体" w:hAnsi="宋体" w:cs="宋体"/>
          <w:color w:val="000000"/>
          <w:sz w:val="24"/>
          <w:szCs w:val="24"/>
          <w:u w:val="single"/>
        </w:rPr>
        <w:t>且进入第二阶段评审</w:t>
      </w:r>
      <w:r>
        <w:rPr>
          <w:rFonts w:hint="eastAsia" w:ascii="宋体" w:hAnsi="宋体" w:cs="宋体"/>
          <w:sz w:val="24"/>
          <w:szCs w:val="24"/>
        </w:rPr>
        <w:t>的投标人的报价方能参与评标参考价的计算。将达到或超过入围合格分数线的投标报价由低至高进行排列，按以下公式计算评标参考价，计算公式如下：</w:t>
      </w:r>
    </w:p>
    <w:p>
      <w:pPr>
        <w:pBdr>
          <w:bottom w:val="single" w:color="auto" w:sz="4" w:space="0"/>
        </w:pBdr>
        <w:spacing w:line="360" w:lineRule="auto"/>
        <w:ind w:firstLine="537" w:firstLineChars="224"/>
        <w:rPr>
          <w:rFonts w:hint="eastAsia" w:ascii="宋体" w:hAnsi="宋体" w:cs="宋体"/>
          <w:sz w:val="24"/>
          <w:szCs w:val="24"/>
        </w:rPr>
      </w:pPr>
      <w:r>
        <w:rPr>
          <w:rFonts w:hint="eastAsia" w:ascii="宋体" w:hAnsi="宋体" w:cs="宋体"/>
          <w:sz w:val="24"/>
          <w:szCs w:val="24"/>
        </w:rPr>
        <w:t>评标参考价=（</w:t>
      </w:r>
      <w:r>
        <w:rPr>
          <w:rFonts w:ascii="宋体" w:hAnsi="宋体" w:cs="仿宋"/>
          <w:color w:val="000000" w:themeColor="text1"/>
          <w:kern w:val="0"/>
          <w:sz w:val="24"/>
          <w:szCs w:val="24"/>
          <w14:textFill>
            <w14:solidFill>
              <w14:schemeClr w14:val="tx1"/>
            </w14:solidFill>
          </w14:textFill>
        </w:rPr>
        <w:t>Q</w:t>
      </w:r>
      <w:r>
        <w:rPr>
          <w:rFonts w:hint="eastAsia" w:ascii="宋体" w:hAnsi="宋体" w:cs="仿宋"/>
          <w:color w:val="000000" w:themeColor="text1"/>
          <w:kern w:val="0"/>
          <w:sz w:val="24"/>
          <w:szCs w:val="24"/>
          <w:vertAlign w:val="subscript"/>
          <w14:textFill>
            <w14:solidFill>
              <w14:schemeClr w14:val="tx1"/>
            </w14:solidFill>
          </w14:textFill>
        </w:rPr>
        <w:t>高</w:t>
      </w:r>
      <w:r>
        <w:rPr>
          <w:rFonts w:hint="eastAsia" w:ascii="宋体" w:hAnsi="宋体" w:cs="宋体"/>
          <w:sz w:val="24"/>
          <w:szCs w:val="24"/>
        </w:rPr>
        <w:t>-</w:t>
      </w:r>
      <w:r>
        <w:rPr>
          <w:rFonts w:ascii="宋体" w:hAnsi="宋体" w:cs="仿宋"/>
          <w:color w:val="000000" w:themeColor="text1"/>
          <w:sz w:val="24"/>
          <w:szCs w:val="24"/>
          <w14:textFill>
            <w14:solidFill>
              <w14:schemeClr w14:val="tx1"/>
            </w14:solidFill>
          </w14:textFill>
        </w:rPr>
        <w:t>Q</w:t>
      </w:r>
      <w:r>
        <w:rPr>
          <w:rFonts w:hint="eastAsia" w:ascii="宋体" w:hAnsi="宋体" w:cs="仿宋"/>
          <w:color w:val="000000" w:themeColor="text1"/>
          <w:sz w:val="24"/>
          <w:szCs w:val="24"/>
          <w:vertAlign w:val="subscript"/>
          <w14:textFill>
            <w14:solidFill>
              <w14:schemeClr w14:val="tx1"/>
            </w14:solidFill>
          </w14:textFill>
        </w:rPr>
        <w:t>低</w:t>
      </w:r>
      <w:r>
        <w:rPr>
          <w:rFonts w:hint="eastAsia" w:ascii="宋体" w:hAnsi="宋体" w:cs="宋体"/>
          <w:sz w:val="24"/>
          <w:szCs w:val="24"/>
        </w:rPr>
        <w:t>）/100*Ｘ+</w:t>
      </w:r>
      <w:r>
        <w:rPr>
          <w:rFonts w:ascii="宋体" w:hAnsi="宋体" w:cs="仿宋"/>
          <w:color w:val="000000" w:themeColor="text1"/>
          <w:sz w:val="24"/>
          <w:szCs w:val="24"/>
          <w14:textFill>
            <w14:solidFill>
              <w14:schemeClr w14:val="tx1"/>
            </w14:solidFill>
          </w14:textFill>
        </w:rPr>
        <w:t>Q</w:t>
      </w:r>
      <w:r>
        <w:rPr>
          <w:rFonts w:hint="eastAsia" w:ascii="宋体" w:hAnsi="宋体" w:cs="仿宋"/>
          <w:color w:val="000000" w:themeColor="text1"/>
          <w:sz w:val="24"/>
          <w:szCs w:val="24"/>
          <w:vertAlign w:val="subscript"/>
          <w14:textFill>
            <w14:solidFill>
              <w14:schemeClr w14:val="tx1"/>
            </w14:solidFill>
          </w14:textFill>
        </w:rPr>
        <w:t>低</w:t>
      </w:r>
    </w:p>
    <w:p>
      <w:pPr>
        <w:pBdr>
          <w:bottom w:val="single" w:color="auto" w:sz="4" w:space="0"/>
        </w:pBdr>
        <w:spacing w:line="360" w:lineRule="auto"/>
        <w:ind w:firstLine="537" w:firstLineChars="224"/>
        <w:rPr>
          <w:rFonts w:hint="eastAsia" w:ascii="宋体" w:hAnsi="宋体" w:cs="宋体"/>
          <w:sz w:val="24"/>
          <w:szCs w:val="24"/>
        </w:rPr>
      </w:pPr>
      <w:r>
        <w:rPr>
          <w:rFonts w:ascii="宋体" w:hAnsi="宋体" w:cs="仿宋"/>
          <w:color w:val="000000" w:themeColor="text1"/>
          <w:sz w:val="24"/>
          <w:szCs w:val="24"/>
          <w14:textFill>
            <w14:solidFill>
              <w14:schemeClr w14:val="tx1"/>
            </w14:solidFill>
          </w14:textFill>
        </w:rPr>
        <w:t>Q</w:t>
      </w:r>
      <w:r>
        <w:rPr>
          <w:rFonts w:hint="eastAsia" w:ascii="宋体" w:hAnsi="宋体" w:cs="仿宋"/>
          <w:color w:val="000000" w:themeColor="text1"/>
          <w:sz w:val="24"/>
          <w:szCs w:val="24"/>
          <w:vertAlign w:val="subscript"/>
          <w14:textFill>
            <w14:solidFill>
              <w14:schemeClr w14:val="tx1"/>
            </w14:solidFill>
          </w14:textFill>
        </w:rPr>
        <w:t>低</w:t>
      </w:r>
      <w:r>
        <w:rPr>
          <w:rFonts w:hint="eastAsia" w:ascii="宋体" w:hAnsi="宋体" w:cs="宋体"/>
          <w:sz w:val="24"/>
          <w:szCs w:val="24"/>
        </w:rPr>
        <w:t>：为达到或超过入围合格分数线的投标人最低报价与工程成本警示价两者中的较高值；</w:t>
      </w:r>
      <w:r>
        <w:rPr>
          <w:rFonts w:hint="eastAsia" w:ascii="宋体" w:hAnsi="宋体" w:cs="宋体"/>
          <w:b/>
          <w:bCs/>
          <w:sz w:val="24"/>
          <w:szCs w:val="24"/>
          <w:highlight w:val="none"/>
          <w:u w:val="single"/>
        </w:rPr>
        <w:t>如投标人均没有达到入围合格分数线的，则</w:t>
      </w:r>
      <w:r>
        <w:rPr>
          <w:rFonts w:ascii="宋体" w:hAnsi="宋体" w:cs="仿宋"/>
          <w:b/>
          <w:bCs/>
          <w:color w:val="000000" w:themeColor="text1"/>
          <w:sz w:val="24"/>
          <w:szCs w:val="24"/>
          <w:u w:val="single"/>
          <w14:textFill>
            <w14:solidFill>
              <w14:schemeClr w14:val="tx1"/>
            </w14:solidFill>
          </w14:textFill>
        </w:rPr>
        <w:t>Q</w:t>
      </w:r>
      <w:r>
        <w:rPr>
          <w:rFonts w:hint="eastAsia" w:ascii="宋体" w:hAnsi="宋体" w:cs="仿宋"/>
          <w:b/>
          <w:bCs/>
          <w:color w:val="000000" w:themeColor="text1"/>
          <w:sz w:val="24"/>
          <w:szCs w:val="24"/>
          <w:u w:val="single"/>
          <w:vertAlign w:val="subscript"/>
          <w14:textFill>
            <w14:solidFill>
              <w14:schemeClr w14:val="tx1"/>
            </w14:solidFill>
          </w14:textFill>
        </w:rPr>
        <w:t>低</w:t>
      </w:r>
      <w:r>
        <w:rPr>
          <w:rFonts w:hint="eastAsia" w:ascii="宋体" w:hAnsi="宋体" w:cs="宋体"/>
          <w:b/>
          <w:bCs/>
          <w:sz w:val="24"/>
          <w:szCs w:val="24"/>
          <w:highlight w:val="none"/>
          <w:u w:val="single"/>
        </w:rPr>
        <w:t>为工程成本警示价。</w:t>
      </w:r>
    </w:p>
    <w:p>
      <w:pPr>
        <w:pBdr>
          <w:bottom w:val="single" w:color="auto" w:sz="4" w:space="0"/>
        </w:pBdr>
        <w:spacing w:line="360" w:lineRule="auto"/>
        <w:ind w:firstLine="537" w:firstLineChars="224"/>
        <w:rPr>
          <w:rFonts w:hint="eastAsia" w:ascii="宋体" w:hAnsi="宋体" w:cs="宋体"/>
          <w:sz w:val="24"/>
          <w:szCs w:val="24"/>
        </w:rPr>
      </w:pPr>
      <w:r>
        <w:rPr>
          <w:rFonts w:ascii="宋体" w:hAnsi="宋体" w:cs="仿宋"/>
          <w:color w:val="000000" w:themeColor="text1"/>
          <w:kern w:val="0"/>
          <w:sz w:val="24"/>
          <w:szCs w:val="24"/>
          <w14:textFill>
            <w14:solidFill>
              <w14:schemeClr w14:val="tx1"/>
            </w14:solidFill>
          </w14:textFill>
        </w:rPr>
        <w:t>Q</w:t>
      </w:r>
      <w:r>
        <w:rPr>
          <w:rFonts w:hint="eastAsia" w:ascii="宋体" w:hAnsi="宋体" w:cs="仿宋"/>
          <w:color w:val="000000" w:themeColor="text1"/>
          <w:kern w:val="0"/>
          <w:sz w:val="24"/>
          <w:szCs w:val="24"/>
          <w:vertAlign w:val="subscript"/>
          <w14:textFill>
            <w14:solidFill>
              <w14:schemeClr w14:val="tx1"/>
            </w14:solidFill>
          </w14:textFill>
        </w:rPr>
        <w:t>高</w:t>
      </w:r>
      <w:r>
        <w:rPr>
          <w:rFonts w:hint="eastAsia" w:ascii="宋体" w:hAnsi="宋体" w:cs="宋体"/>
          <w:sz w:val="24"/>
          <w:szCs w:val="24"/>
        </w:rPr>
        <w:t>：最高投标限价</w:t>
      </w:r>
    </w:p>
    <w:p>
      <w:pPr>
        <w:pBdr>
          <w:bottom w:val="single" w:color="auto" w:sz="4" w:space="0"/>
        </w:pBdr>
        <w:spacing w:line="360" w:lineRule="auto"/>
        <w:ind w:firstLine="537" w:firstLineChars="224"/>
        <w:rPr>
          <w:rFonts w:hint="eastAsia" w:ascii="宋体" w:hAnsi="宋体" w:cs="宋体"/>
          <w:sz w:val="24"/>
          <w:szCs w:val="24"/>
        </w:rPr>
      </w:pPr>
      <w:r>
        <w:rPr>
          <w:rFonts w:hint="eastAsia" w:ascii="宋体" w:hAnsi="宋体" w:cs="宋体"/>
          <w:sz w:val="24"/>
          <w:szCs w:val="24"/>
        </w:rPr>
        <w:t>X：为等分点值，在开标前从[0,100]整数中随机抽取</w:t>
      </w:r>
    </w:p>
    <w:p>
      <w:pPr>
        <w:pBdr>
          <w:bottom w:val="single" w:color="auto" w:sz="4" w:space="0"/>
        </w:pBdr>
        <w:spacing w:line="360" w:lineRule="auto"/>
        <w:ind w:firstLine="537" w:firstLineChars="224"/>
        <w:rPr>
          <w:strike/>
          <w:sz w:val="24"/>
          <w:szCs w:val="24"/>
        </w:rPr>
      </w:pPr>
      <w:r>
        <w:rPr>
          <w:rFonts w:hint="eastAsia" w:ascii="宋体" w:hAnsi="宋体" w:cs="宋体"/>
          <w:sz w:val="24"/>
          <w:szCs w:val="24"/>
        </w:rPr>
        <w:t>42.4.2.2当标价等于评标参考价时得100分，标价每高于评标参考价1%，扣1.5分，每低于评标参考价1%，扣1分，扣至0分为止，得出经济分，精确到小数点后两位。</w:t>
      </w:r>
    </w:p>
    <w:p>
      <w:pPr>
        <w:spacing w:line="480" w:lineRule="auto"/>
        <w:ind w:firstLine="540" w:firstLineChars="224"/>
        <w:rPr>
          <w:rFonts w:hint="eastAsia" w:ascii="宋体" w:hAnsi="宋体" w:cs="宋体"/>
          <w:b/>
          <w:sz w:val="24"/>
          <w:szCs w:val="24"/>
        </w:rPr>
      </w:pPr>
      <w:r>
        <w:rPr>
          <w:rFonts w:hint="eastAsia" w:ascii="宋体" w:hAnsi="宋体" w:cs="宋体"/>
          <w:b/>
          <w:sz w:val="24"/>
          <w:szCs w:val="24"/>
        </w:rPr>
        <w:t>条款号：附表一：《资格审查表》    附表二：《技术标有效性审查表》   附表三：《经济标有效性审查表》   附表四：《技术标详细审查评分表》             修改类型：修改</w:t>
      </w:r>
    </w:p>
    <w:p>
      <w:pPr>
        <w:pBdr>
          <w:bottom w:val="single" w:color="auto" w:sz="6" w:space="1"/>
        </w:pBdr>
        <w:spacing w:line="360" w:lineRule="auto"/>
        <w:ind w:firstLine="602" w:firstLineChars="250"/>
        <w:rPr>
          <w:rFonts w:hint="eastAsia" w:ascii="宋体" w:hAnsi="宋体" w:cs="宋体"/>
          <w:sz w:val="24"/>
          <w:szCs w:val="24"/>
        </w:rPr>
      </w:pPr>
      <w:r>
        <w:rPr>
          <w:rFonts w:hint="eastAsia" w:ascii="宋体" w:hAnsi="宋体" w:cs="宋体"/>
          <w:b/>
          <w:sz w:val="24"/>
          <w:szCs w:val="24"/>
        </w:rPr>
        <w:t>原文：</w:t>
      </w:r>
      <w:r>
        <w:rPr>
          <w:rFonts w:hint="eastAsia" w:ascii="宋体" w:hAnsi="宋体" w:cs="宋体"/>
          <w:sz w:val="24"/>
          <w:szCs w:val="24"/>
        </w:rPr>
        <w:t>详见原范本附表一：《资格审查表》    附表二：《技术标有效性审查表》   附表三：《经济标有效性审查表》   附表四：《技术标详细审查评分表》。</w:t>
      </w:r>
    </w:p>
    <w:p>
      <w:pPr>
        <w:pBdr>
          <w:bottom w:val="single" w:color="auto" w:sz="6" w:space="1"/>
        </w:pBdr>
        <w:spacing w:line="360" w:lineRule="auto"/>
        <w:ind w:firstLine="602" w:firstLineChars="250"/>
        <w:rPr>
          <w:sz w:val="24"/>
          <w:szCs w:val="24"/>
        </w:rPr>
      </w:pPr>
      <w:r>
        <w:rPr>
          <w:rFonts w:hint="eastAsia" w:ascii="宋体" w:hAnsi="宋体" w:cs="宋体"/>
          <w:b/>
          <w:sz w:val="24"/>
          <w:szCs w:val="24"/>
        </w:rPr>
        <w:t>现文：</w:t>
      </w:r>
      <w:r>
        <w:rPr>
          <w:rFonts w:hint="eastAsia" w:ascii="宋体" w:hAnsi="宋体" w:cs="宋体"/>
          <w:sz w:val="24"/>
          <w:szCs w:val="24"/>
        </w:rPr>
        <w:t>详见本招标文件</w:t>
      </w:r>
      <w:r>
        <w:rPr>
          <w:rFonts w:hint="eastAsia" w:ascii="宋体" w:hAnsi="宋体" w:cs="宋体"/>
          <w:sz w:val="24"/>
          <w:szCs w:val="24"/>
          <w:u w:val="single"/>
        </w:rPr>
        <w:t>附表一：《资格审查表》    附表二：《技术标有效性审查表》   附表三：《经济标有效性审查表》   附表四：《第一阶段详细审查评分表》。</w:t>
      </w:r>
    </w:p>
    <w:p>
      <w:pPr>
        <w:spacing w:line="336" w:lineRule="auto"/>
        <w:ind w:firstLine="241" w:firstLineChars="100"/>
        <w:rPr>
          <w:rFonts w:hint="eastAsia" w:ascii="宋体" w:hAnsi="宋体" w:cs="仿宋"/>
          <w:b/>
          <w:sz w:val="24"/>
          <w:szCs w:val="24"/>
        </w:rPr>
      </w:pPr>
      <w:r>
        <w:rPr>
          <w:rFonts w:hint="eastAsia" w:ascii="宋体" w:hAnsi="宋体" w:cs="仿宋"/>
          <w:b/>
          <w:sz w:val="24"/>
          <w:szCs w:val="24"/>
        </w:rPr>
        <w:t>注：以上修改，仅限于本范本中有可供选择条款的情形。</w:t>
      </w:r>
    </w:p>
    <w:p>
      <w:pPr>
        <w:spacing w:line="336" w:lineRule="auto"/>
        <w:rPr>
          <w:rFonts w:hint="eastAsia" w:ascii="宋体" w:hAnsi="宋体" w:cs="仿宋"/>
          <w:sz w:val="24"/>
          <w:szCs w:val="24"/>
        </w:rPr>
      </w:pPr>
      <w:r>
        <w:rPr>
          <w:rFonts w:hint="eastAsia" w:ascii="宋体" w:hAnsi="宋体" w:cs="仿宋"/>
          <w:b/>
          <w:sz w:val="24"/>
          <w:szCs w:val="24"/>
        </w:rPr>
        <w:t>（以下无正文）</w:t>
      </w:r>
    </w:p>
    <w:p>
      <w:pPr>
        <w:spacing w:line="360" w:lineRule="auto"/>
        <w:rPr>
          <w:color w:val="000000" w:themeColor="text1"/>
          <w14:textFill>
            <w14:solidFill>
              <w14:schemeClr w14:val="tx1"/>
            </w14:solidFill>
          </w14:textFill>
        </w:rPr>
      </w:pPr>
    </w:p>
    <w:p>
      <w:pPr>
        <w:pStyle w:val="9"/>
        <w:spacing w:line="360" w:lineRule="auto"/>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2"/>
        <w:ind w:firstLine="525"/>
        <w:rPr>
          <w:rFonts w:hint="eastAsia" w:ascii="黑体" w:hAnsi="黑体" w:eastAsia="黑体" w:cs="黑体"/>
          <w:color w:val="000000" w:themeColor="text1"/>
          <w:sz w:val="32"/>
          <w:szCs w:val="32"/>
          <w14:textFill>
            <w14:solidFill>
              <w14:schemeClr w14:val="tx1"/>
            </w14:solidFill>
          </w14:textFill>
        </w:rPr>
      </w:pPr>
      <w:bookmarkStart w:id="37" w:name="_Toc21525500"/>
      <w:bookmarkStart w:id="38" w:name="_Toc3360"/>
      <w:bookmarkStart w:id="39" w:name="_Toc2272556"/>
      <w:r>
        <w:rPr>
          <w:rFonts w:hint="eastAsia" w:ascii="黑体" w:hAnsi="黑体" w:eastAsia="黑体" w:cs="黑体"/>
          <w:color w:val="000000" w:themeColor="text1"/>
          <w:sz w:val="32"/>
          <w:szCs w:val="32"/>
          <w14:textFill>
            <w14:solidFill>
              <w14:schemeClr w14:val="tx1"/>
            </w14:solidFill>
          </w14:textFill>
        </w:rPr>
        <w:t>二、开标、评标及定标办法通用条款</w:t>
      </w:r>
      <w:bookmarkEnd w:id="37"/>
      <w:bookmarkEnd w:id="38"/>
      <w:bookmarkEnd w:id="39"/>
    </w:p>
    <w:p>
      <w:pPr>
        <w:pStyle w:val="7"/>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textAlignment w:val="auto"/>
        <w:rPr>
          <w:rFonts w:hint="eastAsia"/>
          <w:b/>
          <w:bCs/>
          <w:color w:val="000000" w:themeColor="text1"/>
          <w:sz w:val="24"/>
          <w:szCs w:val="24"/>
          <w14:textFill>
            <w14:solidFill>
              <w14:schemeClr w14:val="tx1"/>
            </w14:solidFill>
          </w14:textFill>
        </w:rPr>
      </w:pPr>
      <w:bookmarkStart w:id="40" w:name="_Toc21525501"/>
      <w:bookmarkStart w:id="41" w:name="_Toc9758"/>
      <w:bookmarkStart w:id="42" w:name="_Toc2272557"/>
      <w:r>
        <w:rPr>
          <w:rFonts w:hint="eastAsia"/>
          <w:b/>
          <w:bCs/>
          <w:color w:val="000000" w:themeColor="text1"/>
          <w:sz w:val="24"/>
          <w:szCs w:val="24"/>
          <w14:textFill>
            <w14:solidFill>
              <w14:schemeClr w14:val="tx1"/>
            </w14:solidFill>
          </w14:textFill>
        </w:rPr>
        <w:t>（一）总则</w:t>
      </w:r>
      <w:bookmarkEnd w:id="40"/>
      <w:bookmarkEnd w:id="41"/>
      <w:bookmarkEnd w:id="42"/>
    </w:p>
    <w:p>
      <w:pPr>
        <w:spacing w:line="360" w:lineRule="auto"/>
        <w:ind w:firstLine="482" w:firstLineChars="200"/>
        <w:rPr>
          <w:rFonts w:hint="eastAsia" w:ascii="宋体" w:hAnsi="宋体"/>
          <w:b/>
          <w:bCs/>
          <w:color w:val="000000" w:themeColor="text1"/>
          <w:sz w:val="24"/>
          <w:szCs w:val="24"/>
          <w14:textFill>
            <w14:solidFill>
              <w14:schemeClr w14:val="tx1"/>
            </w14:solidFill>
          </w14:textFill>
        </w:rPr>
      </w:pPr>
      <w:r>
        <w:rPr>
          <w:rFonts w:ascii="宋体" w:hAnsi="宋体"/>
          <w:b/>
          <w:bCs/>
          <w:color w:val="000000" w:themeColor="text1"/>
          <w:sz w:val="24"/>
          <w:szCs w:val="24"/>
          <w14:textFill>
            <w14:solidFill>
              <w14:schemeClr w14:val="tx1"/>
            </w14:solidFill>
          </w14:textFill>
        </w:rPr>
        <w:t>35</w:t>
      </w:r>
      <w:r>
        <w:rPr>
          <w:rFonts w:hint="eastAsia" w:ascii="宋体" w:hAnsi="宋体"/>
          <w:b/>
          <w:bCs/>
          <w:color w:val="000000" w:themeColor="text1"/>
          <w:sz w:val="24"/>
          <w:szCs w:val="24"/>
          <w14:textFill>
            <w14:solidFill>
              <w14:schemeClr w14:val="tx1"/>
            </w14:solidFill>
          </w14:textFill>
        </w:rPr>
        <w:t>．开标、评标及定标所依据的规则</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35.1</w:t>
      </w:r>
      <w:r>
        <w:rPr>
          <w:rFonts w:hint="eastAsia" w:ascii="宋体" w:hAnsi="宋体"/>
          <w:color w:val="000000" w:themeColor="text1"/>
          <w:sz w:val="24"/>
          <w:szCs w:val="24"/>
          <w14:textFill>
            <w14:solidFill>
              <w14:schemeClr w14:val="tx1"/>
            </w14:solidFill>
          </w14:textFill>
        </w:rPr>
        <w:t>《中华人民共和国招标投标法》；</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35.2</w:t>
      </w:r>
      <w:r>
        <w:rPr>
          <w:rFonts w:hint="eastAsia" w:ascii="宋体" w:hAnsi="宋体"/>
          <w:color w:val="000000" w:themeColor="text1"/>
          <w:sz w:val="24"/>
          <w:szCs w:val="24"/>
          <w14:textFill>
            <w14:solidFill>
              <w14:schemeClr w14:val="tx1"/>
            </w14:solidFill>
          </w14:textFill>
        </w:rPr>
        <w:t>《中华人民共和国招标投标法实施条例》；</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35.3</w:t>
      </w:r>
      <w:r>
        <w:rPr>
          <w:rFonts w:hint="eastAsia" w:ascii="宋体" w:hAnsi="宋体"/>
          <w:color w:val="000000" w:themeColor="text1"/>
          <w:sz w:val="24"/>
          <w:szCs w:val="24"/>
          <w14:textFill>
            <w14:solidFill>
              <w14:schemeClr w14:val="tx1"/>
            </w14:solidFill>
          </w14:textFill>
        </w:rPr>
        <w:t>《评标委员会和评标方法暂行规定》（七部委第</w:t>
      </w:r>
      <w:r>
        <w:rPr>
          <w:rFonts w:ascii="宋体" w:hAnsi="宋体"/>
          <w:color w:val="000000" w:themeColor="text1"/>
          <w:sz w:val="24"/>
          <w:szCs w:val="24"/>
          <w14:textFill>
            <w14:solidFill>
              <w14:schemeClr w14:val="tx1"/>
            </w14:solidFill>
          </w14:textFill>
        </w:rPr>
        <w:t>12</w:t>
      </w:r>
      <w:r>
        <w:rPr>
          <w:rFonts w:hint="eastAsia" w:ascii="宋体" w:hAnsi="宋体"/>
          <w:color w:val="000000" w:themeColor="text1"/>
          <w:sz w:val="24"/>
          <w:szCs w:val="24"/>
          <w14:textFill>
            <w14:solidFill>
              <w14:schemeClr w14:val="tx1"/>
            </w14:solidFill>
          </w14:textFill>
        </w:rPr>
        <w:t>号令）；</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35.4</w:t>
      </w:r>
      <w:r>
        <w:rPr>
          <w:rFonts w:hint="eastAsia" w:ascii="宋体" w:hAnsi="宋体"/>
          <w:color w:val="000000" w:themeColor="text1"/>
          <w:sz w:val="24"/>
          <w:szCs w:val="24"/>
          <w14:textFill>
            <w14:solidFill>
              <w14:schemeClr w14:val="tx1"/>
            </w14:solidFill>
          </w14:textFill>
        </w:rPr>
        <w:t>《工程建设项目施工招标投标办法》（七部委</w:t>
      </w:r>
      <w:r>
        <w:rPr>
          <w:rFonts w:ascii="宋体" w:hAnsi="宋体"/>
          <w:color w:val="000000" w:themeColor="text1"/>
          <w:sz w:val="24"/>
          <w:szCs w:val="24"/>
          <w14:textFill>
            <w14:solidFill>
              <w14:schemeClr w14:val="tx1"/>
            </w14:solidFill>
          </w14:textFill>
        </w:rPr>
        <w:t>2003</w:t>
      </w:r>
      <w:r>
        <w:rPr>
          <w:rFonts w:hint="eastAsia" w:ascii="宋体" w:hAnsi="宋体"/>
          <w:color w:val="000000" w:themeColor="text1"/>
          <w:sz w:val="24"/>
          <w:szCs w:val="24"/>
          <w14:textFill>
            <w14:solidFill>
              <w14:schemeClr w14:val="tx1"/>
            </w14:solidFill>
          </w14:textFill>
        </w:rPr>
        <w:t>年第</w:t>
      </w:r>
      <w:r>
        <w:rPr>
          <w:rFonts w:ascii="宋体" w:hAnsi="宋体"/>
          <w:color w:val="000000" w:themeColor="text1"/>
          <w:sz w:val="24"/>
          <w:szCs w:val="24"/>
          <w14:textFill>
            <w14:solidFill>
              <w14:schemeClr w14:val="tx1"/>
            </w14:solidFill>
          </w14:textFill>
        </w:rPr>
        <w:t>30</w:t>
      </w:r>
      <w:r>
        <w:rPr>
          <w:rFonts w:hint="eastAsia" w:ascii="宋体" w:hAnsi="宋体"/>
          <w:color w:val="000000" w:themeColor="text1"/>
          <w:sz w:val="24"/>
          <w:szCs w:val="24"/>
          <w14:textFill>
            <w14:solidFill>
              <w14:schemeClr w14:val="tx1"/>
            </w14:solidFill>
          </w14:textFill>
        </w:rPr>
        <w:t>号令）；</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35.5</w:t>
      </w:r>
      <w:r>
        <w:rPr>
          <w:rFonts w:hint="eastAsia" w:ascii="宋体" w:hAnsi="宋体"/>
          <w:color w:val="000000" w:themeColor="text1"/>
          <w:sz w:val="24"/>
          <w:szCs w:val="24"/>
          <w14:textFill>
            <w14:solidFill>
              <w14:schemeClr w14:val="tx1"/>
            </w14:solidFill>
          </w14:textFill>
        </w:rPr>
        <w:t>《广东省实施〈中华人民共和国招标投标法〉办法》；</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35.6</w:t>
      </w:r>
      <w:r>
        <w:rPr>
          <w:rFonts w:hint="eastAsia" w:ascii="宋体" w:hAnsi="宋体"/>
          <w:color w:val="000000" w:themeColor="text1"/>
          <w:sz w:val="24"/>
          <w:szCs w:val="24"/>
          <w14:textFill>
            <w14:solidFill>
              <w14:schemeClr w14:val="tx1"/>
            </w14:solidFill>
          </w14:textFill>
        </w:rPr>
        <w:t>《房屋建筑和市政基础设施工程施工招标投标管理办法》（建设部令第</w:t>
      </w:r>
      <w:r>
        <w:rPr>
          <w:rFonts w:ascii="宋体" w:hAnsi="宋体"/>
          <w:color w:val="000000" w:themeColor="text1"/>
          <w:sz w:val="24"/>
          <w:szCs w:val="24"/>
          <w14:textFill>
            <w14:solidFill>
              <w14:schemeClr w14:val="tx1"/>
            </w14:solidFill>
          </w14:textFill>
        </w:rPr>
        <w:t>89</w:t>
      </w:r>
      <w:r>
        <w:rPr>
          <w:rFonts w:hint="eastAsia" w:ascii="宋体" w:hAnsi="宋体"/>
          <w:color w:val="000000" w:themeColor="text1"/>
          <w:sz w:val="24"/>
          <w:szCs w:val="24"/>
          <w14:textFill>
            <w14:solidFill>
              <w14:schemeClr w14:val="tx1"/>
            </w14:solidFill>
          </w14:textFill>
        </w:rPr>
        <w:t>号）；</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35.7</w:t>
      </w:r>
      <w:r>
        <w:rPr>
          <w:rFonts w:hint="eastAsia" w:ascii="宋体" w:hAnsi="宋体"/>
          <w:color w:val="000000" w:themeColor="text1"/>
          <w:sz w:val="24"/>
          <w:szCs w:val="24"/>
          <w14:textFill>
            <w14:solidFill>
              <w14:schemeClr w14:val="tx1"/>
            </w14:solidFill>
          </w14:textFill>
        </w:rPr>
        <w:t>《财政部</w:t>
      </w:r>
      <w:r>
        <w:rPr>
          <w:rFonts w:ascii="宋体" w:hAnsi="宋体"/>
          <w:color w:val="000000" w:themeColor="text1"/>
          <w:sz w:val="24"/>
          <w:szCs w:val="24"/>
          <w14:textFill>
            <w14:solidFill>
              <w14:schemeClr w14:val="tx1"/>
            </w14:solidFill>
          </w14:textFill>
        </w:rPr>
        <w:t> </w:t>
      </w:r>
      <w:r>
        <w:rPr>
          <w:rFonts w:hint="eastAsia" w:ascii="宋体" w:hAnsi="宋体"/>
          <w:color w:val="000000" w:themeColor="text1"/>
          <w:sz w:val="24"/>
          <w:szCs w:val="24"/>
          <w14:textFill>
            <w14:solidFill>
              <w14:schemeClr w14:val="tx1"/>
            </w14:solidFill>
          </w14:textFill>
        </w:rPr>
        <w:t>工业和信息化部关于印发〈政府采购促进中小企业发展管理办法〉的通知》（财库〔</w:t>
      </w:r>
      <w:r>
        <w:rPr>
          <w:rFonts w:ascii="宋体" w:hAnsi="宋体"/>
          <w:color w:val="000000" w:themeColor="text1"/>
          <w:sz w:val="24"/>
          <w:szCs w:val="24"/>
          <w14:textFill>
            <w14:solidFill>
              <w14:schemeClr w14:val="tx1"/>
            </w14:solidFill>
          </w14:textFill>
        </w:rPr>
        <w:t>2020</w:t>
      </w: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46</w:t>
      </w:r>
      <w:r>
        <w:rPr>
          <w:rFonts w:hint="eastAsia" w:ascii="宋体" w:hAnsi="宋体"/>
          <w:color w:val="000000" w:themeColor="text1"/>
          <w:sz w:val="24"/>
          <w:szCs w:val="24"/>
          <w14:textFill>
            <w14:solidFill>
              <w14:schemeClr w14:val="tx1"/>
            </w14:solidFill>
          </w14:textFill>
        </w:rPr>
        <w:t>号）；</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35.</w:t>
      </w:r>
      <w:r>
        <w:rPr>
          <w:rFonts w:hint="eastAsia" w:ascii="宋体" w:hAnsi="宋体"/>
          <w:color w:val="000000" w:themeColor="text1"/>
          <w:sz w:val="24"/>
          <w:szCs w:val="24"/>
          <w14:textFill>
            <w14:solidFill>
              <w14:schemeClr w14:val="tx1"/>
            </w14:solidFill>
          </w14:textFill>
        </w:rPr>
        <w:t>8《广东省加强建设工程招标投标监督管理的若干规定》（粤发[2004]4号）；</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35.9</w:t>
      </w:r>
      <w:r>
        <w:rPr>
          <w:rFonts w:hint="eastAsia" w:ascii="宋体" w:hAnsi="宋体"/>
          <w:color w:val="000000" w:themeColor="text1"/>
          <w:sz w:val="24"/>
          <w:szCs w:val="24"/>
          <w14:textFill>
            <w14:solidFill>
              <w14:schemeClr w14:val="tx1"/>
            </w14:solidFill>
          </w14:textFill>
        </w:rPr>
        <w:t>《广东省政府采购促进中小企业发展实施细则（试行）》</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35.</w:t>
      </w:r>
      <w:r>
        <w:rPr>
          <w:rFonts w:hint="eastAsia" w:ascii="宋体" w:hAnsi="宋体"/>
          <w:color w:val="000000" w:themeColor="text1"/>
          <w:sz w:val="24"/>
          <w:szCs w:val="24"/>
          <w14:textFill>
            <w14:solidFill>
              <w14:schemeClr w14:val="tx1"/>
            </w14:solidFill>
          </w14:textFill>
        </w:rPr>
        <w:t>10《广州市工程建设项目招标投标管理办法》（穗建规字〔2023〕12号）；</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35.11《广州市财政局 广州市工业和信息化局转发广东省财政厅 广东省发展和改革委员会 广东省工业和信息化厅 广东省地方金融监督管理局关于印发&lt;广东省政府采购促进中小企业发展实施细则（试行）&gt;的通知》（穗财采〔2023〕8号）；</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35.12本项目招标文件。</w:t>
      </w:r>
    </w:p>
    <w:p>
      <w:pPr>
        <w:spacing w:line="360" w:lineRule="auto"/>
        <w:ind w:firstLine="482" w:firstLineChars="200"/>
        <w:rPr>
          <w:rFonts w:hint="eastAsia" w:ascii="宋体" w:hAnsi="宋体"/>
          <w:b/>
          <w:bCs/>
          <w:color w:val="000000" w:themeColor="text1"/>
          <w:sz w:val="24"/>
          <w:szCs w:val="24"/>
          <w14:textFill>
            <w14:solidFill>
              <w14:schemeClr w14:val="tx1"/>
            </w14:solidFill>
          </w14:textFill>
        </w:rPr>
      </w:pPr>
      <w:r>
        <w:rPr>
          <w:rFonts w:ascii="宋体" w:hAnsi="宋体"/>
          <w:b/>
          <w:bCs/>
          <w:color w:val="000000" w:themeColor="text1"/>
          <w:sz w:val="24"/>
          <w:szCs w:val="24"/>
          <w14:textFill>
            <w14:solidFill>
              <w14:schemeClr w14:val="tx1"/>
            </w14:solidFill>
          </w14:textFill>
        </w:rPr>
        <w:t>36</w:t>
      </w:r>
      <w:r>
        <w:rPr>
          <w:rFonts w:hint="eastAsia" w:ascii="宋体" w:hAnsi="宋体"/>
          <w:b/>
          <w:bCs/>
          <w:color w:val="000000" w:themeColor="text1"/>
          <w:sz w:val="24"/>
          <w:szCs w:val="24"/>
          <w14:textFill>
            <w14:solidFill>
              <w14:schemeClr w14:val="tx1"/>
            </w14:solidFill>
          </w14:textFill>
        </w:rPr>
        <w:t>．开标</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36.1</w:t>
      </w:r>
      <w:r>
        <w:rPr>
          <w:rFonts w:hint="eastAsia" w:ascii="宋体" w:hAnsi="宋体"/>
          <w:color w:val="000000" w:themeColor="text1"/>
          <w:sz w:val="24"/>
          <w:szCs w:val="24"/>
          <w14:textFill>
            <w14:solidFill>
              <w14:schemeClr w14:val="tx1"/>
            </w14:solidFill>
          </w14:textFill>
        </w:rPr>
        <w:t>招标人按投标须知前附表第18项所规定的时间和地点公开开标，并邀请所有投标人参加。截标后，开标开始时间因故推迟的，相关评标信息仍以原定的开标开始时间的信息为准。</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36.2</w:t>
      </w:r>
      <w:r>
        <w:rPr>
          <w:rFonts w:hint="eastAsia" w:ascii="宋体" w:hAnsi="宋体"/>
          <w:color w:val="000000" w:themeColor="text1"/>
          <w:sz w:val="24"/>
          <w:szCs w:val="24"/>
          <w14:textFill>
            <w14:solidFill>
              <w14:schemeClr w14:val="tx1"/>
            </w14:solidFill>
          </w14:textFill>
        </w:rPr>
        <w:t>招标人在招标文件要求提交投标文件的截止时间前收到的投标文件，开标时都当众予以解密、公布。</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36.4若递交投标文件的投标人不足3家，则重新组织招标。（当</w:t>
      </w:r>
      <w:r>
        <w:rPr>
          <w:rFonts w:ascii="宋体" w:hAnsi="宋体"/>
          <w:color w:val="000000" w:themeColor="text1"/>
          <w:sz w:val="24"/>
          <w:szCs w:val="24"/>
          <w14:textFill>
            <w14:solidFill>
              <w14:schemeClr w14:val="tx1"/>
            </w14:solidFill>
          </w14:textFill>
        </w:rPr>
        <w:t>N</w:t>
      </w:r>
      <w:r>
        <w:rPr>
          <w:rFonts w:hint="eastAsia" w:ascii="宋体" w:hAnsi="宋体"/>
          <w:color w:val="000000" w:themeColor="text1"/>
          <w:sz w:val="24"/>
          <w:szCs w:val="24"/>
          <w14:textFill>
            <w14:solidFill>
              <w14:schemeClr w14:val="tx1"/>
            </w14:solidFill>
          </w14:textFill>
        </w:rPr>
        <w:t>个标段同时招标且不允许兼中时，若有效投标人不足</w:t>
      </w:r>
      <w:r>
        <w:rPr>
          <w:rFonts w:ascii="宋体" w:hAnsi="宋体"/>
          <w:color w:val="000000" w:themeColor="text1"/>
          <w:sz w:val="24"/>
          <w:szCs w:val="24"/>
          <w14:textFill>
            <w14:solidFill>
              <w14:schemeClr w14:val="tx1"/>
            </w14:solidFill>
          </w14:textFill>
        </w:rPr>
        <w:t>N+</w:t>
      </w:r>
      <w:r>
        <w:rPr>
          <w:rFonts w:hint="eastAsia" w:ascii="宋体" w:hAnsi="宋体"/>
          <w:color w:val="000000" w:themeColor="text1"/>
          <w:sz w:val="24"/>
          <w:szCs w:val="24"/>
          <w14:textFill>
            <w14:solidFill>
              <w14:schemeClr w14:val="tx1"/>
            </w14:solidFill>
          </w14:textFill>
        </w:rPr>
        <w:t>2家，则重新组织招标）</w:t>
      </w: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36.5按下列程序进行开标：</w:t>
      </w: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36.5.1在投标截止时间后一个小时内，投标人通过交易平台对已递交的电子投标文件进行解密。投标人完成解密后，再由招标人进行解密。解密完成后，公布招标项目名称、投标人名称、投标保证金的递交情况、投标报价、工期及其他内容；</w:t>
      </w: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36.5.2备用光盘的读取按投标须知前附表第36项的规定执行；</w:t>
      </w: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36.5.3投标人代表、招标人代表、监标人、记录人等有关人员在开标记录上签字确认；若有关人员不签字的，不影响开标程序；</w:t>
      </w: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36.5.4开标结束。</w:t>
      </w: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36.7开标时，两个（含两个）以上的投标人加密打包投标文件电脑机器特征码一致的，不参与下一程序，并由评标委员会否决其投标。</w:t>
      </w:r>
    </w:p>
    <w:p>
      <w:pPr>
        <w:spacing w:line="360" w:lineRule="auto"/>
        <w:ind w:firstLine="482" w:firstLineChars="200"/>
        <w:rPr>
          <w:rFonts w:hint="eastAsia" w:ascii="宋体" w:hAnsi="宋体"/>
          <w:b/>
          <w:bCs/>
          <w:color w:val="000000" w:themeColor="text1"/>
          <w:sz w:val="24"/>
          <w:szCs w:val="24"/>
          <w14:textFill>
            <w14:solidFill>
              <w14:schemeClr w14:val="tx1"/>
            </w14:solidFill>
          </w14:textFill>
        </w:rPr>
      </w:pPr>
      <w:r>
        <w:rPr>
          <w:rFonts w:ascii="宋体" w:hAnsi="宋体"/>
          <w:b/>
          <w:bCs/>
          <w:color w:val="000000" w:themeColor="text1"/>
          <w:sz w:val="24"/>
          <w:szCs w:val="24"/>
          <w14:textFill>
            <w14:solidFill>
              <w14:schemeClr w14:val="tx1"/>
            </w14:solidFill>
          </w14:textFill>
        </w:rPr>
        <w:t>37</w:t>
      </w:r>
      <w:r>
        <w:rPr>
          <w:rFonts w:hint="eastAsia" w:ascii="宋体" w:hAnsi="宋体"/>
          <w:b/>
          <w:bCs/>
          <w:color w:val="000000" w:themeColor="text1"/>
          <w:sz w:val="24"/>
          <w:szCs w:val="24"/>
          <w14:textFill>
            <w14:solidFill>
              <w14:schemeClr w14:val="tx1"/>
            </w14:solidFill>
          </w14:textFill>
        </w:rPr>
        <w:t>．评标</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37.1</w:t>
      </w:r>
      <w:r>
        <w:rPr>
          <w:rFonts w:hint="eastAsia" w:ascii="宋体" w:hAnsi="宋体"/>
          <w:color w:val="000000" w:themeColor="text1"/>
          <w:sz w:val="24"/>
          <w:szCs w:val="24"/>
          <w14:textFill>
            <w14:solidFill>
              <w14:schemeClr w14:val="tx1"/>
            </w14:solidFill>
          </w14:textFill>
        </w:rPr>
        <w:t>评标委员会由招标人依法组建。</w:t>
      </w:r>
    </w:p>
    <w:p>
      <w:pPr>
        <w:spacing w:line="360" w:lineRule="auto"/>
        <w:ind w:firstLine="480" w:firstLineChars="200"/>
        <w:rPr>
          <w:rFonts w:hint="eastAsia" w:ascii="宋体" w:hAns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37.2评标委员会</w:t>
      </w:r>
      <w:r>
        <w:rPr>
          <w:rFonts w:hint="eastAsia" w:ascii="宋体" w:hAnsi="宋体"/>
          <w:bCs/>
          <w:color w:val="000000" w:themeColor="text1"/>
          <w:sz w:val="24"/>
          <w:szCs w:val="24"/>
          <w14:textFill>
            <w14:solidFill>
              <w14:schemeClr w14:val="tx1"/>
            </w14:solidFill>
          </w14:textFill>
        </w:rPr>
        <w:t>在开始评标前，应了解评标专家</w:t>
      </w:r>
      <w:r>
        <w:rPr>
          <w:rFonts w:ascii="宋体" w:hAnsi="宋体"/>
          <w:bCs/>
          <w:color w:val="000000" w:themeColor="text1"/>
          <w:sz w:val="24"/>
          <w:szCs w:val="24"/>
          <w14:textFill>
            <w14:solidFill>
              <w14:schemeClr w14:val="tx1"/>
            </w14:solidFill>
          </w14:textFill>
        </w:rPr>
        <w:t>的职责及守则</w:t>
      </w:r>
      <w:r>
        <w:rPr>
          <w:rFonts w:hint="eastAsia" w:ascii="宋体" w:hAnsi="宋体"/>
          <w:bCs/>
          <w:color w:val="000000" w:themeColor="text1"/>
          <w:sz w:val="24"/>
          <w:szCs w:val="24"/>
          <w14:textFill>
            <w14:solidFill>
              <w14:schemeClr w14:val="tx1"/>
            </w14:solidFill>
          </w14:textFill>
        </w:rPr>
        <w:t>，认真阅读附件</w:t>
      </w:r>
      <w:r>
        <w:rPr>
          <w:rFonts w:ascii="宋体" w:hAnsi="宋体"/>
          <w:bCs/>
          <w:color w:val="000000" w:themeColor="text1"/>
          <w:sz w:val="24"/>
          <w:szCs w:val="24"/>
          <w14:textFill>
            <w14:solidFill>
              <w14:schemeClr w14:val="tx1"/>
            </w14:solidFill>
          </w14:textFill>
        </w:rPr>
        <w:t>1《</w:t>
      </w:r>
      <w:r>
        <w:rPr>
          <w:rFonts w:hint="eastAsia" w:ascii="宋体" w:hAnsi="宋体"/>
          <w:bCs/>
          <w:color w:val="000000" w:themeColor="text1"/>
          <w:sz w:val="24"/>
          <w:szCs w:val="24"/>
          <w14:textFill>
            <w14:solidFill>
              <w14:schemeClr w14:val="tx1"/>
            </w14:solidFill>
          </w14:textFill>
        </w:rPr>
        <w:t>评标委员会成员声明》的内容并签名，签字后方可进行评标。</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37.3评标委员会的职责及守则：</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37.</w:t>
      </w:r>
      <w:r>
        <w:rPr>
          <w:rFonts w:hint="eastAsia" w:ascii="宋体" w:hAnsi="宋体"/>
          <w:color w:val="000000" w:themeColor="text1"/>
          <w:sz w:val="24"/>
          <w:szCs w:val="24"/>
          <w14:textFill>
            <w14:solidFill>
              <w14:schemeClr w14:val="tx1"/>
            </w14:solidFill>
          </w14:textFill>
        </w:rPr>
        <w:t>3</w:t>
      </w:r>
      <w:r>
        <w:rPr>
          <w:rFonts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根据评标细则，对</w:t>
      </w:r>
      <w:r>
        <w:rPr>
          <w:rFonts w:hint="eastAsia" w:ascii="宋体" w:hAnsi="宋体"/>
          <w:color w:val="000000" w:themeColor="text1"/>
          <w:sz w:val="24"/>
          <w14:textFill>
            <w14:solidFill>
              <w14:schemeClr w14:val="tx1"/>
            </w14:solidFill>
          </w14:textFill>
        </w:rPr>
        <w:t>投标文件</w:t>
      </w:r>
      <w:r>
        <w:rPr>
          <w:rFonts w:hint="eastAsia" w:ascii="宋体" w:hAnsi="宋体"/>
          <w:color w:val="000000" w:themeColor="text1"/>
          <w:sz w:val="24"/>
          <w:szCs w:val="24"/>
          <w14:textFill>
            <w14:solidFill>
              <w14:schemeClr w14:val="tx1"/>
            </w14:solidFill>
          </w14:textFill>
        </w:rPr>
        <w:t>进行认真评审，完成评审报告；</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37.</w:t>
      </w:r>
      <w:r>
        <w:rPr>
          <w:rFonts w:hint="eastAsia" w:ascii="宋体" w:hAnsi="宋体"/>
          <w:color w:val="000000" w:themeColor="text1"/>
          <w:sz w:val="24"/>
          <w:szCs w:val="24"/>
          <w14:textFill>
            <w14:solidFill>
              <w14:schemeClr w14:val="tx1"/>
            </w14:solidFill>
          </w14:textFill>
        </w:rPr>
        <w:t>3</w:t>
      </w:r>
      <w:r>
        <w:rPr>
          <w:rFonts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向招标人报告评审意见，推荐合格的中标候选人。</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37.</w:t>
      </w:r>
      <w:r>
        <w:rPr>
          <w:rFonts w:hint="eastAsia" w:ascii="宋体" w:hAnsi="宋体"/>
          <w:bCs/>
          <w:color w:val="000000" w:themeColor="text1"/>
          <w:sz w:val="24"/>
          <w:szCs w:val="24"/>
          <w14:textFill>
            <w14:solidFill>
              <w14:schemeClr w14:val="tx1"/>
            </w14:solidFill>
          </w14:textFill>
        </w:rPr>
        <w:t>3</w:t>
      </w:r>
      <w:r>
        <w:rPr>
          <w:rFonts w:ascii="宋体" w:hAnsi="宋体"/>
          <w:bCs/>
          <w:color w:val="000000" w:themeColor="text1"/>
          <w:sz w:val="24"/>
          <w:szCs w:val="24"/>
          <w14:textFill>
            <w14:solidFill>
              <w14:schemeClr w14:val="tx1"/>
            </w14:solidFill>
          </w14:textFill>
        </w:rPr>
        <w:t>.3</w:t>
      </w:r>
      <w:r>
        <w:rPr>
          <w:rFonts w:ascii="宋体" w:hAnsi="宋体"/>
          <w:b/>
          <w:bCs/>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所有参加评标人员必须遵守国家、地方政府制定的有关工程招标投标的法则、规定，遵守有关工程招标投标的保密制度；如有违反者，给予行政处分；情节严重，构成犯罪的，由司法机关依法追究其刑事责任。</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37.</w:t>
      </w:r>
      <w:r>
        <w:rPr>
          <w:rFonts w:hint="eastAsia" w:ascii="宋体" w:hAnsi="宋体"/>
          <w:color w:val="000000" w:themeColor="text1"/>
          <w:sz w:val="24"/>
          <w:szCs w:val="24"/>
          <w14:textFill>
            <w14:solidFill>
              <w14:schemeClr w14:val="tx1"/>
            </w14:solidFill>
          </w14:textFill>
        </w:rPr>
        <w:t>3</w:t>
      </w:r>
      <w:r>
        <w:rPr>
          <w:rFonts w:ascii="宋体" w:hAnsi="宋体"/>
          <w:color w:val="000000" w:themeColor="text1"/>
          <w:sz w:val="24"/>
          <w:szCs w:val="24"/>
          <w14:textFill>
            <w14:solidFill>
              <w14:schemeClr w14:val="tx1"/>
            </w14:solidFill>
          </w14:textFill>
        </w:rPr>
        <w:t>.4</w:t>
      </w:r>
      <w:r>
        <w:rPr>
          <w:rFonts w:hint="eastAsia" w:ascii="宋体" w:hAnsi="宋体"/>
          <w:color w:val="000000" w:themeColor="text1"/>
          <w:sz w:val="24"/>
          <w:szCs w:val="24"/>
          <w14:textFill>
            <w14:solidFill>
              <w14:schemeClr w14:val="tx1"/>
            </w14:solidFill>
          </w14:textFill>
        </w:rPr>
        <w:t>全体参与评标人员：</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37.</w:t>
      </w:r>
      <w:r>
        <w:rPr>
          <w:rFonts w:hint="eastAsia" w:ascii="宋体" w:hAnsi="宋体"/>
          <w:color w:val="000000" w:themeColor="text1"/>
          <w:sz w:val="24"/>
          <w:szCs w:val="24"/>
          <w14:textFill>
            <w14:solidFill>
              <w14:schemeClr w14:val="tx1"/>
            </w14:solidFill>
          </w14:textFill>
        </w:rPr>
        <w:t>3</w:t>
      </w:r>
      <w:r>
        <w:rPr>
          <w:rFonts w:ascii="宋体" w:hAnsi="宋体"/>
          <w:color w:val="000000" w:themeColor="text1"/>
          <w:sz w:val="24"/>
          <w:szCs w:val="24"/>
          <w14:textFill>
            <w14:solidFill>
              <w14:schemeClr w14:val="tx1"/>
            </w14:solidFill>
          </w14:textFill>
        </w:rPr>
        <w:t xml:space="preserve">.4.1 </w:t>
      </w:r>
      <w:r>
        <w:rPr>
          <w:rFonts w:hint="eastAsia" w:ascii="宋体" w:hAnsi="宋体"/>
          <w:color w:val="000000" w:themeColor="text1"/>
          <w:sz w:val="24"/>
          <w:szCs w:val="24"/>
          <w14:textFill>
            <w14:solidFill>
              <w14:schemeClr w14:val="tx1"/>
            </w14:solidFill>
          </w14:textFill>
        </w:rPr>
        <w:t>必须遵守评标纪律、不得泄密；</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37.</w:t>
      </w:r>
      <w:r>
        <w:rPr>
          <w:rFonts w:hint="eastAsia" w:ascii="宋体" w:hAnsi="宋体"/>
          <w:color w:val="000000" w:themeColor="text1"/>
          <w:sz w:val="24"/>
          <w:szCs w:val="24"/>
          <w14:textFill>
            <w14:solidFill>
              <w14:schemeClr w14:val="tx1"/>
            </w14:solidFill>
          </w14:textFill>
        </w:rPr>
        <w:t>3</w:t>
      </w:r>
      <w:r>
        <w:rPr>
          <w:rFonts w:ascii="宋体" w:hAnsi="宋体"/>
          <w:color w:val="000000" w:themeColor="text1"/>
          <w:sz w:val="24"/>
          <w:szCs w:val="24"/>
          <w14:textFill>
            <w14:solidFill>
              <w14:schemeClr w14:val="tx1"/>
            </w14:solidFill>
          </w14:textFill>
        </w:rPr>
        <w:t xml:space="preserve">.4.2 </w:t>
      </w:r>
      <w:r>
        <w:rPr>
          <w:rFonts w:hint="eastAsia" w:ascii="宋体" w:hAnsi="宋体"/>
          <w:color w:val="000000" w:themeColor="text1"/>
          <w:sz w:val="24"/>
          <w:szCs w:val="24"/>
          <w14:textFill>
            <w14:solidFill>
              <w14:schemeClr w14:val="tx1"/>
            </w14:solidFill>
          </w14:textFill>
        </w:rPr>
        <w:t>必须公正、不得循私；</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37.</w:t>
      </w:r>
      <w:r>
        <w:rPr>
          <w:rFonts w:hint="eastAsia" w:ascii="宋体" w:hAnsi="宋体"/>
          <w:color w:val="000000" w:themeColor="text1"/>
          <w:sz w:val="24"/>
          <w:szCs w:val="24"/>
          <w14:textFill>
            <w14:solidFill>
              <w14:schemeClr w14:val="tx1"/>
            </w14:solidFill>
          </w14:textFill>
        </w:rPr>
        <w:t>3</w:t>
      </w:r>
      <w:r>
        <w:rPr>
          <w:rFonts w:ascii="宋体" w:hAnsi="宋体"/>
          <w:color w:val="000000" w:themeColor="text1"/>
          <w:sz w:val="24"/>
          <w:szCs w:val="24"/>
          <w14:textFill>
            <w14:solidFill>
              <w14:schemeClr w14:val="tx1"/>
            </w14:solidFill>
          </w14:textFill>
        </w:rPr>
        <w:t xml:space="preserve">.4.3 </w:t>
      </w:r>
      <w:r>
        <w:rPr>
          <w:rFonts w:hint="eastAsia" w:ascii="宋体" w:hAnsi="宋体"/>
          <w:color w:val="000000" w:themeColor="text1"/>
          <w:sz w:val="24"/>
          <w:szCs w:val="24"/>
          <w14:textFill>
            <w14:solidFill>
              <w14:schemeClr w14:val="tx1"/>
            </w14:solidFill>
          </w14:textFill>
        </w:rPr>
        <w:t>必须科学、不得草率；</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37.</w:t>
      </w:r>
      <w:r>
        <w:rPr>
          <w:rFonts w:hint="eastAsia" w:ascii="宋体" w:hAnsi="宋体"/>
          <w:color w:val="000000" w:themeColor="text1"/>
          <w:sz w:val="24"/>
          <w:szCs w:val="24"/>
          <w14:textFill>
            <w14:solidFill>
              <w14:schemeClr w14:val="tx1"/>
            </w14:solidFill>
          </w14:textFill>
        </w:rPr>
        <w:t>3</w:t>
      </w:r>
      <w:r>
        <w:rPr>
          <w:rFonts w:ascii="宋体" w:hAnsi="宋体"/>
          <w:color w:val="000000" w:themeColor="text1"/>
          <w:sz w:val="24"/>
          <w:szCs w:val="24"/>
          <w14:textFill>
            <w14:solidFill>
              <w14:schemeClr w14:val="tx1"/>
            </w14:solidFill>
          </w14:textFill>
        </w:rPr>
        <w:t xml:space="preserve">.4.4 </w:t>
      </w:r>
      <w:r>
        <w:rPr>
          <w:rFonts w:hint="eastAsia" w:ascii="宋体" w:hAnsi="宋体"/>
          <w:color w:val="000000" w:themeColor="text1"/>
          <w:sz w:val="24"/>
          <w:szCs w:val="24"/>
          <w14:textFill>
            <w14:solidFill>
              <w14:schemeClr w14:val="tx1"/>
            </w14:solidFill>
          </w14:textFill>
        </w:rPr>
        <w:t>必须客观、不得带有成见；</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37.</w:t>
      </w:r>
      <w:r>
        <w:rPr>
          <w:rFonts w:hint="eastAsia" w:ascii="宋体" w:hAnsi="宋体"/>
          <w:color w:val="000000" w:themeColor="text1"/>
          <w:sz w:val="24"/>
          <w:szCs w:val="24"/>
          <w14:textFill>
            <w14:solidFill>
              <w14:schemeClr w14:val="tx1"/>
            </w14:solidFill>
          </w14:textFill>
        </w:rPr>
        <w:t>3</w:t>
      </w:r>
      <w:r>
        <w:rPr>
          <w:rFonts w:ascii="宋体" w:hAnsi="宋体"/>
          <w:color w:val="000000" w:themeColor="text1"/>
          <w:sz w:val="24"/>
          <w:szCs w:val="24"/>
          <w14:textFill>
            <w14:solidFill>
              <w14:schemeClr w14:val="tx1"/>
            </w14:solidFill>
          </w14:textFill>
        </w:rPr>
        <w:t xml:space="preserve">.4.5 </w:t>
      </w:r>
      <w:r>
        <w:rPr>
          <w:rFonts w:hint="eastAsia" w:ascii="宋体" w:hAnsi="宋体"/>
          <w:color w:val="000000" w:themeColor="text1"/>
          <w:sz w:val="24"/>
          <w:szCs w:val="24"/>
          <w14:textFill>
            <w14:solidFill>
              <w14:schemeClr w14:val="tx1"/>
            </w14:solidFill>
          </w14:textFill>
        </w:rPr>
        <w:t>必须平等、不得强加于人；</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37.3.4.6 必须严谨、不得随意马虎。</w:t>
      </w:r>
    </w:p>
    <w:p>
      <w:pPr>
        <w:spacing w:line="360" w:lineRule="auto"/>
        <w:ind w:firstLine="48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37.4 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37.5评标结束后，评标委员会递交评标报告并依法推荐中标候选人。</w:t>
      </w:r>
      <w:r>
        <w:rPr>
          <w:rFonts w:ascii="宋体" w:hAnsi="宋体"/>
          <w:color w:val="000000" w:themeColor="text1"/>
          <w:sz w:val="24"/>
          <w:szCs w:val="24"/>
          <w14:textFill>
            <w14:solidFill>
              <w14:schemeClr w14:val="tx1"/>
            </w14:solidFill>
          </w14:textFill>
        </w:rPr>
        <w:t xml:space="preserve"> </w:t>
      </w:r>
    </w:p>
    <w:p>
      <w:pPr>
        <w:spacing w:line="360" w:lineRule="auto"/>
        <w:ind w:firstLine="482" w:firstLineChars="200"/>
        <w:rPr>
          <w:rFonts w:hint="eastAsia" w:ascii="宋体" w:hAnsi="宋体"/>
          <w:b/>
          <w:bCs/>
          <w:color w:val="000000" w:themeColor="text1"/>
          <w:sz w:val="24"/>
          <w:szCs w:val="24"/>
          <w14:textFill>
            <w14:solidFill>
              <w14:schemeClr w14:val="tx1"/>
            </w14:solidFill>
          </w14:textFill>
        </w:rPr>
      </w:pPr>
      <w:r>
        <w:rPr>
          <w:rFonts w:ascii="宋体" w:hAnsi="宋体"/>
          <w:b/>
          <w:bCs/>
          <w:color w:val="000000" w:themeColor="text1"/>
          <w:sz w:val="24"/>
          <w:szCs w:val="24"/>
          <w14:textFill>
            <w14:solidFill>
              <w14:schemeClr w14:val="tx1"/>
            </w14:solidFill>
          </w14:textFill>
        </w:rPr>
        <w:t>38</w:t>
      </w:r>
      <w:r>
        <w:rPr>
          <w:rFonts w:hint="eastAsia" w:ascii="宋体" w:hAnsi="宋体"/>
          <w:b/>
          <w:bCs/>
          <w:color w:val="000000" w:themeColor="text1"/>
          <w:sz w:val="24"/>
          <w:szCs w:val="24"/>
          <w14:textFill>
            <w14:solidFill>
              <w14:schemeClr w14:val="tx1"/>
            </w14:solidFill>
          </w14:textFill>
        </w:rPr>
        <w:t>．投标文件的澄清</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38.1</w:t>
      </w:r>
      <w:r>
        <w:rPr>
          <w:rFonts w:hint="eastAsia" w:ascii="宋体" w:hAnsi="宋体"/>
          <w:color w:val="000000" w:themeColor="text1"/>
          <w:sz w:val="24"/>
          <w:szCs w:val="24"/>
          <w14:textFill>
            <w14:solidFill>
              <w14:schemeClr w14:val="tx1"/>
            </w14:solidFill>
          </w14:textFill>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38.2</w:t>
      </w:r>
      <w:r>
        <w:rPr>
          <w:rFonts w:hint="eastAsia" w:ascii="宋体" w:hAnsi="宋体"/>
          <w:color w:val="000000" w:themeColor="text1"/>
          <w:sz w:val="24"/>
          <w:szCs w:val="24"/>
          <w14:textFill>
            <w14:solidFill>
              <w14:schemeClr w14:val="tx1"/>
            </w14:solidFill>
          </w14:textFill>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38.3</w:t>
      </w:r>
      <w:r>
        <w:rPr>
          <w:rFonts w:hint="eastAsia" w:ascii="宋体" w:hAnsi="宋体"/>
          <w:color w:val="000000" w:themeColor="text1"/>
          <w:sz w:val="24"/>
          <w:szCs w:val="24"/>
          <w14:textFill>
            <w14:solidFill>
              <w14:schemeClr w14:val="tx1"/>
            </w14:solidFill>
          </w14:textFill>
        </w:rPr>
        <w:t>评标委员会或评标委员会专业评审组成员均应当阅读投标人的澄清，但应独立参考澄清对投标文件进行评审。</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38.4</w:t>
      </w:r>
      <w:r>
        <w:rPr>
          <w:rFonts w:hint="eastAsia" w:ascii="宋体" w:hAnsi="宋体"/>
          <w:color w:val="000000" w:themeColor="text1"/>
          <w:sz w:val="24"/>
          <w:szCs w:val="24"/>
          <w14:textFill>
            <w14:solidFill>
              <w14:schemeClr w14:val="tx1"/>
            </w14:solidFill>
          </w14:textFill>
        </w:rPr>
        <w:t>如果投标文件实质上不响应招标文件的各项要求，评标委员会将按照符合性审查标准予以拒绝，不接受投标人通过修改或撤销其不符合要求的差异或保留，使之成为具有响应性的投标。</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pPr>
        <w:spacing w:line="360" w:lineRule="auto"/>
        <w:ind w:firstLine="482" w:firstLineChars="200"/>
        <w:rPr>
          <w:rFonts w:hint="eastAsia" w:ascii="宋体" w:hAnsi="宋体"/>
          <w:b/>
          <w:bCs/>
          <w:color w:val="000000" w:themeColor="text1"/>
          <w:sz w:val="24"/>
          <w:szCs w:val="24"/>
          <w14:textFill>
            <w14:solidFill>
              <w14:schemeClr w14:val="tx1"/>
            </w14:solidFill>
          </w14:textFill>
        </w:rPr>
      </w:pPr>
      <w:r>
        <w:rPr>
          <w:rFonts w:ascii="宋体" w:hAnsi="宋体"/>
          <w:b/>
          <w:bCs/>
          <w:color w:val="000000" w:themeColor="text1"/>
          <w:sz w:val="24"/>
          <w:szCs w:val="24"/>
          <w14:textFill>
            <w14:solidFill>
              <w14:schemeClr w14:val="tx1"/>
            </w14:solidFill>
          </w14:textFill>
        </w:rPr>
        <w:t>39</w:t>
      </w:r>
      <w:r>
        <w:rPr>
          <w:rFonts w:hint="eastAsia" w:ascii="宋体" w:hAnsi="宋体"/>
          <w:b/>
          <w:bCs/>
          <w:color w:val="000000" w:themeColor="text1"/>
          <w:sz w:val="24"/>
          <w:szCs w:val="24"/>
          <w14:textFill>
            <w14:solidFill>
              <w14:schemeClr w14:val="tx1"/>
            </w14:solidFill>
          </w14:textFill>
        </w:rPr>
        <w:t>．定标</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39.1</w:t>
      </w:r>
      <w:r>
        <w:rPr>
          <w:rFonts w:hint="eastAsia" w:ascii="宋体" w:hAnsi="宋体"/>
          <w:color w:val="000000" w:themeColor="text1"/>
          <w:sz w:val="24"/>
          <w:szCs w:val="24"/>
          <w14:textFill>
            <w14:solidFill>
              <w14:schemeClr w14:val="tx1"/>
            </w14:solidFill>
          </w14:textFill>
        </w:rPr>
        <w:t>招标人根据评标委员会递交的评标报告，最终审定中标人。</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39.2</w:t>
      </w:r>
      <w:r>
        <w:rPr>
          <w:rFonts w:hint="eastAsia" w:ascii="宋体" w:hAnsi="宋体"/>
          <w:color w:val="000000" w:themeColor="text1"/>
          <w:sz w:val="24"/>
          <w:szCs w:val="24"/>
          <w14:textFill>
            <w14:solidFill>
              <w14:schemeClr w14:val="tx1"/>
            </w14:solidFill>
          </w14:textFill>
        </w:rPr>
        <w:t>依法必须进行公开招标的项目，招标人应当确定排名第一的中标候选人为中标人。</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39.3</w:t>
      </w:r>
      <w:r>
        <w:rPr>
          <w:rFonts w:hint="eastAsia" w:ascii="宋体" w:hAnsi="宋体"/>
          <w:color w:val="000000" w:themeColor="text1"/>
          <w:sz w:val="24"/>
          <w:szCs w:val="24"/>
          <w14:textFill>
            <w14:solidFill>
              <w14:schemeClr w14:val="tx1"/>
            </w14:solidFill>
          </w14:textFill>
        </w:rPr>
        <w:t>排名第一的中标候选人放弃中标、或因不可抗力提出不能履行合同，或者招标文件规定应当提交履约担保而在规定的期限内未能提交的，招标人可以确定排名第二的中标候选人为中标人。</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39.4</w:t>
      </w:r>
      <w:r>
        <w:rPr>
          <w:rFonts w:hint="eastAsia" w:ascii="宋体" w:hAnsi="宋体"/>
          <w:color w:val="000000" w:themeColor="text1"/>
          <w:sz w:val="24"/>
          <w:szCs w:val="24"/>
          <w14:textFill>
            <w14:solidFill>
              <w14:schemeClr w14:val="tx1"/>
            </w14:solidFill>
          </w14:textFill>
        </w:rPr>
        <w:t>排名第二的中标候选人出现前款所列的情形的，招标人可以确定排名第三的中标候选人为中标人。以此类推，如所有中标候选人均出现前款所列的情形，为招标失败，招标人依法重新招标。</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39.5重新评标的，评标信息（含业绩、奖项等）仍以投标截止时投标人的信息为准。因特殊原因需要延长投标有效期，投标人拒绝延长投标有效期的，仍参与评标，但不被推荐为中标候选人。</w:t>
      </w:r>
    </w:p>
    <w:p>
      <w:pPr>
        <w:pStyle w:val="7"/>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textAlignment w:val="auto"/>
        <w:rPr>
          <w:rFonts w:hint="eastAsia"/>
          <w:b/>
          <w:bCs/>
          <w:color w:val="000000" w:themeColor="text1"/>
          <w:sz w:val="24"/>
          <w:szCs w:val="24"/>
          <w14:textFill>
            <w14:solidFill>
              <w14:schemeClr w14:val="tx1"/>
            </w14:solidFill>
          </w14:textFill>
        </w:rPr>
      </w:pPr>
      <w:bookmarkStart w:id="43" w:name="_Toc21525502"/>
      <w:bookmarkStart w:id="44" w:name="_Toc3296"/>
      <w:bookmarkStart w:id="45" w:name="_Toc2272558"/>
      <w:r>
        <w:rPr>
          <w:rFonts w:hint="eastAsia"/>
          <w:b/>
          <w:bCs/>
          <w:color w:val="000000" w:themeColor="text1"/>
          <w:sz w:val="24"/>
          <w:szCs w:val="24"/>
          <w14:textFill>
            <w14:solidFill>
              <w14:schemeClr w14:val="tx1"/>
            </w14:solidFill>
          </w14:textFill>
        </w:rPr>
        <w:t>（二）开标评标办法程序和细则</w:t>
      </w:r>
      <w:bookmarkEnd w:id="43"/>
      <w:bookmarkEnd w:id="44"/>
      <w:bookmarkEnd w:id="45"/>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注：以下八种评标办法所述企业综合诚信评价分数即投标截止当日广州市工程招标行业协会网站上公布的企业综合诚信评价</w:t>
      </w:r>
      <w:r>
        <w:rPr>
          <w:rFonts w:ascii="宋体" w:hAnsi="宋体"/>
          <w:color w:val="000000" w:themeColor="text1"/>
          <w:sz w:val="24"/>
          <w:szCs w:val="24"/>
          <w14:textFill>
            <w14:solidFill>
              <w14:schemeClr w14:val="tx1"/>
            </w14:solidFill>
          </w14:textFill>
        </w:rPr>
        <w:t>60</w:t>
      </w:r>
      <w:r>
        <w:rPr>
          <w:rFonts w:hint="eastAsia" w:ascii="宋体" w:hAnsi="宋体"/>
          <w:color w:val="000000" w:themeColor="text1"/>
          <w:sz w:val="24"/>
          <w:szCs w:val="24"/>
          <w14:textFill>
            <w14:solidFill>
              <w14:schemeClr w14:val="tx1"/>
            </w14:solidFill>
          </w14:textFill>
        </w:rPr>
        <w:t>日诚信分。</w:t>
      </w:r>
    </w:p>
    <w:p>
      <w:pPr>
        <w:pStyle w:val="7"/>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ind w:firstLine="480" w:firstLineChars="200"/>
        <w:textAlignment w:val="auto"/>
        <w:rPr>
          <w:rFonts w:hint="eastAsia"/>
          <w:color w:val="000000" w:themeColor="text1"/>
          <w:sz w:val="24"/>
          <w:szCs w:val="24"/>
          <w14:textFill>
            <w14:solidFill>
              <w14:schemeClr w14:val="tx1"/>
            </w14:solidFill>
          </w14:textFill>
        </w:rPr>
      </w:pPr>
      <w:bookmarkStart w:id="46" w:name="_Toc19160"/>
      <w:bookmarkStart w:id="47" w:name="_Toc2272563"/>
      <w:bookmarkStart w:id="48" w:name="_Toc21525508"/>
      <w:r>
        <w:rPr>
          <w:rFonts w:hint="eastAsia"/>
          <w:color w:val="000000" w:themeColor="text1"/>
          <w:sz w:val="24"/>
          <w:szCs w:val="24"/>
          <w14:textFill>
            <w14:solidFill>
              <w14:schemeClr w14:val="tx1"/>
            </w14:solidFill>
          </w14:textFill>
        </w:rPr>
        <w:t>可选办法六（适合综合评分法三，技术标与经济标同时开启）</w:t>
      </w:r>
      <w:bookmarkEnd w:id="46"/>
      <w:bookmarkEnd w:id="47"/>
      <w:bookmarkEnd w:id="48"/>
    </w:p>
    <w:p>
      <w:pPr>
        <w:pStyle w:val="5"/>
        <w:spacing w:line="360" w:lineRule="auto"/>
        <w:ind w:firstLine="482" w:firstLineChars="200"/>
        <w:rPr>
          <w:rFonts w:hint="eastAsia"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40．开标和评标程序：</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40.1投标人递交技术标、经济标投标文件；</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40.2技术标与经济标投标文件同时公开开标；</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40.3由评标委员会对所有已公开开标的投标人进行资格审查；</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40.4技术标投标文件有效性审查；</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40.5技术标详细审查评分；</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40.6计算第一阶段得分，并按照总分从高到低排列先后次序，编写第一阶段评审报告； </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40.7按投标须知前附表第25项规定，确定进入第二阶段评审的投标人；</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40.8将进入第二阶段评审的投标人进行排序；</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40.9按排序对经济标投标文件进行有效性审查（含投标报价算术校核），直至评出所有中标候选人；</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40.10评标委员会编写评标报告，向招标人推荐中标候选人名单。</w:t>
      </w:r>
    </w:p>
    <w:p>
      <w:pPr>
        <w:spacing w:line="360" w:lineRule="auto"/>
        <w:ind w:firstLine="482" w:firstLineChars="200"/>
        <w:rPr>
          <w:rFonts w:hint="eastAsia"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41．开标细则</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41.1开标由招标人主持；</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41.2细则</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41.2.1投标截止期前，各投标人递交投标文件（包括技术标投标文件、经济标投标文件）至</w:t>
      </w:r>
      <w:r>
        <w:rPr>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 xml:space="preserve">交易平台。有关投标文件提交的事项详见第一章投标须知。 </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41.2.2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41.3按36.5.1的规定完成解密后，公布下列内容，并予以记录，记录提交评标委员会评审： </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41.3.1开标时，公布：a、投标人名称；b、</w:t>
      </w:r>
      <w:r>
        <w:rPr>
          <w:rFonts w:hint="eastAsia" w:ascii="宋体" w:hAnsi="宋体"/>
          <w:color w:val="000000" w:themeColor="text1"/>
          <w:sz w:val="24"/>
          <w14:textFill>
            <w14:solidFill>
              <w14:schemeClr w14:val="tx1"/>
            </w14:solidFill>
          </w14:textFill>
        </w:rPr>
        <w:t>投标文件</w:t>
      </w:r>
      <w:r>
        <w:rPr>
          <w:rFonts w:hint="eastAsia" w:ascii="宋体" w:hAnsi="宋体"/>
          <w:color w:val="000000" w:themeColor="text1"/>
          <w:sz w:val="24"/>
          <w:szCs w:val="24"/>
          <w14:textFill>
            <w14:solidFill>
              <w14:schemeClr w14:val="tx1"/>
            </w14:solidFill>
          </w14:textFill>
        </w:rPr>
        <w:t>密封情况；c、投标报价；d、投标保证金；e、项目经理（负责人）名称；f、法定代表人证明及授权委托等主要内容及开标记录表中的其他必要内容。投标报价以数字和文字两种方式表述的，应公布文字表述的投标报价。</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41.4招标人对开标过程进行记录，并存档备查，投标人在开标记录上签字。</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41.5 招标人将上述符合要求的投标文件，送至评标委员会进行评审。</w:t>
      </w:r>
    </w:p>
    <w:p>
      <w:pPr>
        <w:spacing w:line="360" w:lineRule="auto"/>
        <w:ind w:firstLine="482" w:firstLineChars="200"/>
        <w:rPr>
          <w:rFonts w:hint="eastAsia" w:ascii="宋体" w:hAnsi="宋体"/>
          <w:b/>
          <w:bCs/>
          <w:color w:val="000000" w:themeColor="text1"/>
          <w:sz w:val="24"/>
          <w:szCs w:val="24"/>
          <w14:textFill>
            <w14:solidFill>
              <w14:schemeClr w14:val="tx1"/>
            </w14:solidFill>
          </w14:textFill>
        </w:rPr>
      </w:pPr>
      <w:r>
        <w:rPr>
          <w:rFonts w:ascii="宋体" w:hAnsi="宋体"/>
          <w:b/>
          <w:bCs/>
          <w:color w:val="000000" w:themeColor="text1"/>
          <w:sz w:val="24"/>
          <w:szCs w:val="24"/>
          <w14:textFill>
            <w14:solidFill>
              <w14:schemeClr w14:val="tx1"/>
            </w14:solidFill>
          </w14:textFill>
        </w:rPr>
        <w:t>42</w:t>
      </w:r>
      <w:r>
        <w:rPr>
          <w:rFonts w:hint="eastAsia" w:ascii="宋体" w:hAnsi="宋体"/>
          <w:b/>
          <w:bCs/>
          <w:color w:val="000000" w:themeColor="text1"/>
          <w:sz w:val="24"/>
          <w:szCs w:val="24"/>
          <w14:textFill>
            <w14:solidFill>
              <w14:schemeClr w14:val="tx1"/>
            </w14:solidFill>
          </w14:textFill>
        </w:rPr>
        <w:t>．评标细则</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42.1评标委员会的组成：方式</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方式一：评标委员会为综合评标委员会，负责评标工作。</w:t>
      </w:r>
    </w:p>
    <w:p>
      <w:pPr>
        <w:widowControl/>
        <w:spacing w:line="360" w:lineRule="auto"/>
        <w:ind w:firstLine="480" w:firstLineChars="200"/>
        <w:jc w:val="left"/>
        <w:rPr>
          <w:rFonts w:hint="eastAsia" w:ascii="宋体" w:hAnsi="宋体" w:cs="宋体"/>
          <w:color w:val="000000" w:themeColor="text1"/>
          <w:kern w:val="0"/>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方式二：评标委员会由技术评审组和经济评审组组成。其中：资格审查、技术评审由技术评标组负责，经济评审由经济评审组负责。</w:t>
      </w:r>
      <w:r>
        <w:rPr>
          <w:rFonts w:hint="eastAsia" w:ascii="宋体" w:hAnsi="宋体" w:cs="宋体"/>
          <w:color w:val="000000" w:themeColor="text1"/>
          <w:kern w:val="0"/>
          <w:sz w:val="24"/>
          <w:szCs w:val="24"/>
          <w14:textFill>
            <w14:solidFill>
              <w14:schemeClr w14:val="tx1"/>
            </w14:solidFill>
          </w14:textFill>
        </w:rPr>
        <w:t xml:space="preserve"> </w:t>
      </w:r>
    </w:p>
    <w:p>
      <w:pPr>
        <w:pStyle w:val="5"/>
        <w:tabs>
          <w:tab w:val="left" w:pos="7380"/>
        </w:tabs>
        <w:snapToGrid w:val="0"/>
        <w:spacing w:after="0" w:line="360" w:lineRule="auto"/>
        <w:ind w:firstLine="480" w:firstLineChars="200"/>
        <w:rPr>
          <w:rFonts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42.2投标人资格审查</w:t>
      </w:r>
    </w:p>
    <w:p>
      <w:pPr>
        <w:pStyle w:val="5"/>
        <w:tabs>
          <w:tab w:val="left" w:pos="7380"/>
        </w:tabs>
        <w:snapToGrid w:val="0"/>
        <w:spacing w:after="0" w:line="360" w:lineRule="auto"/>
        <w:ind w:firstLine="480" w:firstLineChars="200"/>
        <w:rPr>
          <w:rFonts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42.2.1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pPr>
        <w:pStyle w:val="5"/>
        <w:tabs>
          <w:tab w:val="left" w:pos="7380"/>
        </w:tabs>
        <w:snapToGrid w:val="0"/>
        <w:spacing w:after="0" w:line="360" w:lineRule="auto"/>
        <w:ind w:firstLine="480" w:firstLineChars="200"/>
        <w:rPr>
          <w:rFonts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42.2.2汇总资格审查情况，编写资格审查报告。</w:t>
      </w:r>
    </w:p>
    <w:p>
      <w:pPr>
        <w:pStyle w:val="5"/>
        <w:tabs>
          <w:tab w:val="left" w:pos="7380"/>
        </w:tabs>
        <w:snapToGrid w:val="0"/>
        <w:spacing w:after="0" w:line="360" w:lineRule="auto"/>
        <w:ind w:firstLine="480" w:firstLineChars="200"/>
        <w:rPr>
          <w:rFonts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42.2.3资格审查不合格的投标文件不参加下一阶段的评标，不参与评标参考价的计算。</w:t>
      </w:r>
    </w:p>
    <w:p>
      <w:pPr>
        <w:pStyle w:val="5"/>
        <w:tabs>
          <w:tab w:val="left" w:pos="7380"/>
        </w:tabs>
        <w:snapToGrid w:val="0"/>
        <w:spacing w:after="0" w:line="360" w:lineRule="auto"/>
        <w:ind w:firstLine="480" w:firstLineChars="200"/>
        <w:rPr>
          <w:rFonts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42.2.4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5"/>
        <w:tabs>
          <w:tab w:val="left" w:pos="7380"/>
        </w:tabs>
        <w:snapToGrid w:val="0"/>
        <w:spacing w:after="0" w:line="360" w:lineRule="auto"/>
        <w:ind w:firstLine="480" w:firstLineChars="200"/>
        <w:rPr>
          <w:rFonts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42.2.5资审合格后，投标人的资格发生变化而不满足投标人合格条件，在发出中标通知书前，资格问题仍未解决的，招标人将取消其中标资格。</w:t>
      </w:r>
    </w:p>
    <w:p>
      <w:pPr>
        <w:widowControl/>
        <w:spacing w:line="360" w:lineRule="auto"/>
        <w:ind w:firstLine="480" w:firstLineChars="200"/>
        <w:jc w:val="left"/>
        <w:rPr>
          <w:rFonts w:hint="eastAsia" w:ascii="宋体" w:hAnsi="宋体" w:cs="宋体"/>
          <w:color w:val="000000" w:themeColor="text1"/>
          <w:kern w:val="0"/>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42.2.6资格审查合格的投标人少于3名的（当N个标段同时招标且不允许兼中时，资格审查合格的投标人少于N+2名），则本项目招标失败。</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42.3 第一阶段评审</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42.3</w:t>
      </w:r>
      <w:r>
        <w:rPr>
          <w:rFonts w:hint="eastAsia" w:ascii="宋体" w:hAnsi="宋体"/>
          <w:color w:val="000000" w:themeColor="text1"/>
          <w:sz w:val="24"/>
          <w:szCs w:val="24"/>
          <w14:textFill>
            <w14:solidFill>
              <w14:schemeClr w14:val="tx1"/>
            </w14:solidFill>
          </w14:textFill>
        </w:rPr>
        <w:t>.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42.3.2</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详细审查评分：评标委员会按照本办法附表</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详细审查评分表》对通过技术标有效性审查的投标文件进行详细审查，评出</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得分。</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42.3.4评标委员会按照“第一阶段得分=</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42.3.5招标人应在《投标须知前附表》中明确选择使用施工企业总排名或相应的施工专业承包排名计分。</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42.4</w:t>
      </w:r>
      <w:r>
        <w:rPr>
          <w:rFonts w:hint="eastAsia" w:ascii="宋体" w:hAnsi="宋体"/>
          <w:color w:val="000000" w:themeColor="text1"/>
          <w:sz w:val="24"/>
          <w:szCs w:val="24"/>
          <w14:textFill>
            <w14:solidFill>
              <w14:schemeClr w14:val="tx1"/>
            </w14:solidFill>
          </w14:textFill>
        </w:rPr>
        <w:t>第二阶段评审</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42.4.1</w:t>
      </w:r>
      <w:r>
        <w:rPr>
          <w:rFonts w:hint="eastAsia" w:ascii="宋体" w:hAnsi="宋体"/>
          <w:color w:val="000000" w:themeColor="text1"/>
          <w:sz w:val="24"/>
          <w:szCs w:val="24"/>
          <w14:textFill>
            <w14:solidFill>
              <w14:schemeClr w14:val="tx1"/>
            </w14:solidFill>
          </w14:textFill>
        </w:rPr>
        <w:t>按照投标须知前附表第25项规定，确定进入第二阶段评审的投标人。若在进入第二阶段的最后名次发生并列的，则所有并列的投标人均进入第二阶段。</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42.4.2投标文件经济标的评分</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42.4.2.1计算评标参考价</w:t>
      </w:r>
    </w:p>
    <w:p>
      <w:pPr>
        <w:widowControl/>
        <w:spacing w:line="360" w:lineRule="auto"/>
        <w:ind w:firstLine="482" w:firstLineChars="200"/>
        <w:rPr>
          <w:rFonts w:hint="eastAsia" w:ascii="宋体" w:hAnsi="宋体"/>
          <w:b/>
          <w:bCs/>
          <w:color w:val="000000" w:themeColor="text1"/>
          <w:kern w:val="0"/>
          <w:sz w:val="24"/>
          <w:szCs w:val="24"/>
          <w14:textFill>
            <w14:solidFill>
              <w14:schemeClr w14:val="tx1"/>
            </w14:solidFill>
          </w14:textFill>
        </w:rPr>
      </w:pPr>
      <w:r>
        <w:rPr>
          <w:rFonts w:hint="eastAsia" w:ascii="宋体" w:hAnsi="宋体" w:cs="仿宋"/>
          <w:b/>
          <w:bCs/>
          <w:color w:val="000000" w:themeColor="text1"/>
          <w:kern w:val="0"/>
          <w:sz w:val="24"/>
          <w:szCs w:val="24"/>
          <w14:textFill>
            <w14:solidFill>
              <w14:schemeClr w14:val="tx1"/>
            </w14:solidFill>
          </w14:textFill>
        </w:rPr>
        <w:t>区间抽取法：</w:t>
      </w:r>
    </w:p>
    <w:p>
      <w:pPr>
        <w:widowControl/>
        <w:snapToGrid w:val="0"/>
        <w:spacing w:line="360" w:lineRule="auto"/>
        <w:ind w:firstLine="480" w:firstLineChars="200"/>
        <w:rPr>
          <w:rFonts w:hint="eastAsia" w:ascii="宋体" w:hAnsi="宋体"/>
          <w:color w:val="000000" w:themeColor="text1"/>
          <w:kern w:val="0"/>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80" w:firstLineChars="200"/>
        <w:rPr>
          <w:rFonts w:hint="eastAsia" w:ascii="宋体" w:hAnsi="宋体"/>
          <w:color w:val="000000" w:themeColor="text1"/>
          <w:kern w:val="0"/>
          <w:sz w:val="24"/>
          <w:szCs w:val="24"/>
          <w:vertAlign w:val="subscript"/>
          <w14:textFill>
            <w14:solidFill>
              <w14:schemeClr w14:val="tx1"/>
            </w14:solidFill>
          </w14:textFill>
        </w:rPr>
      </w:pPr>
      <w:r>
        <w:rPr>
          <w:rFonts w:hint="eastAsia" w:ascii="宋体" w:hAnsi="宋体" w:cs="仿宋"/>
          <w:color w:val="000000" w:themeColor="text1"/>
          <w:kern w:val="0"/>
          <w:sz w:val="24"/>
          <w:szCs w:val="24"/>
          <w14:textFill>
            <w14:solidFill>
              <w14:schemeClr w14:val="tx1"/>
            </w14:solidFill>
          </w14:textFill>
        </w:rPr>
        <w:t>评标参考价</w:t>
      </w:r>
      <w:r>
        <w:rPr>
          <w:rFonts w:ascii="宋体" w:hAnsi="宋体" w:cs="仿宋"/>
          <w:color w:val="000000" w:themeColor="text1"/>
          <w:kern w:val="0"/>
          <w:sz w:val="24"/>
          <w:szCs w:val="24"/>
          <w14:textFill>
            <w14:solidFill>
              <w14:schemeClr w14:val="tx1"/>
            </w14:solidFill>
          </w14:textFill>
        </w:rPr>
        <w:t>=</w:t>
      </w:r>
      <w:r>
        <w:rPr>
          <w:rFonts w:hint="eastAsia" w:ascii="宋体" w:hAnsi="宋体" w:cs="仿宋"/>
          <w:color w:val="000000" w:themeColor="text1"/>
          <w:kern w:val="0"/>
          <w:sz w:val="24"/>
          <w:szCs w:val="24"/>
          <w14:textFill>
            <w14:solidFill>
              <w14:schemeClr w14:val="tx1"/>
            </w14:solidFill>
          </w14:textFill>
        </w:rPr>
        <w:t>（</w:t>
      </w:r>
      <w:r>
        <w:rPr>
          <w:rFonts w:ascii="宋体" w:hAnsi="宋体" w:cs="仿宋"/>
          <w:color w:val="000000" w:themeColor="text1"/>
          <w:kern w:val="0"/>
          <w:sz w:val="24"/>
          <w:szCs w:val="24"/>
          <w14:textFill>
            <w14:solidFill>
              <w14:schemeClr w14:val="tx1"/>
            </w14:solidFill>
          </w14:textFill>
        </w:rPr>
        <w:t>Q</w:t>
      </w:r>
      <w:r>
        <w:rPr>
          <w:rFonts w:hint="eastAsia" w:ascii="宋体" w:hAnsi="宋体" w:cs="仿宋"/>
          <w:color w:val="000000" w:themeColor="text1"/>
          <w:kern w:val="0"/>
          <w:sz w:val="24"/>
          <w:szCs w:val="24"/>
          <w:vertAlign w:val="subscript"/>
          <w14:textFill>
            <w14:solidFill>
              <w14:schemeClr w14:val="tx1"/>
            </w14:solidFill>
          </w14:textFill>
        </w:rPr>
        <w:t>高</w:t>
      </w:r>
      <w:r>
        <w:rPr>
          <w:rFonts w:ascii="宋体" w:hAnsi="宋体" w:cs="仿宋"/>
          <w:color w:val="000000" w:themeColor="text1"/>
          <w:kern w:val="0"/>
          <w:sz w:val="24"/>
          <w:szCs w:val="24"/>
          <w14:textFill>
            <w14:solidFill>
              <w14:schemeClr w14:val="tx1"/>
            </w14:solidFill>
          </w14:textFill>
        </w:rPr>
        <w:t>-Q</w:t>
      </w:r>
      <w:r>
        <w:rPr>
          <w:rFonts w:hint="eastAsia" w:ascii="宋体" w:hAnsi="宋体" w:cs="仿宋"/>
          <w:color w:val="000000" w:themeColor="text1"/>
          <w:kern w:val="0"/>
          <w:sz w:val="24"/>
          <w:szCs w:val="24"/>
          <w:vertAlign w:val="subscript"/>
          <w14:textFill>
            <w14:solidFill>
              <w14:schemeClr w14:val="tx1"/>
            </w14:solidFill>
          </w14:textFill>
        </w:rPr>
        <w:t>低</w:t>
      </w:r>
      <w:r>
        <w:rPr>
          <w:rFonts w:hint="eastAsia" w:ascii="宋体" w:hAnsi="宋体" w:cs="仿宋"/>
          <w:color w:val="000000" w:themeColor="text1"/>
          <w:kern w:val="0"/>
          <w:sz w:val="24"/>
          <w:szCs w:val="24"/>
          <w14:textFill>
            <w14:solidFill>
              <w14:schemeClr w14:val="tx1"/>
            </w14:solidFill>
          </w14:textFill>
        </w:rPr>
        <w:t>）</w:t>
      </w:r>
      <w:r>
        <w:rPr>
          <w:rFonts w:ascii="宋体" w:hAnsi="宋体" w:cs="仿宋"/>
          <w:color w:val="000000" w:themeColor="text1"/>
          <w:kern w:val="0"/>
          <w:sz w:val="24"/>
          <w:szCs w:val="24"/>
          <w14:textFill>
            <w14:solidFill>
              <w14:schemeClr w14:val="tx1"/>
            </w14:solidFill>
          </w14:textFill>
        </w:rPr>
        <w:t>/100*</w:t>
      </w:r>
      <w:r>
        <w:rPr>
          <w:rFonts w:hint="eastAsia" w:ascii="宋体" w:hAnsi="宋体" w:cs="仿宋"/>
          <w:color w:val="000000" w:themeColor="text1"/>
          <w:kern w:val="0"/>
          <w:sz w:val="24"/>
          <w:szCs w:val="24"/>
          <w14:textFill>
            <w14:solidFill>
              <w14:schemeClr w14:val="tx1"/>
            </w14:solidFill>
          </w14:textFill>
        </w:rPr>
        <w:t>Ｘ</w:t>
      </w:r>
      <w:r>
        <w:rPr>
          <w:rFonts w:ascii="宋体" w:hAnsi="宋体" w:cs="仿宋"/>
          <w:color w:val="000000" w:themeColor="text1"/>
          <w:kern w:val="0"/>
          <w:sz w:val="24"/>
          <w:szCs w:val="24"/>
          <w14:textFill>
            <w14:solidFill>
              <w14:schemeClr w14:val="tx1"/>
            </w14:solidFill>
          </w14:textFill>
        </w:rPr>
        <w:t>+Q</w:t>
      </w:r>
      <w:r>
        <w:rPr>
          <w:rFonts w:hint="eastAsia" w:ascii="宋体" w:hAnsi="宋体" w:cs="仿宋"/>
          <w:color w:val="000000" w:themeColor="text1"/>
          <w:kern w:val="0"/>
          <w:sz w:val="24"/>
          <w:szCs w:val="24"/>
          <w:vertAlign w:val="subscript"/>
          <w14:textFill>
            <w14:solidFill>
              <w14:schemeClr w14:val="tx1"/>
            </w14:solidFill>
          </w14:textFill>
        </w:rPr>
        <w:t>低</w:t>
      </w:r>
    </w:p>
    <w:p>
      <w:pPr>
        <w:widowControl/>
        <w:snapToGrid w:val="0"/>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s="仿宋"/>
          <w:color w:val="000000" w:themeColor="text1"/>
          <w:sz w:val="24"/>
          <w:szCs w:val="24"/>
          <w14:textFill>
            <w14:solidFill>
              <w14:schemeClr w14:val="tx1"/>
            </w14:solidFill>
          </w14:textFill>
        </w:rPr>
        <w:t>Q</w:t>
      </w:r>
      <w:r>
        <w:rPr>
          <w:rFonts w:hint="eastAsia" w:ascii="宋体" w:hAnsi="宋体" w:cs="仿宋"/>
          <w:color w:val="000000" w:themeColor="text1"/>
          <w:sz w:val="24"/>
          <w:szCs w:val="24"/>
          <w:vertAlign w:val="subscript"/>
          <w14:textFill>
            <w14:solidFill>
              <w14:schemeClr w14:val="tx1"/>
            </w14:solidFill>
          </w14:textFill>
        </w:rPr>
        <w:t>低</w:t>
      </w:r>
      <w:r>
        <w:rPr>
          <w:rFonts w:hint="eastAsia" w:ascii="宋体" w:hAnsi="宋体" w:cs="仿宋"/>
          <w:color w:val="000000" w:themeColor="text1"/>
          <w:sz w:val="24"/>
          <w:szCs w:val="24"/>
          <w14:textFill>
            <w14:solidFill>
              <w14:schemeClr w14:val="tx1"/>
            </w14:solidFill>
          </w14:textFill>
        </w:rPr>
        <w:t>：为达到或超过技术标及格分数线的投标人最低报价与工程成本警示价两者中的较高值；</w:t>
      </w:r>
    </w:p>
    <w:p>
      <w:pPr>
        <w:spacing w:line="360" w:lineRule="auto"/>
        <w:ind w:firstLine="480" w:firstLineChars="200"/>
        <w:rPr>
          <w:rFonts w:hint="eastAsia" w:ascii="宋体" w:hAnsi="宋体" w:cs="仿宋"/>
          <w:color w:val="000000" w:themeColor="text1"/>
          <w:sz w:val="24"/>
          <w:szCs w:val="24"/>
          <w14:textFill>
            <w14:solidFill>
              <w14:schemeClr w14:val="tx1"/>
            </w14:solidFill>
          </w14:textFill>
        </w:rPr>
      </w:pPr>
      <w:r>
        <w:rPr>
          <w:rFonts w:ascii="宋体" w:hAnsi="宋体" w:cs="仿宋"/>
          <w:color w:val="000000" w:themeColor="text1"/>
          <w:kern w:val="0"/>
          <w:sz w:val="24"/>
          <w:szCs w:val="24"/>
          <w14:textFill>
            <w14:solidFill>
              <w14:schemeClr w14:val="tx1"/>
            </w14:solidFill>
          </w14:textFill>
        </w:rPr>
        <w:t>Q</w:t>
      </w:r>
      <w:r>
        <w:rPr>
          <w:rFonts w:hint="eastAsia" w:ascii="宋体" w:hAnsi="宋体" w:cs="仿宋"/>
          <w:color w:val="000000" w:themeColor="text1"/>
          <w:kern w:val="0"/>
          <w:sz w:val="24"/>
          <w:szCs w:val="24"/>
          <w:vertAlign w:val="subscript"/>
          <w14:textFill>
            <w14:solidFill>
              <w14:schemeClr w14:val="tx1"/>
            </w14:solidFill>
          </w14:textFill>
        </w:rPr>
        <w:t>高</w:t>
      </w:r>
      <w:r>
        <w:rPr>
          <w:rFonts w:hint="eastAsia" w:ascii="宋体" w:hAnsi="宋体" w:cs="仿宋"/>
          <w:color w:val="000000" w:themeColor="text1"/>
          <w:sz w:val="24"/>
          <w:szCs w:val="24"/>
          <w14:textFill>
            <w14:solidFill>
              <w14:schemeClr w14:val="tx1"/>
            </w14:solidFill>
          </w14:textFill>
        </w:rPr>
        <w:t>：最高投标限价</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s="仿宋"/>
          <w:color w:val="000000" w:themeColor="text1"/>
          <w:sz w:val="24"/>
          <w:szCs w:val="24"/>
          <w14:textFill>
            <w14:solidFill>
              <w14:schemeClr w14:val="tx1"/>
            </w14:solidFill>
          </w14:textFill>
        </w:rPr>
        <w:t>X</w:t>
      </w:r>
      <w:r>
        <w:rPr>
          <w:rFonts w:hint="eastAsia" w:ascii="宋体" w:hAnsi="宋体" w:cs="仿宋"/>
          <w:color w:val="000000" w:themeColor="text1"/>
          <w:sz w:val="24"/>
          <w:szCs w:val="24"/>
          <w14:textFill>
            <w14:solidFill>
              <w14:schemeClr w14:val="tx1"/>
            </w14:solidFill>
          </w14:textFill>
        </w:rPr>
        <w:t>：为等分点值，在开标前从</w:t>
      </w:r>
      <w:r>
        <w:rPr>
          <w:rFonts w:ascii="宋体" w:hAnsi="宋体" w:cs="仿宋"/>
          <w:color w:val="000000" w:themeColor="text1"/>
          <w:sz w:val="24"/>
          <w:szCs w:val="24"/>
          <w14:textFill>
            <w14:solidFill>
              <w14:schemeClr w14:val="tx1"/>
            </w14:solidFill>
          </w14:textFill>
        </w:rPr>
        <w:t>[0,100]</w:t>
      </w:r>
      <w:r>
        <w:rPr>
          <w:rFonts w:hint="eastAsia" w:ascii="宋体" w:hAnsi="宋体" w:cs="仿宋"/>
          <w:color w:val="000000" w:themeColor="text1"/>
          <w:sz w:val="24"/>
          <w:szCs w:val="24"/>
          <w14:textFill>
            <w14:solidFill>
              <w14:schemeClr w14:val="tx1"/>
            </w14:solidFill>
          </w14:textFill>
        </w:rPr>
        <w:t>整数中随机抽取</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42.4.2.2</w:t>
      </w:r>
      <w:r>
        <w:rPr>
          <w:rFonts w:hint="eastAsia" w:ascii="宋体" w:hAnsi="宋体"/>
          <w:color w:val="000000" w:themeColor="text1"/>
          <w:sz w:val="24"/>
          <w:szCs w:val="24"/>
          <w14:textFill>
            <w14:solidFill>
              <w14:schemeClr w14:val="tx1"/>
            </w14:solidFill>
          </w14:textFill>
        </w:rPr>
        <w:t>当标价等于评标参考价时得</w:t>
      </w:r>
      <w:r>
        <w:rPr>
          <w:rFonts w:ascii="宋体" w:hAnsi="宋体"/>
          <w:color w:val="000000" w:themeColor="text1"/>
          <w:sz w:val="24"/>
          <w:szCs w:val="24"/>
          <w14:textFill>
            <w14:solidFill>
              <w14:schemeClr w14:val="tx1"/>
            </w14:solidFill>
          </w14:textFill>
        </w:rPr>
        <w:t>100</w:t>
      </w:r>
      <w:r>
        <w:rPr>
          <w:rFonts w:hint="eastAsia" w:ascii="宋体" w:hAnsi="宋体"/>
          <w:color w:val="000000" w:themeColor="text1"/>
          <w:sz w:val="24"/>
          <w:szCs w:val="24"/>
          <w14:textFill>
            <w14:solidFill>
              <w14:schemeClr w14:val="tx1"/>
            </w14:solidFill>
          </w14:textFill>
        </w:rPr>
        <w:t>分，标价每高于评标参考价</w:t>
      </w:r>
      <w:r>
        <w:rPr>
          <w:rFonts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，扣</w:t>
      </w:r>
      <w:r>
        <w:rPr>
          <w:rFonts w:ascii="宋体" w:hAnsi="宋体"/>
          <w:color w:val="000000" w:themeColor="text1"/>
          <w:sz w:val="24"/>
          <w:szCs w:val="24"/>
          <w14:textFill>
            <w14:solidFill>
              <w14:schemeClr w14:val="tx1"/>
            </w14:solidFill>
          </w14:textFill>
        </w:rPr>
        <w:t>1.5</w:t>
      </w:r>
      <w:r>
        <w:rPr>
          <w:rFonts w:hint="eastAsia" w:ascii="宋体" w:hAnsi="宋体"/>
          <w:color w:val="000000" w:themeColor="text1"/>
          <w:sz w:val="24"/>
          <w:szCs w:val="24"/>
          <w14:textFill>
            <w14:solidFill>
              <w14:schemeClr w14:val="tx1"/>
            </w14:solidFill>
          </w14:textFill>
        </w:rPr>
        <w:t>分，每低于评标参考价</w:t>
      </w:r>
      <w:r>
        <w:rPr>
          <w:rFonts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，扣</w:t>
      </w:r>
      <w:r>
        <w:rPr>
          <w:rFonts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分，扣至</w:t>
      </w:r>
      <w:r>
        <w:rPr>
          <w:rFonts w:ascii="宋体" w:hAnsi="宋体"/>
          <w:color w:val="000000" w:themeColor="text1"/>
          <w:sz w:val="24"/>
          <w:szCs w:val="24"/>
          <w14:textFill>
            <w14:solidFill>
              <w14:schemeClr w14:val="tx1"/>
            </w14:solidFill>
          </w14:textFill>
        </w:rPr>
        <w:t>0</w:t>
      </w:r>
      <w:r>
        <w:rPr>
          <w:rFonts w:hint="eastAsia" w:ascii="宋体" w:hAnsi="宋体"/>
          <w:color w:val="000000" w:themeColor="text1"/>
          <w:sz w:val="24"/>
          <w:szCs w:val="24"/>
          <w14:textFill>
            <w14:solidFill>
              <w14:schemeClr w14:val="tx1"/>
            </w14:solidFill>
          </w14:textFill>
        </w:rPr>
        <w:t>分为止，得出经济分，精确到小数点后两位。</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42.4.2.3评标委员会按投标须知前附表第32项的规定确定排序。</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42.4.3经济标的有效性审查：按照投标人第二阶段排序，依次对进入第二阶段评审的投标文件进行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42.</w:t>
      </w:r>
      <w:r>
        <w:rPr>
          <w:rFonts w:hint="eastAsia" w:ascii="宋体" w:hAnsi="宋体"/>
          <w:color w:val="000000" w:themeColor="text1"/>
          <w:sz w:val="24"/>
          <w:szCs w:val="24"/>
          <w14:textFill>
            <w14:solidFill>
              <w14:schemeClr w14:val="tx1"/>
            </w14:solidFill>
          </w14:textFill>
        </w:rPr>
        <w:t>4.4经济标的算术校核。评标委员会对进行经济标有效性审查的投标文件投标报价按照就低不就高的原则进行算术校核，具体标准如下：</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42.</w:t>
      </w:r>
      <w:r>
        <w:rPr>
          <w:rFonts w:hint="eastAsia" w:ascii="宋体" w:hAnsi="宋体"/>
          <w:color w:val="000000" w:themeColor="text1"/>
          <w:sz w:val="24"/>
          <w:szCs w:val="24"/>
          <w14:textFill>
            <w14:solidFill>
              <w14:schemeClr w14:val="tx1"/>
            </w14:solidFill>
          </w14:textFill>
        </w:rPr>
        <w:t>4.4.1如果数字表示的金额和用文字表示的金额不一致时，应以文字表示的金额为准；</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42.</w:t>
      </w:r>
      <w:r>
        <w:rPr>
          <w:rFonts w:hint="eastAsia" w:ascii="宋体" w:hAnsi="宋体"/>
          <w:color w:val="000000" w:themeColor="text1"/>
          <w:sz w:val="24"/>
          <w:szCs w:val="24"/>
          <w14:textFill>
            <w14:solidFill>
              <w14:schemeClr w14:val="tx1"/>
            </w14:solidFill>
          </w14:textFill>
        </w:rPr>
        <w:t>4.4.2经算术复核的投标人报价与其投标报价不一致时，按就低不就高原则确定其最终报价；</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42.</w:t>
      </w:r>
      <w:r>
        <w:rPr>
          <w:rFonts w:hint="eastAsia" w:ascii="宋体" w:hAnsi="宋体"/>
          <w:color w:val="000000" w:themeColor="text1"/>
          <w:sz w:val="24"/>
          <w:szCs w:val="24"/>
          <w14:textFill>
            <w14:solidFill>
              <w14:schemeClr w14:val="tx1"/>
            </w14:solidFill>
          </w14:textFill>
        </w:rPr>
        <w:t>4.4.3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42.</w:t>
      </w:r>
      <w:r>
        <w:rPr>
          <w:rFonts w:hint="eastAsia" w:ascii="宋体" w:hAnsi="宋体"/>
          <w:color w:val="000000" w:themeColor="text1"/>
          <w:sz w:val="24"/>
          <w:szCs w:val="24"/>
          <w14:textFill>
            <w14:solidFill>
              <w14:schemeClr w14:val="tx1"/>
            </w14:solidFill>
          </w14:textFill>
        </w:rPr>
        <w:t>4.4.</w:t>
      </w:r>
      <w:r>
        <w:rPr>
          <w:rFonts w:ascii="宋体" w:hAnsi="宋体"/>
          <w:color w:val="000000" w:themeColor="text1"/>
          <w:sz w:val="24"/>
          <w:szCs w:val="24"/>
          <w14:textFill>
            <w14:solidFill>
              <w14:schemeClr w14:val="tx1"/>
            </w14:solidFill>
          </w14:textFill>
        </w:rPr>
        <w:t>4</w:t>
      </w:r>
      <w:r>
        <w:rPr>
          <w:rFonts w:hint="eastAsia" w:ascii="宋体" w:hAnsi="宋体"/>
          <w:color w:val="000000" w:themeColor="text1"/>
          <w:sz w:val="24"/>
          <w:szCs w:val="24"/>
          <w14:textFill>
            <w14:solidFill>
              <w14:schemeClr w14:val="tx1"/>
            </w14:solidFill>
          </w14:textFill>
        </w:rPr>
        <w:t>当合价、金额累加错误时，按就低不就高原则，如果累加修正值小于原累加值，则按累加修正值；如果累加修正值大于原累加值，则按原累加值；</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42.</w:t>
      </w:r>
      <w:r>
        <w:rPr>
          <w:rFonts w:hint="eastAsia" w:ascii="宋体" w:hAnsi="宋体"/>
          <w:color w:val="000000" w:themeColor="text1"/>
          <w:sz w:val="24"/>
          <w:szCs w:val="24"/>
          <w14:textFill>
            <w14:solidFill>
              <w14:schemeClr w14:val="tx1"/>
            </w14:solidFill>
          </w14:textFill>
        </w:rPr>
        <w:t>4.4.</w:t>
      </w:r>
      <w:r>
        <w:rPr>
          <w:rFonts w:ascii="宋体" w:hAnsi="宋体"/>
          <w:color w:val="000000" w:themeColor="text1"/>
          <w:sz w:val="24"/>
          <w:szCs w:val="24"/>
          <w14:textFill>
            <w14:solidFill>
              <w14:schemeClr w14:val="tx1"/>
            </w14:solidFill>
          </w14:textFill>
        </w:rPr>
        <w:t>5</w:t>
      </w:r>
      <w:r>
        <w:rPr>
          <w:rFonts w:hint="eastAsia" w:ascii="宋体" w:hAnsi="宋体"/>
          <w:color w:val="000000" w:themeColor="text1"/>
          <w:sz w:val="24"/>
          <w:szCs w:val="24"/>
          <w14:textFill>
            <w14:solidFill>
              <w14:schemeClr w14:val="tx1"/>
            </w14:solidFill>
          </w14:textFill>
        </w:rPr>
        <w:t>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42.</w:t>
      </w:r>
      <w:r>
        <w:rPr>
          <w:rFonts w:hint="eastAsia" w:ascii="宋体" w:hAnsi="宋体"/>
          <w:color w:val="000000" w:themeColor="text1"/>
          <w:sz w:val="24"/>
          <w:szCs w:val="24"/>
          <w14:textFill>
            <w14:solidFill>
              <w14:schemeClr w14:val="tx1"/>
            </w14:solidFill>
          </w14:textFill>
        </w:rPr>
        <w:t>4.4.</w:t>
      </w:r>
      <w:r>
        <w:rPr>
          <w:rFonts w:ascii="宋体" w:hAnsi="宋体"/>
          <w:color w:val="000000" w:themeColor="text1"/>
          <w:sz w:val="24"/>
          <w:szCs w:val="24"/>
          <w14:textFill>
            <w14:solidFill>
              <w14:schemeClr w14:val="tx1"/>
            </w14:solidFill>
          </w14:textFill>
        </w:rPr>
        <w:t>6</w:t>
      </w:r>
      <w:r>
        <w:rPr>
          <w:rFonts w:hint="eastAsia" w:ascii="宋体" w:hAnsi="宋体"/>
          <w:color w:val="000000" w:themeColor="text1"/>
          <w:sz w:val="24"/>
          <w:szCs w:val="24"/>
          <w14:textFill>
            <w14:solidFill>
              <w14:schemeClr w14:val="tx1"/>
            </w14:solidFill>
          </w14:textFill>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42.</w:t>
      </w:r>
      <w:r>
        <w:rPr>
          <w:rFonts w:hint="eastAsia" w:ascii="宋体" w:hAnsi="宋体"/>
          <w:color w:val="000000" w:themeColor="text1"/>
          <w:sz w:val="24"/>
          <w:szCs w:val="24"/>
          <w14:textFill>
            <w14:solidFill>
              <w14:schemeClr w14:val="tx1"/>
            </w14:solidFill>
          </w14:textFill>
        </w:rPr>
        <w:t>4.4.</w:t>
      </w:r>
      <w:r>
        <w:rPr>
          <w:rFonts w:ascii="宋体" w:hAnsi="宋体"/>
          <w:color w:val="000000" w:themeColor="text1"/>
          <w:sz w:val="24"/>
          <w:szCs w:val="24"/>
          <w14:textFill>
            <w14:solidFill>
              <w14:schemeClr w14:val="tx1"/>
            </w14:solidFill>
          </w14:textFill>
        </w:rPr>
        <w:t>7</w:t>
      </w:r>
      <w:r>
        <w:rPr>
          <w:rFonts w:hint="eastAsia" w:ascii="宋体" w:hAnsi="宋体"/>
          <w:color w:val="000000" w:themeColor="text1"/>
          <w:sz w:val="24"/>
          <w:szCs w:val="24"/>
          <w14:textFill>
            <w14:solidFill>
              <w14:schemeClr w14:val="tx1"/>
            </w14:solidFill>
          </w14:textFill>
        </w:rPr>
        <w:t>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42.</w:t>
      </w:r>
      <w:r>
        <w:rPr>
          <w:rFonts w:hint="eastAsia" w:ascii="宋体" w:hAnsi="宋体"/>
          <w:color w:val="000000" w:themeColor="text1"/>
          <w:sz w:val="24"/>
          <w:szCs w:val="24"/>
          <w14:textFill>
            <w14:solidFill>
              <w14:schemeClr w14:val="tx1"/>
            </w14:solidFill>
          </w14:textFill>
        </w:rPr>
        <w:t>4.4.</w:t>
      </w:r>
      <w:r>
        <w:rPr>
          <w:rFonts w:ascii="宋体" w:hAnsi="宋体"/>
          <w:color w:val="000000" w:themeColor="text1"/>
          <w:sz w:val="24"/>
          <w:szCs w:val="24"/>
          <w14:textFill>
            <w14:solidFill>
              <w14:schemeClr w14:val="tx1"/>
            </w14:solidFill>
          </w14:textFill>
        </w:rPr>
        <w:t>8</w:t>
      </w:r>
      <w:r>
        <w:rPr>
          <w:rFonts w:hint="eastAsia" w:ascii="宋体" w:hAnsi="宋体"/>
          <w:color w:val="000000" w:themeColor="text1"/>
          <w:sz w:val="24"/>
          <w:szCs w:val="24"/>
          <w14:textFill>
            <w14:solidFill>
              <w14:schemeClr w14:val="tx1"/>
            </w14:solidFill>
          </w14:textFill>
        </w:rPr>
        <w:t>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42.</w:t>
      </w:r>
      <w:r>
        <w:rPr>
          <w:rFonts w:hint="eastAsia" w:ascii="宋体" w:hAnsi="宋体"/>
          <w:color w:val="000000" w:themeColor="text1"/>
          <w:sz w:val="24"/>
          <w:szCs w:val="24"/>
          <w14:textFill>
            <w14:solidFill>
              <w14:schemeClr w14:val="tx1"/>
            </w14:solidFill>
          </w14:textFill>
        </w:rPr>
        <w:t>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42.</w:t>
      </w:r>
      <w:r>
        <w:rPr>
          <w:rFonts w:hint="eastAsia" w:ascii="宋体" w:hAnsi="宋体"/>
          <w:color w:val="000000" w:themeColor="text1"/>
          <w:sz w:val="24"/>
          <w:szCs w:val="24"/>
          <w14:textFill>
            <w14:solidFill>
              <w14:schemeClr w14:val="tx1"/>
            </w14:solidFill>
          </w14:textFill>
        </w:rPr>
        <w:t>6评标委员会应在通过投标文件经济标有效性审查的投标人中，按步骤42.4确定的投标人第二阶段排序，推荐前</w:t>
      </w:r>
      <w:r>
        <w:rPr>
          <w:rFonts w:ascii="宋体" w:hAnsi="宋体"/>
          <w:color w:val="000000" w:themeColor="text1"/>
          <w:sz w:val="24"/>
          <w:szCs w:val="24"/>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名依次为第一中标候选人至第三中标候选人，并编制评标报告。</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42.</w:t>
      </w:r>
      <w:r>
        <w:rPr>
          <w:rFonts w:hint="eastAsia" w:ascii="宋体" w:hAnsi="宋体"/>
          <w:color w:val="000000" w:themeColor="text1"/>
          <w:sz w:val="24"/>
          <w:szCs w:val="24"/>
          <w14:textFill>
            <w14:solidFill>
              <w14:schemeClr w14:val="tx1"/>
            </w14:solidFill>
          </w14:textFill>
        </w:rPr>
        <w:t>7若通过经济标有效性审查的投标人不足三家，应当依法重新招标。（当</w:t>
      </w:r>
      <w:r>
        <w:rPr>
          <w:rFonts w:ascii="宋体" w:hAnsi="宋体"/>
          <w:color w:val="000000" w:themeColor="text1"/>
          <w:sz w:val="24"/>
          <w:szCs w:val="24"/>
          <w14:textFill>
            <w14:solidFill>
              <w14:schemeClr w14:val="tx1"/>
            </w14:solidFill>
          </w14:textFill>
        </w:rPr>
        <w:t>N</w:t>
      </w:r>
      <w:r>
        <w:rPr>
          <w:rFonts w:hint="eastAsia" w:ascii="宋体" w:hAnsi="宋体"/>
          <w:color w:val="000000" w:themeColor="text1"/>
          <w:sz w:val="24"/>
          <w:szCs w:val="24"/>
          <w14:textFill>
            <w14:solidFill>
              <w14:schemeClr w14:val="tx1"/>
            </w14:solidFill>
          </w14:textFill>
        </w:rPr>
        <w:t>个标段同时招标且不允许兼中时，若有效投标人不足</w:t>
      </w:r>
      <w:r>
        <w:rPr>
          <w:rFonts w:ascii="宋体" w:hAnsi="宋体"/>
          <w:color w:val="000000" w:themeColor="text1"/>
          <w:sz w:val="24"/>
          <w:szCs w:val="24"/>
          <w14:textFill>
            <w14:solidFill>
              <w14:schemeClr w14:val="tx1"/>
            </w14:solidFill>
          </w14:textFill>
        </w:rPr>
        <w:t>N+2</w:t>
      </w:r>
      <w:r>
        <w:rPr>
          <w:rFonts w:hint="eastAsia" w:ascii="宋体" w:hAnsi="宋体"/>
          <w:color w:val="000000" w:themeColor="text1"/>
          <w:sz w:val="24"/>
          <w:szCs w:val="24"/>
          <w14:textFill>
            <w14:solidFill>
              <w14:schemeClr w14:val="tx1"/>
            </w14:solidFill>
          </w14:textFill>
        </w:rPr>
        <w:t>家，应当依法重新招标）</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p>
    <w:p>
      <w:pPr>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br w:type="page"/>
      </w:r>
    </w:p>
    <w:p>
      <w:pPr>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附件</w:t>
      </w:r>
      <w:r>
        <w:rPr>
          <w:rFonts w:ascii="宋体" w:hAnsi="宋体" w:cs="宋体"/>
          <w:b/>
          <w:color w:val="000000" w:themeColor="text1"/>
          <w:sz w:val="28"/>
          <w:szCs w:val="28"/>
          <w14:textFill>
            <w14:solidFill>
              <w14:schemeClr w14:val="tx1"/>
            </w14:solidFill>
          </w14:textFill>
        </w:rPr>
        <w:t>1</w:t>
      </w:r>
    </w:p>
    <w:p>
      <w:pPr>
        <w:jc w:val="center"/>
        <w:rPr>
          <w:rFonts w:hint="eastAsia" w:ascii="宋体" w:hAnsi="宋体" w:cs="宋体"/>
          <w:b/>
          <w:bCs/>
          <w:color w:val="000000" w:themeColor="text1"/>
          <w:sz w:val="36"/>
          <w:szCs w:val="36"/>
          <w14:textFill>
            <w14:solidFill>
              <w14:schemeClr w14:val="tx1"/>
            </w14:solidFill>
          </w14:textFill>
        </w:rPr>
      </w:pPr>
      <w:r>
        <w:rPr>
          <w:rFonts w:hint="eastAsia" w:ascii="宋体" w:hAnsi="宋体" w:cs="宋体"/>
          <w:b/>
          <w:bCs/>
          <w:color w:val="000000" w:themeColor="text1"/>
          <w:sz w:val="36"/>
          <w:szCs w:val="36"/>
          <w14:textFill>
            <w14:solidFill>
              <w14:schemeClr w14:val="tx1"/>
            </w14:solidFill>
          </w14:textFill>
        </w:rPr>
        <w:t>评标委员会成员声明</w:t>
      </w:r>
    </w:p>
    <w:p>
      <w:pPr>
        <w:spacing w:line="360" w:lineRule="auto"/>
        <w:rPr>
          <w:rFonts w:hint="eastAsia"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u w:val="single"/>
          <w14:textFill>
            <w14:solidFill>
              <w14:schemeClr w14:val="tx1"/>
            </w14:solidFill>
          </w14:textFill>
        </w:rPr>
        <w:t>本项目招标人</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w:t>
      </w:r>
    </w:p>
    <w:p>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本人就参与</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项目的评标工作，作出郑重声明：</w:t>
      </w:r>
    </w:p>
    <w:p>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如果本人违反上述声明内容，造成的后果由本人自行承担。</w:t>
      </w:r>
    </w:p>
    <w:p>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p>
    <w:p>
      <w:pPr>
        <w:spacing w:line="360" w:lineRule="auto"/>
        <w:rPr>
          <w:rFonts w:hint="eastAsia" w:ascii="宋体" w:hAnsi="宋体" w:cs="宋体"/>
          <w:b/>
          <w:color w:val="000000" w:themeColor="text1"/>
          <w:sz w:val="24"/>
          <w:szCs w:val="24"/>
          <w:u w:val="single"/>
          <w14:textFill>
            <w14:solidFill>
              <w14:schemeClr w14:val="tx1"/>
            </w14:solidFill>
          </w14:textFill>
        </w:rPr>
      </w:pPr>
      <w:r>
        <w:rPr>
          <w:rFonts w:ascii="宋体" w:hAnsi="宋体" w:cs="宋体"/>
          <w:color w:val="000000" w:themeColor="text1"/>
          <w:sz w:val="24"/>
          <w:szCs w:val="24"/>
          <w14:textFill>
            <w14:solidFill>
              <w14:schemeClr w14:val="tx1"/>
            </w14:solidFill>
          </w14:textFill>
        </w:rPr>
        <w:t xml:space="preserve">                             </w:t>
      </w:r>
      <w:r>
        <w:rPr>
          <w:rFonts w:hint="eastAsia" w:ascii="宋体" w:hAnsi="宋体" w:cs="宋体"/>
          <w:b/>
          <w:color w:val="000000" w:themeColor="text1"/>
          <w:sz w:val="24"/>
          <w:szCs w:val="24"/>
          <w14:textFill>
            <w14:solidFill>
              <w14:schemeClr w14:val="tx1"/>
            </w14:solidFill>
          </w14:textFill>
        </w:rPr>
        <w:t>声明人：</w:t>
      </w:r>
      <w:r>
        <w:rPr>
          <w:rFonts w:hint="eastAsia" w:ascii="宋体" w:hAnsi="宋体" w:cs="宋体"/>
          <w:b/>
          <w:color w:val="000000" w:themeColor="text1"/>
          <w:sz w:val="24"/>
          <w:szCs w:val="24"/>
          <w:u w:val="single"/>
          <w14:textFill>
            <w14:solidFill>
              <w14:schemeClr w14:val="tx1"/>
            </w14:solidFill>
          </w14:textFill>
        </w:rPr>
        <w:t>（签名）</w:t>
      </w:r>
      <w:r>
        <w:rPr>
          <w:rFonts w:ascii="宋体" w:hAnsi="宋体" w:cs="宋体"/>
          <w:b/>
          <w:color w:val="000000" w:themeColor="text1"/>
          <w:sz w:val="24"/>
          <w:szCs w:val="24"/>
          <w:u w:val="single"/>
          <w14:textFill>
            <w14:solidFill>
              <w14:schemeClr w14:val="tx1"/>
            </w14:solidFill>
          </w14:textFill>
        </w:rPr>
        <w:t xml:space="preserve">  </w:t>
      </w:r>
    </w:p>
    <w:p>
      <w:pPr>
        <w:widowControl/>
        <w:snapToGrid/>
        <w:spacing w:line="240" w:lineRule="auto"/>
        <w:ind w:right="0"/>
        <w:jc w:val="left"/>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附表一：</w:t>
      </w:r>
    </w:p>
    <w:p>
      <w:pPr>
        <w:jc w:val="center"/>
        <w:rPr>
          <w:b/>
          <w:color w:val="000000" w:themeColor="text1"/>
          <w:sz w:val="36"/>
          <w:szCs w:val="36"/>
          <w14:textFill>
            <w14:solidFill>
              <w14:schemeClr w14:val="tx1"/>
            </w14:solidFill>
          </w14:textFill>
        </w:rPr>
      </w:pPr>
      <w:r>
        <w:rPr>
          <w:rFonts w:hint="eastAsia"/>
          <w:b/>
          <w:color w:val="000000" w:themeColor="text1"/>
          <w:sz w:val="36"/>
          <w:szCs w:val="36"/>
          <w14:textFill>
            <w14:solidFill>
              <w14:schemeClr w14:val="tx1"/>
            </w14:solidFill>
          </w14:textFill>
        </w:rPr>
        <w:t>资格审查表</w:t>
      </w:r>
    </w:p>
    <w:p>
      <w:pPr>
        <w:spacing w:line="480" w:lineRule="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工程名称：</w:t>
      </w:r>
    </w:p>
    <w:p>
      <w:pPr>
        <w:spacing w:line="480" w:lineRule="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投标人名称：</w:t>
      </w:r>
    </w:p>
    <w:tbl>
      <w:tblPr>
        <w:tblStyle w:val="36"/>
        <w:tblW w:w="9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4317"/>
        <w:gridCol w:w="3612"/>
        <w:gridCol w:w="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431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审查项目</w:t>
            </w:r>
          </w:p>
        </w:tc>
        <w:tc>
          <w:tcPr>
            <w:tcW w:w="36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须审查的资料</w:t>
            </w:r>
          </w:p>
        </w:tc>
        <w:tc>
          <w:tcPr>
            <w:tcW w:w="76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p>
        </w:tc>
        <w:tc>
          <w:tcPr>
            <w:tcW w:w="431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投标人参加投标的意思表达清楚，投标人代表被授权有效</w:t>
            </w:r>
          </w:p>
        </w:tc>
        <w:tc>
          <w:tcPr>
            <w:tcW w:w="36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投标人声明、法定代表人证明书；委托投标的还应提供法人授权委托证明书</w:t>
            </w:r>
          </w:p>
        </w:tc>
        <w:tc>
          <w:tcPr>
            <w:tcW w:w="76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p>
        </w:tc>
        <w:tc>
          <w:tcPr>
            <w:tcW w:w="431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投标人均具有独立法人资格，按国家法律经营</w:t>
            </w:r>
          </w:p>
        </w:tc>
        <w:tc>
          <w:tcPr>
            <w:tcW w:w="36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营业执照扫描件或电子证照</w:t>
            </w:r>
          </w:p>
        </w:tc>
        <w:tc>
          <w:tcPr>
            <w:tcW w:w="76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w:t>
            </w:r>
          </w:p>
        </w:tc>
        <w:tc>
          <w:tcPr>
            <w:tcW w:w="431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投标人均持有建设行政主管部门颁发的有效期内的企业资质证书及安全生产许可证；投标人资质符合公告要求</w:t>
            </w:r>
          </w:p>
        </w:tc>
        <w:tc>
          <w:tcPr>
            <w:tcW w:w="36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资质证书扫描件或电子证照、安全生产许可证扫描件或电子证照</w:t>
            </w:r>
          </w:p>
        </w:tc>
        <w:tc>
          <w:tcPr>
            <w:tcW w:w="76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w:t>
            </w:r>
          </w:p>
        </w:tc>
        <w:tc>
          <w:tcPr>
            <w:tcW w:w="431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投标人拟担任本工程项目负责人符合公告要求</w:t>
            </w:r>
          </w:p>
        </w:tc>
        <w:tc>
          <w:tcPr>
            <w:tcW w:w="36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有效期内的建造师注册证书扫描件或电子证书（注：打印建造师电子证书后，在个人签名处手写本人签名再扫描提交。）</w:t>
            </w:r>
          </w:p>
        </w:tc>
        <w:tc>
          <w:tcPr>
            <w:tcW w:w="76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w:t>
            </w:r>
          </w:p>
        </w:tc>
        <w:tc>
          <w:tcPr>
            <w:tcW w:w="431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持有项目负责人安全生产考核合格证（B类）或建筑施工企业项目负责人安全生产考核合格证</w:t>
            </w:r>
          </w:p>
        </w:tc>
        <w:tc>
          <w:tcPr>
            <w:tcW w:w="36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项目负责人安全生产考核合格证（B类）或建筑施工企业项目负责人安全生产考核合格证证书扫描件或电子证书</w:t>
            </w:r>
          </w:p>
        </w:tc>
        <w:tc>
          <w:tcPr>
            <w:tcW w:w="76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p>
        </w:tc>
        <w:tc>
          <w:tcPr>
            <w:tcW w:w="431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投标人拟担任本工程技术负责人符合公告要求</w:t>
            </w:r>
          </w:p>
        </w:tc>
        <w:tc>
          <w:tcPr>
            <w:tcW w:w="36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拟委托技术负责人的相关证书、资料</w:t>
            </w:r>
          </w:p>
        </w:tc>
        <w:tc>
          <w:tcPr>
            <w:tcW w:w="76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w:t>
            </w:r>
          </w:p>
        </w:tc>
        <w:tc>
          <w:tcPr>
            <w:tcW w:w="431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专职安全员须具有安全生产考核合格证（</w:t>
            </w:r>
            <w:r>
              <w:rPr>
                <w:rFonts w:ascii="宋体" w:hAnsi="宋体"/>
                <w:color w:val="000000" w:themeColor="text1"/>
                <w:szCs w:val="21"/>
                <w14:textFill>
                  <w14:solidFill>
                    <w14:schemeClr w14:val="tx1"/>
                  </w14:solidFill>
                </w14:textFill>
              </w:rPr>
              <w:t>C</w:t>
            </w:r>
            <w:r>
              <w:rPr>
                <w:rFonts w:hint="eastAsia" w:ascii="宋体" w:hAnsi="宋体"/>
                <w:color w:val="000000" w:themeColor="text1"/>
                <w:szCs w:val="21"/>
                <w14:textFill>
                  <w14:solidFill>
                    <w14:schemeClr w14:val="tx1"/>
                  </w14:solidFill>
                </w14:textFill>
              </w:rPr>
              <w:t>证）或建筑施工企业专职安全生产管理人员安全生产考核合格证（C3）</w:t>
            </w:r>
          </w:p>
        </w:tc>
        <w:tc>
          <w:tcPr>
            <w:tcW w:w="36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专职安全员的安全生产考核合格证（C类）或建筑施工企业专职安全生产管理人员安全生产考核合格证证书（C3）扫描件或电子证书</w:t>
            </w:r>
          </w:p>
        </w:tc>
        <w:tc>
          <w:tcPr>
            <w:tcW w:w="76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w:t>
            </w:r>
          </w:p>
        </w:tc>
        <w:tc>
          <w:tcPr>
            <w:tcW w:w="431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投标人提供的投标人声明符合公告要求</w:t>
            </w:r>
          </w:p>
        </w:tc>
        <w:tc>
          <w:tcPr>
            <w:tcW w:w="36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投标人声明</w:t>
            </w:r>
          </w:p>
        </w:tc>
        <w:tc>
          <w:tcPr>
            <w:tcW w:w="76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w:t>
            </w:r>
          </w:p>
        </w:tc>
        <w:tc>
          <w:tcPr>
            <w:tcW w:w="431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投标人声明中签字的项目负责人和技术负责人与本项目拟派的项目负责人和技术负责人一致</w:t>
            </w:r>
          </w:p>
        </w:tc>
        <w:tc>
          <w:tcPr>
            <w:tcW w:w="36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网上投标时选择拟投标的项目负责人、资格审查文件中拟委派的技术负责人及投标人声明</w:t>
            </w:r>
          </w:p>
        </w:tc>
        <w:tc>
          <w:tcPr>
            <w:tcW w:w="76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w:t>
            </w:r>
          </w:p>
        </w:tc>
        <w:tc>
          <w:tcPr>
            <w:tcW w:w="431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关于联合体投标</w:t>
            </w:r>
          </w:p>
        </w:tc>
        <w:tc>
          <w:tcPr>
            <w:tcW w:w="36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olor w:val="000000" w:themeColor="text1"/>
                <w:szCs w:val="21"/>
                <w14:textFill>
                  <w14:solidFill>
                    <w14:schemeClr w14:val="tx1"/>
                  </w14:solidFill>
                </w14:textFill>
              </w:rPr>
            </w:pPr>
            <w:r>
              <w:rPr>
                <w:rFonts w:hint="eastAsia"/>
              </w:rPr>
              <w:t>本项目不允许联合体投标</w:t>
            </w:r>
          </w:p>
        </w:tc>
        <w:tc>
          <w:tcPr>
            <w:tcW w:w="76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1</w:t>
            </w:r>
          </w:p>
        </w:tc>
        <w:tc>
          <w:tcPr>
            <w:tcW w:w="431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资格审查前，投标人须</w:t>
            </w:r>
            <w:r>
              <w:rPr>
                <w:rFonts w:ascii="宋体" w:hAnsi="宋体"/>
                <w:color w:val="000000" w:themeColor="text1"/>
                <w:szCs w:val="21"/>
                <w14:textFill>
                  <w14:solidFill>
                    <w14:schemeClr w14:val="tx1"/>
                  </w14:solidFill>
                </w14:textFill>
              </w:rPr>
              <w:t>在</w:t>
            </w:r>
            <w:r>
              <w:rPr>
                <w:rFonts w:hint="eastAsia" w:ascii="宋体" w:hAnsi="宋体"/>
                <w:color w:val="000000" w:themeColor="text1"/>
                <w:szCs w:val="21"/>
                <w14:textFill>
                  <w14:solidFill>
                    <w14:schemeClr w14:val="tx1"/>
                  </w14:solidFill>
                </w14:textFill>
              </w:rPr>
              <w:t>广州市住房和城乡建设局建立企业信用档案及拟担任本工程项目负责人、专职安全员须是本企业中的在册人员</w:t>
            </w:r>
          </w:p>
        </w:tc>
        <w:tc>
          <w:tcPr>
            <w:tcW w:w="36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投标人在广州市住建行业信用管理平台内企业信用档案的企业和人员信息</w:t>
            </w:r>
          </w:p>
        </w:tc>
        <w:tc>
          <w:tcPr>
            <w:tcW w:w="76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w:t>
            </w:r>
          </w:p>
        </w:tc>
        <w:tc>
          <w:tcPr>
            <w:tcW w:w="431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投标人未出现以下情形：与其它投标人的单位负责人为同一人或者存在控股、管理关系的（按投标人提供的《投标人声明》第九条内容进行评审）。</w:t>
            </w:r>
          </w:p>
        </w:tc>
        <w:tc>
          <w:tcPr>
            <w:tcW w:w="36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投标人声明</w:t>
            </w:r>
          </w:p>
        </w:tc>
        <w:tc>
          <w:tcPr>
            <w:tcW w:w="76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13</w:t>
            </w:r>
          </w:p>
        </w:tc>
        <w:tc>
          <w:tcPr>
            <w:tcW w:w="431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未被列入拖欠农民工工资失信联合惩戒对象名单。</w:t>
            </w:r>
          </w:p>
        </w:tc>
        <w:tc>
          <w:tcPr>
            <w:tcW w:w="36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投标人无需提供资料，按投标截止时间交易系统比对的结果进行评审</w:t>
            </w:r>
          </w:p>
        </w:tc>
        <w:tc>
          <w:tcPr>
            <w:tcW w:w="76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olor w:val="000000" w:themeColor="text1"/>
                <w:szCs w:val="21"/>
                <w14:textFill>
                  <w14:solidFill>
                    <w14:schemeClr w14:val="tx1"/>
                  </w14:solidFill>
                </w14:textFill>
              </w:rPr>
            </w:pPr>
          </w:p>
        </w:tc>
      </w:tr>
    </w:tbl>
    <w:p>
      <w:pPr>
        <w:spacing w:line="480" w:lineRule="auto"/>
        <w:ind w:firstLine="470" w:firstLineChars="224"/>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备注：</w:t>
      </w:r>
    </w:p>
    <w:p>
      <w:pPr>
        <w:spacing w:line="360" w:lineRule="auto"/>
        <w:ind w:firstLine="470" w:firstLineChars="224"/>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1、每一项目符合的打“○”，不符合的打“×”； </w:t>
      </w:r>
    </w:p>
    <w:p>
      <w:pPr>
        <w:spacing w:line="360" w:lineRule="auto"/>
        <w:ind w:firstLine="470" w:firstLineChars="224"/>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2、若评委意见不一致时，则按少数服从多数的原则，作出评审结论。汇总后，出现一个“×”的结论为“不通过”。</w:t>
      </w:r>
    </w:p>
    <w:p>
      <w:pPr>
        <w:spacing w:line="360" w:lineRule="auto"/>
        <w:ind w:firstLine="470" w:firstLineChars="224"/>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pPr>
        <w:rPr>
          <w:color w:val="000000" w:themeColor="text1"/>
          <w14:textFill>
            <w14:solidFill>
              <w14:schemeClr w14:val="tx1"/>
            </w14:solidFill>
          </w14:textFill>
        </w:rPr>
        <w:sectPr>
          <w:footerReference r:id="rId9" w:type="first"/>
          <w:footerReference r:id="rId8" w:type="default"/>
          <w:endnotePr>
            <w:numFmt w:val="decimal"/>
          </w:endnotePr>
          <w:pgSz w:w="11906" w:h="16838"/>
          <w:pgMar w:top="1440" w:right="1077" w:bottom="1440" w:left="1077" w:header="851" w:footer="907" w:gutter="0"/>
          <w:pgNumType w:fmt="decimal" w:start="1"/>
          <w:cols w:space="425" w:num="1"/>
          <w:titlePg/>
          <w:docGrid w:type="lines" w:linePitch="312" w:charSpace="0"/>
        </w:sectPr>
      </w:pP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附表二</w:t>
      </w:r>
    </w:p>
    <w:p>
      <w:pPr>
        <w:jc w:val="center"/>
        <w:rPr>
          <w:b/>
          <w:color w:val="000000" w:themeColor="text1"/>
          <w:sz w:val="36"/>
          <w:szCs w:val="36"/>
          <w14:textFill>
            <w14:solidFill>
              <w14:schemeClr w14:val="tx1"/>
            </w14:solidFill>
          </w14:textFill>
        </w:rPr>
      </w:pPr>
      <w:r>
        <w:rPr>
          <w:rFonts w:hint="eastAsia"/>
          <w:b/>
          <w:color w:val="000000" w:themeColor="text1"/>
          <w:sz w:val="36"/>
          <w:szCs w:val="36"/>
          <w14:textFill>
            <w14:solidFill>
              <w14:schemeClr w14:val="tx1"/>
            </w14:solidFill>
          </w14:textFill>
        </w:rPr>
        <w:t>技术标有效性审查表</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工程名称：</w:t>
      </w:r>
    </w:p>
    <w:tbl>
      <w:tblPr>
        <w:tblStyle w:val="36"/>
        <w:tblW w:w="145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10355"/>
        <w:gridCol w:w="1270"/>
        <w:gridCol w:w="1209"/>
        <w:gridCol w:w="1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10355" w:type="dxa"/>
            <w:tcBorders>
              <w:top w:val="single" w:color="auto" w:sz="4" w:space="0"/>
              <w:left w:val="single" w:color="auto" w:sz="4" w:space="0"/>
              <w:bottom w:val="single" w:color="auto" w:sz="4" w:space="0"/>
              <w:right w:val="single" w:color="auto" w:sz="4" w:space="0"/>
              <w:tl2br w:val="single" w:color="auto" w:sz="4" w:space="0"/>
            </w:tcBorders>
          </w:tcPr>
          <w:p>
            <w:pPr>
              <w:adjustRightInd w:val="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lang w:val="en-US" w:eastAsia="zh-CN"/>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投标人</w:t>
            </w:r>
          </w:p>
          <w:p>
            <w:pPr>
              <w:adjustRightInd w:val="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评审内容</w:t>
            </w:r>
          </w:p>
        </w:tc>
        <w:tc>
          <w:tcPr>
            <w:tcW w:w="1270"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olor w:val="000000" w:themeColor="text1"/>
                <w:szCs w:val="21"/>
                <w14:textFill>
                  <w14:solidFill>
                    <w14:schemeClr w14:val="tx1"/>
                  </w14:solidFill>
                </w14:textFill>
              </w:rPr>
            </w:pPr>
          </w:p>
        </w:tc>
        <w:tc>
          <w:tcPr>
            <w:tcW w:w="1209"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olor w:val="000000" w:themeColor="text1"/>
                <w:szCs w:val="21"/>
                <w14:textFill>
                  <w14:solidFill>
                    <w14:schemeClr w14:val="tx1"/>
                  </w14:solidFill>
                </w14:textFill>
              </w:rPr>
            </w:pPr>
          </w:p>
        </w:tc>
        <w:tc>
          <w:tcPr>
            <w:tcW w:w="1210"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10355" w:type="dxa"/>
            <w:tcBorders>
              <w:top w:val="single" w:color="auto" w:sz="4" w:space="0"/>
              <w:left w:val="single" w:color="auto" w:sz="4" w:space="0"/>
              <w:bottom w:val="single" w:color="auto" w:sz="4" w:space="0"/>
              <w:right w:val="single" w:color="auto" w:sz="4" w:space="0"/>
            </w:tcBorders>
            <w:vAlign w:val="center"/>
          </w:tcPr>
          <w:p>
            <w:pPr>
              <w:adjustRightInd w:val="0"/>
              <w:rPr>
                <w:rFonts w:hint="eastAsia" w:ascii="宋体" w:hAnsi="宋体"/>
                <w:color w:val="000000" w:themeColor="text1"/>
                <w:szCs w:val="21"/>
                <w14:textFill>
                  <w14:solidFill>
                    <w14:schemeClr w14:val="tx1"/>
                  </w14:solidFill>
                </w14:textFill>
              </w:rPr>
            </w:pPr>
            <w:r>
              <w:rPr>
                <w:rFonts w:hint="eastAsia" w:ascii="宋体" w:hAnsi="宋体" w:cs="宋体"/>
                <w:szCs w:val="21"/>
                <w:u w:val="single"/>
              </w:rPr>
              <w:t>《广州建设工程施工招标投标书》中的投标总工期不符合招标文件要求的；</w:t>
            </w:r>
          </w:p>
        </w:tc>
        <w:tc>
          <w:tcPr>
            <w:tcW w:w="1270"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olor w:val="000000" w:themeColor="text1"/>
                <w:szCs w:val="21"/>
                <w14:textFill>
                  <w14:solidFill>
                    <w14:schemeClr w14:val="tx1"/>
                  </w14:solidFill>
                </w14:textFill>
              </w:rPr>
            </w:pPr>
          </w:p>
        </w:tc>
        <w:tc>
          <w:tcPr>
            <w:tcW w:w="1209"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olor w:val="000000" w:themeColor="text1"/>
                <w:szCs w:val="21"/>
                <w14:textFill>
                  <w14:solidFill>
                    <w14:schemeClr w14:val="tx1"/>
                  </w14:solidFill>
                </w14:textFill>
              </w:rPr>
            </w:pPr>
          </w:p>
        </w:tc>
        <w:tc>
          <w:tcPr>
            <w:tcW w:w="1210"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10355" w:type="dxa"/>
            <w:tcBorders>
              <w:top w:val="single" w:color="auto" w:sz="4" w:space="0"/>
              <w:left w:val="single" w:color="auto" w:sz="4" w:space="0"/>
              <w:bottom w:val="single" w:color="auto" w:sz="4" w:space="0"/>
              <w:right w:val="single" w:color="auto" w:sz="4" w:space="0"/>
            </w:tcBorders>
            <w:vAlign w:val="center"/>
          </w:tcPr>
          <w:p>
            <w:pPr>
              <w:adjustRightInd w:val="0"/>
              <w:rPr>
                <w:rFonts w:hint="eastAsia" w:ascii="宋体" w:hAnsi="宋体"/>
                <w:color w:val="000000" w:themeColor="text1"/>
                <w:szCs w:val="21"/>
                <w14:textFill>
                  <w14:solidFill>
                    <w14:schemeClr w14:val="tx1"/>
                  </w14:solidFill>
                </w14:textFill>
              </w:rPr>
            </w:pPr>
            <w:r>
              <w:rPr>
                <w:rFonts w:hint="eastAsia" w:ascii="宋体" w:hAnsi="宋体" w:cs="宋体"/>
                <w:szCs w:val="21"/>
                <w:u w:val="single"/>
              </w:rPr>
              <w:t>《广州建设工程施工招标投标书》中的工程质量标准不符合招标文件要求的；</w:t>
            </w:r>
          </w:p>
        </w:tc>
        <w:tc>
          <w:tcPr>
            <w:tcW w:w="1270"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olor w:val="000000" w:themeColor="text1"/>
                <w:szCs w:val="21"/>
                <w14:textFill>
                  <w14:solidFill>
                    <w14:schemeClr w14:val="tx1"/>
                  </w14:solidFill>
                </w14:textFill>
              </w:rPr>
            </w:pPr>
          </w:p>
        </w:tc>
        <w:tc>
          <w:tcPr>
            <w:tcW w:w="1209"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olor w:val="000000" w:themeColor="text1"/>
                <w:szCs w:val="21"/>
                <w14:textFill>
                  <w14:solidFill>
                    <w14:schemeClr w14:val="tx1"/>
                  </w14:solidFill>
                </w14:textFill>
              </w:rPr>
            </w:pPr>
          </w:p>
        </w:tc>
        <w:tc>
          <w:tcPr>
            <w:tcW w:w="1210"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10355" w:type="dxa"/>
            <w:tcBorders>
              <w:top w:val="single" w:color="auto" w:sz="4" w:space="0"/>
              <w:left w:val="single" w:color="auto" w:sz="4" w:space="0"/>
              <w:bottom w:val="single" w:color="auto" w:sz="4" w:space="0"/>
              <w:right w:val="single" w:color="auto" w:sz="4" w:space="0"/>
            </w:tcBorders>
            <w:vAlign w:val="center"/>
          </w:tcPr>
          <w:p>
            <w:pPr>
              <w:adjustRightInd w:val="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投标文件中没有有效的法定代表人证明书，或由委托代理人签署的投标文件中没有法定代表人授权书；</w:t>
            </w:r>
          </w:p>
        </w:tc>
        <w:tc>
          <w:tcPr>
            <w:tcW w:w="1270"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olor w:val="000000" w:themeColor="text1"/>
                <w:szCs w:val="21"/>
                <w14:textFill>
                  <w14:solidFill>
                    <w14:schemeClr w14:val="tx1"/>
                  </w14:solidFill>
                </w14:textFill>
              </w:rPr>
            </w:pPr>
          </w:p>
        </w:tc>
        <w:tc>
          <w:tcPr>
            <w:tcW w:w="1209"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olor w:val="000000" w:themeColor="text1"/>
                <w:szCs w:val="21"/>
                <w14:textFill>
                  <w14:solidFill>
                    <w14:schemeClr w14:val="tx1"/>
                  </w14:solidFill>
                </w14:textFill>
              </w:rPr>
            </w:pPr>
          </w:p>
        </w:tc>
        <w:tc>
          <w:tcPr>
            <w:tcW w:w="1210"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10355" w:type="dxa"/>
            <w:tcBorders>
              <w:top w:val="single" w:color="auto" w:sz="4" w:space="0"/>
              <w:left w:val="single" w:color="auto" w:sz="4" w:space="0"/>
              <w:bottom w:val="single" w:color="auto" w:sz="4" w:space="0"/>
              <w:right w:val="single" w:color="auto" w:sz="4" w:space="0"/>
            </w:tcBorders>
            <w:vAlign w:val="center"/>
          </w:tcPr>
          <w:p>
            <w:pPr>
              <w:adjustRightInd w:val="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投标文件未按规定的格式</w:t>
            </w:r>
            <w:r>
              <w:rPr>
                <w:rFonts w:hint="eastAsia" w:ascii="宋体" w:hAnsi="宋体"/>
                <w:color w:val="000000" w:themeColor="text1"/>
                <w:szCs w:val="21"/>
                <w:u w:val="single"/>
                <w14:textFill>
                  <w14:solidFill>
                    <w14:schemeClr w14:val="tx1"/>
                  </w14:solidFill>
                </w14:textFill>
              </w:rPr>
              <w:t>（第四章投标文件格式中附件一、附件二、附件三、格式十）</w:t>
            </w:r>
            <w:r>
              <w:rPr>
                <w:rFonts w:hint="eastAsia" w:ascii="宋体" w:hAnsi="宋体"/>
                <w:color w:val="000000" w:themeColor="text1"/>
                <w:szCs w:val="21"/>
                <w14:textFill>
                  <w14:solidFill>
                    <w14:schemeClr w14:val="tx1"/>
                  </w14:solidFill>
                </w14:textFill>
              </w:rPr>
              <w:t>填写，或主要内容不全，或关键字迹模糊、无法辨认的；</w:t>
            </w:r>
          </w:p>
        </w:tc>
        <w:tc>
          <w:tcPr>
            <w:tcW w:w="1270"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olor w:val="000000" w:themeColor="text1"/>
                <w:szCs w:val="21"/>
                <w14:textFill>
                  <w14:solidFill>
                    <w14:schemeClr w14:val="tx1"/>
                  </w14:solidFill>
                </w14:textFill>
              </w:rPr>
            </w:pPr>
          </w:p>
        </w:tc>
        <w:tc>
          <w:tcPr>
            <w:tcW w:w="1209"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olor w:val="000000" w:themeColor="text1"/>
                <w:szCs w:val="21"/>
                <w14:textFill>
                  <w14:solidFill>
                    <w14:schemeClr w14:val="tx1"/>
                  </w14:solidFill>
                </w14:textFill>
              </w:rPr>
            </w:pPr>
          </w:p>
        </w:tc>
        <w:tc>
          <w:tcPr>
            <w:tcW w:w="1210"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c>
          <w:tcPr>
            <w:tcW w:w="10355" w:type="dxa"/>
            <w:tcBorders>
              <w:top w:val="single" w:color="auto" w:sz="4" w:space="0"/>
              <w:left w:val="single" w:color="auto" w:sz="4" w:space="0"/>
              <w:bottom w:val="single" w:color="auto" w:sz="4" w:space="0"/>
              <w:right w:val="single" w:color="auto" w:sz="4" w:space="0"/>
            </w:tcBorders>
            <w:vAlign w:val="center"/>
          </w:tcPr>
          <w:p>
            <w:pPr>
              <w:adjustRightInd w:val="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投标人之间存在《广东省实施&lt;中华人民共和国招标投标法&gt;》第十六条所禁止的情形的；</w:t>
            </w:r>
          </w:p>
        </w:tc>
        <w:tc>
          <w:tcPr>
            <w:tcW w:w="1270"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olor w:val="000000" w:themeColor="text1"/>
                <w:szCs w:val="21"/>
                <w:shd w:val="pct10" w:color="auto" w:fill="FFFFFF"/>
                <w14:textFill>
                  <w14:solidFill>
                    <w14:schemeClr w14:val="tx1"/>
                  </w14:solidFill>
                </w14:textFill>
              </w:rPr>
            </w:pPr>
          </w:p>
        </w:tc>
        <w:tc>
          <w:tcPr>
            <w:tcW w:w="1209"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olor w:val="000000" w:themeColor="text1"/>
                <w:szCs w:val="21"/>
                <w:shd w:val="pct10" w:color="auto" w:fill="FFFFFF"/>
                <w14:textFill>
                  <w14:solidFill>
                    <w14:schemeClr w14:val="tx1"/>
                  </w14:solidFill>
                </w14:textFill>
              </w:rPr>
            </w:pPr>
          </w:p>
        </w:tc>
        <w:tc>
          <w:tcPr>
            <w:tcW w:w="1210"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olor w:val="000000" w:themeColor="text1"/>
                <w:szCs w:val="21"/>
                <w:shd w:val="pct10"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p>
        </w:tc>
        <w:tc>
          <w:tcPr>
            <w:tcW w:w="10355" w:type="dxa"/>
            <w:tcBorders>
              <w:top w:val="single" w:color="auto" w:sz="4" w:space="0"/>
              <w:left w:val="single" w:color="auto" w:sz="4" w:space="0"/>
              <w:bottom w:val="single" w:color="auto" w:sz="4" w:space="0"/>
              <w:right w:val="single" w:color="auto" w:sz="4" w:space="0"/>
            </w:tcBorders>
            <w:vAlign w:val="center"/>
          </w:tcPr>
          <w:p>
            <w:pPr>
              <w:adjustRightInd w:val="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无《参与编制技术标投标文件人员名单》的</w:t>
            </w:r>
          </w:p>
        </w:tc>
        <w:tc>
          <w:tcPr>
            <w:tcW w:w="1270"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olor w:val="000000" w:themeColor="text1"/>
                <w:szCs w:val="21"/>
                <w14:textFill>
                  <w14:solidFill>
                    <w14:schemeClr w14:val="tx1"/>
                  </w14:solidFill>
                </w14:textFill>
              </w:rPr>
            </w:pPr>
          </w:p>
        </w:tc>
        <w:tc>
          <w:tcPr>
            <w:tcW w:w="1209"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olor w:val="000000" w:themeColor="text1"/>
                <w:szCs w:val="21"/>
                <w14:textFill>
                  <w14:solidFill>
                    <w14:schemeClr w14:val="tx1"/>
                  </w14:solidFill>
                </w14:textFill>
              </w:rPr>
            </w:pPr>
          </w:p>
        </w:tc>
        <w:tc>
          <w:tcPr>
            <w:tcW w:w="1210"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w:t>
            </w:r>
          </w:p>
        </w:tc>
        <w:tc>
          <w:tcPr>
            <w:tcW w:w="10355" w:type="dxa"/>
            <w:tcBorders>
              <w:top w:val="single" w:color="auto" w:sz="4" w:space="0"/>
              <w:left w:val="single" w:color="auto" w:sz="4" w:space="0"/>
              <w:bottom w:val="single" w:color="auto" w:sz="4" w:space="0"/>
              <w:right w:val="single" w:color="auto" w:sz="4" w:space="0"/>
            </w:tcBorders>
            <w:vAlign w:val="center"/>
          </w:tcPr>
          <w:p>
            <w:pPr>
              <w:adjustRightInd w:val="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投标人未按要求提交投标保证金的</w:t>
            </w:r>
          </w:p>
        </w:tc>
        <w:tc>
          <w:tcPr>
            <w:tcW w:w="1270"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olor w:val="000000" w:themeColor="text1"/>
                <w:szCs w:val="21"/>
                <w14:textFill>
                  <w14:solidFill>
                    <w14:schemeClr w14:val="tx1"/>
                  </w14:solidFill>
                </w14:textFill>
              </w:rPr>
            </w:pPr>
          </w:p>
        </w:tc>
        <w:tc>
          <w:tcPr>
            <w:tcW w:w="1209"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olor w:val="000000" w:themeColor="text1"/>
                <w:szCs w:val="21"/>
                <w14:textFill>
                  <w14:solidFill>
                    <w14:schemeClr w14:val="tx1"/>
                  </w14:solidFill>
                </w14:textFill>
              </w:rPr>
            </w:pPr>
          </w:p>
        </w:tc>
        <w:tc>
          <w:tcPr>
            <w:tcW w:w="1210"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w:t>
            </w:r>
          </w:p>
        </w:tc>
        <w:tc>
          <w:tcPr>
            <w:tcW w:w="10355" w:type="dxa"/>
            <w:tcBorders>
              <w:top w:val="single" w:color="auto" w:sz="4" w:space="0"/>
              <w:left w:val="single" w:color="auto" w:sz="4" w:space="0"/>
              <w:bottom w:val="single" w:color="auto" w:sz="4" w:space="0"/>
              <w:right w:val="single" w:color="auto" w:sz="4" w:space="0"/>
            </w:tcBorders>
            <w:vAlign w:val="center"/>
          </w:tcPr>
          <w:p>
            <w:pPr>
              <w:adjustRightInd w:val="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投标人与本项目其他投标人加密打包投标文件电脑机器特征码一致的（以交易平台评标系统的检索信息为准）</w:t>
            </w:r>
          </w:p>
        </w:tc>
        <w:tc>
          <w:tcPr>
            <w:tcW w:w="1270"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olor w:val="000000" w:themeColor="text1"/>
                <w:szCs w:val="21"/>
                <w14:textFill>
                  <w14:solidFill>
                    <w14:schemeClr w14:val="tx1"/>
                  </w14:solidFill>
                </w14:textFill>
              </w:rPr>
            </w:pPr>
          </w:p>
        </w:tc>
        <w:tc>
          <w:tcPr>
            <w:tcW w:w="1209"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olor w:val="000000" w:themeColor="text1"/>
                <w:szCs w:val="21"/>
                <w14:textFill>
                  <w14:solidFill>
                    <w14:schemeClr w14:val="tx1"/>
                  </w14:solidFill>
                </w14:textFill>
              </w:rPr>
            </w:pPr>
          </w:p>
        </w:tc>
        <w:tc>
          <w:tcPr>
            <w:tcW w:w="1210"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olor w:val="000000" w:themeColor="text1"/>
                <w:szCs w:val="21"/>
                <w14:textFill>
                  <w14:solidFill>
                    <w14:schemeClr w14:val="tx1"/>
                  </w14:solidFill>
                </w14:textFill>
              </w:rPr>
            </w:pPr>
          </w:p>
        </w:tc>
      </w:tr>
    </w:tbl>
    <w:p>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注：1.本表使用GZZB2018-3招标文件范本，与范本内容不同之处均以下划线标明。技术标评审中，响应性、承诺性内容不应作为评分因素，可在该表中对上述内容进行符合性审查。审查标准须具备可操作性。</w:t>
      </w:r>
    </w:p>
    <w:p>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3.凡出现以上任何一项情形，结论均为无效，否则就为有效。</w:t>
      </w:r>
    </w:p>
    <w:p>
      <w:pPr>
        <w:rPr>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4.如对本表中某种情形的评审意见不一致时，以评标委员会过半数成员的意见作为评标委员会对该情形的认定结论。</w:t>
      </w:r>
      <w:r>
        <w:rPr>
          <w:color w:val="000000" w:themeColor="text1"/>
          <w14:textFill>
            <w14:solidFill>
              <w14:schemeClr w14:val="tx1"/>
            </w14:solidFill>
          </w14:textFill>
        </w:rPr>
        <w:br w:type="page"/>
      </w:r>
      <w:r>
        <w:rPr>
          <w:rFonts w:hint="eastAsia"/>
          <w:color w:val="000000" w:themeColor="text1"/>
          <w:szCs w:val="21"/>
          <w14:textFill>
            <w14:solidFill>
              <w14:schemeClr w14:val="tx1"/>
            </w14:solidFill>
          </w14:textFill>
        </w:rPr>
        <w:t>附表三</w:t>
      </w:r>
    </w:p>
    <w:p>
      <w:pPr>
        <w:jc w:val="center"/>
        <w:rPr>
          <w:b/>
          <w:color w:val="000000" w:themeColor="text1"/>
          <w:sz w:val="36"/>
          <w:szCs w:val="36"/>
          <w14:textFill>
            <w14:solidFill>
              <w14:schemeClr w14:val="tx1"/>
            </w14:solidFill>
          </w14:textFill>
        </w:rPr>
      </w:pPr>
      <w:r>
        <w:rPr>
          <w:rFonts w:hint="eastAsia"/>
          <w:b/>
          <w:color w:val="000000" w:themeColor="text1"/>
          <w:sz w:val="36"/>
          <w:szCs w:val="36"/>
          <w14:textFill>
            <w14:solidFill>
              <w14:schemeClr w14:val="tx1"/>
            </w14:solidFill>
          </w14:textFill>
        </w:rPr>
        <w:t>经济标有效性审查表</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工程名称：</w:t>
      </w:r>
    </w:p>
    <w:tbl>
      <w:tblPr>
        <w:tblStyle w:val="36"/>
        <w:tblW w:w="146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10139"/>
        <w:gridCol w:w="1317"/>
        <w:gridCol w:w="1362"/>
        <w:gridCol w:w="1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10139" w:type="dxa"/>
            <w:tcBorders>
              <w:top w:val="single" w:color="auto" w:sz="4" w:space="0"/>
              <w:left w:val="single" w:color="auto" w:sz="4" w:space="0"/>
              <w:bottom w:val="single" w:color="auto" w:sz="4" w:space="0"/>
              <w:right w:val="single" w:color="auto" w:sz="4" w:space="0"/>
              <w:tl2br w:val="single" w:color="auto" w:sz="4" w:space="0"/>
            </w:tcBorders>
          </w:tcPr>
          <w:p>
            <w:pP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lang w:val="en-US" w:eastAsia="zh-CN"/>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投标人</w:t>
            </w:r>
          </w:p>
          <w:p>
            <w:pPr>
              <w:rPr>
                <w:rFonts w:hint="eastAsia" w:ascii="宋体" w:hAnsi="宋体"/>
                <w:color w:val="000000" w:themeColor="text1"/>
                <w:szCs w:val="21"/>
                <w14:textFill>
                  <w14:solidFill>
                    <w14:schemeClr w14:val="tx1"/>
                  </w14:solidFill>
                </w14:textFill>
              </w:rPr>
            </w:pPr>
          </w:p>
          <w:p>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评审内容</w:t>
            </w:r>
          </w:p>
        </w:tc>
        <w:tc>
          <w:tcPr>
            <w:tcW w:w="1317" w:type="dxa"/>
            <w:tcBorders>
              <w:top w:val="single" w:color="auto" w:sz="4" w:space="0"/>
              <w:left w:val="single" w:color="auto" w:sz="4" w:space="0"/>
              <w:bottom w:val="single" w:color="auto" w:sz="4" w:space="0"/>
              <w:right w:val="single" w:color="auto" w:sz="4" w:space="0"/>
            </w:tcBorders>
          </w:tcPr>
          <w:p>
            <w:pPr>
              <w:rPr>
                <w:rFonts w:hint="eastAsia" w:ascii="宋体" w:hAnsi="宋体"/>
                <w:color w:val="000000" w:themeColor="text1"/>
                <w:szCs w:val="21"/>
                <w14:textFill>
                  <w14:solidFill>
                    <w14:schemeClr w14:val="tx1"/>
                  </w14:solidFill>
                </w14:textFill>
              </w:rPr>
            </w:pPr>
          </w:p>
        </w:tc>
        <w:tc>
          <w:tcPr>
            <w:tcW w:w="1362" w:type="dxa"/>
            <w:tcBorders>
              <w:top w:val="single" w:color="auto" w:sz="4" w:space="0"/>
              <w:left w:val="single" w:color="auto" w:sz="4" w:space="0"/>
              <w:bottom w:val="single" w:color="auto" w:sz="4" w:space="0"/>
              <w:right w:val="single" w:color="auto" w:sz="4" w:space="0"/>
            </w:tcBorders>
          </w:tcPr>
          <w:p>
            <w:pPr>
              <w:rPr>
                <w:rFonts w:hint="eastAsia" w:ascii="宋体" w:hAnsi="宋体"/>
                <w:color w:val="000000" w:themeColor="text1"/>
                <w:szCs w:val="21"/>
                <w14:textFill>
                  <w14:solidFill>
                    <w14:schemeClr w14:val="tx1"/>
                  </w14:solidFill>
                </w14:textFill>
              </w:rPr>
            </w:pPr>
          </w:p>
        </w:tc>
        <w:tc>
          <w:tcPr>
            <w:tcW w:w="1255" w:type="dxa"/>
            <w:tcBorders>
              <w:top w:val="single" w:color="auto" w:sz="4" w:space="0"/>
              <w:left w:val="single" w:color="auto" w:sz="4" w:space="0"/>
              <w:bottom w:val="single" w:color="auto" w:sz="4" w:space="0"/>
              <w:right w:val="single" w:color="auto" w:sz="4" w:space="0"/>
            </w:tcBorders>
          </w:tcPr>
          <w:p>
            <w:pPr>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p>
        </w:tc>
        <w:tc>
          <w:tcPr>
            <w:tcW w:w="1013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对同一招标项目出现两个或以上的投标报价，且没有申明哪个有效；</w:t>
            </w:r>
          </w:p>
        </w:tc>
        <w:tc>
          <w:tcPr>
            <w:tcW w:w="1317" w:type="dxa"/>
            <w:tcBorders>
              <w:top w:val="single" w:color="auto" w:sz="4" w:space="0"/>
              <w:left w:val="single" w:color="auto" w:sz="4" w:space="0"/>
              <w:bottom w:val="single" w:color="auto" w:sz="4" w:space="0"/>
              <w:right w:val="single" w:color="auto" w:sz="4" w:space="0"/>
            </w:tcBorders>
          </w:tcPr>
          <w:p>
            <w:pPr>
              <w:rPr>
                <w:rFonts w:hint="eastAsia" w:ascii="宋体" w:hAnsi="宋体"/>
                <w:color w:val="000000" w:themeColor="text1"/>
                <w:szCs w:val="21"/>
                <w14:textFill>
                  <w14:solidFill>
                    <w14:schemeClr w14:val="tx1"/>
                  </w14:solidFill>
                </w14:textFill>
              </w:rPr>
            </w:pPr>
          </w:p>
        </w:tc>
        <w:tc>
          <w:tcPr>
            <w:tcW w:w="1362" w:type="dxa"/>
            <w:tcBorders>
              <w:top w:val="single" w:color="auto" w:sz="4" w:space="0"/>
              <w:left w:val="single" w:color="auto" w:sz="4" w:space="0"/>
              <w:bottom w:val="single" w:color="auto" w:sz="4" w:space="0"/>
              <w:right w:val="single" w:color="auto" w:sz="4" w:space="0"/>
            </w:tcBorders>
          </w:tcPr>
          <w:p>
            <w:pPr>
              <w:rPr>
                <w:rFonts w:hint="eastAsia" w:ascii="宋体" w:hAnsi="宋体"/>
                <w:color w:val="000000" w:themeColor="text1"/>
                <w:szCs w:val="21"/>
                <w14:textFill>
                  <w14:solidFill>
                    <w14:schemeClr w14:val="tx1"/>
                  </w14:solidFill>
                </w14:textFill>
              </w:rPr>
            </w:pPr>
          </w:p>
        </w:tc>
        <w:tc>
          <w:tcPr>
            <w:tcW w:w="1255" w:type="dxa"/>
            <w:tcBorders>
              <w:top w:val="single" w:color="auto" w:sz="4" w:space="0"/>
              <w:left w:val="single" w:color="auto" w:sz="4" w:space="0"/>
              <w:bottom w:val="single" w:color="auto" w:sz="4" w:space="0"/>
              <w:right w:val="single" w:color="auto" w:sz="4" w:space="0"/>
            </w:tcBorders>
          </w:tcPr>
          <w:p>
            <w:pPr>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p>
        </w:tc>
        <w:tc>
          <w:tcPr>
            <w:tcW w:w="1013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投标报价高于最高投标限价的</w:t>
            </w:r>
            <w:r>
              <w:rPr>
                <w:rFonts w:hint="eastAsia" w:ascii="宋体" w:hAnsi="宋体"/>
                <w:color w:val="000000" w:themeColor="text1"/>
                <w:szCs w:val="21"/>
                <w:u w:val="none"/>
                <w:lang w:eastAsia="zh-CN"/>
                <w14:textFill>
                  <w14:solidFill>
                    <w14:schemeClr w14:val="tx1"/>
                  </w14:solidFill>
                </w14:textFill>
              </w:rPr>
              <w:t>；</w:t>
            </w:r>
          </w:p>
        </w:tc>
        <w:tc>
          <w:tcPr>
            <w:tcW w:w="1317" w:type="dxa"/>
            <w:tcBorders>
              <w:top w:val="single" w:color="auto" w:sz="4" w:space="0"/>
              <w:left w:val="single" w:color="auto" w:sz="4" w:space="0"/>
              <w:bottom w:val="single" w:color="auto" w:sz="4" w:space="0"/>
              <w:right w:val="single" w:color="auto" w:sz="4" w:space="0"/>
            </w:tcBorders>
          </w:tcPr>
          <w:p>
            <w:pPr>
              <w:rPr>
                <w:rFonts w:hint="eastAsia" w:ascii="宋体" w:hAnsi="宋体"/>
                <w:color w:val="000000" w:themeColor="text1"/>
                <w:szCs w:val="21"/>
                <w14:textFill>
                  <w14:solidFill>
                    <w14:schemeClr w14:val="tx1"/>
                  </w14:solidFill>
                </w14:textFill>
              </w:rPr>
            </w:pPr>
          </w:p>
        </w:tc>
        <w:tc>
          <w:tcPr>
            <w:tcW w:w="1362" w:type="dxa"/>
            <w:tcBorders>
              <w:top w:val="single" w:color="auto" w:sz="4" w:space="0"/>
              <w:left w:val="single" w:color="auto" w:sz="4" w:space="0"/>
              <w:bottom w:val="single" w:color="auto" w:sz="4" w:space="0"/>
              <w:right w:val="single" w:color="auto" w:sz="4" w:space="0"/>
            </w:tcBorders>
          </w:tcPr>
          <w:p>
            <w:pPr>
              <w:rPr>
                <w:rFonts w:hint="eastAsia" w:ascii="宋体" w:hAnsi="宋体"/>
                <w:color w:val="000000" w:themeColor="text1"/>
                <w:szCs w:val="21"/>
                <w14:textFill>
                  <w14:solidFill>
                    <w14:schemeClr w14:val="tx1"/>
                  </w14:solidFill>
                </w14:textFill>
              </w:rPr>
            </w:pPr>
          </w:p>
        </w:tc>
        <w:tc>
          <w:tcPr>
            <w:tcW w:w="1255" w:type="dxa"/>
            <w:tcBorders>
              <w:top w:val="single" w:color="auto" w:sz="4" w:space="0"/>
              <w:left w:val="single" w:color="auto" w:sz="4" w:space="0"/>
              <w:bottom w:val="single" w:color="auto" w:sz="4" w:space="0"/>
              <w:right w:val="single" w:color="auto" w:sz="4" w:space="0"/>
            </w:tcBorders>
          </w:tcPr>
          <w:p>
            <w:pPr>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w:t>
            </w:r>
          </w:p>
        </w:tc>
        <w:tc>
          <w:tcPr>
            <w:tcW w:w="1013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left="-2" w:leftChars="-1"/>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投标报价低于成本的；</w:t>
            </w:r>
          </w:p>
        </w:tc>
        <w:tc>
          <w:tcPr>
            <w:tcW w:w="1317" w:type="dxa"/>
            <w:tcBorders>
              <w:top w:val="single" w:color="auto" w:sz="4" w:space="0"/>
              <w:left w:val="single" w:color="auto" w:sz="4" w:space="0"/>
              <w:bottom w:val="single" w:color="auto" w:sz="4" w:space="0"/>
              <w:right w:val="single" w:color="auto" w:sz="4" w:space="0"/>
            </w:tcBorders>
          </w:tcPr>
          <w:p>
            <w:pPr>
              <w:rPr>
                <w:rFonts w:hint="eastAsia" w:ascii="宋体" w:hAnsi="宋体"/>
                <w:color w:val="000000" w:themeColor="text1"/>
                <w:szCs w:val="21"/>
                <w14:textFill>
                  <w14:solidFill>
                    <w14:schemeClr w14:val="tx1"/>
                  </w14:solidFill>
                </w14:textFill>
              </w:rPr>
            </w:pPr>
          </w:p>
        </w:tc>
        <w:tc>
          <w:tcPr>
            <w:tcW w:w="1362" w:type="dxa"/>
            <w:tcBorders>
              <w:top w:val="single" w:color="auto" w:sz="4" w:space="0"/>
              <w:left w:val="single" w:color="auto" w:sz="4" w:space="0"/>
              <w:bottom w:val="single" w:color="auto" w:sz="4" w:space="0"/>
              <w:right w:val="single" w:color="auto" w:sz="4" w:space="0"/>
            </w:tcBorders>
          </w:tcPr>
          <w:p>
            <w:pPr>
              <w:rPr>
                <w:rFonts w:hint="eastAsia" w:ascii="宋体" w:hAnsi="宋体"/>
                <w:color w:val="000000" w:themeColor="text1"/>
                <w:szCs w:val="21"/>
                <w14:textFill>
                  <w14:solidFill>
                    <w14:schemeClr w14:val="tx1"/>
                  </w14:solidFill>
                </w14:textFill>
              </w:rPr>
            </w:pPr>
          </w:p>
        </w:tc>
        <w:tc>
          <w:tcPr>
            <w:tcW w:w="1255" w:type="dxa"/>
            <w:tcBorders>
              <w:top w:val="single" w:color="auto" w:sz="4" w:space="0"/>
              <w:left w:val="single" w:color="auto" w:sz="4" w:space="0"/>
              <w:bottom w:val="single" w:color="auto" w:sz="4" w:space="0"/>
              <w:right w:val="single" w:color="auto" w:sz="4" w:space="0"/>
            </w:tcBorders>
          </w:tcPr>
          <w:p>
            <w:pPr>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1013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投标文件未按规定的格式（第四章投标文件格式中附件二、附件三）填写，或主要内容不全，或关键字迹模糊、无法辨认的；</w:t>
            </w:r>
          </w:p>
        </w:tc>
        <w:tc>
          <w:tcPr>
            <w:tcW w:w="1317" w:type="dxa"/>
            <w:tcBorders>
              <w:top w:val="single" w:color="auto" w:sz="4" w:space="0"/>
              <w:left w:val="single" w:color="auto" w:sz="4" w:space="0"/>
              <w:bottom w:val="single" w:color="auto" w:sz="4" w:space="0"/>
              <w:right w:val="single" w:color="auto" w:sz="4" w:space="0"/>
            </w:tcBorders>
          </w:tcPr>
          <w:p>
            <w:pPr>
              <w:rPr>
                <w:rFonts w:hint="eastAsia" w:ascii="宋体" w:hAnsi="宋体"/>
                <w:color w:val="000000" w:themeColor="text1"/>
                <w:szCs w:val="21"/>
                <w14:textFill>
                  <w14:solidFill>
                    <w14:schemeClr w14:val="tx1"/>
                  </w14:solidFill>
                </w14:textFill>
              </w:rPr>
            </w:pPr>
          </w:p>
        </w:tc>
        <w:tc>
          <w:tcPr>
            <w:tcW w:w="1362" w:type="dxa"/>
            <w:tcBorders>
              <w:top w:val="single" w:color="auto" w:sz="4" w:space="0"/>
              <w:left w:val="single" w:color="auto" w:sz="4" w:space="0"/>
              <w:bottom w:val="single" w:color="auto" w:sz="4" w:space="0"/>
              <w:right w:val="single" w:color="auto" w:sz="4" w:space="0"/>
            </w:tcBorders>
          </w:tcPr>
          <w:p>
            <w:pPr>
              <w:rPr>
                <w:rFonts w:hint="eastAsia" w:ascii="宋体" w:hAnsi="宋体"/>
                <w:color w:val="000000" w:themeColor="text1"/>
                <w:szCs w:val="21"/>
                <w14:textFill>
                  <w14:solidFill>
                    <w14:schemeClr w14:val="tx1"/>
                  </w14:solidFill>
                </w14:textFill>
              </w:rPr>
            </w:pPr>
          </w:p>
        </w:tc>
        <w:tc>
          <w:tcPr>
            <w:tcW w:w="1255" w:type="dxa"/>
            <w:tcBorders>
              <w:top w:val="single" w:color="auto" w:sz="4" w:space="0"/>
              <w:left w:val="single" w:color="auto" w:sz="4" w:space="0"/>
              <w:bottom w:val="single" w:color="auto" w:sz="4" w:space="0"/>
              <w:right w:val="single" w:color="auto" w:sz="4" w:space="0"/>
            </w:tcBorders>
          </w:tcPr>
          <w:p>
            <w:pPr>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c>
          <w:tcPr>
            <w:tcW w:w="1013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投标人之间存在《广东省实施&lt;中华人民共和国招标投标法&gt;》第十六条所禁止的情形的；</w:t>
            </w:r>
          </w:p>
        </w:tc>
        <w:tc>
          <w:tcPr>
            <w:tcW w:w="1317" w:type="dxa"/>
            <w:tcBorders>
              <w:top w:val="single" w:color="auto" w:sz="4" w:space="0"/>
              <w:left w:val="single" w:color="auto" w:sz="4" w:space="0"/>
              <w:bottom w:val="single" w:color="auto" w:sz="4" w:space="0"/>
              <w:right w:val="single" w:color="auto" w:sz="4" w:space="0"/>
            </w:tcBorders>
          </w:tcPr>
          <w:p>
            <w:pPr>
              <w:rPr>
                <w:rFonts w:hint="eastAsia" w:ascii="宋体" w:hAnsi="宋体"/>
                <w:color w:val="000000" w:themeColor="text1"/>
                <w:szCs w:val="21"/>
                <w14:textFill>
                  <w14:solidFill>
                    <w14:schemeClr w14:val="tx1"/>
                  </w14:solidFill>
                </w14:textFill>
              </w:rPr>
            </w:pPr>
          </w:p>
        </w:tc>
        <w:tc>
          <w:tcPr>
            <w:tcW w:w="1362" w:type="dxa"/>
            <w:tcBorders>
              <w:top w:val="single" w:color="auto" w:sz="4" w:space="0"/>
              <w:left w:val="single" w:color="auto" w:sz="4" w:space="0"/>
              <w:bottom w:val="single" w:color="auto" w:sz="4" w:space="0"/>
              <w:right w:val="single" w:color="auto" w:sz="4" w:space="0"/>
            </w:tcBorders>
          </w:tcPr>
          <w:p>
            <w:pPr>
              <w:rPr>
                <w:rFonts w:hint="eastAsia" w:ascii="宋体" w:hAnsi="宋体"/>
                <w:color w:val="000000" w:themeColor="text1"/>
                <w:szCs w:val="21"/>
                <w14:textFill>
                  <w14:solidFill>
                    <w14:schemeClr w14:val="tx1"/>
                  </w14:solidFill>
                </w14:textFill>
              </w:rPr>
            </w:pPr>
          </w:p>
        </w:tc>
        <w:tc>
          <w:tcPr>
            <w:tcW w:w="1255" w:type="dxa"/>
            <w:tcBorders>
              <w:top w:val="single" w:color="auto" w:sz="4" w:space="0"/>
              <w:left w:val="single" w:color="auto" w:sz="4" w:space="0"/>
              <w:bottom w:val="single" w:color="auto" w:sz="4" w:space="0"/>
              <w:right w:val="single" w:color="auto" w:sz="4" w:space="0"/>
            </w:tcBorders>
          </w:tcPr>
          <w:p>
            <w:pPr>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p>
        </w:tc>
        <w:tc>
          <w:tcPr>
            <w:tcW w:w="1013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无《参与编制经济标投标文件人员名单》的；</w:t>
            </w:r>
          </w:p>
        </w:tc>
        <w:tc>
          <w:tcPr>
            <w:tcW w:w="1317" w:type="dxa"/>
            <w:tcBorders>
              <w:top w:val="single" w:color="auto" w:sz="4" w:space="0"/>
              <w:left w:val="single" w:color="auto" w:sz="4" w:space="0"/>
              <w:bottom w:val="single" w:color="auto" w:sz="4" w:space="0"/>
              <w:right w:val="single" w:color="auto" w:sz="4" w:space="0"/>
            </w:tcBorders>
          </w:tcPr>
          <w:p>
            <w:pPr>
              <w:rPr>
                <w:rFonts w:hint="eastAsia" w:ascii="宋体" w:hAnsi="宋体"/>
                <w:color w:val="000000" w:themeColor="text1"/>
                <w:szCs w:val="21"/>
                <w14:textFill>
                  <w14:solidFill>
                    <w14:schemeClr w14:val="tx1"/>
                  </w14:solidFill>
                </w14:textFill>
              </w:rPr>
            </w:pPr>
          </w:p>
        </w:tc>
        <w:tc>
          <w:tcPr>
            <w:tcW w:w="1362" w:type="dxa"/>
            <w:tcBorders>
              <w:top w:val="single" w:color="auto" w:sz="4" w:space="0"/>
              <w:left w:val="single" w:color="auto" w:sz="4" w:space="0"/>
              <w:bottom w:val="single" w:color="auto" w:sz="4" w:space="0"/>
              <w:right w:val="single" w:color="auto" w:sz="4" w:space="0"/>
            </w:tcBorders>
          </w:tcPr>
          <w:p>
            <w:pPr>
              <w:rPr>
                <w:rFonts w:hint="eastAsia" w:ascii="宋体" w:hAnsi="宋体"/>
                <w:color w:val="000000" w:themeColor="text1"/>
                <w:szCs w:val="21"/>
                <w14:textFill>
                  <w14:solidFill>
                    <w14:schemeClr w14:val="tx1"/>
                  </w14:solidFill>
                </w14:textFill>
              </w:rPr>
            </w:pPr>
          </w:p>
        </w:tc>
        <w:tc>
          <w:tcPr>
            <w:tcW w:w="1255" w:type="dxa"/>
            <w:tcBorders>
              <w:top w:val="single" w:color="auto" w:sz="4" w:space="0"/>
              <w:left w:val="single" w:color="auto" w:sz="4" w:space="0"/>
              <w:bottom w:val="single" w:color="auto" w:sz="4" w:space="0"/>
              <w:right w:val="single" w:color="auto" w:sz="4" w:space="0"/>
            </w:tcBorders>
          </w:tcPr>
          <w:p>
            <w:pPr>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w:t>
            </w:r>
          </w:p>
        </w:tc>
        <w:tc>
          <w:tcPr>
            <w:tcW w:w="1013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无《对投标文件编制的承诺》；</w:t>
            </w:r>
          </w:p>
        </w:tc>
        <w:tc>
          <w:tcPr>
            <w:tcW w:w="1317" w:type="dxa"/>
            <w:tcBorders>
              <w:top w:val="single" w:color="auto" w:sz="4" w:space="0"/>
              <w:left w:val="single" w:color="auto" w:sz="4" w:space="0"/>
              <w:bottom w:val="single" w:color="auto" w:sz="4" w:space="0"/>
              <w:right w:val="single" w:color="auto" w:sz="4" w:space="0"/>
            </w:tcBorders>
          </w:tcPr>
          <w:p>
            <w:pPr>
              <w:rPr>
                <w:rFonts w:hint="eastAsia" w:ascii="宋体" w:hAnsi="宋体"/>
                <w:color w:val="000000" w:themeColor="text1"/>
                <w:szCs w:val="21"/>
                <w14:textFill>
                  <w14:solidFill>
                    <w14:schemeClr w14:val="tx1"/>
                  </w14:solidFill>
                </w14:textFill>
              </w:rPr>
            </w:pPr>
          </w:p>
        </w:tc>
        <w:tc>
          <w:tcPr>
            <w:tcW w:w="1362" w:type="dxa"/>
            <w:tcBorders>
              <w:top w:val="single" w:color="auto" w:sz="4" w:space="0"/>
              <w:left w:val="single" w:color="auto" w:sz="4" w:space="0"/>
              <w:bottom w:val="single" w:color="auto" w:sz="4" w:space="0"/>
              <w:right w:val="single" w:color="auto" w:sz="4" w:space="0"/>
            </w:tcBorders>
          </w:tcPr>
          <w:p>
            <w:pPr>
              <w:rPr>
                <w:rFonts w:hint="eastAsia" w:ascii="宋体" w:hAnsi="宋体"/>
                <w:color w:val="000000" w:themeColor="text1"/>
                <w:szCs w:val="21"/>
                <w14:textFill>
                  <w14:solidFill>
                    <w14:schemeClr w14:val="tx1"/>
                  </w14:solidFill>
                </w14:textFill>
              </w:rPr>
            </w:pPr>
          </w:p>
        </w:tc>
        <w:tc>
          <w:tcPr>
            <w:tcW w:w="1255" w:type="dxa"/>
            <w:tcBorders>
              <w:top w:val="single" w:color="auto" w:sz="4" w:space="0"/>
              <w:left w:val="single" w:color="auto" w:sz="4" w:space="0"/>
              <w:bottom w:val="single" w:color="auto" w:sz="4" w:space="0"/>
              <w:right w:val="single" w:color="auto" w:sz="4" w:space="0"/>
            </w:tcBorders>
          </w:tcPr>
          <w:p>
            <w:pPr>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w:t>
            </w:r>
          </w:p>
        </w:tc>
        <w:tc>
          <w:tcPr>
            <w:tcW w:w="1013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bookmarkStart w:id="112" w:name="_GoBack"/>
            <w:r>
              <w:rPr>
                <w:rFonts w:hint="eastAsia" w:ascii="宋体" w:hAnsi="宋体"/>
                <w:color w:val="000000"/>
                <w:szCs w:val="21"/>
              </w:rPr>
              <w:t>算术复核后的投标报价与原投标报价相比存在</w:t>
            </w:r>
            <w:r>
              <w:rPr>
                <w:rFonts w:ascii="宋体" w:hAnsi="宋体"/>
                <w:color w:val="000000"/>
                <w:szCs w:val="21"/>
              </w:rPr>
              <w:t>1%</w:t>
            </w:r>
            <w:r>
              <w:rPr>
                <w:rFonts w:hint="eastAsia" w:ascii="宋体" w:hAnsi="宋体"/>
                <w:color w:val="000000"/>
                <w:szCs w:val="21"/>
              </w:rPr>
              <w:t>或以上误差的</w:t>
            </w:r>
            <w:bookmarkEnd w:id="112"/>
          </w:p>
        </w:tc>
        <w:tc>
          <w:tcPr>
            <w:tcW w:w="1317" w:type="dxa"/>
            <w:tcBorders>
              <w:top w:val="single" w:color="auto" w:sz="4" w:space="0"/>
              <w:left w:val="single" w:color="auto" w:sz="4" w:space="0"/>
              <w:bottom w:val="single" w:color="auto" w:sz="4" w:space="0"/>
              <w:right w:val="single" w:color="auto" w:sz="4" w:space="0"/>
            </w:tcBorders>
          </w:tcPr>
          <w:p>
            <w:pPr>
              <w:rPr>
                <w:rFonts w:hint="eastAsia" w:ascii="宋体" w:hAnsi="宋体"/>
                <w:color w:val="000000" w:themeColor="text1"/>
                <w:szCs w:val="21"/>
                <w14:textFill>
                  <w14:solidFill>
                    <w14:schemeClr w14:val="tx1"/>
                  </w14:solidFill>
                </w14:textFill>
              </w:rPr>
            </w:pPr>
          </w:p>
        </w:tc>
        <w:tc>
          <w:tcPr>
            <w:tcW w:w="1362" w:type="dxa"/>
            <w:tcBorders>
              <w:top w:val="single" w:color="auto" w:sz="4" w:space="0"/>
              <w:left w:val="single" w:color="auto" w:sz="4" w:space="0"/>
              <w:bottom w:val="single" w:color="auto" w:sz="4" w:space="0"/>
              <w:right w:val="single" w:color="auto" w:sz="4" w:space="0"/>
            </w:tcBorders>
          </w:tcPr>
          <w:p>
            <w:pPr>
              <w:rPr>
                <w:rFonts w:hint="eastAsia" w:ascii="宋体" w:hAnsi="宋体"/>
                <w:color w:val="000000" w:themeColor="text1"/>
                <w:szCs w:val="21"/>
                <w14:textFill>
                  <w14:solidFill>
                    <w14:schemeClr w14:val="tx1"/>
                  </w14:solidFill>
                </w14:textFill>
              </w:rPr>
            </w:pPr>
          </w:p>
        </w:tc>
        <w:tc>
          <w:tcPr>
            <w:tcW w:w="1255" w:type="dxa"/>
            <w:tcBorders>
              <w:top w:val="single" w:color="auto" w:sz="4" w:space="0"/>
              <w:left w:val="single" w:color="auto" w:sz="4" w:space="0"/>
              <w:bottom w:val="single" w:color="auto" w:sz="4" w:space="0"/>
              <w:right w:val="single" w:color="auto" w:sz="4" w:space="0"/>
            </w:tcBorders>
          </w:tcPr>
          <w:p>
            <w:pPr>
              <w:rPr>
                <w:rFonts w:hint="eastAsia" w:ascii="宋体" w:hAnsi="宋体"/>
                <w:color w:val="000000" w:themeColor="text1"/>
                <w:szCs w:val="21"/>
                <w14:textFill>
                  <w14:solidFill>
                    <w14:schemeClr w14:val="tx1"/>
                  </w14:solidFill>
                </w14:textFill>
              </w:rPr>
            </w:pPr>
          </w:p>
        </w:tc>
      </w:tr>
    </w:tbl>
    <w:p>
      <w:pPr>
        <w:ind w:firstLine="458"/>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注：1.本表使用GZZB2018-3招标文件范本，与范本内容不同之处均以下划线标明。</w:t>
      </w:r>
    </w:p>
    <w:p>
      <w:pPr>
        <w:ind w:firstLine="458"/>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2.凡出现以上任何一项情形，结论均为无效，否则就为有效。</w:t>
      </w:r>
    </w:p>
    <w:p>
      <w:pPr>
        <w:ind w:firstLine="458"/>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3.如对本表中某种情形的评审意见不一致时，以评标委员会过半数成员的意见作为评标委员会对该情形的认定结论。</w:t>
      </w:r>
    </w:p>
    <w:p>
      <w:pPr>
        <w:ind w:firstLine="458"/>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pStyle w:val="5"/>
        <w:ind w:firstLine="458"/>
        <w:rPr>
          <w:rFonts w:hint="eastAsia" w:ascii="宋体" w:hAnsi="宋体"/>
          <w:color w:val="000000" w:themeColor="text1"/>
          <w:szCs w:val="21"/>
          <w14:textFill>
            <w14:solidFill>
              <w14:schemeClr w14:val="tx1"/>
            </w14:solidFill>
          </w14:textFill>
        </w:rPr>
        <w:sectPr>
          <w:endnotePr>
            <w:numFmt w:val="decimal"/>
          </w:endnotePr>
          <w:pgSz w:w="16838" w:h="11906" w:orient="landscape"/>
          <w:pgMar w:top="1418" w:right="1247" w:bottom="1418" w:left="1134" w:header="851" w:footer="907" w:gutter="0"/>
          <w:pgNumType w:fmt="decimal"/>
          <w:cols w:space="425" w:num="1"/>
          <w:titlePg/>
          <w:docGrid w:type="lines" w:linePitch="312" w:charSpace="0"/>
        </w:sectPr>
      </w:pPr>
      <w:r>
        <w:rPr>
          <w:rFonts w:hint="eastAsia" w:ascii="宋体" w:hAnsi="宋体"/>
          <w:color w:val="000000" w:themeColor="text1"/>
          <w:szCs w:val="21"/>
          <w14:textFill>
            <w14:solidFill>
              <w14:schemeClr w14:val="tx1"/>
            </w14:solidFill>
          </w14:textFill>
        </w:rPr>
        <w:t>评委签名：</w:t>
      </w:r>
    </w:p>
    <w:p>
      <w:pPr>
        <w:spacing w:line="276" w:lineRule="auto"/>
      </w:pPr>
      <w:r>
        <w:rPr>
          <w:rFonts w:hint="eastAsia"/>
        </w:rPr>
        <w:t>附表四</w:t>
      </w:r>
    </w:p>
    <w:p>
      <w:pPr>
        <w:jc w:val="center"/>
        <w:rPr>
          <w:b/>
          <w:sz w:val="36"/>
          <w:szCs w:val="36"/>
        </w:rPr>
      </w:pPr>
      <w:r>
        <w:rPr>
          <w:rFonts w:hint="eastAsia"/>
          <w:b/>
          <w:sz w:val="36"/>
          <w:szCs w:val="36"/>
        </w:rPr>
        <w:t>第一阶段详细审查评分表</w:t>
      </w:r>
    </w:p>
    <w:p>
      <w:pPr>
        <w:rPr>
          <w:szCs w:val="21"/>
        </w:rPr>
      </w:pPr>
      <w:r>
        <w:rPr>
          <w:rFonts w:hint="eastAsia"/>
          <w:szCs w:val="21"/>
        </w:rPr>
        <w:t>工程名称：</w:t>
      </w:r>
    </w:p>
    <w:tbl>
      <w:tblPr>
        <w:tblStyle w:val="36"/>
        <w:tblW w:w="14921" w:type="dxa"/>
        <w:jc w:val="center"/>
        <w:tblBorders>
          <w:top w:val="single" w:color="000000" w:sz="8" w:space="0"/>
          <w:left w:val="single" w:color="000000" w:sz="8"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28"/>
        <w:gridCol w:w="1160"/>
        <w:gridCol w:w="872"/>
        <w:gridCol w:w="11561"/>
      </w:tblGrid>
      <w:tr>
        <w:tblPrEx>
          <w:tblBorders>
            <w:top w:val="single" w:color="000000" w:sz="8" w:space="0"/>
            <w:left w:val="single" w:color="000000" w:sz="8"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blHeader/>
          <w:jc w:val="center"/>
        </w:trPr>
        <w:tc>
          <w:tcPr>
            <w:tcW w:w="1328" w:type="dxa"/>
            <w:tcBorders>
              <w:top w:val="single" w:color="000000" w:sz="8" w:space="0"/>
              <w:left w:val="single" w:color="000000" w:sz="8" w:space="0"/>
              <w:bottom w:val="single" w:color="000000" w:sz="4" w:space="0"/>
              <w:right w:val="single" w:color="000000" w:sz="4" w:space="0"/>
            </w:tcBorders>
            <w:vAlign w:val="center"/>
          </w:tcPr>
          <w:p>
            <w:pPr>
              <w:adjustRightInd w:val="0"/>
              <w:snapToGrid w:val="0"/>
              <w:jc w:val="center"/>
              <w:rPr>
                <w:rStyle w:val="112"/>
                <w:b/>
                <w:bCs/>
                <w:szCs w:val="21"/>
              </w:rPr>
            </w:pPr>
            <w:r>
              <w:rPr>
                <w:rStyle w:val="112"/>
                <w:rFonts w:hint="eastAsia"/>
                <w:b/>
                <w:bCs/>
                <w:szCs w:val="21"/>
              </w:rPr>
              <w:t>评分项目</w:t>
            </w:r>
          </w:p>
        </w:tc>
        <w:tc>
          <w:tcPr>
            <w:tcW w:w="1160" w:type="dxa"/>
            <w:tcBorders>
              <w:top w:val="single" w:color="000000" w:sz="8" w:space="0"/>
              <w:left w:val="single" w:color="000000" w:sz="4" w:space="0"/>
              <w:bottom w:val="single" w:color="000000" w:sz="4" w:space="0"/>
              <w:right w:val="single" w:color="000000" w:sz="4" w:space="0"/>
            </w:tcBorders>
            <w:vAlign w:val="center"/>
          </w:tcPr>
          <w:p>
            <w:pPr>
              <w:adjustRightInd w:val="0"/>
              <w:snapToGrid w:val="0"/>
              <w:jc w:val="center"/>
              <w:rPr>
                <w:rStyle w:val="112"/>
                <w:b/>
                <w:bCs/>
                <w:szCs w:val="21"/>
              </w:rPr>
            </w:pPr>
            <w:r>
              <w:rPr>
                <w:rStyle w:val="112"/>
                <w:rFonts w:hint="eastAsia"/>
                <w:b/>
                <w:bCs/>
                <w:szCs w:val="21"/>
              </w:rPr>
              <w:t>评分内容</w:t>
            </w:r>
          </w:p>
        </w:tc>
        <w:tc>
          <w:tcPr>
            <w:tcW w:w="872" w:type="dxa"/>
            <w:tcBorders>
              <w:top w:val="single" w:color="000000" w:sz="8" w:space="0"/>
              <w:left w:val="single" w:color="000000" w:sz="4" w:space="0"/>
              <w:bottom w:val="single" w:color="000000" w:sz="4" w:space="0"/>
              <w:right w:val="single" w:color="000000" w:sz="4" w:space="0"/>
            </w:tcBorders>
            <w:vAlign w:val="center"/>
          </w:tcPr>
          <w:p>
            <w:pPr>
              <w:adjustRightInd w:val="0"/>
              <w:snapToGrid w:val="0"/>
              <w:jc w:val="center"/>
              <w:rPr>
                <w:rStyle w:val="112"/>
                <w:b/>
                <w:bCs/>
                <w:szCs w:val="21"/>
              </w:rPr>
            </w:pPr>
            <w:r>
              <w:rPr>
                <w:rStyle w:val="112"/>
                <w:rFonts w:hint="eastAsia"/>
                <w:b/>
                <w:bCs/>
                <w:szCs w:val="21"/>
              </w:rPr>
              <w:t>分值</w:t>
            </w:r>
          </w:p>
        </w:tc>
        <w:tc>
          <w:tcPr>
            <w:tcW w:w="11561" w:type="dxa"/>
            <w:tcBorders>
              <w:top w:val="single" w:color="000000" w:sz="8" w:space="0"/>
              <w:left w:val="single" w:color="000000" w:sz="4" w:space="0"/>
              <w:bottom w:val="single" w:color="000000" w:sz="4" w:space="0"/>
              <w:right w:val="single" w:color="000000" w:sz="4" w:space="0"/>
            </w:tcBorders>
            <w:vAlign w:val="center"/>
          </w:tcPr>
          <w:p>
            <w:pPr>
              <w:adjustRightInd w:val="0"/>
              <w:snapToGrid w:val="0"/>
              <w:jc w:val="center"/>
              <w:rPr>
                <w:rStyle w:val="112"/>
                <w:b/>
                <w:bCs/>
                <w:szCs w:val="21"/>
              </w:rPr>
            </w:pPr>
            <w:r>
              <w:rPr>
                <w:rStyle w:val="112"/>
                <w:rFonts w:hint="eastAsia"/>
                <w:b/>
                <w:bCs/>
                <w:szCs w:val="21"/>
              </w:rPr>
              <w:t>评审标准</w:t>
            </w:r>
          </w:p>
        </w:tc>
      </w:tr>
      <w:tr>
        <w:tblPrEx>
          <w:tblBorders>
            <w:top w:val="single" w:color="000000" w:sz="8" w:space="0"/>
            <w:left w:val="single" w:color="000000" w:sz="8"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058" w:hRule="atLeast"/>
          <w:jc w:val="center"/>
        </w:trPr>
        <w:tc>
          <w:tcPr>
            <w:tcW w:w="1328" w:type="dxa"/>
            <w:tcBorders>
              <w:left w:val="single" w:color="000000" w:sz="8" w:space="0"/>
              <w:right w:val="single" w:color="000000" w:sz="4" w:space="0"/>
            </w:tcBorders>
            <w:vAlign w:val="center"/>
          </w:tcPr>
          <w:p>
            <w:pPr>
              <w:adjustRightInd w:val="0"/>
              <w:snapToGrid w:val="0"/>
              <w:jc w:val="center"/>
              <w:rPr>
                <w:rStyle w:val="112"/>
                <w:szCs w:val="21"/>
              </w:rPr>
            </w:pPr>
            <w:r>
              <w:rPr>
                <w:rStyle w:val="112"/>
                <w:rFonts w:hint="eastAsia"/>
                <w:szCs w:val="21"/>
              </w:rPr>
              <w:t>一、团队答辩(</w:t>
            </w:r>
            <w:r>
              <w:rPr>
                <w:rStyle w:val="112"/>
                <w:rFonts w:hint="eastAsia"/>
                <w:szCs w:val="21"/>
                <w:lang w:val="en-US"/>
              </w:rPr>
              <w:t>20</w:t>
            </w:r>
            <w:r>
              <w:rPr>
                <w:rStyle w:val="112"/>
                <w:rFonts w:hint="eastAsia"/>
                <w:szCs w:val="21"/>
              </w:rPr>
              <w:t>分)</w:t>
            </w:r>
          </w:p>
        </w:tc>
        <w:tc>
          <w:tcPr>
            <w:tcW w:w="1160" w:type="dxa"/>
            <w:tcBorders>
              <w:top w:val="single" w:color="000000" w:sz="4" w:space="0"/>
              <w:left w:val="single" w:color="000000" w:sz="4" w:space="0"/>
              <w:right w:val="single" w:color="000000" w:sz="4" w:space="0"/>
            </w:tcBorders>
            <w:vAlign w:val="center"/>
          </w:tcPr>
          <w:p>
            <w:pPr>
              <w:spacing w:line="276" w:lineRule="auto"/>
              <w:jc w:val="center"/>
              <w:rPr>
                <w:rFonts w:hint="eastAsia" w:ascii="宋体" w:hAnsi="宋体" w:cs="宋体"/>
                <w:szCs w:val="21"/>
              </w:rPr>
            </w:pPr>
            <w:r>
              <w:rPr>
                <w:rFonts w:hint="eastAsia" w:ascii="宋体" w:hAnsi="宋体" w:cs="宋体"/>
                <w:szCs w:val="21"/>
              </w:rPr>
              <w:t>1、管理团队陈述；</w:t>
            </w:r>
          </w:p>
          <w:p>
            <w:pPr>
              <w:spacing w:line="276" w:lineRule="auto"/>
              <w:jc w:val="center"/>
              <w:rPr>
                <w:rFonts w:hint="eastAsia" w:ascii="宋体" w:hAnsi="宋体" w:cs="宋体"/>
                <w:szCs w:val="21"/>
              </w:rPr>
            </w:pPr>
            <w:r>
              <w:rPr>
                <w:rFonts w:hint="eastAsia" w:ascii="宋体" w:hAnsi="宋体" w:cs="宋体"/>
                <w:szCs w:val="21"/>
              </w:rPr>
              <w:t>2、评委针对其陈述内容及方案所提的相关问题</w:t>
            </w:r>
          </w:p>
        </w:tc>
        <w:tc>
          <w:tcPr>
            <w:tcW w:w="872" w:type="dxa"/>
            <w:tcBorders>
              <w:top w:val="single" w:color="000000" w:sz="4" w:space="0"/>
              <w:left w:val="single" w:color="000000" w:sz="4" w:space="0"/>
              <w:right w:val="single" w:color="000000" w:sz="4" w:space="0"/>
            </w:tcBorders>
            <w:vAlign w:val="center"/>
          </w:tcPr>
          <w:p>
            <w:pPr>
              <w:adjustRightInd w:val="0"/>
              <w:snapToGrid w:val="0"/>
              <w:spacing w:line="276" w:lineRule="auto"/>
              <w:jc w:val="center"/>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0</w:t>
            </w:r>
          </w:p>
        </w:tc>
        <w:tc>
          <w:tcPr>
            <w:tcW w:w="11561" w:type="dxa"/>
            <w:tcBorders>
              <w:top w:val="single" w:color="000000" w:sz="4" w:space="0"/>
              <w:left w:val="single" w:color="000000" w:sz="4" w:space="0"/>
              <w:right w:val="single" w:color="000000" w:sz="4" w:space="0"/>
            </w:tcBorders>
            <w:vAlign w:val="center"/>
          </w:tcPr>
          <w:p>
            <w:pPr>
              <w:spacing w:line="276" w:lineRule="auto"/>
            </w:pPr>
            <w:r>
              <w:rPr>
                <w:rFonts w:hint="eastAsia"/>
              </w:rPr>
              <w:t>投标人委派本项目拟投入</w:t>
            </w:r>
            <w:r>
              <w:rPr>
                <w:rFonts w:hint="eastAsia"/>
                <w:b/>
                <w:bCs/>
              </w:rPr>
              <w:t>项目负责人和项目技术负责人</w:t>
            </w:r>
            <w:r>
              <w:rPr>
                <w:rFonts w:hint="eastAsia"/>
              </w:rPr>
              <w:t>为答辩人员进行现场答辩：</w:t>
            </w:r>
          </w:p>
          <w:p>
            <w:pPr>
              <w:spacing w:line="276" w:lineRule="auto"/>
            </w:pPr>
            <w:r>
              <w:rPr>
                <w:rFonts w:hint="eastAsia"/>
              </w:rPr>
              <w:t>1、管理团队陈述：</w:t>
            </w:r>
          </w:p>
          <w:p>
            <w:pPr>
              <w:spacing w:line="276" w:lineRule="auto"/>
            </w:pPr>
            <w:r>
              <w:rPr>
                <w:rFonts w:hint="eastAsia"/>
              </w:rPr>
              <w:t>答辩小组对本项目履约能力与履约水平的介绍，介绍时间不超过</w:t>
            </w:r>
            <w:r>
              <w:t>8</w:t>
            </w:r>
            <w:r>
              <w:rPr>
                <w:rFonts w:hint="eastAsia"/>
              </w:rPr>
              <w:t>分钟；介绍内容包括但不限于：</w:t>
            </w:r>
            <w:r>
              <w:rPr>
                <w:rFonts w:ascii="宋体" w:hAnsi="宋体" w:cs="宋体"/>
                <w:kern w:val="0"/>
                <w:szCs w:val="21"/>
              </w:rPr>
              <w:t>施工组织方案要点</w:t>
            </w:r>
            <w:r>
              <w:rPr>
                <w:rFonts w:hint="eastAsia" w:ascii="宋体" w:hAnsi="宋体" w:cs="宋体"/>
                <w:kern w:val="0"/>
                <w:szCs w:val="21"/>
                <w:lang w:eastAsia="zh-CN"/>
              </w:rPr>
              <w:t>、</w:t>
            </w:r>
            <w:r>
              <w:rPr>
                <w:rFonts w:hint="eastAsia"/>
              </w:rPr>
              <w:t>项目管理人员配备，施工安全、工期及质量管理，对本项目施工重点和难点的分析和应对措施。</w:t>
            </w:r>
          </w:p>
          <w:p>
            <w:pPr>
              <w:spacing w:line="276" w:lineRule="auto"/>
            </w:pPr>
            <w:r>
              <w:rPr>
                <w:rFonts w:hint="eastAsia"/>
              </w:rPr>
              <w:t>2、评委针对其陈述内容及方案所提的相关问题：</w:t>
            </w:r>
          </w:p>
          <w:p>
            <w:pPr>
              <w:spacing w:line="276" w:lineRule="auto"/>
            </w:pPr>
            <w:r>
              <w:rPr>
                <w:rFonts w:hint="eastAsia"/>
              </w:rPr>
              <w:t>答辩小组就本项目接受评标委员会提问并进行回答。</w:t>
            </w:r>
          </w:p>
          <w:p>
            <w:pPr>
              <w:widowControl/>
              <w:spacing w:line="276" w:lineRule="auto"/>
              <w:jc w:val="left"/>
              <w:rPr>
                <w:rFonts w:ascii="宋体" w:hAnsi="宋体" w:cs="宋体"/>
                <w:kern w:val="0"/>
                <w:szCs w:val="21"/>
              </w:rPr>
            </w:pPr>
            <w:r>
              <w:rPr>
                <w:rFonts w:ascii="宋体" w:hAnsi="宋体" w:cs="宋体"/>
                <w:kern w:val="0"/>
                <w:szCs w:val="21"/>
              </w:rPr>
              <w:t>优：【20，13）对施工组织方案认识清晰，对施工的重点、难点认识深刻，人员、设备投入计划对工程进度有保障，对设计工作的配合方案合理可行，施工组织方案对工程质量、工期的保证合理可行；回答评委提问思路清晰、内容准确。</w:t>
            </w:r>
          </w:p>
          <w:p>
            <w:pPr>
              <w:widowControl/>
              <w:spacing w:line="276" w:lineRule="auto"/>
              <w:jc w:val="left"/>
              <w:rPr>
                <w:rFonts w:ascii="宋体" w:hAnsi="宋体" w:cs="宋体"/>
                <w:kern w:val="0"/>
                <w:szCs w:val="21"/>
              </w:rPr>
            </w:pPr>
            <w:r>
              <w:rPr>
                <w:rFonts w:ascii="宋体" w:hAnsi="宋体" w:cs="宋体"/>
                <w:kern w:val="0"/>
                <w:szCs w:val="21"/>
              </w:rPr>
              <w:t>良：【13，6）对施工组织方案认识较清晰，对施工的重点、难点认识到位，人员、设备投入计划对工程进度基本有保障，对设计工作的配合方案基本可行，施工组织方案对工程质量、工期的保证基本合理可行；回答评委提问思路比较清晰、内容基本准确。</w:t>
            </w:r>
          </w:p>
          <w:p>
            <w:pPr>
              <w:widowControl/>
              <w:spacing w:line="276" w:lineRule="auto"/>
              <w:jc w:val="left"/>
              <w:rPr>
                <w:rFonts w:ascii="宋体" w:hAnsi="宋体" w:cs="宋体"/>
                <w:kern w:val="0"/>
                <w:szCs w:val="21"/>
              </w:rPr>
            </w:pPr>
            <w:r>
              <w:rPr>
                <w:rFonts w:ascii="宋体" w:hAnsi="宋体" w:cs="宋体"/>
                <w:kern w:val="0"/>
                <w:szCs w:val="21"/>
              </w:rPr>
              <w:t>中：【6，0）对施工组织方案认识一般；或未能把握施工的重点、难点，</w:t>
            </w:r>
            <w:r>
              <w:rPr>
                <w:rFonts w:ascii="宋体" w:hAnsi="宋体" w:cs="宋体"/>
                <w:kern w:val="0"/>
                <w:szCs w:val="21"/>
                <w:lang w:bidi="ar"/>
              </w:rPr>
              <w:t>或人员、设备投入计划对工程进度保障差；或对设计工作的配合方案可行性较差，施工组织方案对工程质量、工期的保证可行性较差；或回答评委提问思路不清晰、答非所问。</w:t>
            </w:r>
          </w:p>
          <w:p>
            <w:pPr>
              <w:spacing w:line="276" w:lineRule="auto"/>
              <w:rPr>
                <w:lang w:eastAsia="zh-CN"/>
              </w:rPr>
            </w:pPr>
            <w:r>
              <w:rPr>
                <w:rFonts w:ascii="宋体" w:hAnsi="宋体" w:cs="宋体"/>
                <w:kern w:val="0"/>
                <w:szCs w:val="21"/>
              </w:rPr>
              <w:t>差：0项目负责人、技术负责人</w:t>
            </w:r>
            <w:r>
              <w:rPr>
                <w:rFonts w:hint="eastAsia" w:ascii="宋体" w:hAnsi="宋体" w:cs="宋体"/>
                <w:kern w:val="0"/>
                <w:szCs w:val="21"/>
                <w:lang w:val="en-US" w:eastAsia="zh-CN"/>
              </w:rPr>
              <w:t>其中一名或均</w:t>
            </w:r>
            <w:r>
              <w:rPr>
                <w:rFonts w:ascii="宋体" w:hAnsi="宋体" w:cs="宋体"/>
                <w:kern w:val="0"/>
                <w:szCs w:val="21"/>
              </w:rPr>
              <w:t>未参加答辩。</w:t>
            </w:r>
          </w:p>
        </w:tc>
      </w:tr>
      <w:tr>
        <w:tblPrEx>
          <w:tblBorders>
            <w:top w:val="single" w:color="000000" w:sz="8" w:space="0"/>
            <w:left w:val="single" w:color="000000" w:sz="8"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058" w:hRule="atLeast"/>
          <w:jc w:val="center"/>
        </w:trPr>
        <w:tc>
          <w:tcPr>
            <w:tcW w:w="1328" w:type="dxa"/>
            <w:vMerge w:val="restart"/>
            <w:tcBorders>
              <w:left w:val="single" w:color="000000" w:sz="8" w:space="0"/>
              <w:right w:val="single" w:color="000000" w:sz="4" w:space="0"/>
            </w:tcBorders>
            <w:vAlign w:val="center"/>
          </w:tcPr>
          <w:p>
            <w:pPr>
              <w:adjustRightInd w:val="0"/>
              <w:snapToGrid w:val="0"/>
              <w:jc w:val="center"/>
              <w:rPr>
                <w:rStyle w:val="112"/>
                <w:szCs w:val="21"/>
              </w:rPr>
            </w:pPr>
            <w:r>
              <w:rPr>
                <w:rStyle w:val="112"/>
                <w:rFonts w:hint="eastAsia"/>
                <w:szCs w:val="21"/>
              </w:rPr>
              <w:t>二、项目管理机构（项目管理机构所有人员不得互相兼任）</w:t>
            </w:r>
          </w:p>
          <w:p>
            <w:pPr>
              <w:adjustRightInd w:val="0"/>
              <w:snapToGrid w:val="0"/>
              <w:jc w:val="center"/>
              <w:rPr>
                <w:rStyle w:val="112"/>
                <w:szCs w:val="21"/>
              </w:rPr>
            </w:pPr>
            <w:r>
              <w:rPr>
                <w:rStyle w:val="112"/>
                <w:rFonts w:hint="eastAsia"/>
                <w:szCs w:val="21"/>
              </w:rPr>
              <w:t>(</w:t>
            </w:r>
            <w:r>
              <w:rPr>
                <w:rStyle w:val="112"/>
                <w:rFonts w:hint="eastAsia"/>
                <w:szCs w:val="21"/>
                <w:lang w:val="en-US"/>
              </w:rPr>
              <w:t>8</w:t>
            </w:r>
            <w:r>
              <w:rPr>
                <w:rStyle w:val="112"/>
                <w:rFonts w:hint="eastAsia"/>
                <w:szCs w:val="21"/>
              </w:rPr>
              <w:t>0分)</w:t>
            </w:r>
          </w:p>
        </w:tc>
        <w:tc>
          <w:tcPr>
            <w:tcW w:w="1160" w:type="dxa"/>
            <w:vMerge w:val="restart"/>
            <w:tcBorders>
              <w:top w:val="single" w:color="000000" w:sz="4" w:space="0"/>
              <w:left w:val="single" w:color="000000" w:sz="4" w:space="0"/>
              <w:right w:val="single" w:color="000000" w:sz="4" w:space="0"/>
            </w:tcBorders>
            <w:vAlign w:val="center"/>
          </w:tcPr>
          <w:p>
            <w:pPr>
              <w:spacing w:line="276" w:lineRule="auto"/>
              <w:jc w:val="center"/>
              <w:rPr>
                <w:rFonts w:hint="eastAsia" w:ascii="宋体" w:hAnsi="宋体"/>
                <w:bCs/>
                <w:szCs w:val="21"/>
              </w:rPr>
            </w:pPr>
            <w:r>
              <w:rPr>
                <w:rFonts w:hint="eastAsia" w:ascii="宋体" w:hAnsi="宋体" w:cs="宋体"/>
                <w:szCs w:val="21"/>
              </w:rPr>
              <w:t>项目负责人</w:t>
            </w:r>
          </w:p>
        </w:tc>
        <w:tc>
          <w:tcPr>
            <w:tcW w:w="872" w:type="dxa"/>
            <w:tcBorders>
              <w:top w:val="single" w:color="000000" w:sz="4" w:space="0"/>
              <w:left w:val="single" w:color="000000" w:sz="4" w:space="0"/>
              <w:right w:val="single" w:color="000000" w:sz="4" w:space="0"/>
            </w:tcBorders>
            <w:vAlign w:val="center"/>
          </w:tcPr>
          <w:p>
            <w:pPr>
              <w:adjustRightInd w:val="0"/>
              <w:snapToGrid w:val="0"/>
              <w:spacing w:line="276" w:lineRule="auto"/>
              <w:jc w:val="center"/>
              <w:rPr>
                <w:rFonts w:hint="default" w:ascii="宋体" w:hAnsi="宋体" w:eastAsia="宋体"/>
                <w:b/>
                <w:szCs w:val="21"/>
                <w:lang w:val="en-US" w:eastAsia="zh-CN"/>
              </w:rPr>
            </w:pPr>
            <w:r>
              <w:rPr>
                <w:rFonts w:hint="eastAsia" w:ascii="宋体" w:hAnsi="宋体" w:cs="宋体"/>
                <w:szCs w:val="21"/>
                <w:lang w:val="en-US" w:eastAsia="zh-CN"/>
              </w:rPr>
              <w:t>15</w:t>
            </w:r>
          </w:p>
        </w:tc>
        <w:tc>
          <w:tcPr>
            <w:tcW w:w="11561" w:type="dxa"/>
            <w:tcBorders>
              <w:top w:val="single" w:color="000000" w:sz="4" w:space="0"/>
              <w:left w:val="single" w:color="000000" w:sz="4" w:space="0"/>
              <w:right w:val="single" w:color="000000" w:sz="4" w:space="0"/>
            </w:tcBorders>
            <w:vAlign w:val="center"/>
          </w:tcPr>
          <w:p>
            <w:pPr>
              <w:spacing w:line="276" w:lineRule="auto"/>
            </w:pPr>
            <w:r>
              <w:rPr>
                <w:rFonts w:hint="eastAsia"/>
              </w:rPr>
              <w:t>项目负责人具有建筑工程相关专业高级工程师（副高或以上）技术职称的，得</w:t>
            </w:r>
            <w:r>
              <w:rPr>
                <w:rFonts w:hint="eastAsia"/>
                <w:lang w:val="en-US" w:eastAsia="zh-CN"/>
              </w:rPr>
              <w:t>15</w:t>
            </w:r>
            <w:r>
              <w:rPr>
                <w:rFonts w:hint="eastAsia"/>
              </w:rPr>
              <w:t>分；具有建筑工程相关专业中级工程师技术职称的，得</w:t>
            </w:r>
            <w:r>
              <w:rPr>
                <w:rFonts w:hint="eastAsia"/>
                <w:lang w:val="en-US" w:eastAsia="zh-CN"/>
              </w:rPr>
              <w:t>7</w:t>
            </w:r>
            <w:r>
              <w:rPr>
                <w:rFonts w:hint="eastAsia"/>
              </w:rPr>
              <w:t>分。</w:t>
            </w:r>
          </w:p>
          <w:p>
            <w:pPr>
              <w:spacing w:line="276" w:lineRule="auto"/>
            </w:pPr>
            <w:r>
              <w:rPr>
                <w:rFonts w:hint="eastAsia"/>
              </w:rPr>
              <w:t>不满足上述情况的,不得分。</w:t>
            </w:r>
          </w:p>
          <w:p>
            <w:pPr>
              <w:pStyle w:val="35"/>
              <w:ind w:left="0" w:leftChars="0" w:firstLine="0" w:firstLineChars="0"/>
              <w:rPr>
                <w:color w:val="auto"/>
                <w:lang w:eastAsia="zh-CN"/>
              </w:rPr>
            </w:pPr>
            <w:r>
              <w:rPr>
                <w:rFonts w:hint="eastAsia"/>
                <w:lang w:eastAsia="zh-CN"/>
              </w:rPr>
              <w:t>注：需提供项目负责人职称证书扫描件、投标截止前一个月（202</w:t>
            </w:r>
            <w:r>
              <w:rPr>
                <w:lang w:eastAsia="zh-CN"/>
              </w:rPr>
              <w:t>5</w:t>
            </w:r>
            <w:r>
              <w:rPr>
                <w:rFonts w:hint="eastAsia"/>
                <w:lang w:eastAsia="zh-CN"/>
              </w:rPr>
              <w:t>年</w:t>
            </w:r>
            <w:r>
              <w:rPr>
                <w:rFonts w:hint="eastAsia"/>
                <w:highlight w:val="none"/>
                <w:lang w:val="en-US" w:eastAsia="zh-CN"/>
              </w:rPr>
              <w:t>9</w:t>
            </w:r>
            <w:r>
              <w:rPr>
                <w:rFonts w:hint="eastAsia"/>
                <w:highlight w:val="none"/>
                <w:lang w:eastAsia="zh-CN"/>
              </w:rPr>
              <w:t>月</w:t>
            </w:r>
            <w:r>
              <w:rPr>
                <w:rFonts w:hint="eastAsia"/>
                <w:lang w:eastAsia="zh-CN"/>
              </w:rPr>
              <w:t>）在投标单位参保的社保证明扫描件。</w:t>
            </w:r>
          </w:p>
        </w:tc>
      </w:tr>
      <w:tr>
        <w:tblPrEx>
          <w:tblBorders>
            <w:top w:val="single" w:color="000000" w:sz="8" w:space="0"/>
            <w:left w:val="single" w:color="000000" w:sz="8"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579" w:hRule="atLeast"/>
          <w:jc w:val="center"/>
        </w:trPr>
        <w:tc>
          <w:tcPr>
            <w:tcW w:w="1328" w:type="dxa"/>
            <w:vMerge w:val="continue"/>
            <w:tcBorders>
              <w:left w:val="single" w:color="000000" w:sz="8" w:space="0"/>
              <w:right w:val="single" w:color="000000" w:sz="4" w:space="0"/>
            </w:tcBorders>
            <w:vAlign w:val="center"/>
          </w:tcPr>
          <w:p>
            <w:pPr>
              <w:adjustRightInd w:val="0"/>
              <w:snapToGrid w:val="0"/>
              <w:jc w:val="center"/>
              <w:rPr>
                <w:rStyle w:val="112"/>
                <w:szCs w:val="21"/>
              </w:rPr>
            </w:pPr>
          </w:p>
        </w:tc>
        <w:tc>
          <w:tcPr>
            <w:tcW w:w="1160" w:type="dxa"/>
            <w:vMerge w:val="continue"/>
            <w:tcBorders>
              <w:left w:val="single" w:color="000000" w:sz="4" w:space="0"/>
              <w:right w:val="single" w:color="000000" w:sz="4" w:space="0"/>
            </w:tcBorders>
            <w:vAlign w:val="center"/>
          </w:tcPr>
          <w:p>
            <w:pPr>
              <w:spacing w:line="276" w:lineRule="auto"/>
              <w:jc w:val="center"/>
              <w:rPr>
                <w:rFonts w:hint="eastAsia" w:ascii="宋体" w:hAnsi="宋体" w:cs="宋体"/>
                <w:szCs w:val="21"/>
              </w:rPr>
            </w:pPr>
          </w:p>
        </w:tc>
        <w:tc>
          <w:tcPr>
            <w:tcW w:w="872" w:type="dxa"/>
            <w:tcBorders>
              <w:top w:val="single" w:color="000000" w:sz="4" w:space="0"/>
              <w:left w:val="single" w:color="000000" w:sz="4" w:space="0"/>
              <w:right w:val="single" w:color="000000" w:sz="4" w:space="0"/>
            </w:tcBorders>
            <w:vAlign w:val="center"/>
          </w:tcPr>
          <w:p>
            <w:pPr>
              <w:adjustRightInd w:val="0"/>
              <w:snapToGrid w:val="0"/>
              <w:spacing w:line="276" w:lineRule="auto"/>
              <w:jc w:val="center"/>
              <w:rPr>
                <w:rFonts w:hint="default" w:ascii="宋体" w:hAnsi="宋体" w:eastAsia="宋体" w:cs="宋体"/>
                <w:szCs w:val="21"/>
                <w:lang w:val="en-US" w:eastAsia="zh-CN"/>
              </w:rPr>
            </w:pPr>
            <w:r>
              <w:rPr>
                <w:rFonts w:hint="eastAsia" w:ascii="宋体" w:hAnsi="宋体" w:cs="宋体"/>
                <w:szCs w:val="21"/>
                <w:lang w:val="en-US" w:eastAsia="zh-CN"/>
              </w:rPr>
              <w:t>6</w:t>
            </w:r>
          </w:p>
        </w:tc>
        <w:tc>
          <w:tcPr>
            <w:tcW w:w="11561" w:type="dxa"/>
            <w:tcBorders>
              <w:left w:val="single" w:color="000000" w:sz="4" w:space="0"/>
              <w:right w:val="single" w:color="000000" w:sz="4" w:space="0"/>
            </w:tcBorders>
            <w:vAlign w:val="center"/>
          </w:tcPr>
          <w:p>
            <w:pPr>
              <w:spacing w:line="276" w:lineRule="auto"/>
            </w:pPr>
            <w:r>
              <w:rPr>
                <w:rFonts w:hint="eastAsia"/>
              </w:rPr>
              <w:t>以项目负责人（或项目经理）的身份完成过合同金额为</w:t>
            </w:r>
            <w:r>
              <w:rPr>
                <w:rFonts w:hint="eastAsia"/>
                <w:lang w:val="en-US" w:eastAsia="zh-CN"/>
              </w:rPr>
              <w:t>400</w:t>
            </w:r>
            <w:r>
              <w:rPr>
                <w:rFonts w:hint="eastAsia"/>
              </w:rPr>
              <w:t>万元或以上的建筑工程施工总承包或工程总承包（施工部分）业绩，每项得</w:t>
            </w:r>
            <w:r>
              <w:rPr>
                <w:rFonts w:hint="eastAsia"/>
                <w:lang w:val="en-US" w:eastAsia="zh-CN"/>
              </w:rPr>
              <w:t>6</w:t>
            </w:r>
            <w:r>
              <w:rPr>
                <w:rFonts w:hint="eastAsia"/>
              </w:rPr>
              <w:t>分</w:t>
            </w:r>
            <w:r>
              <w:rPr>
                <w:rFonts w:hint="eastAsia"/>
                <w:lang w:eastAsia="zh-CN"/>
              </w:rPr>
              <w:t>，</w:t>
            </w:r>
            <w:r>
              <w:rPr>
                <w:rFonts w:hint="eastAsia"/>
              </w:rPr>
              <w:t>最高得</w:t>
            </w:r>
            <w:r>
              <w:rPr>
                <w:rFonts w:hint="eastAsia"/>
                <w:lang w:val="en-US" w:eastAsia="zh-CN"/>
              </w:rPr>
              <w:t>6</w:t>
            </w:r>
            <w:r>
              <w:rPr>
                <w:rFonts w:hint="eastAsia"/>
              </w:rPr>
              <w:t>分。</w:t>
            </w:r>
          </w:p>
          <w:p>
            <w:pPr>
              <w:spacing w:line="276" w:lineRule="auto"/>
            </w:pPr>
            <w:r>
              <w:rPr>
                <w:rFonts w:hint="eastAsia"/>
              </w:rPr>
              <w:t>注：（1）项目负责人的业绩可取自广州市住建行业信用管理平台。业绩取自广州市住建行业信用管理平台的，投标人须提供项目名称、广州市住建行业信用管理平台内的项目业绩编号及业绩在广州市住建行业信用管理平台的网页信息截图（网页信息截图须能清晰显示带有“住建行业信用管理平台”名称，并至少包含“项目基本信息”等信息）以供核对（业绩相关附件的上传件取广州市住建行业信用管理平台，投标阶段可不重复提交）。不提供项目名称、项目编号及网页信息截图的业绩不予评审。若投标人提供的项目名称与项目编号不一致：①项目名称和项目编号在平台内分别对应不同业绩的，以项目名称对应的业绩为准；②项目名称存在对应业绩的，项目编号在平台内不存在对应业绩，以项目名称对应的业绩为准；③项目名称在平台内不存在对应业绩，项目编号存在对应业绩的，以项目编号对应的业绩为准。评标委员会对业绩的评审以投标截止时间在平台内业绩上传件为依据；</w:t>
            </w:r>
          </w:p>
          <w:p>
            <w:pPr>
              <w:spacing w:line="276" w:lineRule="auto"/>
            </w:pPr>
            <w:r>
              <w:rPr>
                <w:rFonts w:hint="eastAsia"/>
              </w:rPr>
              <w:t>（2）业绩不取自广州市住建行业信用管理平台的，须提供中标通知书（或免招标的证明）、合同协议书、竣工验收文件或竣工验收报告。</w:t>
            </w:r>
          </w:p>
          <w:p>
            <w:pPr>
              <w:spacing w:line="276" w:lineRule="auto"/>
            </w:pPr>
            <w:r>
              <w:rPr>
                <w:rFonts w:hint="eastAsia"/>
              </w:rPr>
              <w:t>1）完成时间以竣工验收文件或竣工验收报告为准。竣工验收文件或竣工验收报告至少具有建设单位、设计、施工和监理单位盖章。</w:t>
            </w:r>
          </w:p>
          <w:p>
            <w:pPr>
              <w:spacing w:line="276" w:lineRule="auto"/>
            </w:pPr>
            <w:r>
              <w:rPr>
                <w:rFonts w:hint="eastAsia"/>
              </w:rPr>
              <w:t>2）平台内业绩上传件不符合上述要求的或登记的工程资质内容与施工合同等业绩证明资料不相符的，该项业绩不予认定。</w:t>
            </w:r>
          </w:p>
          <w:p>
            <w:pPr>
              <w:spacing w:line="276" w:lineRule="auto"/>
            </w:pPr>
            <w:r>
              <w:rPr>
                <w:rFonts w:hint="eastAsia"/>
              </w:rPr>
              <w:t>3）项目负责人业绩须提供相关证明材料（如施工合同或业主证明或竣工验收文件等）体现其在工程项目中担任项目负责人职务，否则不予计分；各证明材料之间不一致的，项目负责人的认定按①竣工验收文件、②业主证明、③施工合同的优先级顺序认定。</w:t>
            </w:r>
          </w:p>
        </w:tc>
      </w:tr>
      <w:tr>
        <w:tblPrEx>
          <w:tblBorders>
            <w:top w:val="single" w:color="000000" w:sz="8" w:space="0"/>
            <w:left w:val="single" w:color="000000" w:sz="8"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209" w:hRule="atLeast"/>
          <w:jc w:val="center"/>
        </w:trPr>
        <w:tc>
          <w:tcPr>
            <w:tcW w:w="1328" w:type="dxa"/>
            <w:vMerge w:val="continue"/>
            <w:tcBorders>
              <w:left w:val="single" w:color="000000" w:sz="8" w:space="0"/>
              <w:right w:val="single" w:color="000000" w:sz="4" w:space="0"/>
            </w:tcBorders>
            <w:vAlign w:val="center"/>
          </w:tcPr>
          <w:p>
            <w:pPr>
              <w:adjustRightInd w:val="0"/>
              <w:snapToGrid w:val="0"/>
              <w:jc w:val="center"/>
              <w:rPr>
                <w:rStyle w:val="112"/>
                <w:szCs w:val="21"/>
              </w:rPr>
            </w:pPr>
          </w:p>
        </w:tc>
        <w:tc>
          <w:tcPr>
            <w:tcW w:w="1160" w:type="dxa"/>
            <w:tcBorders>
              <w:top w:val="single" w:color="000000" w:sz="4" w:space="0"/>
              <w:left w:val="single" w:color="000000" w:sz="4" w:space="0"/>
              <w:right w:val="single" w:color="000000" w:sz="4" w:space="0"/>
            </w:tcBorders>
            <w:vAlign w:val="center"/>
          </w:tcPr>
          <w:p>
            <w:pPr>
              <w:spacing w:line="276" w:lineRule="auto"/>
              <w:jc w:val="center"/>
              <w:rPr>
                <w:rFonts w:hint="eastAsia" w:ascii="宋体" w:hAnsi="宋体" w:cs="宋体"/>
                <w:szCs w:val="21"/>
              </w:rPr>
            </w:pPr>
            <w:r>
              <w:rPr>
                <w:rFonts w:hint="eastAsia" w:ascii="宋体" w:hAnsi="宋体" w:cs="宋体"/>
                <w:szCs w:val="21"/>
              </w:rPr>
              <w:t>技术负责人</w:t>
            </w:r>
          </w:p>
        </w:tc>
        <w:tc>
          <w:tcPr>
            <w:tcW w:w="872" w:type="dxa"/>
            <w:tcBorders>
              <w:top w:val="single" w:color="000000" w:sz="4" w:space="0"/>
              <w:left w:val="single" w:color="000000" w:sz="4" w:space="0"/>
              <w:right w:val="single" w:color="000000" w:sz="4" w:space="0"/>
            </w:tcBorders>
            <w:vAlign w:val="center"/>
          </w:tcPr>
          <w:p>
            <w:pPr>
              <w:adjustRightInd w:val="0"/>
              <w:snapToGrid w:val="0"/>
              <w:spacing w:line="276" w:lineRule="auto"/>
              <w:jc w:val="center"/>
              <w:rPr>
                <w:rFonts w:hint="eastAsia" w:ascii="宋体" w:hAnsi="宋体" w:eastAsia="宋体" w:cs="宋体"/>
                <w:szCs w:val="21"/>
                <w:lang w:eastAsia="zh-CN"/>
              </w:rPr>
            </w:pPr>
            <w:r>
              <w:rPr>
                <w:rFonts w:hint="eastAsia" w:ascii="宋体" w:hAnsi="宋体" w:cs="宋体"/>
                <w:szCs w:val="21"/>
                <w:lang w:val="en-US" w:eastAsia="zh-CN"/>
              </w:rPr>
              <w:t>15</w:t>
            </w:r>
          </w:p>
        </w:tc>
        <w:tc>
          <w:tcPr>
            <w:tcW w:w="11561" w:type="dxa"/>
            <w:tcBorders>
              <w:top w:val="single" w:color="000000" w:sz="4" w:space="0"/>
              <w:left w:val="single" w:color="000000" w:sz="4" w:space="0"/>
              <w:right w:val="single" w:color="000000" w:sz="4" w:space="0"/>
            </w:tcBorders>
            <w:vAlign w:val="center"/>
          </w:tcPr>
          <w:p>
            <w:pPr>
              <w:spacing w:line="276" w:lineRule="auto"/>
            </w:pPr>
            <w:r>
              <w:rPr>
                <w:rFonts w:hint="eastAsia"/>
              </w:rPr>
              <w:t>具有建筑工程类专业高级工程师（副高或以上）技术职称，得</w:t>
            </w:r>
            <w:r>
              <w:rPr>
                <w:rFonts w:hint="eastAsia"/>
                <w:lang w:val="en-US" w:eastAsia="zh-CN"/>
              </w:rPr>
              <w:t>15</w:t>
            </w:r>
            <w:r>
              <w:rPr>
                <w:rFonts w:hint="eastAsia"/>
              </w:rPr>
              <w:t>分。</w:t>
            </w:r>
          </w:p>
          <w:p>
            <w:pPr>
              <w:spacing w:line="276" w:lineRule="auto"/>
            </w:pPr>
            <w:r>
              <w:rPr>
                <w:rFonts w:hint="eastAsia"/>
              </w:rPr>
              <w:t>不满足上述情况的,不得分。</w:t>
            </w:r>
          </w:p>
          <w:p>
            <w:pPr>
              <w:spacing w:line="276" w:lineRule="auto"/>
            </w:pPr>
            <w:r>
              <w:rPr>
                <w:rFonts w:hint="eastAsia"/>
              </w:rPr>
              <w:t>注：需提供职称证书、投标截止前一个月（202</w:t>
            </w:r>
            <w:r>
              <w:t>5</w:t>
            </w:r>
            <w:r>
              <w:rPr>
                <w:rFonts w:hint="eastAsia"/>
                <w:highlight w:val="none"/>
              </w:rPr>
              <w:t>年</w:t>
            </w:r>
            <w:r>
              <w:rPr>
                <w:rFonts w:hint="eastAsia"/>
                <w:highlight w:val="none"/>
                <w:lang w:val="en-US" w:eastAsia="zh-CN"/>
              </w:rPr>
              <w:t>9</w:t>
            </w:r>
            <w:r>
              <w:rPr>
                <w:rFonts w:hint="eastAsia"/>
                <w:highlight w:val="none"/>
              </w:rPr>
              <w:t>月</w:t>
            </w:r>
            <w:r>
              <w:rPr>
                <w:rFonts w:hint="eastAsia"/>
              </w:rPr>
              <w:t>）在投标单位参保的社保证明扫描件。</w:t>
            </w:r>
          </w:p>
        </w:tc>
      </w:tr>
      <w:tr>
        <w:tblPrEx>
          <w:tblBorders>
            <w:top w:val="single" w:color="000000" w:sz="8" w:space="0"/>
            <w:left w:val="single" w:color="000000" w:sz="8"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260" w:hRule="atLeast"/>
          <w:jc w:val="center"/>
        </w:trPr>
        <w:tc>
          <w:tcPr>
            <w:tcW w:w="1328" w:type="dxa"/>
            <w:vMerge w:val="continue"/>
            <w:tcBorders>
              <w:left w:val="single" w:color="000000" w:sz="8" w:space="0"/>
              <w:right w:val="single" w:color="000000" w:sz="4" w:space="0"/>
            </w:tcBorders>
            <w:vAlign w:val="center"/>
          </w:tcPr>
          <w:p>
            <w:pPr>
              <w:adjustRightInd w:val="0"/>
              <w:snapToGrid w:val="0"/>
              <w:jc w:val="center"/>
              <w:rPr>
                <w:rStyle w:val="112"/>
                <w:szCs w:val="21"/>
              </w:rPr>
            </w:pPr>
          </w:p>
        </w:tc>
        <w:tc>
          <w:tcPr>
            <w:tcW w:w="1160" w:type="dxa"/>
            <w:tcBorders>
              <w:top w:val="single" w:color="000000" w:sz="4" w:space="0"/>
              <w:left w:val="single" w:color="000000" w:sz="4" w:space="0"/>
              <w:right w:val="single" w:color="000000" w:sz="4" w:space="0"/>
            </w:tcBorders>
            <w:vAlign w:val="center"/>
          </w:tcPr>
          <w:p>
            <w:pPr>
              <w:spacing w:line="276" w:lineRule="auto"/>
              <w:jc w:val="center"/>
              <w:rPr>
                <w:rFonts w:hint="eastAsia" w:ascii="宋体" w:hAnsi="宋体"/>
                <w:bCs/>
                <w:szCs w:val="21"/>
              </w:rPr>
            </w:pPr>
            <w:r>
              <w:rPr>
                <w:rFonts w:hint="eastAsia" w:ascii="宋体" w:hAnsi="宋体" w:cs="宋体"/>
                <w:szCs w:val="21"/>
              </w:rPr>
              <w:t>安全负责人</w:t>
            </w:r>
          </w:p>
        </w:tc>
        <w:tc>
          <w:tcPr>
            <w:tcW w:w="872" w:type="dxa"/>
            <w:tcBorders>
              <w:top w:val="single" w:color="000000" w:sz="4" w:space="0"/>
              <w:left w:val="single" w:color="000000" w:sz="4" w:space="0"/>
              <w:right w:val="single" w:color="000000" w:sz="4" w:space="0"/>
            </w:tcBorders>
            <w:vAlign w:val="center"/>
          </w:tcPr>
          <w:p>
            <w:pPr>
              <w:adjustRightInd w:val="0"/>
              <w:snapToGrid w:val="0"/>
              <w:spacing w:line="276" w:lineRule="auto"/>
              <w:jc w:val="center"/>
              <w:rPr>
                <w:rFonts w:hint="default" w:ascii="宋体" w:hAnsi="宋体"/>
                <w:b/>
                <w:szCs w:val="21"/>
                <w:lang w:val="en-US"/>
              </w:rPr>
            </w:pPr>
            <w:r>
              <w:rPr>
                <w:rFonts w:hint="eastAsia" w:ascii="宋体" w:hAnsi="宋体" w:cs="宋体"/>
                <w:szCs w:val="21"/>
                <w:lang w:val="en-US" w:eastAsia="zh-CN"/>
              </w:rPr>
              <w:t>22</w:t>
            </w:r>
          </w:p>
        </w:tc>
        <w:tc>
          <w:tcPr>
            <w:tcW w:w="11561" w:type="dxa"/>
            <w:tcBorders>
              <w:top w:val="single" w:color="000000" w:sz="4" w:space="0"/>
              <w:left w:val="single" w:color="000000" w:sz="4" w:space="0"/>
              <w:right w:val="single" w:color="000000" w:sz="4" w:space="0"/>
            </w:tcBorders>
            <w:vAlign w:val="center"/>
          </w:tcPr>
          <w:p>
            <w:pPr>
              <w:spacing w:line="276" w:lineRule="auto"/>
            </w:pPr>
            <w:r>
              <w:rPr>
                <w:rFonts w:hint="eastAsia"/>
                <w:lang w:val="en-US" w:eastAsia="zh-CN"/>
              </w:rPr>
              <w:t>1、</w:t>
            </w:r>
            <w:r>
              <w:rPr>
                <w:rFonts w:hint="eastAsia"/>
              </w:rPr>
              <w:t>具有建筑工程类专业高级工程师（副高或以上）技术职称，得</w:t>
            </w:r>
            <w:r>
              <w:rPr>
                <w:rFonts w:hint="eastAsia"/>
                <w:lang w:val="en-US" w:eastAsia="zh-CN"/>
              </w:rPr>
              <w:t>15</w:t>
            </w:r>
            <w:r>
              <w:rPr>
                <w:rFonts w:hint="eastAsia"/>
              </w:rPr>
              <w:t>分；具有建筑工程类专业中级工程师技术职称，得</w:t>
            </w:r>
            <w:r>
              <w:rPr>
                <w:rFonts w:hint="eastAsia"/>
                <w:lang w:val="en-US" w:eastAsia="zh-CN"/>
              </w:rPr>
              <w:t>7</w:t>
            </w:r>
            <w:r>
              <w:rPr>
                <w:rFonts w:hint="eastAsia"/>
              </w:rPr>
              <w:t>分。</w:t>
            </w:r>
          </w:p>
          <w:p>
            <w:pPr>
              <w:spacing w:line="276" w:lineRule="auto"/>
              <w:rPr>
                <w:rFonts w:hint="eastAsia"/>
              </w:rPr>
            </w:pPr>
            <w:r>
              <w:rPr>
                <w:rFonts w:hint="eastAsia"/>
              </w:rPr>
              <w:t>不满足上述情况的,不得分。</w:t>
            </w:r>
          </w:p>
          <w:p>
            <w:pPr>
              <w:pStyle w:val="21"/>
            </w:pPr>
            <w:r>
              <w:rPr>
                <w:rFonts w:hint="eastAsia" w:ascii="宋体" w:hAnsi="宋体" w:eastAsia="宋体" w:cs="宋体"/>
                <w:color w:val="auto"/>
                <w:kern w:val="2"/>
                <w:sz w:val="21"/>
                <w:szCs w:val="21"/>
                <w:highlight w:val="none"/>
                <w:lang w:val="en-US" w:eastAsia="zh-CN" w:bidi="ar"/>
              </w:rPr>
              <w:t>2、具有注册安全工程师执业资格且在有效期内的</w:t>
            </w:r>
            <w:r>
              <w:rPr>
                <w:rFonts w:hint="eastAsia" w:ascii="宋体" w:hAnsi="宋体" w:eastAsia="宋体" w:cs="宋体"/>
                <w:color w:val="auto"/>
                <w:kern w:val="0"/>
                <w:szCs w:val="21"/>
                <w:highlight w:val="none"/>
                <w:lang w:bidi="ar"/>
              </w:rPr>
              <w:t>，得</w:t>
            </w:r>
            <w:r>
              <w:rPr>
                <w:rFonts w:hint="eastAsia" w:hAnsi="宋体" w:cs="宋体"/>
                <w:color w:val="auto"/>
                <w:kern w:val="0"/>
                <w:szCs w:val="21"/>
                <w:highlight w:val="none"/>
                <w:lang w:val="en-US" w:eastAsia="zh-CN" w:bidi="ar"/>
              </w:rPr>
              <w:t>7</w:t>
            </w:r>
            <w:r>
              <w:rPr>
                <w:rFonts w:hint="eastAsia" w:ascii="宋体" w:hAnsi="宋体" w:eastAsia="宋体" w:cs="宋体"/>
                <w:color w:val="auto"/>
                <w:kern w:val="0"/>
                <w:szCs w:val="21"/>
                <w:highlight w:val="none"/>
                <w:lang w:bidi="ar"/>
              </w:rPr>
              <w:t>分；本小项最高得</w:t>
            </w:r>
            <w:r>
              <w:rPr>
                <w:rFonts w:hint="eastAsia" w:hAnsi="宋体" w:cs="宋体"/>
                <w:color w:val="auto"/>
                <w:kern w:val="0"/>
                <w:szCs w:val="21"/>
                <w:highlight w:val="none"/>
                <w:lang w:val="en-US" w:eastAsia="zh-CN" w:bidi="ar"/>
              </w:rPr>
              <w:t>7</w:t>
            </w:r>
            <w:r>
              <w:rPr>
                <w:rFonts w:hint="eastAsia" w:ascii="宋体" w:hAnsi="宋体" w:eastAsia="宋体" w:cs="宋体"/>
                <w:color w:val="auto"/>
                <w:kern w:val="0"/>
                <w:szCs w:val="21"/>
                <w:highlight w:val="none"/>
                <w:lang w:bidi="ar"/>
              </w:rPr>
              <w:t>分。</w:t>
            </w:r>
          </w:p>
          <w:p>
            <w:pPr>
              <w:pStyle w:val="35"/>
              <w:ind w:left="0" w:leftChars="0" w:firstLine="0" w:firstLineChars="0"/>
              <w:rPr>
                <w:color w:val="auto"/>
                <w:lang w:eastAsia="zh-CN"/>
              </w:rPr>
            </w:pPr>
            <w:r>
              <w:rPr>
                <w:rFonts w:hint="eastAsia"/>
                <w:color w:val="auto"/>
                <w:lang w:eastAsia="zh-CN"/>
              </w:rPr>
              <w:t>注：</w:t>
            </w:r>
            <w:r>
              <w:rPr>
                <w:rFonts w:hint="eastAsia" w:ascii="宋体" w:hAnsi="宋体" w:cs="宋体"/>
                <w:szCs w:val="21"/>
              </w:rPr>
              <w:t>安全负责人</w:t>
            </w:r>
            <w:r>
              <w:rPr>
                <w:rFonts w:hint="eastAsia" w:ascii="宋体" w:hAnsi="宋体" w:eastAsia="宋体" w:cs="宋体"/>
                <w:color w:val="auto"/>
                <w:kern w:val="0"/>
                <w:szCs w:val="21"/>
                <w:highlight w:val="none"/>
                <w:lang w:bidi="ar"/>
              </w:rPr>
              <w:t>与专职安全员不为同一人</w:t>
            </w:r>
            <w:r>
              <w:rPr>
                <w:rFonts w:hint="eastAsia" w:ascii="宋体" w:hAnsi="宋体" w:eastAsia="宋体" w:cs="宋体"/>
                <w:color w:val="auto"/>
                <w:kern w:val="0"/>
                <w:szCs w:val="21"/>
                <w:highlight w:val="none"/>
                <w:lang w:eastAsia="zh-CN" w:bidi="ar"/>
              </w:rPr>
              <w:t>，</w:t>
            </w:r>
            <w:r>
              <w:rPr>
                <w:rFonts w:hint="eastAsia"/>
                <w:color w:val="auto"/>
                <w:lang w:eastAsia="zh-CN"/>
              </w:rPr>
              <w:t>需提供职称证书、</w:t>
            </w:r>
            <w:r>
              <w:rPr>
                <w:rFonts w:hint="eastAsia"/>
                <w:color w:val="auto"/>
                <w:lang w:val="en-US" w:eastAsia="zh-CN"/>
              </w:rPr>
              <w:t>执业资格证书、</w:t>
            </w:r>
            <w:r>
              <w:rPr>
                <w:rFonts w:hint="eastAsia"/>
                <w:color w:val="auto"/>
                <w:lang w:eastAsia="zh-CN"/>
              </w:rPr>
              <w:t>投标截止前一个月（202</w:t>
            </w:r>
            <w:r>
              <w:rPr>
                <w:color w:val="auto"/>
                <w:lang w:eastAsia="zh-CN"/>
              </w:rPr>
              <w:t>5</w:t>
            </w:r>
            <w:r>
              <w:rPr>
                <w:rFonts w:hint="eastAsia"/>
                <w:color w:val="auto"/>
                <w:lang w:eastAsia="zh-CN"/>
              </w:rPr>
              <w:t>年</w:t>
            </w:r>
            <w:r>
              <w:rPr>
                <w:rFonts w:hint="eastAsia"/>
                <w:color w:val="auto"/>
                <w:highlight w:val="none"/>
                <w:lang w:val="en-US" w:eastAsia="zh-CN"/>
              </w:rPr>
              <w:t>9</w:t>
            </w:r>
            <w:r>
              <w:rPr>
                <w:rFonts w:hint="eastAsia"/>
                <w:color w:val="auto"/>
                <w:highlight w:val="none"/>
                <w:lang w:eastAsia="zh-CN"/>
              </w:rPr>
              <w:t>月</w:t>
            </w:r>
            <w:r>
              <w:rPr>
                <w:rFonts w:hint="eastAsia"/>
                <w:color w:val="auto"/>
                <w:lang w:eastAsia="zh-CN"/>
              </w:rPr>
              <w:t>）在投标单位参保的社保证明扫描件。</w:t>
            </w:r>
          </w:p>
        </w:tc>
      </w:tr>
      <w:tr>
        <w:tblPrEx>
          <w:tblBorders>
            <w:top w:val="single" w:color="000000" w:sz="8" w:space="0"/>
            <w:left w:val="single" w:color="000000" w:sz="8"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135" w:hRule="atLeast"/>
          <w:jc w:val="center"/>
        </w:trPr>
        <w:tc>
          <w:tcPr>
            <w:tcW w:w="1328" w:type="dxa"/>
            <w:vMerge w:val="continue"/>
            <w:tcBorders>
              <w:left w:val="single" w:color="000000" w:sz="8" w:space="0"/>
              <w:right w:val="single" w:color="000000" w:sz="4" w:space="0"/>
            </w:tcBorders>
            <w:vAlign w:val="center"/>
          </w:tcPr>
          <w:p>
            <w:pPr>
              <w:adjustRightInd w:val="0"/>
              <w:snapToGrid w:val="0"/>
              <w:jc w:val="center"/>
              <w:rPr>
                <w:rStyle w:val="112"/>
                <w:szCs w:val="21"/>
              </w:rPr>
            </w:pPr>
          </w:p>
        </w:tc>
        <w:tc>
          <w:tcPr>
            <w:tcW w:w="1160" w:type="dxa"/>
            <w:tcBorders>
              <w:top w:val="single" w:color="000000" w:sz="4" w:space="0"/>
              <w:left w:val="single" w:color="000000" w:sz="4" w:space="0"/>
              <w:right w:val="single" w:color="000000" w:sz="4" w:space="0"/>
            </w:tcBorders>
            <w:vAlign w:val="center"/>
          </w:tcPr>
          <w:p>
            <w:pPr>
              <w:spacing w:line="276" w:lineRule="auto"/>
              <w:jc w:val="center"/>
              <w:rPr>
                <w:rFonts w:hint="eastAsia" w:ascii="宋体" w:hAnsi="宋体" w:cs="宋体"/>
                <w:szCs w:val="21"/>
              </w:rPr>
            </w:pPr>
            <w:r>
              <w:rPr>
                <w:rFonts w:hint="eastAsia" w:ascii="宋体" w:hAnsi="宋体" w:cs="宋体"/>
                <w:szCs w:val="21"/>
              </w:rPr>
              <w:t>造价负责人</w:t>
            </w:r>
          </w:p>
        </w:tc>
        <w:tc>
          <w:tcPr>
            <w:tcW w:w="872" w:type="dxa"/>
            <w:tcBorders>
              <w:top w:val="single" w:color="000000" w:sz="4" w:space="0"/>
              <w:left w:val="single" w:color="000000" w:sz="4" w:space="0"/>
              <w:right w:val="single" w:color="000000" w:sz="4" w:space="0"/>
            </w:tcBorders>
            <w:vAlign w:val="center"/>
          </w:tcPr>
          <w:p>
            <w:pPr>
              <w:adjustRightInd w:val="0"/>
              <w:snapToGrid w:val="0"/>
              <w:spacing w:line="276" w:lineRule="auto"/>
              <w:jc w:val="center"/>
              <w:rPr>
                <w:rFonts w:hint="eastAsia" w:ascii="宋体" w:hAnsi="宋体" w:eastAsia="宋体" w:cs="宋体"/>
                <w:szCs w:val="21"/>
                <w:lang w:eastAsia="zh-CN"/>
              </w:rPr>
            </w:pPr>
            <w:r>
              <w:rPr>
                <w:rFonts w:hint="eastAsia" w:ascii="宋体" w:hAnsi="宋体" w:cs="宋体"/>
                <w:szCs w:val="21"/>
                <w:lang w:val="en-US" w:eastAsia="zh-CN"/>
              </w:rPr>
              <w:t>22</w:t>
            </w:r>
          </w:p>
        </w:tc>
        <w:tc>
          <w:tcPr>
            <w:tcW w:w="11561" w:type="dxa"/>
            <w:tcBorders>
              <w:top w:val="single" w:color="000000" w:sz="4" w:space="0"/>
              <w:left w:val="single" w:color="000000" w:sz="4" w:space="0"/>
              <w:right w:val="single" w:color="000000" w:sz="4" w:space="0"/>
            </w:tcBorders>
            <w:vAlign w:val="center"/>
          </w:tcPr>
          <w:p>
            <w:pPr>
              <w:spacing w:line="276" w:lineRule="auto"/>
            </w:pPr>
            <w:r>
              <w:rPr>
                <w:rFonts w:hint="eastAsia"/>
                <w:lang w:val="en-US" w:eastAsia="zh-CN"/>
              </w:rPr>
              <w:t>1、</w:t>
            </w:r>
            <w:r>
              <w:rPr>
                <w:rFonts w:hint="eastAsia"/>
              </w:rPr>
              <w:t>具有造价类专业高级工程师（副高或以上）技术职称，得</w:t>
            </w:r>
            <w:r>
              <w:rPr>
                <w:rFonts w:hint="eastAsia"/>
                <w:lang w:val="en-US" w:eastAsia="zh-CN"/>
              </w:rPr>
              <w:t>15</w:t>
            </w:r>
            <w:r>
              <w:rPr>
                <w:rFonts w:hint="eastAsia"/>
              </w:rPr>
              <w:t>分；具有造价类专业中级工程师技术职称，得</w:t>
            </w:r>
            <w:r>
              <w:rPr>
                <w:rFonts w:hint="eastAsia"/>
                <w:lang w:val="en-US" w:eastAsia="zh-CN"/>
              </w:rPr>
              <w:t>7</w:t>
            </w:r>
            <w:r>
              <w:rPr>
                <w:rFonts w:hint="eastAsia"/>
              </w:rPr>
              <w:t>分。</w:t>
            </w:r>
          </w:p>
          <w:p>
            <w:pPr>
              <w:spacing w:line="276" w:lineRule="auto"/>
              <w:rPr>
                <w:rFonts w:hint="eastAsia"/>
              </w:rPr>
            </w:pPr>
            <w:r>
              <w:rPr>
                <w:rFonts w:hint="eastAsia"/>
              </w:rPr>
              <w:t>不满足上述情况的,不得分。</w:t>
            </w:r>
          </w:p>
          <w:p>
            <w:pPr>
              <w:pStyle w:val="21"/>
              <w:rPr>
                <w:rFonts w:hint="eastAsia" w:eastAsia="宋体"/>
                <w:lang w:val="en-US" w:eastAsia="zh-CN"/>
              </w:rPr>
            </w:pPr>
            <w:r>
              <w:rPr>
                <w:rFonts w:hint="eastAsia"/>
                <w:lang w:val="en-US" w:eastAsia="zh-CN"/>
              </w:rPr>
              <w:t>2、</w:t>
            </w:r>
            <w:r>
              <w:rPr>
                <w:rFonts w:hint="eastAsia" w:ascii="宋体" w:hAnsi="宋体" w:eastAsia="宋体" w:cs="宋体"/>
                <w:color w:val="auto"/>
                <w:kern w:val="2"/>
                <w:sz w:val="21"/>
                <w:szCs w:val="21"/>
                <w:highlight w:val="none"/>
                <w:lang w:val="en-US" w:eastAsia="zh-CN" w:bidi="ar"/>
              </w:rPr>
              <w:t>具有注册造价工程师执业资格且在有效期内的</w:t>
            </w:r>
            <w:r>
              <w:rPr>
                <w:rFonts w:hint="eastAsia" w:ascii="宋体" w:hAnsi="宋体" w:eastAsia="宋体" w:cs="宋体"/>
                <w:color w:val="auto"/>
                <w:kern w:val="0"/>
                <w:szCs w:val="21"/>
                <w:highlight w:val="none"/>
                <w:lang w:bidi="ar"/>
              </w:rPr>
              <w:t>，得</w:t>
            </w:r>
            <w:r>
              <w:rPr>
                <w:rFonts w:hint="eastAsia" w:hAnsi="宋体" w:cs="宋体"/>
                <w:color w:val="auto"/>
                <w:kern w:val="0"/>
                <w:szCs w:val="21"/>
                <w:highlight w:val="none"/>
                <w:lang w:val="en-US" w:eastAsia="zh-CN" w:bidi="ar"/>
              </w:rPr>
              <w:t>7</w:t>
            </w:r>
            <w:r>
              <w:rPr>
                <w:rFonts w:hint="eastAsia" w:ascii="宋体" w:hAnsi="宋体" w:eastAsia="宋体" w:cs="宋体"/>
                <w:color w:val="auto"/>
                <w:kern w:val="0"/>
                <w:szCs w:val="21"/>
                <w:highlight w:val="none"/>
                <w:lang w:bidi="ar"/>
              </w:rPr>
              <w:t>分；本小项最高得</w:t>
            </w:r>
            <w:r>
              <w:rPr>
                <w:rFonts w:hint="eastAsia" w:hAnsi="宋体" w:cs="宋体"/>
                <w:color w:val="auto"/>
                <w:kern w:val="0"/>
                <w:szCs w:val="21"/>
                <w:highlight w:val="none"/>
                <w:lang w:val="en-US" w:eastAsia="zh-CN" w:bidi="ar"/>
              </w:rPr>
              <w:t>7</w:t>
            </w:r>
            <w:r>
              <w:rPr>
                <w:rFonts w:hint="eastAsia" w:ascii="宋体" w:hAnsi="宋体" w:eastAsia="宋体" w:cs="宋体"/>
                <w:color w:val="auto"/>
                <w:kern w:val="0"/>
                <w:szCs w:val="21"/>
                <w:highlight w:val="none"/>
                <w:lang w:bidi="ar"/>
              </w:rPr>
              <w:t>分。</w:t>
            </w:r>
          </w:p>
          <w:p>
            <w:pPr>
              <w:spacing w:line="276" w:lineRule="auto"/>
            </w:pPr>
            <w:r>
              <w:rPr>
                <w:rFonts w:hint="eastAsia"/>
              </w:rPr>
              <w:t>注：需提供职称证书、</w:t>
            </w:r>
            <w:r>
              <w:rPr>
                <w:rFonts w:hint="eastAsia"/>
                <w:color w:val="auto"/>
                <w:lang w:val="en-US" w:eastAsia="zh-CN"/>
              </w:rPr>
              <w:t>执业资格证书、</w:t>
            </w:r>
            <w:r>
              <w:rPr>
                <w:rFonts w:hint="eastAsia"/>
              </w:rPr>
              <w:t>投标截止前一个月（202</w:t>
            </w:r>
            <w:r>
              <w:rPr>
                <w:highlight w:val="none"/>
              </w:rPr>
              <w:t>5</w:t>
            </w:r>
            <w:r>
              <w:rPr>
                <w:rFonts w:hint="eastAsia"/>
                <w:highlight w:val="none"/>
              </w:rPr>
              <w:t>年</w:t>
            </w:r>
            <w:r>
              <w:rPr>
                <w:rFonts w:hint="eastAsia"/>
                <w:highlight w:val="none"/>
                <w:lang w:val="en-US" w:eastAsia="zh-CN"/>
              </w:rPr>
              <w:t>9</w:t>
            </w:r>
            <w:r>
              <w:rPr>
                <w:rFonts w:hint="eastAsia"/>
                <w:highlight w:val="none"/>
              </w:rPr>
              <w:t>月）</w:t>
            </w:r>
            <w:r>
              <w:rPr>
                <w:rFonts w:hint="eastAsia"/>
              </w:rPr>
              <w:t>在投标单位参保的社保证明扫描件。</w:t>
            </w:r>
          </w:p>
        </w:tc>
      </w:tr>
      <w:tr>
        <w:tblPrEx>
          <w:tblBorders>
            <w:top w:val="single" w:color="000000" w:sz="8" w:space="0"/>
            <w:left w:val="single" w:color="000000" w:sz="8"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7" w:hRule="atLeast"/>
          <w:jc w:val="center"/>
        </w:trPr>
        <w:tc>
          <w:tcPr>
            <w:tcW w:w="2488" w:type="dxa"/>
            <w:gridSpan w:val="2"/>
            <w:tcBorders>
              <w:top w:val="single" w:color="000000" w:sz="4" w:space="0"/>
              <w:left w:val="single" w:color="000000" w:sz="8" w:space="0"/>
              <w:bottom w:val="single" w:color="000000" w:sz="4" w:space="0"/>
              <w:right w:val="single" w:color="000000" w:sz="4" w:space="0"/>
            </w:tcBorders>
            <w:vAlign w:val="center"/>
          </w:tcPr>
          <w:p>
            <w:pPr>
              <w:adjustRightInd w:val="0"/>
              <w:snapToGrid w:val="0"/>
              <w:jc w:val="center"/>
              <w:rPr>
                <w:rStyle w:val="112"/>
                <w:szCs w:val="21"/>
              </w:rPr>
            </w:pPr>
            <w:r>
              <w:rPr>
                <w:rStyle w:val="112"/>
                <w:rFonts w:hint="eastAsia"/>
                <w:szCs w:val="21"/>
              </w:rPr>
              <w:t>合计</w:t>
            </w:r>
          </w:p>
        </w:tc>
        <w:tc>
          <w:tcPr>
            <w:tcW w:w="87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Style w:val="112"/>
                <w:szCs w:val="21"/>
              </w:rPr>
            </w:pPr>
            <w:r>
              <w:rPr>
                <w:rStyle w:val="112"/>
                <w:rFonts w:hint="eastAsia"/>
                <w:szCs w:val="21"/>
              </w:rPr>
              <w:t>100</w:t>
            </w:r>
          </w:p>
        </w:tc>
        <w:tc>
          <w:tcPr>
            <w:tcW w:w="1156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Style w:val="112"/>
                <w:szCs w:val="21"/>
              </w:rPr>
            </w:pPr>
          </w:p>
        </w:tc>
      </w:tr>
    </w:tbl>
    <w:p>
      <w:pPr>
        <w:spacing w:line="440" w:lineRule="exact"/>
        <w:jc w:val="left"/>
        <w:rPr>
          <w:rFonts w:hint="eastAsia" w:ascii="等线" w:hAnsi="等线" w:eastAsia="等线"/>
          <w:b/>
          <w:bCs/>
        </w:rPr>
      </w:pPr>
      <w:r>
        <w:rPr>
          <w:rFonts w:hint="eastAsia" w:ascii="等线" w:hAnsi="等线" w:eastAsia="等线" w:cs="宋体"/>
          <w:kern w:val="0"/>
          <w:szCs w:val="21"/>
        </w:rPr>
        <w:t>备注：</w:t>
      </w:r>
    </w:p>
    <w:p>
      <w:pPr>
        <w:spacing w:line="440" w:lineRule="exact"/>
        <w:rPr>
          <w:b/>
          <w:sz w:val="36"/>
          <w:szCs w:val="36"/>
        </w:rPr>
      </w:pPr>
      <w:r>
        <w:rPr>
          <w:rFonts w:ascii="宋体" w:hAnsi="宋体" w:cs="宋体"/>
          <w:kern w:val="0"/>
          <w:szCs w:val="21"/>
        </w:rPr>
        <w:t>1</w:t>
      </w:r>
      <w:r>
        <w:rPr>
          <w:rFonts w:hint="eastAsia" w:ascii="宋体" w:hAnsi="宋体" w:cs="宋体"/>
          <w:kern w:val="0"/>
          <w:szCs w:val="21"/>
        </w:rPr>
        <w:t>、【项目管理机构】：未按要求提供完整相关资料的人员，该人员不作为评分依据。投标单位社保证明不含投标人子公司，含分公司。以上人员岗位均不可相互兼任。</w:t>
      </w:r>
    </w:p>
    <w:p>
      <w:pPr>
        <w:spacing w:line="440" w:lineRule="exact"/>
      </w:pPr>
      <w:r>
        <w:rPr>
          <w:rFonts w:hint="eastAsia"/>
        </w:rPr>
        <w:t>2、答辩：由通过技术标有效性审查的投标人拟投入本项目负责人和项目技术负责人出场答辩，讲解投标方案、解答疑问，评标委员会专家根据答辩情况进行评审。讲解投标方案注意事项如下：</w:t>
      </w:r>
    </w:p>
    <w:p>
      <w:pPr>
        <w:spacing w:line="440" w:lineRule="exact"/>
      </w:pPr>
      <w:r>
        <w:rPr>
          <w:rFonts w:hint="eastAsia"/>
        </w:rPr>
        <w:t>（1）讲解投标方案的人员要求：参与人员须是本单位的在职人员。</w:t>
      </w:r>
    </w:p>
    <w:p>
      <w:pPr>
        <w:spacing w:line="440" w:lineRule="exact"/>
      </w:pPr>
      <w:r>
        <w:rPr>
          <w:rFonts w:hint="eastAsia"/>
        </w:rPr>
        <w:t>（2）讲解投标方案的顺序：所有通过技术标有效性审查的投标人，按开标记录表上的先后顺序依次进行答辩。</w:t>
      </w:r>
    </w:p>
    <w:p>
      <w:pPr>
        <w:spacing w:line="440" w:lineRule="exact"/>
      </w:pPr>
      <w:r>
        <w:rPr>
          <w:rFonts w:hint="eastAsia"/>
        </w:rPr>
        <w:t>（3）讲解方案人员的要求：投标人在参加讲解时，应向招标人（招标代理）提供一份加盖公章的法定代表人证明书及授权委托书，并展示讲解人员在本单位2025年</w:t>
      </w:r>
      <w:r>
        <w:rPr>
          <w:rFonts w:hint="eastAsia"/>
          <w:highlight w:val="none"/>
          <w:lang w:val="en-US" w:eastAsia="zh-CN"/>
        </w:rPr>
        <w:t>9</w:t>
      </w:r>
      <w:r>
        <w:rPr>
          <w:rFonts w:hint="eastAsia"/>
          <w:highlight w:val="none"/>
        </w:rPr>
        <w:t>月的</w:t>
      </w:r>
      <w:r>
        <w:rPr>
          <w:rFonts w:hint="eastAsia"/>
        </w:rPr>
        <w:t>有效社保证明复印件并加盖单位公章)、身份证原件，招标人（招标代理）核对确认身份后再进行讲解。未能出示前述证明文件的单位不予参加讲解环节。</w:t>
      </w:r>
    </w:p>
    <w:p>
      <w:pPr>
        <w:spacing w:line="440" w:lineRule="exact"/>
      </w:pPr>
      <w:r>
        <w:rPr>
          <w:rFonts w:hint="eastAsia"/>
        </w:rPr>
        <w:t>（4）讲解形式与要求：讲解环节在评标时进行，具体时间根据评标委员会评审进度而定；招标人（招标代理）在投标方案讲解开始前通知通过技术标有效性审查的投标人到达讲解地点（讲解人员应预留出足够的时间，并保持通讯畅通），讲解人员先陈述，评委针对陈述内容及施工方案提问，由讲解人员进行解答。项目负责人或技术负责人为主辩人，负责陈述及解答问题。未通过技术标有效性审查的投标单位无需再参与方案讲解。</w:t>
      </w:r>
    </w:p>
    <w:p>
      <w:pPr>
        <w:spacing w:line="440" w:lineRule="exact"/>
        <w:rPr>
          <w:rFonts w:hint="eastAsia"/>
        </w:rPr>
      </w:pPr>
      <w:r>
        <w:rPr>
          <w:rFonts w:hint="eastAsia"/>
        </w:rPr>
        <w:t>（5）讲解时长控制：每家投标人答辩总时长控制在10分钟内。</w:t>
      </w:r>
    </w:p>
    <w:p>
      <w:pPr>
        <w:rPr>
          <w:color w:val="000000" w:themeColor="text1"/>
          <w:szCs w:val="21"/>
          <w14:textFill>
            <w14:solidFill>
              <w14:schemeClr w14:val="tx1"/>
            </w14:solidFill>
          </w14:textFill>
        </w:rPr>
      </w:pPr>
      <w:r>
        <w:br w:type="page"/>
      </w:r>
    </w:p>
    <w:p>
      <w:pPr>
        <w:rPr>
          <w:color w:val="000000" w:themeColor="text1"/>
          <w:sz w:val="24"/>
          <w:szCs w:val="24"/>
          <w14:textFill>
            <w14:solidFill>
              <w14:schemeClr w14:val="tx1"/>
            </w14:solidFill>
          </w14:textFill>
        </w:rPr>
      </w:pPr>
      <w:r>
        <w:rPr>
          <w:rFonts w:hint="eastAsia"/>
          <w:color w:val="000000" w:themeColor="text1"/>
          <w:szCs w:val="21"/>
          <w14:textFill>
            <w14:solidFill>
              <w14:schemeClr w14:val="tx1"/>
            </w14:solidFill>
          </w14:textFill>
        </w:rPr>
        <w:t>附表五（适用于区间抽取法）</w:t>
      </w:r>
    </w:p>
    <w:p>
      <w:pPr>
        <w:jc w:val="center"/>
        <w:rPr>
          <w:b/>
          <w:color w:val="000000" w:themeColor="text1"/>
          <w:sz w:val="36"/>
          <w:szCs w:val="36"/>
          <w14:textFill>
            <w14:solidFill>
              <w14:schemeClr w14:val="tx1"/>
            </w14:solidFill>
          </w14:textFill>
        </w:rPr>
      </w:pPr>
      <w:r>
        <w:rPr>
          <w:rFonts w:hint="eastAsia"/>
          <w:b/>
          <w:color w:val="000000" w:themeColor="text1"/>
          <w:sz w:val="36"/>
          <w:szCs w:val="36"/>
          <w14:textFill>
            <w14:solidFill>
              <w14:schemeClr w14:val="tx1"/>
            </w14:solidFill>
          </w14:textFill>
        </w:rPr>
        <w:t>经济标评分表</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工程名称：</w:t>
      </w:r>
    </w:p>
    <w:tbl>
      <w:tblPr>
        <w:tblStyle w:val="36"/>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4"/>
        <w:gridCol w:w="1031"/>
        <w:gridCol w:w="1031"/>
        <w:gridCol w:w="1031"/>
        <w:gridCol w:w="1031"/>
        <w:gridCol w:w="1031"/>
        <w:gridCol w:w="1031"/>
        <w:gridCol w:w="1031"/>
        <w:gridCol w:w="1031"/>
        <w:gridCol w:w="1031"/>
        <w:gridCol w:w="1031"/>
        <w:gridCol w:w="1031"/>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投标人名称</w:t>
            </w: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投标报价</w:t>
            </w:r>
            <w:r>
              <w:rPr>
                <w:rFonts w:ascii="宋体" w:hAnsi="宋体"/>
                <w:color w:val="000000" w:themeColor="text1"/>
                <w:szCs w:val="21"/>
                <w14:textFill>
                  <w14:solidFill>
                    <w14:schemeClr w14:val="tx1"/>
                  </w14:solidFill>
                </w14:textFill>
              </w:rPr>
              <w:t>PT</w:t>
            </w:r>
            <w:r>
              <w:rPr>
                <w:rFonts w:hint="eastAsia" w:ascii="宋体" w:hAnsi="宋体"/>
                <w:color w:val="000000" w:themeColor="text1"/>
                <w:szCs w:val="21"/>
                <w14:textFill>
                  <w14:solidFill>
                    <w14:schemeClr w14:val="tx1"/>
                  </w14:solidFill>
                </w14:textFill>
              </w:rPr>
              <w:t>（元）</w:t>
            </w: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计算评标参考价的等分点值X</w:t>
            </w:r>
          </w:p>
        </w:tc>
        <w:tc>
          <w:tcPr>
            <w:tcW w:w="12373" w:type="dxa"/>
            <w:gridSpan w:val="12"/>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评标参考价PC（元）</w:t>
            </w:r>
          </w:p>
        </w:tc>
        <w:tc>
          <w:tcPr>
            <w:tcW w:w="12373" w:type="dxa"/>
            <w:gridSpan w:val="12"/>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偏差（（</w:t>
            </w:r>
            <w:r>
              <w:rPr>
                <w:rFonts w:ascii="宋体" w:hAnsi="宋体"/>
                <w:color w:val="000000" w:themeColor="text1"/>
                <w:szCs w:val="21"/>
                <w14:textFill>
                  <w14:solidFill>
                    <w14:schemeClr w14:val="tx1"/>
                  </w14:solidFill>
                </w14:textFill>
              </w:rPr>
              <w:t>PT-PC</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/PC</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w:t>
            </w: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减分（</w:t>
            </w:r>
            <w:r>
              <w:rPr>
                <w:rFonts w:ascii="宋体" w:hAnsi="宋体"/>
                <w:color w:val="000000" w:themeColor="text1"/>
                <w:szCs w:val="21"/>
                <w14:textFill>
                  <w14:solidFill>
                    <w14:schemeClr w14:val="tx1"/>
                  </w14:solidFill>
                </w14:textFill>
              </w:rPr>
              <w:t>A</w:t>
            </w:r>
            <w:r>
              <w:rPr>
                <w:rFonts w:hint="eastAsia" w:ascii="宋体" w:hAnsi="宋体"/>
                <w:color w:val="000000" w:themeColor="text1"/>
                <w:szCs w:val="21"/>
                <w14:textFill>
                  <w14:solidFill>
                    <w14:schemeClr w14:val="tx1"/>
                  </w14:solidFill>
                </w14:textFill>
              </w:rPr>
              <w:t>）</w:t>
            </w: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得分（</w:t>
            </w:r>
            <w:r>
              <w:rPr>
                <w:rFonts w:ascii="宋体" w:hAnsi="宋体"/>
                <w:color w:val="000000" w:themeColor="text1"/>
                <w:szCs w:val="21"/>
                <w14:textFill>
                  <w14:solidFill>
                    <w14:schemeClr w14:val="tx1"/>
                  </w14:solidFill>
                </w14:textFill>
              </w:rPr>
              <w:t>I=100-A)</w:t>
            </w: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得分排名次序</w:t>
            </w: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r>
    </w:tbl>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评委签名：</w:t>
      </w:r>
    </w:p>
    <w:p>
      <w:pPr>
        <w:rPr>
          <w:color w:val="000000" w:themeColor="text1"/>
          <w:szCs w:val="21"/>
          <w14:textFill>
            <w14:solidFill>
              <w14:schemeClr w14:val="tx1"/>
            </w14:solidFill>
          </w14:textFill>
        </w:rPr>
      </w:pPr>
    </w:p>
    <w:p>
      <w:pPr>
        <w:rPr>
          <w:color w:val="000000" w:themeColor="text1"/>
          <w:szCs w:val="21"/>
          <w14:textFill>
            <w14:solidFill>
              <w14:schemeClr w14:val="tx1"/>
            </w14:solidFill>
          </w14:textFill>
        </w:rPr>
      </w:pPr>
    </w:p>
    <w:p>
      <w:pPr>
        <w:rPr>
          <w:color w:val="000000" w:themeColor="text1"/>
          <w:szCs w:val="21"/>
          <w14:textFill>
            <w14:solidFill>
              <w14:schemeClr w14:val="tx1"/>
            </w14:solidFill>
          </w14:textFill>
        </w:rPr>
      </w:pPr>
    </w:p>
    <w:p>
      <w:pPr>
        <w:rPr>
          <w:color w:val="000000" w:themeColor="text1"/>
          <w:szCs w:val="21"/>
          <w14:textFill>
            <w14:solidFill>
              <w14:schemeClr w14:val="tx1"/>
            </w14:solidFill>
          </w14:textFill>
        </w:rPr>
      </w:pPr>
    </w:p>
    <w:p>
      <w:pPr>
        <w:rPr>
          <w:b/>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附表六</w:t>
      </w:r>
    </w:p>
    <w:p>
      <w:pPr>
        <w:jc w:val="center"/>
        <w:rPr>
          <w:b/>
          <w:color w:val="000000" w:themeColor="text1"/>
          <w:sz w:val="36"/>
          <w:szCs w:val="36"/>
          <w14:textFill>
            <w14:solidFill>
              <w14:schemeClr w14:val="tx1"/>
            </w14:solidFill>
          </w14:textFill>
        </w:rPr>
      </w:pPr>
      <w:r>
        <w:rPr>
          <w:rFonts w:hint="eastAsia"/>
          <w:b/>
          <w:color w:val="000000" w:themeColor="text1"/>
          <w:sz w:val="36"/>
          <w:szCs w:val="36"/>
          <w14:textFill>
            <w14:solidFill>
              <w14:schemeClr w14:val="tx1"/>
            </w14:solidFill>
          </w14:textFill>
        </w:rPr>
        <w:t>算术复核表</w:t>
      </w:r>
    </w:p>
    <w:p>
      <w:pPr>
        <w:rPr>
          <w:rFonts w:hint="eastAsia" w:ascii="宋体" w:hAnsi="宋体"/>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工程名称：</w:t>
      </w:r>
      <w:r>
        <w:rPr>
          <w:color w:val="000000" w:themeColor="text1"/>
          <w:kern w:val="0"/>
          <w:szCs w:val="21"/>
          <w14:textFill>
            <w14:solidFill>
              <w14:schemeClr w14:val="tx1"/>
            </w14:solidFill>
          </w14:textFill>
        </w:rPr>
        <w:t xml:space="preserve">                                          </w:t>
      </w:r>
      <w:r>
        <w:rPr>
          <w:rFonts w:ascii="宋体" w:hAnsi="宋体"/>
          <w:color w:val="000000" w:themeColor="text1"/>
          <w:kern w:val="0"/>
          <w:szCs w:val="21"/>
          <w14:textFill>
            <w14:solidFill>
              <w14:schemeClr w14:val="tx1"/>
            </w14:solidFill>
          </w14:textFill>
        </w:rPr>
        <w:t xml:space="preserve"> </w:t>
      </w:r>
      <w:r>
        <w:rPr>
          <w:rFonts w:hint="eastAsia" w:ascii="宋体" w:hAnsi="宋体"/>
          <w:color w:val="000000" w:themeColor="text1"/>
          <w:kern w:val="0"/>
          <w:szCs w:val="21"/>
          <w14:textFill>
            <w14:solidFill>
              <w14:schemeClr w14:val="tx1"/>
            </w14:solidFill>
          </w14:textFill>
        </w:rPr>
        <w:t>投标人：</w:t>
      </w:r>
      <w:r>
        <w:rPr>
          <w:rFonts w:ascii="宋体" w:hAnsi="宋体"/>
          <w:color w:val="000000" w:themeColor="text1"/>
          <w:kern w:val="0"/>
          <w:szCs w:val="21"/>
          <w14:textFill>
            <w14:solidFill>
              <w14:schemeClr w14:val="tx1"/>
            </w14:solidFill>
          </w14:textFill>
        </w:rPr>
        <w:t xml:space="preserve">                                                  </w:t>
      </w:r>
      <w:r>
        <w:rPr>
          <w:rFonts w:hint="eastAsia" w:ascii="宋体" w:hAnsi="宋体"/>
          <w:color w:val="000000" w:themeColor="text1"/>
          <w:kern w:val="0"/>
          <w:szCs w:val="21"/>
          <w14:textFill>
            <w14:solidFill>
              <w14:schemeClr w14:val="tx1"/>
            </w14:solidFill>
          </w14:textFill>
        </w:rPr>
        <w:t>单位：元</w:t>
      </w:r>
    </w:p>
    <w:tbl>
      <w:tblPr>
        <w:tblStyle w:val="36"/>
        <w:tblW w:w="14820" w:type="dxa"/>
        <w:tblInd w:w="0" w:type="dxa"/>
        <w:tblLayout w:type="fixed"/>
        <w:tblCellMar>
          <w:top w:w="0" w:type="dxa"/>
          <w:left w:w="108" w:type="dxa"/>
          <w:bottom w:w="0" w:type="dxa"/>
          <w:right w:w="108" w:type="dxa"/>
        </w:tblCellMar>
      </w:tblPr>
      <w:tblGrid>
        <w:gridCol w:w="645"/>
        <w:gridCol w:w="4488"/>
        <w:gridCol w:w="1602"/>
        <w:gridCol w:w="1575"/>
        <w:gridCol w:w="1575"/>
        <w:gridCol w:w="1470"/>
        <w:gridCol w:w="3465"/>
      </w:tblGrid>
      <w:tr>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编号</w:t>
            </w:r>
          </w:p>
        </w:tc>
        <w:tc>
          <w:tcPr>
            <w:tcW w:w="4488" w:type="dxa"/>
            <w:tcBorders>
              <w:top w:val="single" w:color="auto" w:sz="4" w:space="0"/>
              <w:left w:val="nil"/>
              <w:bottom w:val="single" w:color="auto" w:sz="4" w:space="0"/>
              <w:right w:val="single" w:color="auto" w:sz="4" w:space="0"/>
            </w:tcBorders>
            <w:vAlign w:val="center"/>
          </w:tcPr>
          <w:p>
            <w:pP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算术校核项目</w:t>
            </w:r>
          </w:p>
        </w:tc>
        <w:tc>
          <w:tcPr>
            <w:tcW w:w="1602" w:type="dxa"/>
            <w:tcBorders>
              <w:top w:val="single" w:color="auto" w:sz="4" w:space="0"/>
              <w:left w:val="nil"/>
              <w:bottom w:val="single" w:color="auto" w:sz="4" w:space="0"/>
              <w:right w:val="single" w:color="auto" w:sz="4" w:space="0"/>
            </w:tcBorders>
            <w:vAlign w:val="center"/>
          </w:tcPr>
          <w:p>
            <w:pP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修正前投标</w:t>
            </w:r>
          </w:p>
          <w:p>
            <w:pP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报价</w:t>
            </w:r>
            <w:r>
              <w:rPr>
                <w:rFonts w:ascii="宋体" w:hAnsi="宋体"/>
                <w:color w:val="000000" w:themeColor="text1"/>
                <w:kern w:val="0"/>
                <w:szCs w:val="21"/>
                <w14:textFill>
                  <w14:solidFill>
                    <w14:schemeClr w14:val="tx1"/>
                  </w14:solidFill>
                </w14:textFill>
              </w:rPr>
              <w:t>A</w:t>
            </w:r>
          </w:p>
        </w:tc>
        <w:tc>
          <w:tcPr>
            <w:tcW w:w="1575" w:type="dxa"/>
            <w:tcBorders>
              <w:top w:val="single" w:color="auto" w:sz="4" w:space="0"/>
              <w:left w:val="nil"/>
              <w:bottom w:val="single" w:color="auto" w:sz="4" w:space="0"/>
              <w:right w:val="single" w:color="auto" w:sz="4" w:space="0"/>
            </w:tcBorders>
            <w:vAlign w:val="center"/>
          </w:tcPr>
          <w:p>
            <w:pP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修正后投标</w:t>
            </w:r>
          </w:p>
          <w:p>
            <w:pP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报价</w:t>
            </w:r>
            <w:r>
              <w:rPr>
                <w:rFonts w:ascii="宋体" w:hAnsi="宋体"/>
                <w:color w:val="000000" w:themeColor="text1"/>
                <w:kern w:val="0"/>
                <w:szCs w:val="21"/>
                <w14:textFill>
                  <w14:solidFill>
                    <w14:schemeClr w14:val="tx1"/>
                  </w14:solidFill>
                </w14:textFill>
              </w:rPr>
              <w:t>B</w:t>
            </w:r>
          </w:p>
        </w:tc>
        <w:tc>
          <w:tcPr>
            <w:tcW w:w="1575" w:type="dxa"/>
            <w:tcBorders>
              <w:top w:val="single" w:color="auto" w:sz="4" w:space="0"/>
              <w:left w:val="nil"/>
              <w:bottom w:val="single" w:color="auto" w:sz="4" w:space="0"/>
              <w:right w:val="single" w:color="auto" w:sz="4" w:space="0"/>
            </w:tcBorders>
            <w:vAlign w:val="center"/>
          </w:tcPr>
          <w:p>
            <w:pP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修正率</w:t>
            </w:r>
          </w:p>
          <w:p>
            <w:pP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r=|A-B|/A*100%</w:t>
            </w:r>
          </w:p>
        </w:tc>
        <w:tc>
          <w:tcPr>
            <w:tcW w:w="1470" w:type="dxa"/>
            <w:tcBorders>
              <w:top w:val="single" w:color="auto" w:sz="4" w:space="0"/>
              <w:left w:val="nil"/>
              <w:bottom w:val="single" w:color="auto" w:sz="4" w:space="0"/>
              <w:right w:val="single" w:color="auto" w:sz="4" w:space="0"/>
            </w:tcBorders>
            <w:vAlign w:val="center"/>
          </w:tcPr>
          <w:p>
            <w:pP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经评审的最终投标报价</w:t>
            </w:r>
          </w:p>
        </w:tc>
        <w:tc>
          <w:tcPr>
            <w:tcW w:w="3465" w:type="dxa"/>
            <w:tcBorders>
              <w:top w:val="single" w:color="auto" w:sz="4" w:space="0"/>
              <w:left w:val="nil"/>
              <w:bottom w:val="single" w:color="auto" w:sz="4" w:space="0"/>
              <w:right w:val="single" w:color="auto" w:sz="4" w:space="0"/>
            </w:tcBorders>
            <w:vAlign w:val="center"/>
          </w:tcPr>
          <w:p>
            <w:pP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当</w:t>
            </w:r>
            <w:r>
              <w:rPr>
                <w:rFonts w:ascii="宋体" w:hAnsi="宋体"/>
                <w:color w:val="000000" w:themeColor="text1"/>
                <w:kern w:val="0"/>
                <w:szCs w:val="21"/>
                <w14:textFill>
                  <w14:solidFill>
                    <w14:schemeClr w14:val="tx1"/>
                  </w14:solidFill>
                </w14:textFill>
              </w:rPr>
              <w:t>B&gt;A</w:t>
            </w:r>
            <w:r>
              <w:rPr>
                <w:rFonts w:hint="eastAsia" w:ascii="宋体" w:hAnsi="宋体"/>
                <w:color w:val="000000" w:themeColor="text1"/>
                <w:kern w:val="0"/>
                <w:szCs w:val="21"/>
                <w14:textFill>
                  <w14:solidFill>
                    <w14:schemeClr w14:val="tx1"/>
                  </w14:solidFill>
                </w14:textFill>
              </w:rPr>
              <w:t>时，修正后报价与原报价的差额；当</w:t>
            </w:r>
            <w:r>
              <w:rPr>
                <w:rFonts w:ascii="宋体" w:hAnsi="宋体"/>
                <w:color w:val="000000" w:themeColor="text1"/>
                <w:kern w:val="0"/>
                <w:szCs w:val="21"/>
                <w14:textFill>
                  <w14:solidFill>
                    <w14:schemeClr w14:val="tx1"/>
                  </w14:solidFill>
                </w14:textFill>
              </w:rPr>
              <w:t>B</w:t>
            </w:r>
            <w:r>
              <w:rPr>
                <w:rFonts w:hint="eastAsia" w:ascii="宋体" w:hAnsi="宋体"/>
                <w:color w:val="000000" w:themeColor="text1"/>
                <w:kern w:val="0"/>
                <w:szCs w:val="21"/>
                <w14:textFill>
                  <w14:solidFill>
                    <w14:schemeClr w14:val="tx1"/>
                  </w14:solidFill>
                </w14:textFill>
              </w:rPr>
              <w:t>≤</w:t>
            </w:r>
            <w:r>
              <w:rPr>
                <w:rFonts w:ascii="宋体" w:hAnsi="宋体"/>
                <w:color w:val="000000" w:themeColor="text1"/>
                <w:kern w:val="0"/>
                <w:szCs w:val="21"/>
                <w14:textFill>
                  <w14:solidFill>
                    <w14:schemeClr w14:val="tx1"/>
                  </w14:solidFill>
                </w14:textFill>
              </w:rPr>
              <w:t>A</w:t>
            </w:r>
            <w:r>
              <w:rPr>
                <w:rFonts w:hint="eastAsia" w:ascii="宋体" w:hAnsi="宋体"/>
                <w:color w:val="000000" w:themeColor="text1"/>
                <w:kern w:val="0"/>
                <w:szCs w:val="21"/>
                <w14:textFill>
                  <w14:solidFill>
                    <w14:schemeClr w14:val="tx1"/>
                  </w14:solidFill>
                </w14:textFill>
              </w:rPr>
              <w:t>时，</w:t>
            </w:r>
            <w:r>
              <w:rPr>
                <w:rFonts w:ascii="宋体" w:hAnsi="宋体"/>
                <w:color w:val="000000" w:themeColor="text1"/>
                <w:kern w:val="0"/>
                <w:szCs w:val="21"/>
                <w14:textFill>
                  <w14:solidFill>
                    <w14:schemeClr w14:val="tx1"/>
                  </w14:solidFill>
                </w14:textFill>
              </w:rPr>
              <w:t>R=0</w:t>
            </w: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1</w:t>
            </w:r>
          </w:p>
        </w:tc>
        <w:tc>
          <w:tcPr>
            <w:tcW w:w="4488" w:type="dxa"/>
            <w:tcBorders>
              <w:top w:val="nil"/>
              <w:left w:val="nil"/>
              <w:bottom w:val="single" w:color="auto" w:sz="4" w:space="0"/>
              <w:right w:val="single" w:color="auto" w:sz="4" w:space="0"/>
            </w:tcBorders>
            <w:vAlign w:val="center"/>
          </w:tcPr>
          <w:p>
            <w:pP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w:t>
            </w:r>
            <w:r>
              <w:rPr>
                <w:rFonts w:hint="eastAsia" w:ascii="宋体" w:hAnsi="宋体"/>
                <w:color w:val="000000" w:themeColor="text1"/>
                <w:kern w:val="0"/>
                <w:szCs w:val="21"/>
                <w14:textFill>
                  <w14:solidFill>
                    <w14:schemeClr w14:val="tx1"/>
                  </w14:solidFill>
                </w14:textFill>
              </w:rPr>
              <w:t>单位工程</w:t>
            </w:r>
            <w:r>
              <w:rPr>
                <w:rFonts w:ascii="宋体" w:hAnsi="宋体"/>
                <w:color w:val="000000" w:themeColor="text1"/>
                <w:kern w:val="0"/>
                <w:szCs w:val="21"/>
                <w14:textFill>
                  <w14:solidFill>
                    <w14:schemeClr w14:val="tx1"/>
                  </w14:solidFill>
                </w14:textFill>
              </w:rPr>
              <w:t>1]</w:t>
            </w:r>
          </w:p>
        </w:tc>
        <w:tc>
          <w:tcPr>
            <w:tcW w:w="1602" w:type="dxa"/>
            <w:tcBorders>
              <w:top w:val="nil"/>
              <w:left w:val="nil"/>
              <w:bottom w:val="single" w:color="auto" w:sz="4" w:space="0"/>
              <w:right w:val="single" w:color="auto" w:sz="4" w:space="0"/>
            </w:tcBorders>
            <w:vAlign w:val="center"/>
          </w:tcPr>
          <w:p>
            <w:pP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w:t>
            </w:r>
          </w:p>
        </w:tc>
        <w:tc>
          <w:tcPr>
            <w:tcW w:w="1575" w:type="dxa"/>
            <w:tcBorders>
              <w:top w:val="nil"/>
              <w:left w:val="nil"/>
              <w:bottom w:val="single" w:color="auto" w:sz="4" w:space="0"/>
              <w:right w:val="single" w:color="auto" w:sz="4" w:space="0"/>
            </w:tcBorders>
            <w:vAlign w:val="center"/>
          </w:tcPr>
          <w:p>
            <w:pP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w:t>
            </w:r>
          </w:p>
        </w:tc>
        <w:tc>
          <w:tcPr>
            <w:tcW w:w="1575" w:type="dxa"/>
            <w:tcBorders>
              <w:top w:val="nil"/>
              <w:left w:val="nil"/>
              <w:bottom w:val="single" w:color="auto" w:sz="4" w:space="0"/>
              <w:right w:val="single" w:color="auto" w:sz="4" w:space="0"/>
            </w:tcBorders>
            <w:vAlign w:val="center"/>
          </w:tcPr>
          <w:p>
            <w:pP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w:t>
            </w:r>
          </w:p>
        </w:tc>
        <w:tc>
          <w:tcPr>
            <w:tcW w:w="1470" w:type="dxa"/>
            <w:tcBorders>
              <w:top w:val="nil"/>
              <w:left w:val="nil"/>
              <w:bottom w:val="single" w:color="auto" w:sz="4" w:space="0"/>
              <w:right w:val="single" w:color="auto" w:sz="4" w:space="0"/>
            </w:tcBorders>
            <w:vAlign w:val="center"/>
          </w:tcPr>
          <w:p>
            <w:pP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w:t>
            </w:r>
          </w:p>
        </w:tc>
        <w:tc>
          <w:tcPr>
            <w:tcW w:w="3465" w:type="dxa"/>
            <w:tcBorders>
              <w:top w:val="single" w:color="auto" w:sz="4" w:space="0"/>
              <w:left w:val="nil"/>
              <w:bottom w:val="single" w:color="auto" w:sz="4" w:space="0"/>
              <w:right w:val="single" w:color="auto" w:sz="4" w:space="0"/>
            </w:tcBorders>
            <w:vAlign w:val="center"/>
          </w:tcPr>
          <w:p>
            <w:pPr>
              <w:rPr>
                <w:rFonts w:hint="eastAsia" w:ascii="宋体" w:hAnsi="宋体"/>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2</w:t>
            </w:r>
          </w:p>
        </w:tc>
        <w:tc>
          <w:tcPr>
            <w:tcW w:w="4488" w:type="dxa"/>
            <w:tcBorders>
              <w:top w:val="nil"/>
              <w:left w:val="nil"/>
              <w:bottom w:val="single" w:color="auto" w:sz="4" w:space="0"/>
              <w:right w:val="single" w:color="auto" w:sz="4" w:space="0"/>
            </w:tcBorders>
            <w:vAlign w:val="center"/>
          </w:tcPr>
          <w:p>
            <w:pP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w:t>
            </w:r>
            <w:r>
              <w:rPr>
                <w:rFonts w:hint="eastAsia" w:ascii="宋体" w:hAnsi="宋体"/>
                <w:color w:val="000000" w:themeColor="text1"/>
                <w:kern w:val="0"/>
                <w:szCs w:val="21"/>
                <w14:textFill>
                  <w14:solidFill>
                    <w14:schemeClr w14:val="tx1"/>
                  </w14:solidFill>
                </w14:textFill>
              </w:rPr>
              <w:t>单位工程</w:t>
            </w:r>
            <w:r>
              <w:rPr>
                <w:rFonts w:ascii="宋体" w:hAnsi="宋体"/>
                <w:color w:val="000000" w:themeColor="text1"/>
                <w:kern w:val="0"/>
                <w:szCs w:val="21"/>
                <w14:textFill>
                  <w14:solidFill>
                    <w14:schemeClr w14:val="tx1"/>
                  </w14:solidFill>
                </w14:textFill>
              </w:rPr>
              <w:t>2]</w:t>
            </w:r>
          </w:p>
        </w:tc>
        <w:tc>
          <w:tcPr>
            <w:tcW w:w="1602" w:type="dxa"/>
            <w:tcBorders>
              <w:top w:val="nil"/>
              <w:left w:val="nil"/>
              <w:bottom w:val="single" w:color="auto" w:sz="4" w:space="0"/>
              <w:right w:val="single" w:color="auto" w:sz="4" w:space="0"/>
            </w:tcBorders>
            <w:vAlign w:val="center"/>
          </w:tcPr>
          <w:p>
            <w:pP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w:t>
            </w:r>
          </w:p>
        </w:tc>
        <w:tc>
          <w:tcPr>
            <w:tcW w:w="1575" w:type="dxa"/>
            <w:tcBorders>
              <w:top w:val="nil"/>
              <w:left w:val="nil"/>
              <w:bottom w:val="single" w:color="auto" w:sz="4" w:space="0"/>
              <w:right w:val="single" w:color="auto" w:sz="4" w:space="0"/>
            </w:tcBorders>
            <w:vAlign w:val="center"/>
          </w:tcPr>
          <w:p>
            <w:pP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w:t>
            </w:r>
          </w:p>
        </w:tc>
        <w:tc>
          <w:tcPr>
            <w:tcW w:w="1575" w:type="dxa"/>
            <w:tcBorders>
              <w:top w:val="nil"/>
              <w:left w:val="nil"/>
              <w:bottom w:val="single" w:color="auto" w:sz="4" w:space="0"/>
              <w:right w:val="single" w:color="auto" w:sz="4" w:space="0"/>
            </w:tcBorders>
            <w:vAlign w:val="center"/>
          </w:tcPr>
          <w:p>
            <w:pP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w:t>
            </w:r>
          </w:p>
        </w:tc>
        <w:tc>
          <w:tcPr>
            <w:tcW w:w="1470" w:type="dxa"/>
            <w:tcBorders>
              <w:top w:val="nil"/>
              <w:left w:val="nil"/>
              <w:bottom w:val="single" w:color="auto" w:sz="4" w:space="0"/>
              <w:right w:val="single" w:color="auto" w:sz="4" w:space="0"/>
            </w:tcBorders>
            <w:vAlign w:val="center"/>
          </w:tcPr>
          <w:p>
            <w:pP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w:t>
            </w:r>
          </w:p>
        </w:tc>
        <w:tc>
          <w:tcPr>
            <w:tcW w:w="3465" w:type="dxa"/>
            <w:tcBorders>
              <w:top w:val="single" w:color="auto" w:sz="4" w:space="0"/>
              <w:left w:val="nil"/>
              <w:bottom w:val="single" w:color="auto" w:sz="4" w:space="0"/>
              <w:right w:val="single" w:color="auto" w:sz="4" w:space="0"/>
            </w:tcBorders>
            <w:vAlign w:val="center"/>
          </w:tcPr>
          <w:p>
            <w:pPr>
              <w:rPr>
                <w:rFonts w:hint="eastAsia" w:ascii="宋体" w:hAnsi="宋体"/>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w:t>
            </w:r>
          </w:p>
        </w:tc>
        <w:tc>
          <w:tcPr>
            <w:tcW w:w="4488" w:type="dxa"/>
            <w:tcBorders>
              <w:top w:val="nil"/>
              <w:left w:val="nil"/>
              <w:bottom w:val="single" w:color="auto" w:sz="4" w:space="0"/>
              <w:right w:val="single" w:color="auto" w:sz="4" w:space="0"/>
            </w:tcBorders>
            <w:vAlign w:val="center"/>
          </w:tcPr>
          <w:p>
            <w:pP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w:t>
            </w:r>
          </w:p>
        </w:tc>
        <w:tc>
          <w:tcPr>
            <w:tcW w:w="1602" w:type="dxa"/>
            <w:tcBorders>
              <w:top w:val="nil"/>
              <w:left w:val="nil"/>
              <w:bottom w:val="single" w:color="auto" w:sz="4" w:space="0"/>
              <w:right w:val="single" w:color="auto" w:sz="4" w:space="0"/>
            </w:tcBorders>
            <w:vAlign w:val="center"/>
          </w:tcPr>
          <w:p>
            <w:pP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w:t>
            </w:r>
          </w:p>
        </w:tc>
        <w:tc>
          <w:tcPr>
            <w:tcW w:w="1575" w:type="dxa"/>
            <w:tcBorders>
              <w:top w:val="nil"/>
              <w:left w:val="nil"/>
              <w:bottom w:val="single" w:color="auto" w:sz="4" w:space="0"/>
              <w:right w:val="single" w:color="auto" w:sz="4" w:space="0"/>
            </w:tcBorders>
            <w:vAlign w:val="center"/>
          </w:tcPr>
          <w:p>
            <w:pP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w:t>
            </w:r>
          </w:p>
        </w:tc>
        <w:tc>
          <w:tcPr>
            <w:tcW w:w="1575" w:type="dxa"/>
            <w:tcBorders>
              <w:top w:val="nil"/>
              <w:left w:val="nil"/>
              <w:bottom w:val="single" w:color="auto" w:sz="4" w:space="0"/>
              <w:right w:val="single" w:color="auto" w:sz="4" w:space="0"/>
            </w:tcBorders>
            <w:vAlign w:val="center"/>
          </w:tcPr>
          <w:p>
            <w:pP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w:t>
            </w:r>
          </w:p>
        </w:tc>
        <w:tc>
          <w:tcPr>
            <w:tcW w:w="1470" w:type="dxa"/>
            <w:tcBorders>
              <w:top w:val="nil"/>
              <w:left w:val="nil"/>
              <w:bottom w:val="single" w:color="auto" w:sz="4" w:space="0"/>
              <w:right w:val="single" w:color="auto" w:sz="4" w:space="0"/>
            </w:tcBorders>
            <w:vAlign w:val="center"/>
          </w:tcPr>
          <w:p>
            <w:pP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w:t>
            </w:r>
          </w:p>
        </w:tc>
        <w:tc>
          <w:tcPr>
            <w:tcW w:w="3465" w:type="dxa"/>
            <w:tcBorders>
              <w:top w:val="single" w:color="auto" w:sz="4" w:space="0"/>
              <w:left w:val="nil"/>
              <w:bottom w:val="single" w:color="auto" w:sz="4" w:space="0"/>
              <w:right w:val="single" w:color="auto" w:sz="4" w:space="0"/>
            </w:tcBorders>
            <w:vAlign w:val="center"/>
          </w:tcPr>
          <w:p>
            <w:pPr>
              <w:rPr>
                <w:rFonts w:hint="eastAsia" w:ascii="宋体" w:hAnsi="宋体"/>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w:t>
            </w:r>
          </w:p>
        </w:tc>
        <w:tc>
          <w:tcPr>
            <w:tcW w:w="4488" w:type="dxa"/>
            <w:tcBorders>
              <w:top w:val="nil"/>
              <w:left w:val="nil"/>
              <w:bottom w:val="single" w:color="auto" w:sz="4" w:space="0"/>
              <w:right w:val="single" w:color="auto" w:sz="4" w:space="0"/>
            </w:tcBorders>
            <w:vAlign w:val="center"/>
          </w:tcPr>
          <w:p>
            <w:pP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w:t>
            </w:r>
          </w:p>
        </w:tc>
        <w:tc>
          <w:tcPr>
            <w:tcW w:w="1602" w:type="dxa"/>
            <w:tcBorders>
              <w:top w:val="nil"/>
              <w:left w:val="nil"/>
              <w:bottom w:val="single" w:color="auto" w:sz="4" w:space="0"/>
              <w:right w:val="single" w:color="auto" w:sz="4" w:space="0"/>
            </w:tcBorders>
            <w:vAlign w:val="center"/>
          </w:tcPr>
          <w:p>
            <w:pP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w:t>
            </w:r>
          </w:p>
        </w:tc>
        <w:tc>
          <w:tcPr>
            <w:tcW w:w="1575" w:type="dxa"/>
            <w:tcBorders>
              <w:top w:val="nil"/>
              <w:left w:val="nil"/>
              <w:bottom w:val="single" w:color="auto" w:sz="4" w:space="0"/>
              <w:right w:val="single" w:color="auto" w:sz="4" w:space="0"/>
            </w:tcBorders>
            <w:vAlign w:val="center"/>
          </w:tcPr>
          <w:p>
            <w:pP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w:t>
            </w:r>
          </w:p>
        </w:tc>
        <w:tc>
          <w:tcPr>
            <w:tcW w:w="1575" w:type="dxa"/>
            <w:tcBorders>
              <w:top w:val="nil"/>
              <w:left w:val="nil"/>
              <w:bottom w:val="single" w:color="auto" w:sz="4" w:space="0"/>
              <w:right w:val="single" w:color="auto" w:sz="4" w:space="0"/>
            </w:tcBorders>
            <w:vAlign w:val="center"/>
          </w:tcPr>
          <w:p>
            <w:pP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w:t>
            </w:r>
          </w:p>
        </w:tc>
        <w:tc>
          <w:tcPr>
            <w:tcW w:w="1470" w:type="dxa"/>
            <w:tcBorders>
              <w:top w:val="nil"/>
              <w:left w:val="nil"/>
              <w:bottom w:val="single" w:color="auto" w:sz="4" w:space="0"/>
              <w:right w:val="single" w:color="auto" w:sz="4" w:space="0"/>
            </w:tcBorders>
            <w:vAlign w:val="center"/>
          </w:tcPr>
          <w:p>
            <w:pP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w:t>
            </w:r>
          </w:p>
        </w:tc>
        <w:tc>
          <w:tcPr>
            <w:tcW w:w="3465" w:type="dxa"/>
            <w:tcBorders>
              <w:top w:val="single" w:color="auto" w:sz="4" w:space="0"/>
              <w:left w:val="nil"/>
              <w:bottom w:val="single" w:color="auto" w:sz="4" w:space="0"/>
              <w:right w:val="single" w:color="auto" w:sz="4" w:space="0"/>
            </w:tcBorders>
            <w:vAlign w:val="center"/>
          </w:tcPr>
          <w:p>
            <w:pPr>
              <w:rPr>
                <w:rFonts w:hint="eastAsia" w:ascii="宋体" w:hAnsi="宋体"/>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w:t>
            </w:r>
          </w:p>
        </w:tc>
        <w:tc>
          <w:tcPr>
            <w:tcW w:w="4488" w:type="dxa"/>
            <w:tcBorders>
              <w:top w:val="nil"/>
              <w:left w:val="nil"/>
              <w:bottom w:val="single" w:color="auto" w:sz="4" w:space="0"/>
              <w:right w:val="single" w:color="auto" w:sz="4" w:space="0"/>
            </w:tcBorders>
            <w:vAlign w:val="center"/>
          </w:tcPr>
          <w:p>
            <w:pP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w:t>
            </w:r>
          </w:p>
        </w:tc>
        <w:tc>
          <w:tcPr>
            <w:tcW w:w="1602" w:type="dxa"/>
            <w:tcBorders>
              <w:top w:val="nil"/>
              <w:left w:val="nil"/>
              <w:bottom w:val="single" w:color="auto" w:sz="4" w:space="0"/>
              <w:right w:val="single" w:color="auto" w:sz="4" w:space="0"/>
            </w:tcBorders>
            <w:vAlign w:val="center"/>
          </w:tcPr>
          <w:p>
            <w:pP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w:t>
            </w:r>
          </w:p>
        </w:tc>
        <w:tc>
          <w:tcPr>
            <w:tcW w:w="1575" w:type="dxa"/>
            <w:tcBorders>
              <w:top w:val="nil"/>
              <w:left w:val="nil"/>
              <w:bottom w:val="single" w:color="auto" w:sz="4" w:space="0"/>
              <w:right w:val="single" w:color="auto" w:sz="4" w:space="0"/>
            </w:tcBorders>
            <w:vAlign w:val="center"/>
          </w:tcPr>
          <w:p>
            <w:pP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w:t>
            </w:r>
          </w:p>
        </w:tc>
        <w:tc>
          <w:tcPr>
            <w:tcW w:w="1575" w:type="dxa"/>
            <w:tcBorders>
              <w:top w:val="nil"/>
              <w:left w:val="nil"/>
              <w:bottom w:val="single" w:color="auto" w:sz="4" w:space="0"/>
              <w:right w:val="single" w:color="auto" w:sz="4" w:space="0"/>
            </w:tcBorders>
            <w:vAlign w:val="center"/>
          </w:tcPr>
          <w:p>
            <w:pP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w:t>
            </w:r>
          </w:p>
        </w:tc>
        <w:tc>
          <w:tcPr>
            <w:tcW w:w="1470" w:type="dxa"/>
            <w:tcBorders>
              <w:top w:val="nil"/>
              <w:left w:val="nil"/>
              <w:bottom w:val="single" w:color="auto" w:sz="4" w:space="0"/>
              <w:right w:val="single" w:color="auto" w:sz="4" w:space="0"/>
            </w:tcBorders>
            <w:vAlign w:val="center"/>
          </w:tcPr>
          <w:p>
            <w:pP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w:t>
            </w:r>
          </w:p>
        </w:tc>
        <w:tc>
          <w:tcPr>
            <w:tcW w:w="3465" w:type="dxa"/>
            <w:tcBorders>
              <w:top w:val="single" w:color="auto" w:sz="4" w:space="0"/>
              <w:left w:val="nil"/>
              <w:bottom w:val="single" w:color="auto" w:sz="4" w:space="0"/>
              <w:right w:val="single" w:color="auto" w:sz="4" w:space="0"/>
            </w:tcBorders>
            <w:vAlign w:val="center"/>
          </w:tcPr>
          <w:p>
            <w:pPr>
              <w:rPr>
                <w:rFonts w:hint="eastAsia" w:ascii="宋体" w:hAnsi="宋体"/>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n</w:t>
            </w:r>
          </w:p>
        </w:tc>
        <w:tc>
          <w:tcPr>
            <w:tcW w:w="4488" w:type="dxa"/>
            <w:tcBorders>
              <w:top w:val="nil"/>
              <w:left w:val="nil"/>
              <w:bottom w:val="single" w:color="auto" w:sz="4" w:space="0"/>
              <w:right w:val="single" w:color="auto" w:sz="4" w:space="0"/>
            </w:tcBorders>
            <w:vAlign w:val="center"/>
          </w:tcPr>
          <w:p>
            <w:pP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w:t>
            </w:r>
            <w:r>
              <w:rPr>
                <w:rFonts w:hint="eastAsia" w:ascii="宋体" w:hAnsi="宋体"/>
                <w:color w:val="000000" w:themeColor="text1"/>
                <w:kern w:val="0"/>
                <w:szCs w:val="21"/>
                <w14:textFill>
                  <w14:solidFill>
                    <w14:schemeClr w14:val="tx1"/>
                  </w14:solidFill>
                </w14:textFill>
              </w:rPr>
              <w:t>单位工程</w:t>
            </w:r>
            <w:r>
              <w:rPr>
                <w:rFonts w:ascii="宋体" w:hAnsi="宋体"/>
                <w:color w:val="000000" w:themeColor="text1"/>
                <w:kern w:val="0"/>
                <w:szCs w:val="21"/>
                <w14:textFill>
                  <w14:solidFill>
                    <w14:schemeClr w14:val="tx1"/>
                  </w14:solidFill>
                </w14:textFill>
              </w:rPr>
              <w:t>n]</w:t>
            </w:r>
          </w:p>
        </w:tc>
        <w:tc>
          <w:tcPr>
            <w:tcW w:w="1602" w:type="dxa"/>
            <w:tcBorders>
              <w:top w:val="nil"/>
              <w:left w:val="nil"/>
              <w:bottom w:val="single" w:color="auto" w:sz="4" w:space="0"/>
              <w:right w:val="single" w:color="auto" w:sz="4" w:space="0"/>
            </w:tcBorders>
            <w:vAlign w:val="center"/>
          </w:tcPr>
          <w:p>
            <w:pP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w:t>
            </w:r>
          </w:p>
        </w:tc>
        <w:tc>
          <w:tcPr>
            <w:tcW w:w="1575" w:type="dxa"/>
            <w:tcBorders>
              <w:top w:val="nil"/>
              <w:left w:val="nil"/>
              <w:bottom w:val="single" w:color="auto" w:sz="4" w:space="0"/>
              <w:right w:val="single" w:color="auto" w:sz="4" w:space="0"/>
            </w:tcBorders>
            <w:vAlign w:val="center"/>
          </w:tcPr>
          <w:p>
            <w:pP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w:t>
            </w:r>
          </w:p>
        </w:tc>
        <w:tc>
          <w:tcPr>
            <w:tcW w:w="1575" w:type="dxa"/>
            <w:tcBorders>
              <w:top w:val="nil"/>
              <w:left w:val="nil"/>
              <w:bottom w:val="single" w:color="auto" w:sz="4" w:space="0"/>
              <w:right w:val="single" w:color="auto" w:sz="4" w:space="0"/>
            </w:tcBorders>
            <w:vAlign w:val="center"/>
          </w:tcPr>
          <w:p>
            <w:pP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w:t>
            </w:r>
          </w:p>
        </w:tc>
        <w:tc>
          <w:tcPr>
            <w:tcW w:w="1470" w:type="dxa"/>
            <w:tcBorders>
              <w:top w:val="nil"/>
              <w:left w:val="nil"/>
              <w:bottom w:val="single" w:color="auto" w:sz="4" w:space="0"/>
              <w:right w:val="single" w:color="auto" w:sz="4" w:space="0"/>
            </w:tcBorders>
            <w:vAlign w:val="center"/>
          </w:tcPr>
          <w:p>
            <w:pP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w:t>
            </w:r>
          </w:p>
        </w:tc>
        <w:tc>
          <w:tcPr>
            <w:tcW w:w="3465" w:type="dxa"/>
            <w:tcBorders>
              <w:top w:val="single" w:color="auto" w:sz="4" w:space="0"/>
              <w:left w:val="nil"/>
              <w:bottom w:val="single" w:color="auto" w:sz="4" w:space="0"/>
              <w:right w:val="single" w:color="auto" w:sz="4" w:space="0"/>
            </w:tcBorders>
            <w:vAlign w:val="center"/>
          </w:tcPr>
          <w:p>
            <w:pPr>
              <w:rPr>
                <w:rFonts w:hint="eastAsia" w:ascii="宋体" w:hAnsi="宋体"/>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w:t>
            </w:r>
          </w:p>
        </w:tc>
        <w:tc>
          <w:tcPr>
            <w:tcW w:w="4488" w:type="dxa"/>
            <w:tcBorders>
              <w:top w:val="nil"/>
              <w:left w:val="nil"/>
              <w:bottom w:val="single" w:color="auto" w:sz="4" w:space="0"/>
              <w:right w:val="single" w:color="auto" w:sz="4" w:space="0"/>
            </w:tcBorders>
            <w:vAlign w:val="center"/>
          </w:tcPr>
          <w:p>
            <w:pP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投标总报价</w:t>
            </w:r>
          </w:p>
        </w:tc>
        <w:tc>
          <w:tcPr>
            <w:tcW w:w="1602" w:type="dxa"/>
            <w:tcBorders>
              <w:top w:val="nil"/>
              <w:left w:val="nil"/>
              <w:bottom w:val="single" w:color="auto" w:sz="4" w:space="0"/>
              <w:right w:val="single" w:color="auto" w:sz="4" w:space="0"/>
            </w:tcBorders>
            <w:vAlign w:val="center"/>
          </w:tcPr>
          <w:p>
            <w:pP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w:t>
            </w:r>
          </w:p>
        </w:tc>
        <w:tc>
          <w:tcPr>
            <w:tcW w:w="1575" w:type="dxa"/>
            <w:tcBorders>
              <w:top w:val="nil"/>
              <w:left w:val="nil"/>
              <w:bottom w:val="single" w:color="auto" w:sz="4" w:space="0"/>
              <w:right w:val="single" w:color="auto" w:sz="4" w:space="0"/>
            </w:tcBorders>
            <w:vAlign w:val="center"/>
          </w:tcPr>
          <w:p>
            <w:pP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w:t>
            </w:r>
          </w:p>
        </w:tc>
        <w:tc>
          <w:tcPr>
            <w:tcW w:w="1575" w:type="dxa"/>
            <w:tcBorders>
              <w:top w:val="nil"/>
              <w:left w:val="nil"/>
              <w:bottom w:val="single" w:color="auto" w:sz="4" w:space="0"/>
              <w:right w:val="single" w:color="auto" w:sz="4" w:space="0"/>
              <w:tr2bl w:val="single" w:color="auto" w:sz="4" w:space="0"/>
            </w:tcBorders>
            <w:vAlign w:val="center"/>
          </w:tcPr>
          <w:p>
            <w:pP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w:t>
            </w:r>
          </w:p>
        </w:tc>
        <w:tc>
          <w:tcPr>
            <w:tcW w:w="1470" w:type="dxa"/>
            <w:tcBorders>
              <w:top w:val="nil"/>
              <w:left w:val="nil"/>
              <w:bottom w:val="single" w:color="auto" w:sz="4" w:space="0"/>
              <w:right w:val="single" w:color="auto" w:sz="4" w:space="0"/>
            </w:tcBorders>
            <w:vAlign w:val="center"/>
          </w:tcPr>
          <w:p>
            <w:pP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w:t>
            </w:r>
          </w:p>
        </w:tc>
        <w:tc>
          <w:tcPr>
            <w:tcW w:w="3465" w:type="dxa"/>
            <w:tcBorders>
              <w:top w:val="single" w:color="auto" w:sz="4" w:space="0"/>
              <w:left w:val="nil"/>
              <w:bottom w:val="single" w:color="auto" w:sz="4" w:space="0"/>
              <w:right w:val="single" w:color="auto" w:sz="4" w:space="0"/>
            </w:tcBorders>
            <w:vAlign w:val="center"/>
          </w:tcPr>
          <w:p>
            <w:pP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w:t>
            </w:r>
            <w:r>
              <w:rPr>
                <w:rFonts w:ascii="宋体" w:hAnsi="宋体"/>
                <w:color w:val="000000" w:themeColor="text1"/>
                <w:kern w:val="0"/>
                <w:szCs w:val="21"/>
                <w14:textFill>
                  <w14:solidFill>
                    <w14:schemeClr w14:val="tx1"/>
                  </w14:solidFill>
                </w14:textFill>
              </w:rPr>
              <w:t>A=A</w:t>
            </w:r>
            <w:r>
              <w:rPr>
                <w:rFonts w:ascii="宋体" w:hAnsi="宋体"/>
                <w:color w:val="000000" w:themeColor="text1"/>
                <w:kern w:val="0"/>
                <w:szCs w:val="21"/>
                <w:vertAlign w:val="subscript"/>
                <w14:textFill>
                  <w14:solidFill>
                    <w14:schemeClr w14:val="tx1"/>
                  </w14:solidFill>
                </w14:textFill>
              </w:rPr>
              <w:t>1</w:t>
            </w:r>
            <w:r>
              <w:rPr>
                <w:rFonts w:ascii="宋体" w:hAnsi="宋体"/>
                <w:color w:val="000000" w:themeColor="text1"/>
                <w:kern w:val="0"/>
                <w:szCs w:val="21"/>
                <w14:textFill>
                  <w14:solidFill>
                    <w14:schemeClr w14:val="tx1"/>
                  </w14:solidFill>
                </w14:textFill>
              </w:rPr>
              <w:t>+A</w:t>
            </w:r>
            <w:r>
              <w:rPr>
                <w:rFonts w:ascii="宋体" w:hAnsi="宋体"/>
                <w:color w:val="000000" w:themeColor="text1"/>
                <w:kern w:val="0"/>
                <w:szCs w:val="21"/>
                <w:vertAlign w:val="subscript"/>
                <w14:textFill>
                  <w14:solidFill>
                    <w14:schemeClr w14:val="tx1"/>
                  </w14:solidFill>
                </w14:textFill>
              </w:rPr>
              <w:t>2</w:t>
            </w:r>
            <w:r>
              <w:rPr>
                <w:rFonts w:ascii="宋体" w:hAnsi="宋体"/>
                <w:color w:val="000000" w:themeColor="text1"/>
                <w:kern w:val="0"/>
                <w:szCs w:val="21"/>
                <w14:textFill>
                  <w14:solidFill>
                    <w14:schemeClr w14:val="tx1"/>
                  </w14:solidFill>
                </w14:textFill>
              </w:rPr>
              <w:t>+</w:t>
            </w:r>
            <w:r>
              <w:rPr>
                <w:rFonts w:hint="eastAsia" w:ascii="宋体" w:hAnsi="宋体"/>
                <w:color w:val="000000" w:themeColor="text1"/>
                <w:kern w:val="0"/>
                <w:szCs w:val="21"/>
                <w14:textFill>
                  <w14:solidFill>
                    <w14:schemeClr w14:val="tx1"/>
                  </w14:solidFill>
                </w14:textFill>
              </w:rPr>
              <w:t>…</w:t>
            </w:r>
            <w:r>
              <w:rPr>
                <w:rFonts w:ascii="宋体" w:hAnsi="宋体"/>
                <w:color w:val="000000" w:themeColor="text1"/>
                <w:kern w:val="0"/>
                <w:szCs w:val="21"/>
                <w14:textFill>
                  <w14:solidFill>
                    <w14:schemeClr w14:val="tx1"/>
                  </w14:solidFill>
                </w14:textFill>
              </w:rPr>
              <w:t>An</w:t>
            </w:r>
            <w:r>
              <w:rPr>
                <w:rFonts w:hint="eastAsia" w:ascii="宋体" w:hAnsi="宋体"/>
                <w:color w:val="000000" w:themeColor="text1"/>
                <w:kern w:val="0"/>
                <w:szCs w:val="21"/>
                <w14:textFill>
                  <w14:solidFill>
                    <w14:schemeClr w14:val="tx1"/>
                  </w14:solidFill>
                </w14:textFill>
              </w:rPr>
              <w:t>；∑</w:t>
            </w:r>
            <w:r>
              <w:rPr>
                <w:rFonts w:ascii="宋体" w:hAnsi="宋体"/>
                <w:color w:val="000000" w:themeColor="text1"/>
                <w:kern w:val="0"/>
                <w:szCs w:val="21"/>
                <w14:textFill>
                  <w14:solidFill>
                    <w14:schemeClr w14:val="tx1"/>
                  </w14:solidFill>
                </w14:textFill>
              </w:rPr>
              <w:t>B=B</w:t>
            </w:r>
            <w:r>
              <w:rPr>
                <w:rFonts w:ascii="宋体" w:hAnsi="宋体"/>
                <w:color w:val="000000" w:themeColor="text1"/>
                <w:kern w:val="0"/>
                <w:szCs w:val="21"/>
                <w:vertAlign w:val="subscript"/>
                <w14:textFill>
                  <w14:solidFill>
                    <w14:schemeClr w14:val="tx1"/>
                  </w14:solidFill>
                </w14:textFill>
              </w:rPr>
              <w:t>1</w:t>
            </w:r>
            <w:r>
              <w:rPr>
                <w:rFonts w:ascii="宋体" w:hAnsi="宋体"/>
                <w:color w:val="000000" w:themeColor="text1"/>
                <w:kern w:val="0"/>
                <w:szCs w:val="21"/>
                <w14:textFill>
                  <w14:solidFill>
                    <w14:schemeClr w14:val="tx1"/>
                  </w14:solidFill>
                </w14:textFill>
              </w:rPr>
              <w:t>+B</w:t>
            </w:r>
            <w:r>
              <w:rPr>
                <w:rFonts w:ascii="宋体" w:hAnsi="宋体"/>
                <w:color w:val="000000" w:themeColor="text1"/>
                <w:kern w:val="0"/>
                <w:szCs w:val="21"/>
                <w:vertAlign w:val="subscript"/>
                <w14:textFill>
                  <w14:solidFill>
                    <w14:schemeClr w14:val="tx1"/>
                  </w14:solidFill>
                </w14:textFill>
              </w:rPr>
              <w:t>2</w:t>
            </w:r>
            <w:r>
              <w:rPr>
                <w:rFonts w:ascii="宋体" w:hAnsi="宋体"/>
                <w:color w:val="000000" w:themeColor="text1"/>
                <w:kern w:val="0"/>
                <w:szCs w:val="21"/>
                <w14:textFill>
                  <w14:solidFill>
                    <w14:schemeClr w14:val="tx1"/>
                  </w14:solidFill>
                </w14:textFill>
              </w:rPr>
              <w:t>+</w:t>
            </w:r>
            <w:r>
              <w:rPr>
                <w:rFonts w:hint="eastAsia" w:ascii="宋体" w:hAnsi="宋体"/>
                <w:color w:val="000000" w:themeColor="text1"/>
                <w:kern w:val="0"/>
                <w:szCs w:val="21"/>
                <w14:textFill>
                  <w14:solidFill>
                    <w14:schemeClr w14:val="tx1"/>
                  </w14:solidFill>
                </w14:textFill>
              </w:rPr>
              <w:t>…</w:t>
            </w:r>
            <w:r>
              <w:rPr>
                <w:rFonts w:ascii="宋体" w:hAnsi="宋体"/>
                <w:color w:val="000000" w:themeColor="text1"/>
                <w:kern w:val="0"/>
                <w:szCs w:val="21"/>
                <w14:textFill>
                  <w14:solidFill>
                    <w14:schemeClr w14:val="tx1"/>
                  </w14:solidFill>
                </w14:textFill>
              </w:rPr>
              <w:t>Bn</w:t>
            </w:r>
          </w:p>
        </w:tc>
      </w:tr>
    </w:tbl>
    <w:p>
      <w:pPr>
        <w:rPr>
          <w:rFonts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修正原则：</w:t>
      </w:r>
      <w:r>
        <w:rPr>
          <w:rFonts w:hint="eastAsia"/>
          <w:color w:val="000000" w:themeColor="text1"/>
          <w:szCs w:val="21"/>
          <w14:textFill>
            <w14:solidFill>
              <w14:schemeClr w14:val="tx1"/>
            </w14:solidFill>
          </w14:textFill>
        </w:rPr>
        <w:t>按就低不就高原则，当修正后报价小于原报价，总价按修正后报价；当修正后报价大于原报价，总价按原报价，并在签订合同时载明在结算价中扣除修正报价与原报价的差额。</w:t>
      </w:r>
      <w:r>
        <w:rPr>
          <w:rFonts w:cs="宋体"/>
          <w:color w:val="000000" w:themeColor="text1"/>
          <w:kern w:val="0"/>
          <w:szCs w:val="21"/>
          <w14:textFill>
            <w14:solidFill>
              <w14:schemeClr w14:val="tx1"/>
            </w14:solidFill>
          </w14:textFill>
        </w:rPr>
        <w:tab/>
      </w:r>
    </w:p>
    <w:p>
      <w:pP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评委签名：</w:t>
      </w:r>
      <w:r>
        <w:rPr>
          <w:color w:val="000000" w:themeColor="text1"/>
          <w:kern w:val="0"/>
          <w:szCs w:val="21"/>
          <w14:textFill>
            <w14:solidFill>
              <w14:schemeClr w14:val="tx1"/>
            </w14:solidFill>
          </w14:textFill>
        </w:rPr>
        <w:tab/>
      </w:r>
      <w:r>
        <w:rPr>
          <w:color w:val="000000" w:themeColor="text1"/>
          <w:kern w:val="0"/>
          <w:szCs w:val="21"/>
          <w14:textFill>
            <w14:solidFill>
              <w14:schemeClr w14:val="tx1"/>
            </w14:solidFill>
          </w14:textFill>
        </w:rPr>
        <w:tab/>
      </w:r>
      <w:r>
        <w:rPr>
          <w:color w:val="000000" w:themeColor="text1"/>
          <w:kern w:val="0"/>
          <w:szCs w:val="21"/>
          <w14:textFill>
            <w14:solidFill>
              <w14:schemeClr w14:val="tx1"/>
            </w14:solidFill>
          </w14:textFill>
        </w:rPr>
        <w:tab/>
      </w:r>
      <w:r>
        <w:rPr>
          <w:color w:val="000000" w:themeColor="text1"/>
          <w:kern w:val="0"/>
          <w:szCs w:val="21"/>
          <w14:textFill>
            <w14:solidFill>
              <w14:schemeClr w14:val="tx1"/>
            </w14:solidFill>
          </w14:textFill>
        </w:rPr>
        <w:tab/>
      </w:r>
      <w:r>
        <w:rPr>
          <w:color w:val="000000" w:themeColor="text1"/>
          <w:kern w:val="0"/>
          <w:szCs w:val="21"/>
          <w14:textFill>
            <w14:solidFill>
              <w14:schemeClr w14:val="tx1"/>
            </w14:solidFill>
          </w14:textFill>
        </w:rPr>
        <w:tab/>
      </w:r>
      <w:r>
        <w:rPr>
          <w:rFonts w:hint="eastAsia"/>
          <w:color w:val="000000" w:themeColor="text1"/>
          <w:kern w:val="0"/>
          <w:szCs w:val="21"/>
          <w14:textFill>
            <w14:solidFill>
              <w14:schemeClr w14:val="tx1"/>
            </w14:solidFill>
          </w14:textFill>
        </w:rPr>
        <w:t>日期：</w:t>
      </w:r>
    </w:p>
    <w:p>
      <w:pPr>
        <w:rPr>
          <w:color w:val="000000" w:themeColor="text1"/>
          <w14:textFill>
            <w14:solidFill>
              <w14:schemeClr w14:val="tx1"/>
            </w14:solidFill>
          </w14:textFill>
        </w:rPr>
      </w:pP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jc w:val="center"/>
        <w:rPr>
          <w:b/>
          <w:color w:val="000000" w:themeColor="text1"/>
          <w:sz w:val="36"/>
          <w:szCs w:val="36"/>
          <w14:textFill>
            <w14:solidFill>
              <w14:schemeClr w14:val="tx1"/>
            </w14:solidFill>
          </w14:textFill>
        </w:rPr>
      </w:pPr>
      <w:r>
        <w:rPr>
          <w:rFonts w:hint="eastAsia"/>
          <w:b/>
          <w:color w:val="000000" w:themeColor="text1"/>
          <w:sz w:val="36"/>
          <w:szCs w:val="36"/>
          <w14:textFill>
            <w14:solidFill>
              <w14:schemeClr w14:val="tx1"/>
            </w14:solidFill>
          </w14:textFill>
        </w:rPr>
        <w:t>算术复核表</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工程名称：</w:t>
      </w:r>
    </w:p>
    <w:tbl>
      <w:tblPr>
        <w:tblStyle w:val="36"/>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4297"/>
        <w:gridCol w:w="2330"/>
        <w:gridCol w:w="3101"/>
        <w:gridCol w:w="3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编号</w:t>
            </w:r>
          </w:p>
        </w:tc>
        <w:tc>
          <w:tcPr>
            <w:tcW w:w="4297" w:type="dxa"/>
            <w:tcBorders>
              <w:top w:val="single" w:color="auto" w:sz="4" w:space="0"/>
              <w:left w:val="single" w:color="auto" w:sz="4" w:space="0"/>
              <w:bottom w:val="single" w:color="auto" w:sz="4" w:space="0"/>
              <w:right w:val="single" w:color="auto" w:sz="4" w:space="0"/>
            </w:tcBorders>
          </w:tcPr>
          <w:p>
            <w:pPr>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投标人名称</w:t>
            </w:r>
          </w:p>
        </w:tc>
        <w:tc>
          <w:tcPr>
            <w:tcW w:w="2330" w:type="dxa"/>
            <w:tcBorders>
              <w:top w:val="single" w:color="auto" w:sz="4" w:space="0"/>
              <w:left w:val="single" w:color="auto" w:sz="4" w:space="0"/>
              <w:bottom w:val="single" w:color="auto" w:sz="4" w:space="0"/>
              <w:right w:val="single" w:color="auto" w:sz="4" w:space="0"/>
            </w:tcBorders>
          </w:tcPr>
          <w:p>
            <w:pPr>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原投标报价（</w:t>
            </w:r>
            <w:r>
              <w:rPr>
                <w:b/>
                <w:color w:val="000000" w:themeColor="text1"/>
                <w:sz w:val="28"/>
                <w:szCs w:val="28"/>
                <w14:textFill>
                  <w14:solidFill>
                    <w14:schemeClr w14:val="tx1"/>
                  </w14:solidFill>
                </w14:textFill>
              </w:rPr>
              <w:t>A</w:t>
            </w:r>
            <w:r>
              <w:rPr>
                <w:rFonts w:hint="eastAsia"/>
                <w:b/>
                <w:color w:val="000000" w:themeColor="text1"/>
                <w:sz w:val="28"/>
                <w:szCs w:val="28"/>
                <w14:textFill>
                  <w14:solidFill>
                    <w14:schemeClr w14:val="tx1"/>
                  </w14:solidFill>
                </w14:textFill>
              </w:rPr>
              <w:t>）</w:t>
            </w:r>
          </w:p>
        </w:tc>
        <w:tc>
          <w:tcPr>
            <w:tcW w:w="3101" w:type="dxa"/>
            <w:tcBorders>
              <w:top w:val="single" w:color="auto" w:sz="4" w:space="0"/>
              <w:left w:val="single" w:color="auto" w:sz="4" w:space="0"/>
              <w:bottom w:val="single" w:color="auto" w:sz="4" w:space="0"/>
              <w:right w:val="single" w:color="auto" w:sz="4" w:space="0"/>
            </w:tcBorders>
          </w:tcPr>
          <w:p>
            <w:pPr>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算数复核后投标报价（</w:t>
            </w:r>
            <w:r>
              <w:rPr>
                <w:b/>
                <w:color w:val="000000" w:themeColor="text1"/>
                <w:sz w:val="28"/>
                <w:szCs w:val="28"/>
                <w14:textFill>
                  <w14:solidFill>
                    <w14:schemeClr w14:val="tx1"/>
                  </w14:solidFill>
                </w14:textFill>
              </w:rPr>
              <w:t>B</w:t>
            </w:r>
            <w:r>
              <w:rPr>
                <w:rFonts w:hint="eastAsia"/>
                <w:b/>
                <w:color w:val="000000" w:themeColor="text1"/>
                <w:sz w:val="28"/>
                <w:szCs w:val="28"/>
                <w14:textFill>
                  <w14:solidFill>
                    <w14:schemeClr w14:val="tx1"/>
                  </w14:solidFill>
                </w14:textFill>
              </w:rPr>
              <w:t>）</w:t>
            </w:r>
          </w:p>
        </w:tc>
        <w:tc>
          <w:tcPr>
            <w:tcW w:w="3423" w:type="dxa"/>
            <w:tcBorders>
              <w:top w:val="single" w:color="auto" w:sz="4" w:space="0"/>
              <w:left w:val="single" w:color="auto" w:sz="4" w:space="0"/>
              <w:bottom w:val="single" w:color="auto" w:sz="4" w:space="0"/>
              <w:right w:val="single" w:color="auto" w:sz="4" w:space="0"/>
            </w:tcBorders>
          </w:tcPr>
          <w:p>
            <w:pPr>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误差率（</w:t>
            </w:r>
            <w:r>
              <w:rPr>
                <w:b/>
                <w:color w:val="000000" w:themeColor="text1"/>
                <w:sz w:val="28"/>
                <w:szCs w:val="28"/>
                <w14:textFill>
                  <w14:solidFill>
                    <w14:schemeClr w14:val="tx1"/>
                  </w14:solidFill>
                </w14:textFill>
              </w:rPr>
              <w:t>r=|A-B|/A*100%</w:t>
            </w:r>
            <w:r>
              <w:rPr>
                <w:rFonts w:hint="eastAsia"/>
                <w:b/>
                <w:color w:val="000000" w:themeColor="text1"/>
                <w:sz w:val="28"/>
                <w:szCs w:val="2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000000" w:themeColor="text1"/>
                <w:sz w:val="36"/>
                <w:szCs w:val="36"/>
                <w14:textFill>
                  <w14:solidFill>
                    <w14:schemeClr w14:val="tx1"/>
                  </w14:solidFill>
                </w14:textFill>
              </w:rPr>
            </w:pPr>
          </w:p>
        </w:tc>
        <w:tc>
          <w:tcPr>
            <w:tcW w:w="4297" w:type="dxa"/>
            <w:tcBorders>
              <w:top w:val="single" w:color="auto" w:sz="4" w:space="0"/>
              <w:left w:val="single" w:color="auto" w:sz="4" w:space="0"/>
              <w:bottom w:val="single" w:color="auto" w:sz="4" w:space="0"/>
              <w:right w:val="single" w:color="auto" w:sz="4" w:space="0"/>
            </w:tcBorders>
          </w:tcPr>
          <w:p>
            <w:pPr>
              <w:rPr>
                <w:color w:val="000000" w:themeColor="text1"/>
                <w:sz w:val="36"/>
                <w:szCs w:val="36"/>
                <w14:textFill>
                  <w14:solidFill>
                    <w14:schemeClr w14:val="tx1"/>
                  </w14:solidFill>
                </w14:textFill>
              </w:rPr>
            </w:pPr>
          </w:p>
        </w:tc>
        <w:tc>
          <w:tcPr>
            <w:tcW w:w="2330" w:type="dxa"/>
            <w:tcBorders>
              <w:top w:val="single" w:color="auto" w:sz="4" w:space="0"/>
              <w:left w:val="single" w:color="auto" w:sz="4" w:space="0"/>
              <w:bottom w:val="single" w:color="auto" w:sz="4" w:space="0"/>
              <w:right w:val="single" w:color="auto" w:sz="4" w:space="0"/>
            </w:tcBorders>
          </w:tcPr>
          <w:p>
            <w:pPr>
              <w:rPr>
                <w:color w:val="000000" w:themeColor="text1"/>
                <w:sz w:val="36"/>
                <w:szCs w:val="36"/>
                <w14:textFill>
                  <w14:solidFill>
                    <w14:schemeClr w14:val="tx1"/>
                  </w14:solidFill>
                </w14:textFill>
              </w:rPr>
            </w:pPr>
          </w:p>
        </w:tc>
        <w:tc>
          <w:tcPr>
            <w:tcW w:w="3101" w:type="dxa"/>
            <w:tcBorders>
              <w:top w:val="single" w:color="auto" w:sz="4" w:space="0"/>
              <w:left w:val="single" w:color="auto" w:sz="4" w:space="0"/>
              <w:bottom w:val="single" w:color="auto" w:sz="4" w:space="0"/>
              <w:right w:val="single" w:color="auto" w:sz="4" w:space="0"/>
            </w:tcBorders>
          </w:tcPr>
          <w:p>
            <w:pPr>
              <w:rPr>
                <w:color w:val="000000" w:themeColor="text1"/>
                <w:sz w:val="36"/>
                <w:szCs w:val="36"/>
                <w14:textFill>
                  <w14:solidFill>
                    <w14:schemeClr w14:val="tx1"/>
                  </w14:solidFill>
                </w14:textFill>
              </w:rPr>
            </w:pPr>
          </w:p>
        </w:tc>
        <w:tc>
          <w:tcPr>
            <w:tcW w:w="3423" w:type="dxa"/>
            <w:tcBorders>
              <w:top w:val="single" w:color="auto" w:sz="4" w:space="0"/>
              <w:left w:val="single" w:color="auto" w:sz="4" w:space="0"/>
              <w:bottom w:val="single" w:color="auto" w:sz="4" w:space="0"/>
              <w:right w:val="single" w:color="auto" w:sz="4" w:space="0"/>
            </w:tcBorders>
          </w:tcPr>
          <w:p>
            <w:pPr>
              <w:rPr>
                <w:color w:val="000000" w:themeColor="text1"/>
                <w:sz w:val="36"/>
                <w:szCs w:val="3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000000" w:themeColor="text1"/>
                <w:sz w:val="36"/>
                <w:szCs w:val="36"/>
                <w14:textFill>
                  <w14:solidFill>
                    <w14:schemeClr w14:val="tx1"/>
                  </w14:solidFill>
                </w14:textFill>
              </w:rPr>
            </w:pPr>
          </w:p>
        </w:tc>
        <w:tc>
          <w:tcPr>
            <w:tcW w:w="4297" w:type="dxa"/>
            <w:tcBorders>
              <w:top w:val="single" w:color="auto" w:sz="4" w:space="0"/>
              <w:left w:val="single" w:color="auto" w:sz="4" w:space="0"/>
              <w:bottom w:val="single" w:color="auto" w:sz="4" w:space="0"/>
              <w:right w:val="single" w:color="auto" w:sz="4" w:space="0"/>
            </w:tcBorders>
          </w:tcPr>
          <w:p>
            <w:pPr>
              <w:rPr>
                <w:color w:val="000000" w:themeColor="text1"/>
                <w:sz w:val="36"/>
                <w:szCs w:val="36"/>
                <w14:textFill>
                  <w14:solidFill>
                    <w14:schemeClr w14:val="tx1"/>
                  </w14:solidFill>
                </w14:textFill>
              </w:rPr>
            </w:pPr>
          </w:p>
        </w:tc>
        <w:tc>
          <w:tcPr>
            <w:tcW w:w="2330" w:type="dxa"/>
            <w:tcBorders>
              <w:top w:val="single" w:color="auto" w:sz="4" w:space="0"/>
              <w:left w:val="single" w:color="auto" w:sz="4" w:space="0"/>
              <w:bottom w:val="single" w:color="auto" w:sz="4" w:space="0"/>
              <w:right w:val="single" w:color="auto" w:sz="4" w:space="0"/>
            </w:tcBorders>
          </w:tcPr>
          <w:p>
            <w:pPr>
              <w:rPr>
                <w:color w:val="000000" w:themeColor="text1"/>
                <w:sz w:val="36"/>
                <w:szCs w:val="36"/>
                <w14:textFill>
                  <w14:solidFill>
                    <w14:schemeClr w14:val="tx1"/>
                  </w14:solidFill>
                </w14:textFill>
              </w:rPr>
            </w:pPr>
          </w:p>
        </w:tc>
        <w:tc>
          <w:tcPr>
            <w:tcW w:w="3101" w:type="dxa"/>
            <w:tcBorders>
              <w:top w:val="single" w:color="auto" w:sz="4" w:space="0"/>
              <w:left w:val="single" w:color="auto" w:sz="4" w:space="0"/>
              <w:bottom w:val="single" w:color="auto" w:sz="4" w:space="0"/>
              <w:right w:val="single" w:color="auto" w:sz="4" w:space="0"/>
            </w:tcBorders>
          </w:tcPr>
          <w:p>
            <w:pPr>
              <w:rPr>
                <w:color w:val="000000" w:themeColor="text1"/>
                <w:sz w:val="36"/>
                <w:szCs w:val="36"/>
                <w14:textFill>
                  <w14:solidFill>
                    <w14:schemeClr w14:val="tx1"/>
                  </w14:solidFill>
                </w14:textFill>
              </w:rPr>
            </w:pPr>
          </w:p>
        </w:tc>
        <w:tc>
          <w:tcPr>
            <w:tcW w:w="3423" w:type="dxa"/>
            <w:tcBorders>
              <w:top w:val="single" w:color="auto" w:sz="4" w:space="0"/>
              <w:left w:val="single" w:color="auto" w:sz="4" w:space="0"/>
              <w:bottom w:val="single" w:color="auto" w:sz="4" w:space="0"/>
              <w:right w:val="single" w:color="auto" w:sz="4" w:space="0"/>
            </w:tcBorders>
          </w:tcPr>
          <w:p>
            <w:pPr>
              <w:rPr>
                <w:color w:val="000000" w:themeColor="text1"/>
                <w:sz w:val="36"/>
                <w:szCs w:val="3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000000" w:themeColor="text1"/>
                <w:sz w:val="36"/>
                <w:szCs w:val="36"/>
                <w14:textFill>
                  <w14:solidFill>
                    <w14:schemeClr w14:val="tx1"/>
                  </w14:solidFill>
                </w14:textFill>
              </w:rPr>
            </w:pPr>
          </w:p>
        </w:tc>
        <w:tc>
          <w:tcPr>
            <w:tcW w:w="4297" w:type="dxa"/>
            <w:tcBorders>
              <w:top w:val="single" w:color="auto" w:sz="4" w:space="0"/>
              <w:left w:val="single" w:color="auto" w:sz="4" w:space="0"/>
              <w:bottom w:val="single" w:color="auto" w:sz="4" w:space="0"/>
              <w:right w:val="single" w:color="auto" w:sz="4" w:space="0"/>
            </w:tcBorders>
          </w:tcPr>
          <w:p>
            <w:pPr>
              <w:rPr>
                <w:color w:val="000000" w:themeColor="text1"/>
                <w:sz w:val="36"/>
                <w:szCs w:val="36"/>
                <w14:textFill>
                  <w14:solidFill>
                    <w14:schemeClr w14:val="tx1"/>
                  </w14:solidFill>
                </w14:textFill>
              </w:rPr>
            </w:pPr>
          </w:p>
        </w:tc>
        <w:tc>
          <w:tcPr>
            <w:tcW w:w="2330" w:type="dxa"/>
            <w:tcBorders>
              <w:top w:val="single" w:color="auto" w:sz="4" w:space="0"/>
              <w:left w:val="single" w:color="auto" w:sz="4" w:space="0"/>
              <w:bottom w:val="single" w:color="auto" w:sz="4" w:space="0"/>
              <w:right w:val="single" w:color="auto" w:sz="4" w:space="0"/>
            </w:tcBorders>
          </w:tcPr>
          <w:p>
            <w:pPr>
              <w:rPr>
                <w:color w:val="000000" w:themeColor="text1"/>
                <w:sz w:val="36"/>
                <w:szCs w:val="36"/>
                <w14:textFill>
                  <w14:solidFill>
                    <w14:schemeClr w14:val="tx1"/>
                  </w14:solidFill>
                </w14:textFill>
              </w:rPr>
            </w:pPr>
          </w:p>
        </w:tc>
        <w:tc>
          <w:tcPr>
            <w:tcW w:w="3101" w:type="dxa"/>
            <w:tcBorders>
              <w:top w:val="single" w:color="auto" w:sz="4" w:space="0"/>
              <w:left w:val="single" w:color="auto" w:sz="4" w:space="0"/>
              <w:bottom w:val="single" w:color="auto" w:sz="4" w:space="0"/>
              <w:right w:val="single" w:color="auto" w:sz="4" w:space="0"/>
            </w:tcBorders>
          </w:tcPr>
          <w:p>
            <w:pPr>
              <w:rPr>
                <w:color w:val="000000" w:themeColor="text1"/>
                <w:sz w:val="36"/>
                <w:szCs w:val="36"/>
                <w14:textFill>
                  <w14:solidFill>
                    <w14:schemeClr w14:val="tx1"/>
                  </w14:solidFill>
                </w14:textFill>
              </w:rPr>
            </w:pPr>
          </w:p>
        </w:tc>
        <w:tc>
          <w:tcPr>
            <w:tcW w:w="3423" w:type="dxa"/>
            <w:tcBorders>
              <w:top w:val="single" w:color="auto" w:sz="4" w:space="0"/>
              <w:left w:val="single" w:color="auto" w:sz="4" w:space="0"/>
              <w:bottom w:val="single" w:color="auto" w:sz="4" w:space="0"/>
              <w:right w:val="single" w:color="auto" w:sz="4" w:space="0"/>
            </w:tcBorders>
          </w:tcPr>
          <w:p>
            <w:pPr>
              <w:rPr>
                <w:color w:val="000000" w:themeColor="text1"/>
                <w:sz w:val="36"/>
                <w:szCs w:val="3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000000" w:themeColor="text1"/>
                <w:sz w:val="36"/>
                <w:szCs w:val="36"/>
                <w14:textFill>
                  <w14:solidFill>
                    <w14:schemeClr w14:val="tx1"/>
                  </w14:solidFill>
                </w14:textFill>
              </w:rPr>
            </w:pPr>
          </w:p>
        </w:tc>
        <w:tc>
          <w:tcPr>
            <w:tcW w:w="4297" w:type="dxa"/>
            <w:tcBorders>
              <w:top w:val="single" w:color="auto" w:sz="4" w:space="0"/>
              <w:left w:val="single" w:color="auto" w:sz="4" w:space="0"/>
              <w:bottom w:val="single" w:color="auto" w:sz="4" w:space="0"/>
              <w:right w:val="single" w:color="auto" w:sz="4" w:space="0"/>
            </w:tcBorders>
          </w:tcPr>
          <w:p>
            <w:pPr>
              <w:rPr>
                <w:color w:val="000000" w:themeColor="text1"/>
                <w:sz w:val="36"/>
                <w:szCs w:val="36"/>
                <w14:textFill>
                  <w14:solidFill>
                    <w14:schemeClr w14:val="tx1"/>
                  </w14:solidFill>
                </w14:textFill>
              </w:rPr>
            </w:pPr>
          </w:p>
        </w:tc>
        <w:tc>
          <w:tcPr>
            <w:tcW w:w="2330" w:type="dxa"/>
            <w:tcBorders>
              <w:top w:val="single" w:color="auto" w:sz="4" w:space="0"/>
              <w:left w:val="single" w:color="auto" w:sz="4" w:space="0"/>
              <w:bottom w:val="single" w:color="auto" w:sz="4" w:space="0"/>
              <w:right w:val="single" w:color="auto" w:sz="4" w:space="0"/>
            </w:tcBorders>
          </w:tcPr>
          <w:p>
            <w:pPr>
              <w:rPr>
                <w:color w:val="000000" w:themeColor="text1"/>
                <w:sz w:val="36"/>
                <w:szCs w:val="36"/>
                <w14:textFill>
                  <w14:solidFill>
                    <w14:schemeClr w14:val="tx1"/>
                  </w14:solidFill>
                </w14:textFill>
              </w:rPr>
            </w:pPr>
          </w:p>
        </w:tc>
        <w:tc>
          <w:tcPr>
            <w:tcW w:w="3101" w:type="dxa"/>
            <w:tcBorders>
              <w:top w:val="single" w:color="auto" w:sz="4" w:space="0"/>
              <w:left w:val="single" w:color="auto" w:sz="4" w:space="0"/>
              <w:bottom w:val="single" w:color="auto" w:sz="4" w:space="0"/>
              <w:right w:val="single" w:color="auto" w:sz="4" w:space="0"/>
            </w:tcBorders>
          </w:tcPr>
          <w:p>
            <w:pPr>
              <w:rPr>
                <w:color w:val="000000" w:themeColor="text1"/>
                <w:sz w:val="36"/>
                <w:szCs w:val="36"/>
                <w14:textFill>
                  <w14:solidFill>
                    <w14:schemeClr w14:val="tx1"/>
                  </w14:solidFill>
                </w14:textFill>
              </w:rPr>
            </w:pPr>
          </w:p>
        </w:tc>
        <w:tc>
          <w:tcPr>
            <w:tcW w:w="3423" w:type="dxa"/>
            <w:tcBorders>
              <w:top w:val="single" w:color="auto" w:sz="4" w:space="0"/>
              <w:left w:val="single" w:color="auto" w:sz="4" w:space="0"/>
              <w:bottom w:val="single" w:color="auto" w:sz="4" w:space="0"/>
              <w:right w:val="single" w:color="auto" w:sz="4" w:space="0"/>
            </w:tcBorders>
          </w:tcPr>
          <w:p>
            <w:pPr>
              <w:rPr>
                <w:color w:val="000000" w:themeColor="text1"/>
                <w:sz w:val="36"/>
                <w:szCs w:val="3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000000" w:themeColor="text1"/>
                <w:sz w:val="36"/>
                <w:szCs w:val="36"/>
                <w14:textFill>
                  <w14:solidFill>
                    <w14:schemeClr w14:val="tx1"/>
                  </w14:solidFill>
                </w14:textFill>
              </w:rPr>
            </w:pPr>
          </w:p>
        </w:tc>
        <w:tc>
          <w:tcPr>
            <w:tcW w:w="4297" w:type="dxa"/>
            <w:tcBorders>
              <w:top w:val="single" w:color="auto" w:sz="4" w:space="0"/>
              <w:left w:val="single" w:color="auto" w:sz="4" w:space="0"/>
              <w:bottom w:val="single" w:color="auto" w:sz="4" w:space="0"/>
              <w:right w:val="single" w:color="auto" w:sz="4" w:space="0"/>
            </w:tcBorders>
          </w:tcPr>
          <w:p>
            <w:pPr>
              <w:rPr>
                <w:color w:val="000000" w:themeColor="text1"/>
                <w:sz w:val="36"/>
                <w:szCs w:val="36"/>
                <w14:textFill>
                  <w14:solidFill>
                    <w14:schemeClr w14:val="tx1"/>
                  </w14:solidFill>
                </w14:textFill>
              </w:rPr>
            </w:pPr>
          </w:p>
        </w:tc>
        <w:tc>
          <w:tcPr>
            <w:tcW w:w="2330" w:type="dxa"/>
            <w:tcBorders>
              <w:top w:val="single" w:color="auto" w:sz="4" w:space="0"/>
              <w:left w:val="single" w:color="auto" w:sz="4" w:space="0"/>
              <w:bottom w:val="single" w:color="auto" w:sz="4" w:space="0"/>
              <w:right w:val="single" w:color="auto" w:sz="4" w:space="0"/>
            </w:tcBorders>
          </w:tcPr>
          <w:p>
            <w:pPr>
              <w:rPr>
                <w:color w:val="000000" w:themeColor="text1"/>
                <w:sz w:val="36"/>
                <w:szCs w:val="36"/>
                <w14:textFill>
                  <w14:solidFill>
                    <w14:schemeClr w14:val="tx1"/>
                  </w14:solidFill>
                </w14:textFill>
              </w:rPr>
            </w:pPr>
          </w:p>
        </w:tc>
        <w:tc>
          <w:tcPr>
            <w:tcW w:w="3101" w:type="dxa"/>
            <w:tcBorders>
              <w:top w:val="single" w:color="auto" w:sz="4" w:space="0"/>
              <w:left w:val="single" w:color="auto" w:sz="4" w:space="0"/>
              <w:bottom w:val="single" w:color="auto" w:sz="4" w:space="0"/>
              <w:right w:val="single" w:color="auto" w:sz="4" w:space="0"/>
            </w:tcBorders>
          </w:tcPr>
          <w:p>
            <w:pPr>
              <w:rPr>
                <w:color w:val="000000" w:themeColor="text1"/>
                <w:sz w:val="36"/>
                <w:szCs w:val="36"/>
                <w14:textFill>
                  <w14:solidFill>
                    <w14:schemeClr w14:val="tx1"/>
                  </w14:solidFill>
                </w14:textFill>
              </w:rPr>
            </w:pPr>
          </w:p>
        </w:tc>
        <w:tc>
          <w:tcPr>
            <w:tcW w:w="3423" w:type="dxa"/>
            <w:tcBorders>
              <w:top w:val="single" w:color="auto" w:sz="4" w:space="0"/>
              <w:left w:val="single" w:color="auto" w:sz="4" w:space="0"/>
              <w:bottom w:val="single" w:color="auto" w:sz="4" w:space="0"/>
              <w:right w:val="single" w:color="auto" w:sz="4" w:space="0"/>
            </w:tcBorders>
          </w:tcPr>
          <w:p>
            <w:pPr>
              <w:rPr>
                <w:color w:val="000000" w:themeColor="text1"/>
                <w:sz w:val="36"/>
                <w:szCs w:val="3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000000" w:themeColor="text1"/>
                <w:sz w:val="36"/>
                <w:szCs w:val="36"/>
                <w14:textFill>
                  <w14:solidFill>
                    <w14:schemeClr w14:val="tx1"/>
                  </w14:solidFill>
                </w14:textFill>
              </w:rPr>
            </w:pPr>
          </w:p>
        </w:tc>
        <w:tc>
          <w:tcPr>
            <w:tcW w:w="4297" w:type="dxa"/>
            <w:tcBorders>
              <w:top w:val="single" w:color="auto" w:sz="4" w:space="0"/>
              <w:left w:val="single" w:color="auto" w:sz="4" w:space="0"/>
              <w:bottom w:val="single" w:color="auto" w:sz="4" w:space="0"/>
              <w:right w:val="single" w:color="auto" w:sz="4" w:space="0"/>
            </w:tcBorders>
          </w:tcPr>
          <w:p>
            <w:pPr>
              <w:rPr>
                <w:color w:val="000000" w:themeColor="text1"/>
                <w:sz w:val="36"/>
                <w:szCs w:val="36"/>
                <w14:textFill>
                  <w14:solidFill>
                    <w14:schemeClr w14:val="tx1"/>
                  </w14:solidFill>
                </w14:textFill>
              </w:rPr>
            </w:pPr>
          </w:p>
        </w:tc>
        <w:tc>
          <w:tcPr>
            <w:tcW w:w="2330" w:type="dxa"/>
            <w:tcBorders>
              <w:top w:val="single" w:color="auto" w:sz="4" w:space="0"/>
              <w:left w:val="single" w:color="auto" w:sz="4" w:space="0"/>
              <w:bottom w:val="single" w:color="auto" w:sz="4" w:space="0"/>
              <w:right w:val="single" w:color="auto" w:sz="4" w:space="0"/>
            </w:tcBorders>
          </w:tcPr>
          <w:p>
            <w:pPr>
              <w:rPr>
                <w:color w:val="000000" w:themeColor="text1"/>
                <w:sz w:val="36"/>
                <w:szCs w:val="36"/>
                <w14:textFill>
                  <w14:solidFill>
                    <w14:schemeClr w14:val="tx1"/>
                  </w14:solidFill>
                </w14:textFill>
              </w:rPr>
            </w:pPr>
          </w:p>
        </w:tc>
        <w:tc>
          <w:tcPr>
            <w:tcW w:w="3101" w:type="dxa"/>
            <w:tcBorders>
              <w:top w:val="single" w:color="auto" w:sz="4" w:space="0"/>
              <w:left w:val="single" w:color="auto" w:sz="4" w:space="0"/>
              <w:bottom w:val="single" w:color="auto" w:sz="4" w:space="0"/>
              <w:right w:val="single" w:color="auto" w:sz="4" w:space="0"/>
            </w:tcBorders>
          </w:tcPr>
          <w:p>
            <w:pPr>
              <w:rPr>
                <w:color w:val="000000" w:themeColor="text1"/>
                <w:sz w:val="36"/>
                <w:szCs w:val="36"/>
                <w14:textFill>
                  <w14:solidFill>
                    <w14:schemeClr w14:val="tx1"/>
                  </w14:solidFill>
                </w14:textFill>
              </w:rPr>
            </w:pPr>
          </w:p>
        </w:tc>
        <w:tc>
          <w:tcPr>
            <w:tcW w:w="3423" w:type="dxa"/>
            <w:tcBorders>
              <w:top w:val="single" w:color="auto" w:sz="4" w:space="0"/>
              <w:left w:val="single" w:color="auto" w:sz="4" w:space="0"/>
              <w:bottom w:val="single" w:color="auto" w:sz="4" w:space="0"/>
              <w:right w:val="single" w:color="auto" w:sz="4" w:space="0"/>
            </w:tcBorders>
          </w:tcPr>
          <w:p>
            <w:pPr>
              <w:rPr>
                <w:color w:val="000000" w:themeColor="text1"/>
                <w:sz w:val="36"/>
                <w:szCs w:val="3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000000" w:themeColor="text1"/>
                <w:sz w:val="36"/>
                <w:szCs w:val="36"/>
                <w14:textFill>
                  <w14:solidFill>
                    <w14:schemeClr w14:val="tx1"/>
                  </w14:solidFill>
                </w14:textFill>
              </w:rPr>
            </w:pPr>
          </w:p>
        </w:tc>
        <w:tc>
          <w:tcPr>
            <w:tcW w:w="4297" w:type="dxa"/>
            <w:tcBorders>
              <w:top w:val="single" w:color="auto" w:sz="4" w:space="0"/>
              <w:left w:val="single" w:color="auto" w:sz="4" w:space="0"/>
              <w:bottom w:val="single" w:color="auto" w:sz="4" w:space="0"/>
              <w:right w:val="single" w:color="auto" w:sz="4" w:space="0"/>
            </w:tcBorders>
          </w:tcPr>
          <w:p>
            <w:pPr>
              <w:rPr>
                <w:color w:val="000000" w:themeColor="text1"/>
                <w:sz w:val="36"/>
                <w:szCs w:val="36"/>
                <w14:textFill>
                  <w14:solidFill>
                    <w14:schemeClr w14:val="tx1"/>
                  </w14:solidFill>
                </w14:textFill>
              </w:rPr>
            </w:pPr>
          </w:p>
        </w:tc>
        <w:tc>
          <w:tcPr>
            <w:tcW w:w="2330" w:type="dxa"/>
            <w:tcBorders>
              <w:top w:val="single" w:color="auto" w:sz="4" w:space="0"/>
              <w:left w:val="single" w:color="auto" w:sz="4" w:space="0"/>
              <w:bottom w:val="single" w:color="auto" w:sz="4" w:space="0"/>
              <w:right w:val="single" w:color="auto" w:sz="4" w:space="0"/>
            </w:tcBorders>
          </w:tcPr>
          <w:p>
            <w:pPr>
              <w:rPr>
                <w:color w:val="000000" w:themeColor="text1"/>
                <w:sz w:val="36"/>
                <w:szCs w:val="36"/>
                <w14:textFill>
                  <w14:solidFill>
                    <w14:schemeClr w14:val="tx1"/>
                  </w14:solidFill>
                </w14:textFill>
              </w:rPr>
            </w:pPr>
          </w:p>
        </w:tc>
        <w:tc>
          <w:tcPr>
            <w:tcW w:w="3101" w:type="dxa"/>
            <w:tcBorders>
              <w:top w:val="single" w:color="auto" w:sz="4" w:space="0"/>
              <w:left w:val="single" w:color="auto" w:sz="4" w:space="0"/>
              <w:bottom w:val="single" w:color="auto" w:sz="4" w:space="0"/>
              <w:right w:val="single" w:color="auto" w:sz="4" w:space="0"/>
            </w:tcBorders>
          </w:tcPr>
          <w:p>
            <w:pPr>
              <w:rPr>
                <w:color w:val="000000" w:themeColor="text1"/>
                <w:sz w:val="36"/>
                <w:szCs w:val="36"/>
                <w14:textFill>
                  <w14:solidFill>
                    <w14:schemeClr w14:val="tx1"/>
                  </w14:solidFill>
                </w14:textFill>
              </w:rPr>
            </w:pPr>
          </w:p>
        </w:tc>
        <w:tc>
          <w:tcPr>
            <w:tcW w:w="3423" w:type="dxa"/>
            <w:tcBorders>
              <w:top w:val="single" w:color="auto" w:sz="4" w:space="0"/>
              <w:left w:val="single" w:color="auto" w:sz="4" w:space="0"/>
              <w:bottom w:val="single" w:color="auto" w:sz="4" w:space="0"/>
              <w:right w:val="single" w:color="auto" w:sz="4" w:space="0"/>
            </w:tcBorders>
          </w:tcPr>
          <w:p>
            <w:pPr>
              <w:rPr>
                <w:color w:val="000000" w:themeColor="text1"/>
                <w:sz w:val="36"/>
                <w:szCs w:val="3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000000" w:themeColor="text1"/>
                <w:sz w:val="36"/>
                <w:szCs w:val="36"/>
                <w14:textFill>
                  <w14:solidFill>
                    <w14:schemeClr w14:val="tx1"/>
                  </w14:solidFill>
                </w14:textFill>
              </w:rPr>
            </w:pPr>
          </w:p>
        </w:tc>
        <w:tc>
          <w:tcPr>
            <w:tcW w:w="4297" w:type="dxa"/>
            <w:tcBorders>
              <w:top w:val="single" w:color="auto" w:sz="4" w:space="0"/>
              <w:left w:val="single" w:color="auto" w:sz="4" w:space="0"/>
              <w:bottom w:val="single" w:color="auto" w:sz="4" w:space="0"/>
              <w:right w:val="single" w:color="auto" w:sz="4" w:space="0"/>
            </w:tcBorders>
          </w:tcPr>
          <w:p>
            <w:pPr>
              <w:rPr>
                <w:color w:val="000000" w:themeColor="text1"/>
                <w:sz w:val="36"/>
                <w:szCs w:val="36"/>
                <w14:textFill>
                  <w14:solidFill>
                    <w14:schemeClr w14:val="tx1"/>
                  </w14:solidFill>
                </w14:textFill>
              </w:rPr>
            </w:pPr>
          </w:p>
        </w:tc>
        <w:tc>
          <w:tcPr>
            <w:tcW w:w="2330" w:type="dxa"/>
            <w:tcBorders>
              <w:top w:val="single" w:color="auto" w:sz="4" w:space="0"/>
              <w:left w:val="single" w:color="auto" w:sz="4" w:space="0"/>
              <w:bottom w:val="single" w:color="auto" w:sz="4" w:space="0"/>
              <w:right w:val="single" w:color="auto" w:sz="4" w:space="0"/>
            </w:tcBorders>
          </w:tcPr>
          <w:p>
            <w:pPr>
              <w:rPr>
                <w:color w:val="000000" w:themeColor="text1"/>
                <w:sz w:val="36"/>
                <w:szCs w:val="36"/>
                <w14:textFill>
                  <w14:solidFill>
                    <w14:schemeClr w14:val="tx1"/>
                  </w14:solidFill>
                </w14:textFill>
              </w:rPr>
            </w:pPr>
          </w:p>
        </w:tc>
        <w:tc>
          <w:tcPr>
            <w:tcW w:w="3101" w:type="dxa"/>
            <w:tcBorders>
              <w:top w:val="single" w:color="auto" w:sz="4" w:space="0"/>
              <w:left w:val="single" w:color="auto" w:sz="4" w:space="0"/>
              <w:bottom w:val="single" w:color="auto" w:sz="4" w:space="0"/>
              <w:right w:val="single" w:color="auto" w:sz="4" w:space="0"/>
            </w:tcBorders>
          </w:tcPr>
          <w:p>
            <w:pPr>
              <w:rPr>
                <w:color w:val="000000" w:themeColor="text1"/>
                <w:sz w:val="36"/>
                <w:szCs w:val="36"/>
                <w14:textFill>
                  <w14:solidFill>
                    <w14:schemeClr w14:val="tx1"/>
                  </w14:solidFill>
                </w14:textFill>
              </w:rPr>
            </w:pPr>
          </w:p>
        </w:tc>
        <w:tc>
          <w:tcPr>
            <w:tcW w:w="3423" w:type="dxa"/>
            <w:tcBorders>
              <w:top w:val="single" w:color="auto" w:sz="4" w:space="0"/>
              <w:left w:val="single" w:color="auto" w:sz="4" w:space="0"/>
              <w:bottom w:val="single" w:color="auto" w:sz="4" w:space="0"/>
              <w:right w:val="single" w:color="auto" w:sz="4" w:space="0"/>
            </w:tcBorders>
          </w:tcPr>
          <w:p>
            <w:pPr>
              <w:rPr>
                <w:color w:val="000000" w:themeColor="text1"/>
                <w:sz w:val="36"/>
                <w:szCs w:val="36"/>
                <w14:textFill>
                  <w14:solidFill>
                    <w14:schemeClr w14:val="tx1"/>
                  </w14:solidFill>
                </w14:textFill>
              </w:rPr>
            </w:pPr>
          </w:p>
        </w:tc>
      </w:tr>
    </w:tbl>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评委签名：</w:t>
      </w:r>
    </w:p>
    <w:p>
      <w:pPr>
        <w:spacing w:line="360" w:lineRule="auto"/>
        <w:jc w:val="center"/>
        <w:rPr>
          <w:rFonts w:hint="eastAsia" w:ascii="仿宋_GB2312" w:hAnsi="宋体" w:eastAsia="仿宋_GB2312"/>
          <w:color w:val="000000" w:themeColor="text1"/>
          <w:szCs w:val="21"/>
          <w14:textFill>
            <w14:solidFill>
              <w14:schemeClr w14:val="tx1"/>
            </w14:solidFill>
          </w14:textFill>
        </w:rPr>
        <w:sectPr>
          <w:headerReference r:id="rId12" w:type="first"/>
          <w:footerReference r:id="rId15" w:type="first"/>
          <w:headerReference r:id="rId10" w:type="default"/>
          <w:footerReference r:id="rId13" w:type="default"/>
          <w:headerReference r:id="rId11" w:type="even"/>
          <w:footerReference r:id="rId14" w:type="even"/>
          <w:endnotePr>
            <w:numFmt w:val="decimal"/>
          </w:endnotePr>
          <w:pgSz w:w="16838" w:h="11906" w:orient="landscape"/>
          <w:pgMar w:top="1418" w:right="1247" w:bottom="1418" w:left="1134" w:header="851" w:footer="907" w:gutter="0"/>
          <w:pgNumType w:fmt="decimal"/>
          <w:cols w:space="425" w:num="1"/>
          <w:titlePg/>
          <w:docGrid w:type="lines" w:linePitch="312" w:charSpace="0"/>
        </w:sectPr>
      </w:pPr>
    </w:p>
    <w:p>
      <w:pPr>
        <w:pStyle w:val="3"/>
        <w:rPr>
          <w:rFonts w:hint="eastAsia" w:ascii="黑体" w:hAnsi="黑体" w:eastAsia="黑体" w:cs="黑体"/>
          <w:color w:val="000000" w:themeColor="text1"/>
          <w:sz w:val="36"/>
          <w:szCs w:val="36"/>
          <w14:textFill>
            <w14:solidFill>
              <w14:schemeClr w14:val="tx1"/>
            </w14:solidFill>
          </w14:textFill>
        </w:rPr>
      </w:pPr>
      <w:bookmarkStart w:id="49" w:name="_Toc21525511"/>
      <w:bookmarkStart w:id="50" w:name="_Toc2272566"/>
      <w:bookmarkStart w:id="51" w:name="_Toc25573"/>
      <w:r>
        <w:rPr>
          <w:rFonts w:hint="eastAsia" w:ascii="黑体" w:hAnsi="黑体" w:eastAsia="黑体" w:cs="黑体"/>
          <w:color w:val="000000" w:themeColor="text1"/>
          <w:sz w:val="36"/>
          <w:szCs w:val="36"/>
          <w14:textFill>
            <w14:solidFill>
              <w14:schemeClr w14:val="tx1"/>
            </w14:solidFill>
          </w14:textFill>
        </w:rPr>
        <w:t>第三章  合同条款</w:t>
      </w:r>
      <w:bookmarkEnd w:id="49"/>
      <w:bookmarkEnd w:id="50"/>
      <w:bookmarkEnd w:id="51"/>
    </w:p>
    <w:p>
      <w:pPr>
        <w:rPr>
          <w:rFonts w:ascii="宋体"/>
          <w:b/>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注：</w:t>
      </w:r>
      <w:r>
        <w:rPr>
          <w:rFonts w:hint="eastAsia" w:ascii="宋体" w:hAnsi="宋体"/>
          <w:color w:val="000000" w:themeColor="text1"/>
          <w:sz w:val="24"/>
          <w:szCs w:val="24"/>
          <w14:textFill>
            <w14:solidFill>
              <w14:schemeClr w14:val="tx1"/>
            </w14:solidFill>
          </w14:textFill>
        </w:rPr>
        <w:t>按《广州市建设工程施工合同》（SF－2019－0204）执行，另册。</w:t>
      </w:r>
    </w:p>
    <w:p>
      <w:pPr>
        <w:rPr>
          <w:color w:val="000000" w:themeColor="text1"/>
          <w:sz w:val="24"/>
          <w:szCs w:val="24"/>
          <w14:textFill>
            <w14:solidFill>
              <w14:schemeClr w14:val="tx1"/>
            </w14:solidFill>
          </w14:textFill>
        </w:rPr>
      </w:pPr>
    </w:p>
    <w:p>
      <w:pPr>
        <w:pStyle w:val="5"/>
        <w:spacing w:line="360" w:lineRule="auto"/>
        <w:rPr>
          <w:color w:val="000000" w:themeColor="text1"/>
          <w:sz w:val="24"/>
          <w:szCs w:val="24"/>
          <w14:textFill>
            <w14:solidFill>
              <w14:schemeClr w14:val="tx1"/>
            </w14:solidFill>
          </w14:textFill>
        </w:rPr>
      </w:pPr>
    </w:p>
    <w:p>
      <w:pPr>
        <w:pStyle w:val="5"/>
        <w:spacing w:line="360" w:lineRule="auto"/>
        <w:rPr>
          <w:color w:val="000000" w:themeColor="text1"/>
          <w:sz w:val="24"/>
          <w:szCs w:val="24"/>
          <w14:textFill>
            <w14:solidFill>
              <w14:schemeClr w14:val="tx1"/>
            </w14:solidFill>
          </w14:textFill>
        </w:rPr>
      </w:pPr>
    </w:p>
    <w:p>
      <w:pPr>
        <w:pStyle w:val="5"/>
        <w:spacing w:line="360" w:lineRule="auto"/>
        <w:rPr>
          <w:color w:val="000000" w:themeColor="text1"/>
          <w:sz w:val="24"/>
          <w:szCs w:val="24"/>
          <w14:textFill>
            <w14:solidFill>
              <w14:schemeClr w14:val="tx1"/>
            </w14:solidFill>
          </w14:textFill>
        </w:rPr>
      </w:pPr>
    </w:p>
    <w:p>
      <w:pPr>
        <w:pStyle w:val="5"/>
        <w:spacing w:line="360" w:lineRule="auto"/>
        <w:rPr>
          <w:color w:val="000000" w:themeColor="text1"/>
          <w:sz w:val="24"/>
          <w:szCs w:val="24"/>
          <w14:textFill>
            <w14:solidFill>
              <w14:schemeClr w14:val="tx1"/>
            </w14:solidFill>
          </w14:textFill>
        </w:rPr>
      </w:pPr>
    </w:p>
    <w:p>
      <w:pPr>
        <w:pStyle w:val="5"/>
        <w:spacing w:line="360" w:lineRule="auto"/>
        <w:rPr>
          <w:color w:val="000000" w:themeColor="text1"/>
          <w:sz w:val="24"/>
          <w:szCs w:val="24"/>
          <w14:textFill>
            <w14:solidFill>
              <w14:schemeClr w14:val="tx1"/>
            </w14:solidFill>
          </w14:textFill>
        </w:rPr>
      </w:pPr>
    </w:p>
    <w:p>
      <w:pPr>
        <w:pStyle w:val="5"/>
        <w:spacing w:line="360" w:lineRule="auto"/>
        <w:rPr>
          <w:color w:val="000000" w:themeColor="text1"/>
          <w:sz w:val="24"/>
          <w:szCs w:val="24"/>
          <w14:textFill>
            <w14:solidFill>
              <w14:schemeClr w14:val="tx1"/>
            </w14:solidFill>
          </w14:textFill>
        </w:rPr>
      </w:pPr>
    </w:p>
    <w:p>
      <w:pPr>
        <w:pStyle w:val="5"/>
        <w:spacing w:line="360" w:lineRule="auto"/>
        <w:rPr>
          <w:color w:val="000000" w:themeColor="text1"/>
          <w:sz w:val="24"/>
          <w:szCs w:val="24"/>
          <w14:textFill>
            <w14:solidFill>
              <w14:schemeClr w14:val="tx1"/>
            </w14:solidFill>
          </w14:textFill>
        </w:rPr>
      </w:pPr>
    </w:p>
    <w:p>
      <w:pPr>
        <w:pStyle w:val="5"/>
        <w:spacing w:line="360" w:lineRule="auto"/>
        <w:rPr>
          <w:color w:val="000000" w:themeColor="text1"/>
          <w:sz w:val="24"/>
          <w:szCs w:val="24"/>
          <w14:textFill>
            <w14:solidFill>
              <w14:schemeClr w14:val="tx1"/>
            </w14:solidFill>
          </w14:textFill>
        </w:rPr>
      </w:pPr>
    </w:p>
    <w:p>
      <w:pPr>
        <w:pStyle w:val="5"/>
        <w:spacing w:line="360" w:lineRule="auto"/>
        <w:rPr>
          <w:color w:val="000000" w:themeColor="text1"/>
          <w:sz w:val="24"/>
          <w:szCs w:val="24"/>
          <w14:textFill>
            <w14:solidFill>
              <w14:schemeClr w14:val="tx1"/>
            </w14:solidFill>
          </w14:textFill>
        </w:rPr>
      </w:pPr>
    </w:p>
    <w:p>
      <w:pPr>
        <w:pStyle w:val="5"/>
        <w:spacing w:line="360" w:lineRule="auto"/>
        <w:rPr>
          <w:color w:val="000000" w:themeColor="text1"/>
          <w:sz w:val="24"/>
          <w:szCs w:val="24"/>
          <w14:textFill>
            <w14:solidFill>
              <w14:schemeClr w14:val="tx1"/>
            </w14:solidFill>
          </w14:textFill>
        </w:rPr>
      </w:pPr>
    </w:p>
    <w:p>
      <w:pPr>
        <w:pStyle w:val="5"/>
        <w:spacing w:line="360" w:lineRule="auto"/>
        <w:rPr>
          <w:color w:val="000000" w:themeColor="text1"/>
          <w:sz w:val="24"/>
          <w:szCs w:val="24"/>
          <w14:textFill>
            <w14:solidFill>
              <w14:schemeClr w14:val="tx1"/>
            </w14:solidFill>
          </w14:textFill>
        </w:rPr>
      </w:pPr>
    </w:p>
    <w:p>
      <w:pPr>
        <w:pStyle w:val="5"/>
        <w:spacing w:line="360" w:lineRule="auto"/>
        <w:rPr>
          <w:color w:val="000000" w:themeColor="text1"/>
          <w:sz w:val="24"/>
          <w:szCs w:val="24"/>
          <w14:textFill>
            <w14:solidFill>
              <w14:schemeClr w14:val="tx1"/>
            </w14:solidFill>
          </w14:textFill>
        </w:rPr>
      </w:pPr>
    </w:p>
    <w:p>
      <w:pPr>
        <w:pStyle w:val="5"/>
        <w:spacing w:line="360" w:lineRule="auto"/>
        <w:rPr>
          <w:color w:val="000000" w:themeColor="text1"/>
          <w:sz w:val="24"/>
          <w:szCs w:val="24"/>
          <w14:textFill>
            <w14:solidFill>
              <w14:schemeClr w14:val="tx1"/>
            </w14:solidFill>
          </w14:textFill>
        </w:rPr>
      </w:pPr>
    </w:p>
    <w:p>
      <w:pPr>
        <w:pStyle w:val="5"/>
        <w:spacing w:line="360" w:lineRule="auto"/>
        <w:rPr>
          <w:color w:val="000000" w:themeColor="text1"/>
          <w:sz w:val="24"/>
          <w:szCs w:val="24"/>
          <w14:textFill>
            <w14:solidFill>
              <w14:schemeClr w14:val="tx1"/>
            </w14:solidFill>
          </w14:textFill>
        </w:rPr>
      </w:pPr>
    </w:p>
    <w:p>
      <w:pPr>
        <w:pStyle w:val="5"/>
        <w:spacing w:line="360" w:lineRule="auto"/>
        <w:rPr>
          <w:color w:val="000000" w:themeColor="text1"/>
          <w:sz w:val="24"/>
          <w:szCs w:val="24"/>
          <w14:textFill>
            <w14:solidFill>
              <w14:schemeClr w14:val="tx1"/>
            </w14:solidFill>
          </w14:textFill>
        </w:rPr>
      </w:pPr>
    </w:p>
    <w:p>
      <w:pPr>
        <w:pStyle w:val="5"/>
        <w:spacing w:line="360" w:lineRule="auto"/>
        <w:rPr>
          <w:color w:val="000000" w:themeColor="text1"/>
          <w:sz w:val="24"/>
          <w:szCs w:val="24"/>
          <w14:textFill>
            <w14:solidFill>
              <w14:schemeClr w14:val="tx1"/>
            </w14:solidFill>
          </w14:textFill>
        </w:rPr>
      </w:pPr>
    </w:p>
    <w:p>
      <w:pPr>
        <w:pStyle w:val="5"/>
        <w:spacing w:line="360" w:lineRule="auto"/>
        <w:rPr>
          <w:color w:val="000000" w:themeColor="text1"/>
          <w:sz w:val="24"/>
          <w:szCs w:val="24"/>
          <w14:textFill>
            <w14:solidFill>
              <w14:schemeClr w14:val="tx1"/>
            </w14:solidFill>
          </w14:textFill>
        </w:rPr>
      </w:pPr>
    </w:p>
    <w:p>
      <w:pPr>
        <w:pStyle w:val="5"/>
        <w:spacing w:line="360" w:lineRule="auto"/>
        <w:rPr>
          <w:color w:val="000000" w:themeColor="text1"/>
          <w:sz w:val="24"/>
          <w:szCs w:val="24"/>
          <w14:textFill>
            <w14:solidFill>
              <w14:schemeClr w14:val="tx1"/>
            </w14:solidFill>
          </w14:textFill>
        </w:rPr>
      </w:pPr>
    </w:p>
    <w:p>
      <w:pPr>
        <w:pStyle w:val="21"/>
        <w:spacing w:line="360" w:lineRule="auto"/>
        <w:rPr>
          <w:color w:val="000000" w:themeColor="text1"/>
          <w:sz w:val="24"/>
          <w:szCs w:val="24"/>
          <w14:textFill>
            <w14:solidFill>
              <w14:schemeClr w14:val="tx1"/>
            </w14:solidFill>
          </w14:textFill>
        </w:rPr>
      </w:pPr>
    </w:p>
    <w:p>
      <w:pPr>
        <w:pStyle w:val="21"/>
        <w:spacing w:line="360" w:lineRule="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br w:type="page"/>
      </w:r>
    </w:p>
    <w:p>
      <w:pPr>
        <w:pStyle w:val="3"/>
        <w:rPr>
          <w:rFonts w:hint="eastAsia" w:ascii="黑体" w:hAnsi="黑体" w:eastAsia="黑体" w:cs="黑体"/>
          <w:color w:val="000000" w:themeColor="text1"/>
          <w:sz w:val="36"/>
          <w:szCs w:val="36"/>
          <w14:textFill>
            <w14:solidFill>
              <w14:schemeClr w14:val="tx1"/>
            </w14:solidFill>
          </w14:textFill>
        </w:rPr>
      </w:pPr>
      <w:bookmarkStart w:id="52" w:name="_Toc25299"/>
      <w:bookmarkStart w:id="53" w:name="_Toc2272567"/>
      <w:bookmarkStart w:id="54" w:name="_Toc21525512"/>
      <w:r>
        <w:rPr>
          <w:rFonts w:hint="eastAsia" w:ascii="黑体" w:hAnsi="黑体" w:eastAsia="黑体" w:cs="黑体"/>
          <w:color w:val="000000" w:themeColor="text1"/>
          <w:sz w:val="36"/>
          <w:szCs w:val="36"/>
          <w14:textFill>
            <w14:solidFill>
              <w14:schemeClr w14:val="tx1"/>
            </w14:solidFill>
          </w14:textFill>
        </w:rPr>
        <w:t>第四章  投标文件格式</w:t>
      </w:r>
      <w:bookmarkEnd w:id="52"/>
      <w:bookmarkEnd w:id="53"/>
      <w:bookmarkEnd w:id="54"/>
    </w:p>
    <w:p>
      <w:pPr>
        <w:autoSpaceDE w:val="0"/>
        <w:autoSpaceDN w:val="0"/>
        <w:adjustRightInd w:val="0"/>
        <w:rPr>
          <w:bCs/>
          <w:color w:val="000000" w:themeColor="text1"/>
          <w:szCs w:val="21"/>
          <w14:textFill>
            <w14:solidFill>
              <w14:schemeClr w14:val="tx1"/>
            </w14:solidFill>
          </w14:textFill>
        </w:rPr>
      </w:pPr>
      <w:r>
        <w:rPr>
          <w:color w:val="000000" w:themeColor="text1"/>
          <w14:textFill>
            <w14:solidFill>
              <w14:schemeClr w14:val="tx1"/>
            </w14:solidFill>
          </w14:textFill>
        </w:rPr>
        <w:br w:type="page"/>
      </w:r>
      <w:r>
        <w:rPr>
          <w:rFonts w:hint="eastAsia"/>
          <w:bCs/>
          <w:color w:val="000000" w:themeColor="text1"/>
          <w:szCs w:val="21"/>
          <w14:textFill>
            <w14:solidFill>
              <w14:schemeClr w14:val="tx1"/>
            </w14:solidFill>
          </w14:textFill>
        </w:rPr>
        <w:t>附件一</w:t>
      </w:r>
    </w:p>
    <w:p>
      <w:pPr>
        <w:autoSpaceDE w:val="0"/>
        <w:autoSpaceDN w:val="0"/>
        <w:adjustRightInd w:val="0"/>
        <w:rPr>
          <w:rFonts w:ascii="宋体" w:cs="宋体"/>
          <w:b/>
          <w:bCs/>
          <w:color w:val="000000" w:themeColor="text1"/>
          <w:szCs w:val="21"/>
          <w:lang w:val="zh-CN"/>
          <w14:textFill>
            <w14:solidFill>
              <w14:schemeClr w14:val="tx1"/>
            </w14:solidFill>
          </w14:textFill>
        </w:rPr>
      </w:pPr>
      <w:r>
        <w:rPr>
          <w:rFonts w:hint="eastAsia"/>
          <w:bCs/>
          <w:color w:val="000000" w:themeColor="text1"/>
          <w:szCs w:val="21"/>
          <w14:textFill>
            <w14:solidFill>
              <w14:schemeClr w14:val="tx1"/>
            </w14:solidFill>
          </w14:textFill>
        </w:rPr>
        <w:t>（适用于技术标与经济标同时开启）</w:t>
      </w:r>
    </w:p>
    <w:p>
      <w:pPr>
        <w:autoSpaceDE w:val="0"/>
        <w:autoSpaceDN w:val="0"/>
        <w:adjustRightInd w:val="0"/>
        <w:ind w:left="-540" w:leftChars="-257" w:firstLine="1135" w:firstLineChars="257"/>
        <w:jc w:val="center"/>
        <w:rPr>
          <w:rFonts w:hint="eastAsia" w:ascii="宋体" w:hAnsi="宋体" w:cs="宋体"/>
          <w:b/>
          <w:bCs/>
          <w:color w:val="000000" w:themeColor="text1"/>
          <w:sz w:val="44"/>
          <w:szCs w:val="44"/>
          <w:lang w:val="zh-CN"/>
          <w14:textFill>
            <w14:solidFill>
              <w14:schemeClr w14:val="tx1"/>
            </w14:solidFill>
          </w14:textFill>
        </w:rPr>
      </w:pPr>
    </w:p>
    <w:p>
      <w:pPr>
        <w:autoSpaceDE w:val="0"/>
        <w:autoSpaceDN w:val="0"/>
        <w:adjustRightInd w:val="0"/>
        <w:ind w:left="-540" w:leftChars="-257" w:firstLine="929" w:firstLineChars="257"/>
        <w:jc w:val="center"/>
        <w:rPr>
          <w:rFonts w:ascii="宋体"/>
          <w:b/>
          <w:bCs/>
          <w:color w:val="000000" w:themeColor="text1"/>
          <w:sz w:val="36"/>
          <w:szCs w:val="36"/>
          <w14:textFill>
            <w14:solidFill>
              <w14:schemeClr w14:val="tx1"/>
            </w14:solidFill>
          </w14:textFill>
        </w:rPr>
      </w:pPr>
      <w:r>
        <w:rPr>
          <w:rFonts w:hint="eastAsia" w:ascii="宋体" w:hAnsi="宋体" w:cs="宋体"/>
          <w:b/>
          <w:bCs/>
          <w:color w:val="000000" w:themeColor="text1"/>
          <w:sz w:val="36"/>
          <w:szCs w:val="36"/>
          <w:lang w:val="zh-CN"/>
          <w14:textFill>
            <w14:solidFill>
              <w14:schemeClr w14:val="tx1"/>
            </w14:solidFill>
          </w14:textFill>
        </w:rPr>
        <w:t>广州建设工程施工招标投标书</w:t>
      </w:r>
    </w:p>
    <w:tbl>
      <w:tblPr>
        <w:tblStyle w:val="36"/>
        <w:tblpPr w:leftFromText="180" w:rightFromText="180" w:vertAnchor="text" w:horzAnchor="margin" w:tblpXSpec="center" w:tblpY="275"/>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5"/>
        <w:gridCol w:w="3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bCs/>
                <w:color w:val="000000" w:themeColor="text1"/>
                <w:sz w:val="24"/>
                <w:szCs w:val="24"/>
                <w:lang w:val="zh-CN"/>
                <w14:textFill>
                  <w14:solidFill>
                    <w14:schemeClr w14:val="tx1"/>
                  </w14:solidFill>
                </w14:textFill>
              </w:rPr>
            </w:pPr>
            <w:r>
              <w:rPr>
                <w:rFonts w:hint="eastAsia" w:ascii="宋体" w:hAnsi="宋体" w:cs="宋体"/>
                <w:b/>
                <w:color w:val="000000" w:themeColor="text1"/>
                <w:sz w:val="24"/>
                <w:szCs w:val="24"/>
                <w:lang w:val="zh-CN"/>
                <w14:textFill>
                  <w14:solidFill>
                    <w14:schemeClr w14:val="tx1"/>
                  </w14:solidFill>
                </w14:textFill>
              </w:rPr>
              <w:t>工</w:t>
            </w:r>
            <w:r>
              <w:rPr>
                <w:rFonts w:ascii="宋体" w:hAnsi="宋体" w:cs="宋体"/>
                <w:b/>
                <w:color w:val="000000" w:themeColor="text1"/>
                <w:sz w:val="24"/>
                <w:szCs w:val="24"/>
                <w:lang w:val="zh-CN"/>
                <w14:textFill>
                  <w14:solidFill>
                    <w14:schemeClr w14:val="tx1"/>
                  </w14:solidFill>
                </w14:textFill>
              </w:rPr>
              <w:t xml:space="preserve"> </w:t>
            </w:r>
            <w:r>
              <w:rPr>
                <w:rFonts w:hint="eastAsia" w:ascii="宋体" w:hAnsi="宋体" w:cs="宋体"/>
                <w:b/>
                <w:color w:val="000000" w:themeColor="text1"/>
                <w:sz w:val="24"/>
                <w:szCs w:val="24"/>
                <w:lang w:val="zh-CN"/>
                <w14:textFill>
                  <w14:solidFill>
                    <w14:schemeClr w14:val="tx1"/>
                  </w14:solidFill>
                </w14:textFill>
              </w:rPr>
              <w:t>程</w:t>
            </w:r>
            <w:r>
              <w:rPr>
                <w:rFonts w:ascii="宋体" w:hAnsi="宋体" w:cs="宋体"/>
                <w:b/>
                <w:color w:val="000000" w:themeColor="text1"/>
                <w:sz w:val="24"/>
                <w:szCs w:val="24"/>
                <w:lang w:val="zh-CN"/>
                <w14:textFill>
                  <w14:solidFill>
                    <w14:schemeClr w14:val="tx1"/>
                  </w14:solidFill>
                </w14:textFill>
              </w:rPr>
              <w:t xml:space="preserve"> </w:t>
            </w:r>
            <w:r>
              <w:rPr>
                <w:rFonts w:hint="eastAsia" w:ascii="宋体" w:hAnsi="宋体" w:cs="宋体"/>
                <w:b/>
                <w:color w:val="000000" w:themeColor="text1"/>
                <w:sz w:val="24"/>
                <w:szCs w:val="24"/>
                <w:lang w:val="zh-CN"/>
                <w14:textFill>
                  <w14:solidFill>
                    <w14:schemeClr w14:val="tx1"/>
                  </w14:solidFill>
                </w14:textFill>
              </w:rPr>
              <w:t>名</w:t>
            </w:r>
            <w:r>
              <w:rPr>
                <w:rFonts w:ascii="宋体" w:hAnsi="宋体" w:cs="宋体"/>
                <w:b/>
                <w:color w:val="000000" w:themeColor="text1"/>
                <w:sz w:val="24"/>
                <w:szCs w:val="24"/>
                <w:lang w:val="zh-CN"/>
                <w14:textFill>
                  <w14:solidFill>
                    <w14:schemeClr w14:val="tx1"/>
                  </w14:solidFill>
                </w14:textFill>
              </w:rPr>
              <w:t xml:space="preserve"> </w:t>
            </w:r>
            <w:r>
              <w:rPr>
                <w:rFonts w:hint="eastAsia" w:ascii="宋体" w:hAnsi="宋体" w:cs="宋体"/>
                <w:b/>
                <w:color w:val="000000" w:themeColor="text1"/>
                <w:sz w:val="24"/>
                <w:szCs w:val="24"/>
                <w:lang w:val="zh-CN"/>
                <w14:textFill>
                  <w14:solidFill>
                    <w14:schemeClr w14:val="tx1"/>
                  </w14:solidFill>
                </w14:textFill>
              </w:rPr>
              <w:t>称</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color w:val="000000" w:themeColor="text1"/>
                <w:sz w:val="24"/>
                <w:szCs w:val="24"/>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bCs/>
                <w:color w:val="000000" w:themeColor="text1"/>
                <w:sz w:val="24"/>
                <w:szCs w:val="24"/>
                <w:lang w:val="zh-CN"/>
                <w14:textFill>
                  <w14:solidFill>
                    <w14:schemeClr w14:val="tx1"/>
                  </w14:solidFill>
                </w14:textFill>
              </w:rPr>
            </w:pPr>
            <w:r>
              <w:rPr>
                <w:rFonts w:hint="eastAsia" w:ascii="宋体" w:hAnsi="宋体" w:cs="宋体"/>
                <w:b/>
                <w:color w:val="000000" w:themeColor="text1"/>
                <w:sz w:val="24"/>
                <w:szCs w:val="24"/>
                <w:lang w:val="zh-CN"/>
                <w14:textFill>
                  <w14:solidFill>
                    <w14:schemeClr w14:val="tx1"/>
                  </w14:solidFill>
                </w14:textFill>
              </w:rPr>
              <w:t>投标总报价（元）</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宋体"/>
                <w:b/>
                <w:bCs/>
                <w:color w:val="000000" w:themeColor="text1"/>
                <w:sz w:val="24"/>
                <w:szCs w:val="24"/>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bCs/>
                <w:color w:val="000000" w:themeColor="text1"/>
                <w:sz w:val="24"/>
                <w:szCs w:val="24"/>
                <w:lang w:val="zh-CN"/>
                <w14:textFill>
                  <w14:solidFill>
                    <w14:schemeClr w14:val="tx1"/>
                  </w14:solidFill>
                </w14:textFill>
              </w:rPr>
            </w:pPr>
            <w:r>
              <w:rPr>
                <w:rFonts w:hint="eastAsia" w:ascii="宋体" w:hAnsi="宋体" w:cs="宋体"/>
                <w:b/>
                <w:color w:val="000000" w:themeColor="text1"/>
                <w:sz w:val="24"/>
                <w:szCs w:val="24"/>
                <w:lang w:val="zh-CN"/>
                <w14:textFill>
                  <w14:solidFill>
                    <w14:schemeClr w14:val="tx1"/>
                  </w14:solidFill>
                </w14:textFill>
              </w:rPr>
              <w:t>其中：</w:t>
            </w:r>
            <w:r>
              <w:rPr>
                <w:rFonts w:hint="eastAsia" w:ascii="宋体" w:hAnsi="宋体" w:cs="宋体"/>
                <w:b/>
                <w:bCs/>
                <w:color w:val="000000" w:themeColor="text1"/>
                <w:sz w:val="24"/>
                <w:szCs w:val="24"/>
                <w:lang w:val="zh-CN"/>
                <w14:textFill>
                  <w14:solidFill>
                    <w14:schemeClr w14:val="tx1"/>
                  </w14:solidFill>
                </w14:textFill>
              </w:rPr>
              <w:t>人工费</w:t>
            </w:r>
            <w:r>
              <w:rPr>
                <w:rFonts w:hint="eastAsia" w:ascii="宋体" w:hAnsi="宋体" w:cs="宋体"/>
                <w:b/>
                <w:color w:val="000000" w:themeColor="text1"/>
                <w:sz w:val="24"/>
                <w:szCs w:val="24"/>
                <w:lang w:val="zh-CN"/>
                <w14:textFill>
                  <w14:solidFill>
                    <w14:schemeClr w14:val="tx1"/>
                  </w14:solidFill>
                </w14:textFill>
              </w:rPr>
              <w:t>（元）</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宋体"/>
                <w:b/>
                <w:bCs/>
                <w:color w:val="000000" w:themeColor="text1"/>
                <w:sz w:val="24"/>
                <w:szCs w:val="24"/>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bCs/>
                <w:color w:val="000000" w:themeColor="text1"/>
                <w:sz w:val="24"/>
                <w:szCs w:val="24"/>
                <w:lang w:val="zh-CN"/>
                <w14:textFill>
                  <w14:solidFill>
                    <w14:schemeClr w14:val="tx1"/>
                  </w14:solidFill>
                </w14:textFill>
              </w:rPr>
            </w:pPr>
            <w:r>
              <w:rPr>
                <w:rFonts w:hint="eastAsia" w:ascii="宋体" w:hAnsi="宋体" w:cs="宋体"/>
                <w:b/>
                <w:bCs/>
                <w:color w:val="000000" w:themeColor="text1"/>
                <w:sz w:val="24"/>
                <w:szCs w:val="24"/>
                <w:lang w:val="zh-CN"/>
                <w14:textFill>
                  <w14:solidFill>
                    <w14:schemeClr w14:val="tx1"/>
                  </w14:solidFill>
                </w14:textFill>
              </w:rPr>
              <w:t>其中：绿色施工安全防护措施费</w:t>
            </w:r>
            <w:r>
              <w:rPr>
                <w:rFonts w:hint="eastAsia" w:ascii="宋体" w:hAnsi="宋体" w:cs="宋体"/>
                <w:b/>
                <w:color w:val="000000" w:themeColor="text1"/>
                <w:sz w:val="24"/>
                <w:szCs w:val="24"/>
                <w:lang w:val="zh-CN"/>
                <w14:textFill>
                  <w14:solidFill>
                    <w14:schemeClr w14:val="tx1"/>
                  </w14:solidFill>
                </w14:textFill>
              </w:rPr>
              <w:t>（元）</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color w:val="000000" w:themeColor="text1"/>
                <w:sz w:val="24"/>
                <w:szCs w:val="24"/>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b/>
                <w:color w:val="000000" w:themeColor="text1"/>
                <w:sz w:val="24"/>
                <w:szCs w:val="24"/>
                <w:lang w:val="zh-CN"/>
                <w14:textFill>
                  <w14:solidFill>
                    <w14:schemeClr w14:val="tx1"/>
                  </w14:solidFill>
                </w14:textFill>
              </w:rPr>
            </w:pPr>
            <w:r>
              <w:rPr>
                <w:rFonts w:hint="eastAsia" w:ascii="宋体" w:hAnsi="宋体" w:cs="宋体"/>
                <w:b/>
                <w:color w:val="000000" w:themeColor="text1"/>
                <w:sz w:val="24"/>
                <w:szCs w:val="24"/>
                <w:lang w:val="zh-CN"/>
                <w14:textFill>
                  <w14:solidFill>
                    <w14:schemeClr w14:val="tx1"/>
                  </w14:solidFill>
                </w14:textFill>
              </w:rPr>
              <w:t>投标总工期</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color w:val="000000" w:themeColor="text1"/>
                <w:sz w:val="24"/>
                <w:szCs w:val="24"/>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jc w:val="center"/>
              <w:rPr>
                <w:rFonts w:ascii="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lang w:val="zh-CN"/>
                <w14:textFill>
                  <w14:solidFill>
                    <w14:schemeClr w14:val="tx1"/>
                  </w14:solidFill>
                </w14:textFill>
              </w:rPr>
              <w:t>工程质量标准</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color w:val="000000" w:themeColor="text1"/>
                <w:sz w:val="24"/>
                <w:szCs w:val="24"/>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bCs/>
                <w:color w:val="000000" w:themeColor="text1"/>
                <w:sz w:val="24"/>
                <w:szCs w:val="24"/>
                <w:lang w:val="zh-CN"/>
                <w14:textFill>
                  <w14:solidFill>
                    <w14:schemeClr w14:val="tx1"/>
                  </w14:solidFill>
                </w14:textFill>
              </w:rPr>
            </w:pPr>
            <w:r>
              <w:rPr>
                <w:rFonts w:hint="eastAsia" w:ascii="宋体" w:hAnsi="宋体" w:cs="宋体"/>
                <w:b/>
                <w:color w:val="000000" w:themeColor="text1"/>
                <w:sz w:val="24"/>
                <w:szCs w:val="24"/>
                <w:lang w:val="zh-CN"/>
                <w14:textFill>
                  <w14:solidFill>
                    <w14:schemeClr w14:val="tx1"/>
                  </w14:solidFill>
                </w14:textFill>
              </w:rPr>
              <w:t>保修期限</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color w:val="000000" w:themeColor="text1"/>
                <w:sz w:val="24"/>
                <w:szCs w:val="24"/>
                <w:lang w:val="zh-CN"/>
                <w14:textFill>
                  <w14:solidFill>
                    <w14:schemeClr w14:val="tx1"/>
                  </w14:solidFill>
                </w14:textFill>
              </w:rPr>
            </w:pPr>
          </w:p>
        </w:tc>
      </w:tr>
    </w:tbl>
    <w:p>
      <w:pPr>
        <w:tabs>
          <w:tab w:val="left" w:pos="720"/>
        </w:tabs>
        <w:snapToGrid w:val="0"/>
        <w:spacing w:line="360" w:lineRule="auto"/>
        <w:rPr>
          <w:color w:val="000000" w:themeColor="text1"/>
          <w:sz w:val="24"/>
          <w:szCs w:val="24"/>
          <w14:textFill>
            <w14:solidFill>
              <w14:schemeClr w14:val="tx1"/>
            </w14:solidFill>
          </w14:textFill>
        </w:rPr>
      </w:pPr>
    </w:p>
    <w:p>
      <w:pPr>
        <w:autoSpaceDE w:val="0"/>
        <w:autoSpaceDN w:val="0"/>
        <w:adjustRightInd w:val="0"/>
        <w:rPr>
          <w:color w:val="000000" w:themeColor="text1"/>
          <w:szCs w:val="21"/>
          <w14:textFill>
            <w14:solidFill>
              <w14:schemeClr w14:val="tx1"/>
            </w14:solidFill>
          </w14:textFill>
        </w:rPr>
      </w:pPr>
      <w:r>
        <w:rPr>
          <w:color w:val="000000" w:themeColor="text1"/>
          <w:sz w:val="24"/>
          <w:szCs w:val="24"/>
          <w14:textFill>
            <w14:solidFill>
              <w14:schemeClr w14:val="tx1"/>
            </w14:solidFill>
          </w14:textFill>
        </w:rPr>
        <w:br w:type="page"/>
      </w:r>
      <w:r>
        <w:rPr>
          <w:rFonts w:hint="eastAsia"/>
          <w:color w:val="000000" w:themeColor="text1"/>
          <w:szCs w:val="21"/>
          <w14:textFill>
            <w14:solidFill>
              <w14:schemeClr w14:val="tx1"/>
            </w14:solidFill>
          </w14:textFill>
        </w:rPr>
        <w:t>附件二</w:t>
      </w:r>
    </w:p>
    <w:p>
      <w:pPr>
        <w:tabs>
          <w:tab w:val="left" w:pos="720"/>
        </w:tabs>
        <w:snapToGrid w:val="0"/>
        <w:spacing w:line="360" w:lineRule="auto"/>
        <w:jc w:val="center"/>
        <w:rPr>
          <w:color w:val="000000" w:themeColor="text1"/>
          <w:sz w:val="36"/>
          <w:szCs w:val="36"/>
          <w14:textFill>
            <w14:solidFill>
              <w14:schemeClr w14:val="tx1"/>
            </w14:solidFill>
          </w14:textFill>
        </w:rPr>
      </w:pPr>
      <w:r>
        <w:rPr>
          <w:rFonts w:hint="eastAsia"/>
          <w:b/>
          <w:color w:val="000000" w:themeColor="text1"/>
          <w:sz w:val="36"/>
          <w:szCs w:val="36"/>
          <w14:textFill>
            <w14:solidFill>
              <w14:schemeClr w14:val="tx1"/>
            </w14:solidFill>
          </w14:textFill>
        </w:rPr>
        <w:t>投标文件编制人员名单</w:t>
      </w:r>
    </w:p>
    <w:p>
      <w:pPr>
        <w:tabs>
          <w:tab w:val="left" w:pos="720"/>
        </w:tabs>
        <w:snapToGrid w:val="0"/>
        <w:spacing w:line="360" w:lineRule="auto"/>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一、参与编制技术标投标文件人员名单</w:t>
      </w:r>
    </w:p>
    <w:tbl>
      <w:tblPr>
        <w:tblStyle w:val="3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姓名</w:t>
            </w: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职务</w:t>
            </w: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r>
    </w:tbl>
    <w:p>
      <w:pPr>
        <w:tabs>
          <w:tab w:val="left" w:pos="720"/>
        </w:tabs>
        <w:snapToGrid w:val="0"/>
        <w:spacing w:line="360" w:lineRule="auto"/>
        <w:rPr>
          <w:color w:val="000000" w:themeColor="text1"/>
          <w:sz w:val="24"/>
          <w:szCs w:val="24"/>
          <w14:textFill>
            <w14:solidFill>
              <w14:schemeClr w14:val="tx1"/>
            </w14:solidFill>
          </w14:textFill>
        </w:rPr>
      </w:pPr>
    </w:p>
    <w:p>
      <w:pPr>
        <w:tabs>
          <w:tab w:val="left" w:pos="720"/>
        </w:tabs>
        <w:snapToGrid w:val="0"/>
        <w:spacing w:line="36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二、参与编制经济标投标文件人员名单</w:t>
      </w:r>
    </w:p>
    <w:tbl>
      <w:tblPr>
        <w:tblStyle w:val="3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姓名</w:t>
            </w: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职务</w:t>
            </w: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r>
    </w:tbl>
    <w:p>
      <w:pPr>
        <w:tabs>
          <w:tab w:val="left" w:pos="720"/>
        </w:tabs>
        <w:snapToGrid w:val="0"/>
        <w:spacing w:line="360" w:lineRule="auto"/>
        <w:rPr>
          <w:color w:val="000000" w:themeColor="text1"/>
          <w:sz w:val="24"/>
          <w:szCs w:val="24"/>
          <w14:textFill>
            <w14:solidFill>
              <w14:schemeClr w14:val="tx1"/>
            </w14:solidFill>
          </w14:textFill>
        </w:rPr>
      </w:pPr>
    </w:p>
    <w:p>
      <w:pPr>
        <w:pStyle w:val="5"/>
        <w:spacing w:after="0" w:line="360" w:lineRule="auto"/>
        <w:ind w:left="-2" w:leftChars="-1" w:firstLine="367" w:firstLineChars="175"/>
        <w:jc w:val="left"/>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注：参与编制投标文件所有人员名单应包括如编制技术投标方案、编制各种专业工程量清单投标报价、负责清样校对、负责打印及复印等所有人员在内的人员名单。</w:t>
      </w:r>
    </w:p>
    <w:p>
      <w:pP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br w:type="page"/>
      </w:r>
    </w:p>
    <w:p>
      <w:pPr>
        <w:autoSpaceDE w:val="0"/>
        <w:autoSpaceDN w:val="0"/>
        <w:adjustRightIn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附件三</w:t>
      </w:r>
    </w:p>
    <w:p>
      <w:pPr>
        <w:pStyle w:val="5"/>
        <w:keepNext w:val="0"/>
        <w:keepLines w:val="0"/>
        <w:pageBreakBefore w:val="0"/>
        <w:widowControl w:val="0"/>
        <w:kinsoku/>
        <w:wordWrap/>
        <w:overflowPunct/>
        <w:topLinePunct w:val="0"/>
        <w:autoSpaceDE/>
        <w:autoSpaceDN/>
        <w:bidi w:val="0"/>
        <w:adjustRightInd/>
        <w:snapToGrid/>
        <w:spacing w:after="313" w:afterLines="100" w:line="360" w:lineRule="auto"/>
        <w:ind w:firstLine="0"/>
        <w:jc w:val="center"/>
        <w:textAlignment w:val="auto"/>
        <w:rPr>
          <w:color w:val="000000" w:themeColor="text1"/>
          <w:sz w:val="36"/>
          <w:szCs w:val="36"/>
          <w14:textFill>
            <w14:solidFill>
              <w14:schemeClr w14:val="tx1"/>
            </w14:solidFill>
          </w14:textFill>
        </w:rPr>
      </w:pPr>
      <w:r>
        <w:rPr>
          <w:rFonts w:hint="eastAsia"/>
          <w:b/>
          <w:color w:val="000000" w:themeColor="text1"/>
          <w:sz w:val="36"/>
          <w:szCs w:val="36"/>
          <w14:textFill>
            <w14:solidFill>
              <w14:schemeClr w14:val="tx1"/>
            </w14:solidFill>
          </w14:textFill>
        </w:rPr>
        <w:t>对投标文件编制的承诺</w:t>
      </w:r>
    </w:p>
    <w:p>
      <w:pPr>
        <w:pStyle w:val="5"/>
        <w:spacing w:after="0" w:line="360" w:lineRule="auto"/>
        <w:ind w:left="-2" w:leftChars="-1" w:firstLine="540" w:firstLineChars="225"/>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本公司授权</w:t>
      </w:r>
      <w:r>
        <w:rPr>
          <w:rFonts w:hint="eastAsia" w:ascii="宋体" w:hAnsi="宋体"/>
          <w:color w:val="000000" w:themeColor="text1"/>
          <w:sz w:val="24"/>
          <w:szCs w:val="24"/>
          <w:u w:val="single"/>
          <w14:textFill>
            <w14:solidFill>
              <w14:schemeClr w14:val="tx1"/>
            </w14:solidFill>
          </w14:textFill>
        </w:rPr>
        <w:t xml:space="preserve">         （身份证号：               ）</w:t>
      </w:r>
      <w:r>
        <w:rPr>
          <w:rFonts w:hint="eastAsia" w:ascii="宋体" w:hAnsi="宋体"/>
          <w:color w:val="000000" w:themeColor="text1"/>
          <w:sz w:val="24"/>
          <w:szCs w:val="24"/>
          <w14:textFill>
            <w14:solidFill>
              <w14:schemeClr w14:val="tx1"/>
            </w14:solidFill>
          </w14:textFill>
        </w:rPr>
        <w:t>负责对投标文件的编制及内容进行解释、说明，并承诺以下事项：</w:t>
      </w:r>
    </w:p>
    <w:p>
      <w:pPr>
        <w:pStyle w:val="5"/>
        <w:spacing w:after="0" w:line="360" w:lineRule="auto"/>
        <w:ind w:left="-2" w:leftChars="-1" w:firstLine="540" w:firstLineChars="225"/>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1.被授权人清楚投标文件编制的具体情况，包括技术方案文件、工程量清单、以及投标文件的加密打包的理解；</w:t>
      </w:r>
    </w:p>
    <w:p>
      <w:pPr>
        <w:pStyle w:val="5"/>
        <w:spacing w:after="0" w:line="360" w:lineRule="auto"/>
        <w:ind w:left="-2" w:leftChars="-1" w:firstLine="540" w:firstLineChars="225"/>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2.在本项目开标至评标结束前，努力确保被授权人在项目评标所在地附近；</w:t>
      </w:r>
    </w:p>
    <w:p>
      <w:pPr>
        <w:pStyle w:val="5"/>
        <w:spacing w:after="0" w:line="360" w:lineRule="auto"/>
        <w:ind w:left="-2" w:leftChars="-1" w:firstLine="540" w:firstLineChars="225"/>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3.从评标委员会要求澄清起二小时内，被授权人应如实地书面澄清。</w:t>
      </w:r>
    </w:p>
    <w:p>
      <w:pPr>
        <w:pStyle w:val="5"/>
        <w:spacing w:after="0" w:line="360" w:lineRule="auto"/>
        <w:ind w:left="-2" w:leftChars="-1" w:firstLine="540" w:firstLineChars="225"/>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如由于未遵守上述承诺内容之一导致无法进行澄清的，我公司认可和接受评标委员会作出的评审结论。                                 </w:t>
      </w:r>
    </w:p>
    <w:p>
      <w:pPr>
        <w:pStyle w:val="5"/>
        <w:spacing w:after="0" w:line="360" w:lineRule="auto"/>
        <w:ind w:firstLine="360" w:firstLineChars="15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w:t>
      </w:r>
    </w:p>
    <w:p>
      <w:pPr>
        <w:pStyle w:val="5"/>
        <w:spacing w:after="0"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附件：《投标文件编制情况》</w:t>
      </w:r>
    </w:p>
    <w:p>
      <w:pPr>
        <w:spacing w:line="360" w:lineRule="auto"/>
        <w:ind w:right="90" w:firstLine="4920" w:firstLineChars="2050"/>
        <w:rPr>
          <w:rFonts w:hint="eastAsia"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投标人名称：</w:t>
      </w:r>
      <w:r>
        <w:rPr>
          <w:rFonts w:hint="eastAsia" w:ascii="宋体" w:hAnsi="宋体"/>
          <w:color w:val="000000" w:themeColor="text1"/>
          <w:sz w:val="24"/>
          <w:szCs w:val="24"/>
          <w:u w:val="single"/>
          <w14:textFill>
            <w14:solidFill>
              <w14:schemeClr w14:val="tx1"/>
            </w14:solidFill>
          </w14:textFill>
        </w:rPr>
        <w:t xml:space="preserve">                   </w:t>
      </w:r>
    </w:p>
    <w:p>
      <w:pPr>
        <w:spacing w:line="360" w:lineRule="auto"/>
        <w:ind w:firstLine="4440" w:firstLineChars="185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 日期：      年   月   日 </w:t>
      </w:r>
      <w:r>
        <w:rPr>
          <w:rFonts w:hint="eastAsia"/>
          <w:color w:val="000000" w:themeColor="text1"/>
          <w:sz w:val="18"/>
          <w:szCs w:val="18"/>
          <w14:textFill>
            <w14:solidFill>
              <w14:schemeClr w14:val="tx1"/>
            </w14:solidFill>
          </w14:textFill>
        </w:rPr>
        <w:t xml:space="preserve"> </w:t>
      </w:r>
      <w:r>
        <w:rPr>
          <w:rFonts w:hint="eastAsia"/>
          <w:color w:val="000000" w:themeColor="text1"/>
          <w:sz w:val="24"/>
          <w:szCs w:val="24"/>
          <w14:textFill>
            <w14:solidFill>
              <w14:schemeClr w14:val="tx1"/>
            </w14:solidFill>
          </w14:textFill>
        </w:rPr>
        <w:t xml:space="preserve">    </w:t>
      </w:r>
    </w:p>
    <w:p>
      <w:pPr>
        <w:pStyle w:val="5"/>
        <w:spacing w:after="0" w:line="360" w:lineRule="auto"/>
        <w:ind w:firstLine="0"/>
        <w:rPr>
          <w:b/>
          <w:color w:val="000000" w:themeColor="text1"/>
          <w:sz w:val="32"/>
          <w:szCs w:val="32"/>
          <w14:textFill>
            <w14:solidFill>
              <w14:schemeClr w14:val="tx1"/>
            </w14:solidFill>
          </w14:textFill>
        </w:rPr>
      </w:pPr>
    </w:p>
    <w:p>
      <w:pPr>
        <w:pStyle w:val="5"/>
        <w:keepNext w:val="0"/>
        <w:keepLines w:val="0"/>
        <w:pageBreakBefore w:val="0"/>
        <w:widowControl w:val="0"/>
        <w:kinsoku/>
        <w:wordWrap/>
        <w:overflowPunct/>
        <w:topLinePunct w:val="0"/>
        <w:autoSpaceDE/>
        <w:autoSpaceDN/>
        <w:bidi w:val="0"/>
        <w:adjustRightInd/>
        <w:snapToGrid/>
        <w:spacing w:after="313" w:afterLines="100" w:line="360" w:lineRule="auto"/>
        <w:ind w:left="0" w:leftChars="0" w:firstLine="0" w:firstLineChars="0"/>
        <w:jc w:val="center"/>
        <w:textAlignment w:val="auto"/>
        <w:rPr>
          <w:color w:val="000000" w:themeColor="text1"/>
          <w:sz w:val="36"/>
          <w:szCs w:val="36"/>
          <w14:textFill>
            <w14:solidFill>
              <w14:schemeClr w14:val="tx1"/>
            </w14:solidFill>
          </w14:textFill>
        </w:rPr>
      </w:pPr>
      <w:r>
        <w:rPr>
          <w:rFonts w:hint="eastAsia"/>
          <w:b/>
          <w:color w:val="000000" w:themeColor="text1"/>
          <w:sz w:val="36"/>
          <w:szCs w:val="36"/>
          <w14:textFill>
            <w14:solidFill>
              <w14:schemeClr w14:val="tx1"/>
            </w14:solidFill>
          </w14:textFill>
        </w:rPr>
        <w:t>投标文件编制情况</w:t>
      </w:r>
    </w:p>
    <w:p>
      <w:pPr>
        <w:pStyle w:val="5"/>
        <w:spacing w:after="0" w:line="360" w:lineRule="auto"/>
        <w:ind w:firstLine="480" w:firstLineChars="200"/>
        <w:rPr>
          <w:rFonts w:hint="eastAsia"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1.投标文件报价编制方式： □自行编制的，编制的负责人：</w:t>
      </w:r>
      <w:r>
        <w:rPr>
          <w:rFonts w:hint="eastAsia" w:ascii="宋体" w:hAnsi="宋体"/>
          <w:color w:val="000000" w:themeColor="text1"/>
          <w:sz w:val="24"/>
          <w:szCs w:val="24"/>
          <w:u w:val="single"/>
          <w14:textFill>
            <w14:solidFill>
              <w14:schemeClr w14:val="tx1"/>
            </w14:solidFill>
          </w14:textFill>
        </w:rPr>
        <w:t xml:space="preserve"> （盖造价工程师执业专用章或全国建设工程造价员章，执业单位应与投标人一致） </w:t>
      </w:r>
      <w:r>
        <w:rPr>
          <w:rFonts w:hint="eastAsia" w:ascii="宋体" w:hAnsi="宋体"/>
          <w:color w:val="000000" w:themeColor="text1"/>
          <w:sz w:val="24"/>
          <w:szCs w:val="24"/>
          <w14:textFill>
            <w14:solidFill>
              <w14:schemeClr w14:val="tx1"/>
            </w14:solidFill>
          </w14:textFill>
        </w:rPr>
        <w:t>。□委托编制的，受委托单位</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，编制的负责人：</w:t>
      </w:r>
      <w:r>
        <w:rPr>
          <w:rFonts w:hint="eastAsia" w:ascii="宋体" w:hAnsi="宋体"/>
          <w:color w:val="000000" w:themeColor="text1"/>
          <w:sz w:val="24"/>
          <w:szCs w:val="24"/>
          <w:u w:val="single"/>
          <w14:textFill>
            <w14:solidFill>
              <w14:schemeClr w14:val="tx1"/>
            </w14:solidFill>
          </w14:textFill>
        </w:rPr>
        <w:t xml:space="preserve"> （盖造价工程师执业专用章或全国建设工程造价员章，执业单位应与受委托单位一致） </w:t>
      </w:r>
      <w:r>
        <w:rPr>
          <w:rFonts w:hint="eastAsia" w:ascii="宋体" w:hAnsi="宋体"/>
          <w:color w:val="000000" w:themeColor="text1"/>
          <w:sz w:val="24"/>
          <w:szCs w:val="24"/>
          <w14:textFill>
            <w14:solidFill>
              <w14:schemeClr w14:val="tx1"/>
            </w14:solidFill>
          </w14:textFill>
        </w:rPr>
        <w:t>。</w:t>
      </w:r>
    </w:p>
    <w:p>
      <w:pPr>
        <w:pStyle w:val="5"/>
        <w:spacing w:after="0"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2.投标文件加密打包的电脑情况</w:t>
      </w:r>
    </w:p>
    <w:tbl>
      <w:tblPr>
        <w:tblStyle w:val="36"/>
        <w:tblW w:w="8306" w:type="dxa"/>
        <w:tblInd w:w="0" w:type="dxa"/>
        <w:tblLayout w:type="fixed"/>
        <w:tblCellMar>
          <w:top w:w="0" w:type="dxa"/>
          <w:left w:w="108" w:type="dxa"/>
          <w:bottom w:w="0" w:type="dxa"/>
          <w:right w:w="108" w:type="dxa"/>
        </w:tblCellMar>
      </w:tblPr>
      <w:tblGrid>
        <w:gridCol w:w="8306"/>
      </w:tblGrid>
      <w:tr>
        <w:tblPrEx>
          <w:tblCellMar>
            <w:top w:w="0" w:type="dxa"/>
            <w:left w:w="108" w:type="dxa"/>
            <w:bottom w:w="0" w:type="dxa"/>
            <w:right w:w="108" w:type="dxa"/>
          </w:tblCellMar>
        </w:tblPrEx>
        <w:trPr>
          <w:trHeight w:val="2819" w:hRule="atLeast"/>
        </w:trPr>
        <w:tc>
          <w:tcPr>
            <w:tcW w:w="8306" w:type="dxa"/>
          </w:tcPr>
          <w:p>
            <w:pPr>
              <w:pStyle w:val="5"/>
              <w:spacing w:after="0" w:line="360" w:lineRule="auto"/>
              <w:ind w:firstLine="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投标文件加密打包的电脑     自有    □      外包    □     其他    □</w:t>
            </w:r>
          </w:p>
          <w:p>
            <w:pPr>
              <w:pStyle w:val="5"/>
              <w:spacing w:after="0" w:line="360" w:lineRule="auto"/>
              <w:ind w:firstLine="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电脑类型</w:t>
            </w:r>
          </w:p>
          <w:p>
            <w:pPr>
              <w:pStyle w:val="5"/>
              <w:spacing w:after="0" w:line="360" w:lineRule="auto"/>
              <w:ind w:firstLine="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电脑所属单位</w:t>
            </w:r>
          </w:p>
          <w:p>
            <w:pPr>
              <w:pStyle w:val="5"/>
              <w:spacing w:after="0" w:line="360" w:lineRule="auto"/>
              <w:ind w:firstLine="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电脑所在地址（如××市××区（县） ××街（路）××号××大厦××房）</w:t>
            </w:r>
          </w:p>
        </w:tc>
      </w:tr>
    </w:tbl>
    <w:p>
      <w:pPr>
        <w:autoSpaceDE w:val="0"/>
        <w:autoSpaceDN w:val="0"/>
        <w:adjustRightInd w:val="0"/>
        <w:rPr>
          <w:sz w:val="24"/>
          <w:szCs w:val="24"/>
        </w:rPr>
      </w:pPr>
      <w:r>
        <w:rPr>
          <w:rFonts w:hint="eastAsia"/>
          <w:sz w:val="24"/>
          <w:szCs w:val="24"/>
        </w:rPr>
        <w:br w:type="page"/>
      </w:r>
    </w:p>
    <w:p>
      <w:pPr>
        <w:autoSpaceDE w:val="0"/>
        <w:autoSpaceDN w:val="0"/>
        <w:adjustRightInd w:val="0"/>
        <w:rPr>
          <w:rFonts w:ascii="宋体" w:cs="宋体"/>
          <w:sz w:val="44"/>
          <w:szCs w:val="44"/>
          <w:lang w:val="zh-CN"/>
        </w:rPr>
      </w:pPr>
      <w:r>
        <w:rPr>
          <w:rFonts w:hint="eastAsia"/>
          <w:sz w:val="24"/>
          <w:szCs w:val="24"/>
        </w:rPr>
        <w:t>附件四</w:t>
      </w:r>
    </w:p>
    <w:p>
      <w:pPr>
        <w:keepNext/>
        <w:keepLines/>
        <w:numPr>
          <w:ilvl w:val="1"/>
          <w:numId w:val="0"/>
        </w:numPr>
        <w:spacing w:before="120" w:after="120" w:line="415" w:lineRule="auto"/>
        <w:ind w:left="454"/>
        <w:jc w:val="center"/>
        <w:outlineLvl w:val="1"/>
        <w:rPr>
          <w:rFonts w:ascii="Arial" w:hAnsi="Arial"/>
          <w:b/>
          <w:kern w:val="0"/>
          <w:sz w:val="36"/>
          <w:szCs w:val="36"/>
        </w:rPr>
      </w:pPr>
      <w:bookmarkStart w:id="55" w:name="_Toc11807"/>
      <w:bookmarkStart w:id="56" w:name="_Toc7101"/>
      <w:bookmarkStart w:id="57" w:name="_Toc32507"/>
      <w:bookmarkStart w:id="58" w:name="_Toc243833744"/>
      <w:bookmarkStart w:id="59" w:name="_Toc13854"/>
      <w:r>
        <w:rPr>
          <w:rFonts w:hint="eastAsia" w:ascii="Arial" w:hAnsi="Arial"/>
          <w:b/>
          <w:kern w:val="0"/>
          <w:sz w:val="36"/>
          <w:szCs w:val="36"/>
        </w:rPr>
        <w:t>法定代表人身份证明书</w:t>
      </w:r>
      <w:bookmarkEnd w:id="55"/>
      <w:bookmarkEnd w:id="56"/>
      <w:bookmarkEnd w:id="57"/>
      <w:bookmarkEnd w:id="58"/>
      <w:bookmarkEnd w:id="59"/>
    </w:p>
    <w:p>
      <w:pPr>
        <w:spacing w:line="440" w:lineRule="exact"/>
        <w:jc w:val="right"/>
        <w:rPr>
          <w:rFonts w:hint="eastAsia" w:ascii="宋体" w:hAnsi="宋体"/>
          <w:sz w:val="30"/>
          <w:szCs w:val="30"/>
        </w:rPr>
      </w:pPr>
      <w:r>
        <w:rPr>
          <w:rFonts w:hint="eastAsia" w:ascii="宋体" w:hAnsi="宋体"/>
          <w:sz w:val="30"/>
          <w:szCs w:val="30"/>
        </w:rPr>
        <w:t>（　 ）第　号</w:t>
      </w:r>
    </w:p>
    <w:p>
      <w:pPr>
        <w:spacing w:line="360" w:lineRule="auto"/>
        <w:jc w:val="center"/>
        <w:rPr>
          <w:rFonts w:hint="eastAsia" w:ascii="宋体" w:hAnsi="宋体"/>
          <w:sz w:val="30"/>
          <w:szCs w:val="21"/>
        </w:rPr>
      </w:pPr>
      <w:r>
        <w:rPr>
          <w:rFonts w:ascii="宋体" w:hAnsi="宋体"/>
          <w:sz w:val="30"/>
          <w:szCs w:val="30"/>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104140</wp:posOffset>
                </wp:positionV>
                <wp:extent cx="5800725" cy="2773680"/>
                <wp:effectExtent l="4445" t="5080" r="5080" b="21590"/>
                <wp:wrapNone/>
                <wp:docPr id="20" name="文本框 20"/>
                <wp:cNvGraphicFramePr/>
                <a:graphic xmlns:a="http://schemas.openxmlformats.org/drawingml/2006/main">
                  <a:graphicData uri="http://schemas.microsoft.com/office/word/2010/wordprocessingShape">
                    <wps:wsp>
                      <wps:cNvSpPr txBox="1"/>
                      <wps:spPr>
                        <a:xfrm>
                          <a:off x="0" y="0"/>
                          <a:ext cx="5800725" cy="27736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before="156" w:beforeLines="50"/>
                              <w:rPr>
                                <w:rFonts w:hint="eastAsia" w:ascii="宋体" w:hAnsi="宋体" w:cs="宋体"/>
                                <w:sz w:val="28"/>
                                <w:szCs w:val="28"/>
                              </w:rPr>
                            </w:pPr>
                            <w:r>
                              <w:rPr>
                                <w:rFonts w:hint="eastAsia"/>
                                <w:sz w:val="28"/>
                                <w:szCs w:val="28"/>
                              </w:rPr>
                              <w:t>　　</w:t>
                            </w:r>
                            <w:r>
                              <w:rPr>
                                <w:rFonts w:hint="eastAsia" w:ascii="宋体" w:hAnsi="宋体" w:cs="宋体"/>
                                <w:sz w:val="28"/>
                                <w:szCs w:val="28"/>
                                <w:u w:val="single"/>
                              </w:rPr>
                              <w:t>　　　　　　</w:t>
                            </w:r>
                            <w:r>
                              <w:rPr>
                                <w:rFonts w:hint="eastAsia" w:ascii="宋体" w:hAnsi="宋体" w:cs="宋体"/>
                                <w:sz w:val="28"/>
                                <w:szCs w:val="28"/>
                              </w:rPr>
                              <w:t>现任我单位</w:t>
                            </w:r>
                            <w:r>
                              <w:rPr>
                                <w:rFonts w:hint="eastAsia" w:ascii="宋体" w:hAnsi="宋体" w:cs="宋体"/>
                                <w:sz w:val="28"/>
                                <w:szCs w:val="28"/>
                                <w:u w:val="single"/>
                              </w:rPr>
                              <w:t>　　　　　</w:t>
                            </w:r>
                            <w:r>
                              <w:rPr>
                                <w:rFonts w:hint="eastAsia" w:ascii="宋体" w:hAnsi="宋体" w:cs="宋体"/>
                                <w:sz w:val="28"/>
                                <w:szCs w:val="28"/>
                              </w:rPr>
                              <w:t>职务，为法定代表人（负责人），</w:t>
                            </w:r>
                          </w:p>
                          <w:p>
                            <w:pPr>
                              <w:snapToGrid w:val="0"/>
                              <w:spacing w:line="480" w:lineRule="atLeast"/>
                              <w:rPr>
                                <w:rFonts w:hint="eastAsia" w:ascii="宋体" w:hAnsi="宋体" w:cs="宋体"/>
                                <w:sz w:val="28"/>
                                <w:szCs w:val="28"/>
                              </w:rPr>
                            </w:pPr>
                            <w:r>
                              <w:rPr>
                                <w:rFonts w:hint="eastAsia" w:ascii="宋体" w:hAnsi="宋体" w:cs="宋体"/>
                                <w:sz w:val="28"/>
                                <w:szCs w:val="28"/>
                              </w:rPr>
                              <w:t>特此证明。</w:t>
                            </w:r>
                          </w:p>
                          <w:p>
                            <w:pPr>
                              <w:snapToGrid w:val="0"/>
                              <w:spacing w:line="480" w:lineRule="atLeast"/>
                              <w:rPr>
                                <w:rFonts w:hint="eastAsia" w:ascii="宋体" w:hAnsi="宋体" w:cs="宋体"/>
                                <w:sz w:val="28"/>
                                <w:szCs w:val="28"/>
                                <w:u w:val="single"/>
                              </w:rPr>
                            </w:pPr>
                            <w:r>
                              <w:rPr>
                                <w:rFonts w:hint="eastAsia" w:ascii="宋体" w:hAnsi="宋体" w:cs="宋体"/>
                                <w:sz w:val="28"/>
                                <w:szCs w:val="28"/>
                              </w:rPr>
                              <w:t>有效期限：</w:t>
                            </w:r>
                          </w:p>
                          <w:p>
                            <w:pPr>
                              <w:snapToGrid w:val="0"/>
                              <w:spacing w:line="480" w:lineRule="atLeast"/>
                              <w:rPr>
                                <w:rFonts w:hint="eastAsia" w:ascii="宋体" w:hAnsi="宋体" w:cs="宋体"/>
                                <w:sz w:val="28"/>
                                <w:szCs w:val="28"/>
                                <w:u w:val="single"/>
                              </w:rPr>
                            </w:pPr>
                            <w:r>
                              <w:rPr>
                                <w:rFonts w:hint="eastAsia" w:ascii="宋体" w:hAnsi="宋体" w:cs="宋体"/>
                                <w:sz w:val="28"/>
                                <w:szCs w:val="28"/>
                              </w:rPr>
                              <w:t>附：法定代表人（负责人）性别：</w:t>
                            </w:r>
                            <w:r>
                              <w:rPr>
                                <w:rFonts w:hint="eastAsia" w:ascii="宋体" w:hAnsi="宋体" w:cs="宋体"/>
                                <w:sz w:val="28"/>
                                <w:szCs w:val="28"/>
                                <w:u w:val="single"/>
                              </w:rPr>
                              <w:t>　　</w:t>
                            </w:r>
                            <w:r>
                              <w:rPr>
                                <w:rFonts w:hint="eastAsia" w:ascii="宋体" w:hAnsi="宋体" w:cs="宋体"/>
                                <w:sz w:val="28"/>
                                <w:szCs w:val="28"/>
                              </w:rPr>
                              <w:t>年龄：</w:t>
                            </w:r>
                            <w:r>
                              <w:rPr>
                                <w:rFonts w:hint="eastAsia" w:ascii="宋体" w:hAnsi="宋体" w:cs="宋体"/>
                                <w:sz w:val="28"/>
                                <w:szCs w:val="28"/>
                                <w:u w:val="single"/>
                              </w:rPr>
                              <w:t>　　</w:t>
                            </w:r>
                            <w:r>
                              <w:rPr>
                                <w:rFonts w:hint="eastAsia" w:ascii="宋体" w:hAnsi="宋体" w:cs="宋体"/>
                                <w:sz w:val="28"/>
                                <w:szCs w:val="28"/>
                              </w:rPr>
                              <w:t>身份证号码：</w:t>
                            </w:r>
                          </w:p>
                          <w:p>
                            <w:pPr>
                              <w:snapToGrid w:val="0"/>
                              <w:spacing w:line="480" w:lineRule="atLeast"/>
                              <w:ind w:firstLine="570"/>
                              <w:rPr>
                                <w:rFonts w:hint="eastAsia" w:ascii="宋体" w:hAnsi="宋体" w:cs="宋体"/>
                                <w:sz w:val="28"/>
                                <w:szCs w:val="28"/>
                                <w:u w:val="single"/>
                              </w:rPr>
                            </w:pPr>
                            <w:r>
                              <w:rPr>
                                <w:rFonts w:hint="eastAsia" w:ascii="宋体" w:hAnsi="宋体" w:cs="宋体"/>
                                <w:sz w:val="28"/>
                                <w:szCs w:val="28"/>
                              </w:rPr>
                              <w:t>注册号码：</w:t>
                            </w:r>
                            <w:r>
                              <w:rPr>
                                <w:rFonts w:hint="eastAsia" w:ascii="宋体" w:hAnsi="宋体" w:cs="宋体"/>
                                <w:sz w:val="28"/>
                                <w:szCs w:val="28"/>
                                <w:u w:val="single"/>
                              </w:rPr>
                              <w:t>　　　　　　　　　　</w:t>
                            </w:r>
                            <w:r>
                              <w:rPr>
                                <w:rFonts w:hint="eastAsia" w:ascii="宋体" w:hAnsi="宋体" w:cs="宋体"/>
                                <w:sz w:val="28"/>
                                <w:szCs w:val="28"/>
                              </w:rPr>
                              <w:t>企业类型：</w:t>
                            </w:r>
                          </w:p>
                          <w:p>
                            <w:pPr>
                              <w:snapToGrid w:val="0"/>
                              <w:spacing w:line="480" w:lineRule="atLeast"/>
                              <w:ind w:firstLine="570"/>
                              <w:rPr>
                                <w:rFonts w:hint="eastAsia" w:ascii="宋体" w:hAnsi="宋体" w:cs="宋体"/>
                                <w:sz w:val="28"/>
                                <w:szCs w:val="28"/>
                                <w:u w:val="single"/>
                              </w:rPr>
                            </w:pPr>
                            <w:r>
                              <w:rPr>
                                <w:rFonts w:hint="eastAsia" w:ascii="宋体" w:hAnsi="宋体" w:cs="宋体"/>
                                <w:sz w:val="28"/>
                                <w:szCs w:val="28"/>
                              </w:rPr>
                              <w:t>经营范围：</w:t>
                            </w:r>
                          </w:p>
                          <w:p>
                            <w:pPr>
                              <w:snapToGrid w:val="0"/>
                              <w:spacing w:line="480" w:lineRule="atLeast"/>
                              <w:ind w:firstLine="570"/>
                              <w:rPr>
                                <w:rFonts w:hint="eastAsia" w:ascii="宋体" w:hAnsi="宋体" w:cs="宋体"/>
                                <w:sz w:val="28"/>
                                <w:szCs w:val="28"/>
                              </w:rPr>
                            </w:pPr>
                            <w:r>
                              <w:rPr>
                                <w:rFonts w:hint="eastAsia" w:ascii="宋体" w:hAnsi="宋体" w:cs="宋体"/>
                                <w:sz w:val="28"/>
                                <w:szCs w:val="28"/>
                                <w:u w:val="single"/>
                              </w:rPr>
                              <w:t>　　　　　　　　　　　　　　　　</w:t>
                            </w:r>
                            <w:r>
                              <w:rPr>
                                <w:rFonts w:hint="eastAsia" w:ascii="宋体" w:hAnsi="宋体" w:cs="宋体"/>
                                <w:sz w:val="28"/>
                                <w:szCs w:val="28"/>
                              </w:rPr>
                              <w:t>单位：　　　　　　（盖章）</w:t>
                            </w:r>
                          </w:p>
                          <w:p>
                            <w:pPr>
                              <w:snapToGrid w:val="0"/>
                              <w:spacing w:after="100" w:afterAutospacing="1" w:line="480" w:lineRule="atLeast"/>
                              <w:ind w:firstLine="573"/>
                              <w:rPr>
                                <w:rFonts w:hint="eastAsia" w:ascii="宋体" w:hAnsi="宋体" w:cs="宋体"/>
                                <w:sz w:val="28"/>
                                <w:szCs w:val="28"/>
                              </w:rPr>
                            </w:pPr>
                            <w:r>
                              <w:rPr>
                                <w:rFonts w:hint="eastAsia" w:ascii="宋体" w:hAnsi="宋体" w:cs="宋体"/>
                                <w:sz w:val="28"/>
                                <w:szCs w:val="28"/>
                                <w:u w:val="single"/>
                              </w:rPr>
                              <w:t>　　　　　　　　　　　　　　　　</w:t>
                            </w:r>
                            <w:r>
                              <w:rPr>
                                <w:rFonts w:hint="eastAsia" w:ascii="宋体" w:hAnsi="宋体" w:cs="宋体"/>
                                <w:sz w:val="28"/>
                                <w:szCs w:val="28"/>
                              </w:rPr>
                              <w:t>　　　　　    年　月　　日</w:t>
                            </w:r>
                          </w:p>
                        </w:txbxContent>
                      </wps:txbx>
                      <wps:bodyPr upright="1"/>
                    </wps:wsp>
                  </a:graphicData>
                </a:graphic>
              </wp:anchor>
            </w:drawing>
          </mc:Choice>
          <mc:Fallback>
            <w:pict>
              <v:shape id="_x0000_s1026" o:spid="_x0000_s1026" o:spt="202" type="#_x0000_t202" style="position:absolute;left:0pt;margin-left:0pt;margin-top:8.2pt;height:218.4pt;width:456.75pt;z-index:251660288;mso-width-relative:page;mso-height-relative:page;" fillcolor="#FFFFFF" filled="t" stroked="t" coordsize="21600,21600" o:gfxdata="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OHQyzdgAAAAHAQAADwAAAAAA&#10;AAABACAAAAAiAAAAZHJzL2Rvd25yZXYueG1sUEsBAhQAFAAAAAgAh07iQCFqaCATAgAARwQAAA4A&#10;AAAAAAAAAQAgAAAAJwEAAGRycy9lMm9Eb2MueG1sUEsFBgAAAAAGAAYAWQEAAKwFAAAAAA==&#10;">
                <v:fill on="t" focussize="0,0"/>
                <v:stroke color="#000000" joinstyle="miter"/>
                <v:imagedata o:title=""/>
                <o:lock v:ext="edit" aspectratio="f"/>
                <v:textbox>
                  <w:txbxContent>
                    <w:p>
                      <w:pPr>
                        <w:spacing w:before="156" w:beforeLines="50"/>
                        <w:rPr>
                          <w:rFonts w:hint="eastAsia" w:ascii="宋体" w:hAnsi="宋体" w:cs="宋体"/>
                          <w:sz w:val="28"/>
                          <w:szCs w:val="28"/>
                        </w:rPr>
                      </w:pPr>
                      <w:r>
                        <w:rPr>
                          <w:rFonts w:hint="eastAsia"/>
                          <w:sz w:val="28"/>
                          <w:szCs w:val="28"/>
                        </w:rPr>
                        <w:t>　　</w:t>
                      </w:r>
                      <w:r>
                        <w:rPr>
                          <w:rFonts w:hint="eastAsia" w:ascii="宋体" w:hAnsi="宋体" w:cs="宋体"/>
                          <w:sz w:val="28"/>
                          <w:szCs w:val="28"/>
                          <w:u w:val="single"/>
                        </w:rPr>
                        <w:t>　　　　　　</w:t>
                      </w:r>
                      <w:r>
                        <w:rPr>
                          <w:rFonts w:hint="eastAsia" w:ascii="宋体" w:hAnsi="宋体" w:cs="宋体"/>
                          <w:sz w:val="28"/>
                          <w:szCs w:val="28"/>
                        </w:rPr>
                        <w:t>现任我单位</w:t>
                      </w:r>
                      <w:r>
                        <w:rPr>
                          <w:rFonts w:hint="eastAsia" w:ascii="宋体" w:hAnsi="宋体" w:cs="宋体"/>
                          <w:sz w:val="28"/>
                          <w:szCs w:val="28"/>
                          <w:u w:val="single"/>
                        </w:rPr>
                        <w:t>　　　　　</w:t>
                      </w:r>
                      <w:r>
                        <w:rPr>
                          <w:rFonts w:hint="eastAsia" w:ascii="宋体" w:hAnsi="宋体" w:cs="宋体"/>
                          <w:sz w:val="28"/>
                          <w:szCs w:val="28"/>
                        </w:rPr>
                        <w:t>职务，为法定代表人（负责人），</w:t>
                      </w:r>
                    </w:p>
                    <w:p>
                      <w:pPr>
                        <w:snapToGrid w:val="0"/>
                        <w:spacing w:line="480" w:lineRule="atLeast"/>
                        <w:rPr>
                          <w:rFonts w:hint="eastAsia" w:ascii="宋体" w:hAnsi="宋体" w:cs="宋体"/>
                          <w:sz w:val="28"/>
                          <w:szCs w:val="28"/>
                        </w:rPr>
                      </w:pPr>
                      <w:r>
                        <w:rPr>
                          <w:rFonts w:hint="eastAsia" w:ascii="宋体" w:hAnsi="宋体" w:cs="宋体"/>
                          <w:sz w:val="28"/>
                          <w:szCs w:val="28"/>
                        </w:rPr>
                        <w:t>特此证明。</w:t>
                      </w:r>
                    </w:p>
                    <w:p>
                      <w:pPr>
                        <w:snapToGrid w:val="0"/>
                        <w:spacing w:line="480" w:lineRule="atLeast"/>
                        <w:rPr>
                          <w:rFonts w:hint="eastAsia" w:ascii="宋体" w:hAnsi="宋体" w:cs="宋体"/>
                          <w:sz w:val="28"/>
                          <w:szCs w:val="28"/>
                          <w:u w:val="single"/>
                        </w:rPr>
                      </w:pPr>
                      <w:r>
                        <w:rPr>
                          <w:rFonts w:hint="eastAsia" w:ascii="宋体" w:hAnsi="宋体" w:cs="宋体"/>
                          <w:sz w:val="28"/>
                          <w:szCs w:val="28"/>
                        </w:rPr>
                        <w:t>有效期限：</w:t>
                      </w:r>
                    </w:p>
                    <w:p>
                      <w:pPr>
                        <w:snapToGrid w:val="0"/>
                        <w:spacing w:line="480" w:lineRule="atLeast"/>
                        <w:rPr>
                          <w:rFonts w:hint="eastAsia" w:ascii="宋体" w:hAnsi="宋体" w:cs="宋体"/>
                          <w:sz w:val="28"/>
                          <w:szCs w:val="28"/>
                          <w:u w:val="single"/>
                        </w:rPr>
                      </w:pPr>
                      <w:r>
                        <w:rPr>
                          <w:rFonts w:hint="eastAsia" w:ascii="宋体" w:hAnsi="宋体" w:cs="宋体"/>
                          <w:sz w:val="28"/>
                          <w:szCs w:val="28"/>
                        </w:rPr>
                        <w:t>附：法定代表人（负责人）性别：</w:t>
                      </w:r>
                      <w:r>
                        <w:rPr>
                          <w:rFonts w:hint="eastAsia" w:ascii="宋体" w:hAnsi="宋体" w:cs="宋体"/>
                          <w:sz w:val="28"/>
                          <w:szCs w:val="28"/>
                          <w:u w:val="single"/>
                        </w:rPr>
                        <w:t>　　</w:t>
                      </w:r>
                      <w:r>
                        <w:rPr>
                          <w:rFonts w:hint="eastAsia" w:ascii="宋体" w:hAnsi="宋体" w:cs="宋体"/>
                          <w:sz w:val="28"/>
                          <w:szCs w:val="28"/>
                        </w:rPr>
                        <w:t>年龄：</w:t>
                      </w:r>
                      <w:r>
                        <w:rPr>
                          <w:rFonts w:hint="eastAsia" w:ascii="宋体" w:hAnsi="宋体" w:cs="宋体"/>
                          <w:sz w:val="28"/>
                          <w:szCs w:val="28"/>
                          <w:u w:val="single"/>
                        </w:rPr>
                        <w:t>　　</w:t>
                      </w:r>
                      <w:r>
                        <w:rPr>
                          <w:rFonts w:hint="eastAsia" w:ascii="宋体" w:hAnsi="宋体" w:cs="宋体"/>
                          <w:sz w:val="28"/>
                          <w:szCs w:val="28"/>
                        </w:rPr>
                        <w:t>身份证号码：</w:t>
                      </w:r>
                    </w:p>
                    <w:p>
                      <w:pPr>
                        <w:snapToGrid w:val="0"/>
                        <w:spacing w:line="480" w:lineRule="atLeast"/>
                        <w:ind w:firstLine="570"/>
                        <w:rPr>
                          <w:rFonts w:hint="eastAsia" w:ascii="宋体" w:hAnsi="宋体" w:cs="宋体"/>
                          <w:sz w:val="28"/>
                          <w:szCs w:val="28"/>
                          <w:u w:val="single"/>
                        </w:rPr>
                      </w:pPr>
                      <w:r>
                        <w:rPr>
                          <w:rFonts w:hint="eastAsia" w:ascii="宋体" w:hAnsi="宋体" w:cs="宋体"/>
                          <w:sz w:val="28"/>
                          <w:szCs w:val="28"/>
                        </w:rPr>
                        <w:t>注册号码：</w:t>
                      </w:r>
                      <w:r>
                        <w:rPr>
                          <w:rFonts w:hint="eastAsia" w:ascii="宋体" w:hAnsi="宋体" w:cs="宋体"/>
                          <w:sz w:val="28"/>
                          <w:szCs w:val="28"/>
                          <w:u w:val="single"/>
                        </w:rPr>
                        <w:t>　　　　　　　　　　</w:t>
                      </w:r>
                      <w:r>
                        <w:rPr>
                          <w:rFonts w:hint="eastAsia" w:ascii="宋体" w:hAnsi="宋体" w:cs="宋体"/>
                          <w:sz w:val="28"/>
                          <w:szCs w:val="28"/>
                        </w:rPr>
                        <w:t>企业类型：</w:t>
                      </w:r>
                    </w:p>
                    <w:p>
                      <w:pPr>
                        <w:snapToGrid w:val="0"/>
                        <w:spacing w:line="480" w:lineRule="atLeast"/>
                        <w:ind w:firstLine="570"/>
                        <w:rPr>
                          <w:rFonts w:hint="eastAsia" w:ascii="宋体" w:hAnsi="宋体" w:cs="宋体"/>
                          <w:sz w:val="28"/>
                          <w:szCs w:val="28"/>
                          <w:u w:val="single"/>
                        </w:rPr>
                      </w:pPr>
                      <w:r>
                        <w:rPr>
                          <w:rFonts w:hint="eastAsia" w:ascii="宋体" w:hAnsi="宋体" w:cs="宋体"/>
                          <w:sz w:val="28"/>
                          <w:szCs w:val="28"/>
                        </w:rPr>
                        <w:t>经营范围：</w:t>
                      </w:r>
                    </w:p>
                    <w:p>
                      <w:pPr>
                        <w:snapToGrid w:val="0"/>
                        <w:spacing w:line="480" w:lineRule="atLeast"/>
                        <w:ind w:firstLine="570"/>
                        <w:rPr>
                          <w:rFonts w:hint="eastAsia" w:ascii="宋体" w:hAnsi="宋体" w:cs="宋体"/>
                          <w:sz w:val="28"/>
                          <w:szCs w:val="28"/>
                        </w:rPr>
                      </w:pPr>
                      <w:r>
                        <w:rPr>
                          <w:rFonts w:hint="eastAsia" w:ascii="宋体" w:hAnsi="宋体" w:cs="宋体"/>
                          <w:sz w:val="28"/>
                          <w:szCs w:val="28"/>
                          <w:u w:val="single"/>
                        </w:rPr>
                        <w:t>　　　　　　　　　　　　　　　　</w:t>
                      </w:r>
                      <w:r>
                        <w:rPr>
                          <w:rFonts w:hint="eastAsia" w:ascii="宋体" w:hAnsi="宋体" w:cs="宋体"/>
                          <w:sz w:val="28"/>
                          <w:szCs w:val="28"/>
                        </w:rPr>
                        <w:t>单位：　　　　　　（盖章）</w:t>
                      </w:r>
                    </w:p>
                    <w:p>
                      <w:pPr>
                        <w:snapToGrid w:val="0"/>
                        <w:spacing w:after="100" w:afterAutospacing="1" w:line="480" w:lineRule="atLeast"/>
                        <w:ind w:firstLine="573"/>
                        <w:rPr>
                          <w:rFonts w:hint="eastAsia" w:ascii="宋体" w:hAnsi="宋体" w:cs="宋体"/>
                          <w:sz w:val="28"/>
                          <w:szCs w:val="28"/>
                        </w:rPr>
                      </w:pPr>
                      <w:r>
                        <w:rPr>
                          <w:rFonts w:hint="eastAsia" w:ascii="宋体" w:hAnsi="宋体" w:cs="宋体"/>
                          <w:sz w:val="28"/>
                          <w:szCs w:val="28"/>
                          <w:u w:val="single"/>
                        </w:rPr>
                        <w:t>　　　　　　　　　　　　　　　　</w:t>
                      </w:r>
                      <w:r>
                        <w:rPr>
                          <w:rFonts w:hint="eastAsia" w:ascii="宋体" w:hAnsi="宋体" w:cs="宋体"/>
                          <w:sz w:val="28"/>
                          <w:szCs w:val="28"/>
                        </w:rPr>
                        <w:t>　　　　　    年　月　　日</w:t>
                      </w:r>
                    </w:p>
                  </w:txbxContent>
                </v:textbox>
              </v:shape>
            </w:pict>
          </mc:Fallback>
        </mc:AlternateContent>
      </w:r>
    </w:p>
    <w:p>
      <w:pPr>
        <w:spacing w:line="360" w:lineRule="auto"/>
        <w:jc w:val="center"/>
        <w:rPr>
          <w:rFonts w:hint="eastAsia" w:ascii="宋体" w:hAnsi="宋体"/>
          <w:sz w:val="30"/>
          <w:szCs w:val="21"/>
        </w:rPr>
      </w:pPr>
    </w:p>
    <w:p>
      <w:pPr>
        <w:spacing w:line="360" w:lineRule="auto"/>
        <w:jc w:val="center"/>
        <w:rPr>
          <w:rFonts w:hint="eastAsia" w:ascii="宋体" w:hAnsi="宋体"/>
          <w:sz w:val="30"/>
          <w:szCs w:val="21"/>
        </w:rPr>
      </w:pPr>
    </w:p>
    <w:p>
      <w:pPr>
        <w:spacing w:line="360" w:lineRule="auto"/>
        <w:jc w:val="center"/>
        <w:rPr>
          <w:rFonts w:hint="eastAsia" w:ascii="宋体" w:hAnsi="宋体"/>
          <w:sz w:val="30"/>
          <w:szCs w:val="21"/>
        </w:rPr>
      </w:pPr>
    </w:p>
    <w:p>
      <w:pPr>
        <w:spacing w:line="360" w:lineRule="auto"/>
        <w:ind w:right="-96"/>
        <w:rPr>
          <w:rFonts w:hint="eastAsia" w:ascii="宋体" w:hAnsi="宋体"/>
          <w:sz w:val="30"/>
          <w:szCs w:val="28"/>
        </w:rPr>
      </w:pPr>
      <w:r>
        <w:rPr>
          <w:rFonts w:ascii="宋体" w:hAnsi="宋体"/>
          <w:sz w:val="30"/>
          <w:szCs w:val="21"/>
        </w:rPr>
        <w:t>………………………………………………………………………………</w:t>
      </w:r>
    </w:p>
    <w:p>
      <w:pPr>
        <w:spacing w:line="360" w:lineRule="auto"/>
        <w:jc w:val="center"/>
      </w:pPr>
      <w:r>
        <w:rPr>
          <w:rFonts w:hint="eastAsia" w:ascii="宋体" w:hAnsi="宋体"/>
          <w:b/>
          <w:bCs/>
          <w:sz w:val="24"/>
        </w:rPr>
        <w:t>注：按提供的该表格格式填写，或使用从工商管理部门购买的表格填写。</w:t>
      </w:r>
      <w:bookmarkStart w:id="60" w:name="_Toc243833745"/>
    </w:p>
    <w:p>
      <w:pPr>
        <w:keepNext/>
        <w:keepLines/>
        <w:numPr>
          <w:ilvl w:val="1"/>
          <w:numId w:val="0"/>
        </w:numPr>
        <w:spacing w:before="120" w:after="120" w:line="415" w:lineRule="auto"/>
        <w:ind w:left="454"/>
        <w:jc w:val="center"/>
        <w:outlineLvl w:val="1"/>
        <w:rPr>
          <w:rFonts w:ascii="Arial" w:hAnsi="Arial"/>
          <w:b/>
          <w:kern w:val="0"/>
          <w:sz w:val="24"/>
          <w:szCs w:val="24"/>
        </w:rPr>
      </w:pPr>
      <w:bookmarkStart w:id="61" w:name="_Toc27051"/>
      <w:bookmarkStart w:id="62" w:name="_Toc8987"/>
    </w:p>
    <w:p>
      <w:pPr>
        <w:keepNext/>
        <w:keepLines/>
        <w:numPr>
          <w:ilvl w:val="1"/>
          <w:numId w:val="0"/>
        </w:numPr>
        <w:spacing w:before="120" w:after="120" w:line="415" w:lineRule="auto"/>
        <w:ind w:left="454"/>
        <w:jc w:val="center"/>
        <w:outlineLvl w:val="1"/>
        <w:rPr>
          <w:rFonts w:ascii="Arial" w:hAnsi="Arial"/>
          <w:b/>
          <w:kern w:val="0"/>
          <w:sz w:val="36"/>
          <w:szCs w:val="36"/>
        </w:rPr>
      </w:pPr>
      <w:bookmarkStart w:id="63" w:name="_Toc1262"/>
      <w:bookmarkStart w:id="64" w:name="_Toc14871"/>
      <w:r>
        <w:rPr>
          <w:rFonts w:hint="eastAsia" w:ascii="Arial" w:hAnsi="Arial"/>
          <w:b/>
          <w:kern w:val="0"/>
          <w:sz w:val="36"/>
          <w:szCs w:val="36"/>
        </w:rPr>
        <w:t>授权委托证明书</w:t>
      </w:r>
      <w:bookmarkEnd w:id="60"/>
      <w:bookmarkEnd w:id="61"/>
      <w:bookmarkEnd w:id="62"/>
      <w:bookmarkEnd w:id="63"/>
      <w:bookmarkEnd w:id="64"/>
    </w:p>
    <w:p>
      <w:pPr>
        <w:tabs>
          <w:tab w:val="left" w:pos="8820"/>
        </w:tabs>
        <w:wordWrap w:val="0"/>
        <w:spacing w:line="400" w:lineRule="exact"/>
        <w:jc w:val="right"/>
        <w:rPr>
          <w:rFonts w:hint="eastAsia" w:ascii="宋体" w:hAnsi="宋体"/>
          <w:sz w:val="30"/>
          <w:szCs w:val="30"/>
        </w:rPr>
      </w:pPr>
      <w:r>
        <w:rPr>
          <w:rFonts w:hint="eastAsia" w:ascii="宋体" w:hAnsi="宋体"/>
          <w:sz w:val="30"/>
          <w:szCs w:val="30"/>
        </w:rPr>
        <w:t>（   ）第  号</w:t>
      </w:r>
    </w:p>
    <w:p>
      <w:pPr>
        <w:tabs>
          <w:tab w:val="left" w:pos="8820"/>
        </w:tabs>
        <w:spacing w:line="400" w:lineRule="exact"/>
        <w:jc w:val="center"/>
        <w:rPr>
          <w:rFonts w:hint="eastAsia" w:ascii="宋体" w:hAnsi="宋体"/>
          <w:sz w:val="30"/>
          <w:szCs w:val="30"/>
        </w:rPr>
      </w:pPr>
      <w:r>
        <w:rPr>
          <w:rFonts w:ascii="宋体" w:hAnsi="宋体"/>
          <w:sz w:val="30"/>
          <w:szCs w:val="30"/>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50800</wp:posOffset>
                </wp:positionV>
                <wp:extent cx="5829300" cy="3233420"/>
                <wp:effectExtent l="4445" t="4445" r="14605" b="19685"/>
                <wp:wrapNone/>
                <wp:docPr id="21" name="文本框 21"/>
                <wp:cNvGraphicFramePr/>
                <a:graphic xmlns:a="http://schemas.openxmlformats.org/drawingml/2006/main">
                  <a:graphicData uri="http://schemas.microsoft.com/office/word/2010/wordprocessingShape">
                    <wps:wsp>
                      <wps:cNvSpPr txBox="1"/>
                      <wps:spPr>
                        <a:xfrm>
                          <a:off x="0" y="0"/>
                          <a:ext cx="5829300" cy="32334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before="156" w:beforeLines="50"/>
                              <w:ind w:firstLine="560" w:firstLineChars="200"/>
                              <w:rPr>
                                <w:rFonts w:hint="eastAsia" w:ascii="宋体" w:hAnsi="宋体" w:cs="宋体"/>
                                <w:sz w:val="28"/>
                                <w:szCs w:val="28"/>
                                <w:u w:val="single"/>
                              </w:rPr>
                            </w:pPr>
                            <w:r>
                              <w:rPr>
                                <w:rFonts w:hint="eastAsia" w:ascii="宋体" w:hAnsi="宋体" w:cs="宋体"/>
                                <w:sz w:val="28"/>
                                <w:szCs w:val="28"/>
                              </w:rPr>
                              <w:t>兹授权为我方委托代理人，其权限是：</w:t>
                            </w:r>
                            <w:r>
                              <w:rPr>
                                <w:rFonts w:hint="eastAsia" w:ascii="宋体" w:hAnsi="宋体" w:cs="宋体"/>
                                <w:sz w:val="28"/>
                                <w:szCs w:val="28"/>
                                <w:u w:val="single"/>
                              </w:rPr>
                              <w:t xml:space="preserve">                       </w:t>
                            </w:r>
                          </w:p>
                          <w:p>
                            <w:pPr>
                              <w:spacing w:before="156" w:beforeLines="50"/>
                              <w:rPr>
                                <w:rFonts w:hint="eastAsia" w:ascii="宋体" w:hAnsi="宋体" w:cs="宋体"/>
                                <w:sz w:val="28"/>
                                <w:szCs w:val="28"/>
                                <w:u w:val="single"/>
                              </w:rPr>
                            </w:pPr>
                            <w:r>
                              <w:rPr>
                                <w:rFonts w:hint="eastAsia" w:ascii="宋体" w:hAnsi="宋体" w:cs="宋体"/>
                                <w:sz w:val="28"/>
                                <w:szCs w:val="28"/>
                                <w:u w:val="single"/>
                              </w:rPr>
                              <w:t xml:space="preserve">                                </w:t>
                            </w:r>
                          </w:p>
                          <w:p>
                            <w:pPr>
                              <w:spacing w:before="156" w:beforeLines="50"/>
                              <w:rPr>
                                <w:rFonts w:hint="eastAsia" w:ascii="宋体" w:hAnsi="宋体" w:cs="宋体"/>
                                <w:sz w:val="28"/>
                                <w:szCs w:val="28"/>
                                <w:u w:val="single"/>
                              </w:rPr>
                            </w:pPr>
                            <w:r>
                              <w:rPr>
                                <w:rFonts w:hint="eastAsia" w:ascii="宋体" w:hAnsi="宋体" w:cs="宋体"/>
                                <w:sz w:val="28"/>
                                <w:szCs w:val="28"/>
                              </w:rPr>
                              <w:t>有效期限：</w:t>
                            </w:r>
                            <w:r>
                              <w:rPr>
                                <w:rFonts w:hint="eastAsia" w:ascii="宋体" w:hAnsi="宋体" w:cs="宋体"/>
                                <w:sz w:val="28"/>
                                <w:szCs w:val="28"/>
                                <w:u w:val="single"/>
                              </w:rPr>
                              <w:t xml:space="preserve">               </w:t>
                            </w:r>
                            <w:r>
                              <w:rPr>
                                <w:rFonts w:hint="eastAsia" w:ascii="宋体" w:hAnsi="宋体" w:cs="宋体"/>
                                <w:sz w:val="28"/>
                                <w:szCs w:val="28"/>
                              </w:rPr>
                              <w:t xml:space="preserve">     </w:t>
                            </w:r>
                          </w:p>
                          <w:p>
                            <w:pPr>
                              <w:snapToGrid w:val="0"/>
                              <w:spacing w:line="480" w:lineRule="atLeast"/>
                              <w:rPr>
                                <w:rFonts w:hint="eastAsia" w:ascii="宋体" w:hAnsi="宋体" w:cs="宋体"/>
                                <w:sz w:val="28"/>
                                <w:szCs w:val="28"/>
                                <w:u w:val="single"/>
                              </w:rPr>
                            </w:pPr>
                            <w:r>
                              <w:rPr>
                                <w:rFonts w:hint="eastAsia" w:ascii="宋体" w:hAnsi="宋体" w:cs="宋体"/>
                                <w:sz w:val="28"/>
                                <w:szCs w:val="28"/>
                              </w:rPr>
                              <w:t>附：代理人性别：</w:t>
                            </w:r>
                            <w:r>
                              <w:rPr>
                                <w:rFonts w:hint="eastAsia" w:ascii="宋体" w:hAnsi="宋体" w:cs="宋体"/>
                                <w:sz w:val="28"/>
                                <w:szCs w:val="28"/>
                                <w:u w:val="single"/>
                              </w:rPr>
                              <w:t xml:space="preserve">    </w:t>
                            </w:r>
                            <w:r>
                              <w:rPr>
                                <w:rFonts w:hint="eastAsia" w:ascii="宋体" w:hAnsi="宋体" w:cs="宋体"/>
                                <w:sz w:val="28"/>
                                <w:szCs w:val="28"/>
                              </w:rPr>
                              <w:t>年龄：</w:t>
                            </w:r>
                            <w:r>
                              <w:rPr>
                                <w:rFonts w:hint="eastAsia" w:ascii="宋体" w:hAnsi="宋体" w:cs="宋体"/>
                                <w:sz w:val="28"/>
                                <w:szCs w:val="28"/>
                                <w:u w:val="single"/>
                              </w:rPr>
                              <w:t xml:space="preserve">        </w:t>
                            </w:r>
                            <w:r>
                              <w:rPr>
                                <w:rFonts w:hint="eastAsia" w:ascii="宋体" w:hAnsi="宋体" w:cs="宋体"/>
                                <w:sz w:val="28"/>
                                <w:szCs w:val="28"/>
                              </w:rPr>
                              <w:t>身份证号码：</w:t>
                            </w:r>
                            <w:r>
                              <w:rPr>
                                <w:rFonts w:hint="eastAsia" w:ascii="宋体" w:hAnsi="宋体" w:cs="宋体"/>
                                <w:sz w:val="28"/>
                                <w:szCs w:val="28"/>
                                <w:u w:val="single"/>
                              </w:rPr>
                              <w:t xml:space="preserve">           </w:t>
                            </w:r>
                          </w:p>
                          <w:p>
                            <w:pPr>
                              <w:snapToGrid w:val="0"/>
                              <w:spacing w:line="480" w:lineRule="atLeast"/>
                              <w:ind w:firstLine="560" w:firstLineChars="200"/>
                              <w:rPr>
                                <w:rFonts w:hint="eastAsia" w:ascii="宋体" w:hAnsi="宋体" w:cs="宋体"/>
                                <w:sz w:val="28"/>
                                <w:szCs w:val="28"/>
                                <w:u w:val="single"/>
                              </w:rPr>
                            </w:pPr>
                            <w:r>
                              <w:rPr>
                                <w:rFonts w:hint="eastAsia" w:ascii="宋体" w:hAnsi="宋体" w:cs="宋体"/>
                                <w:sz w:val="28"/>
                                <w:szCs w:val="28"/>
                              </w:rPr>
                              <w:t>注册号码：</w:t>
                            </w:r>
                            <w:r>
                              <w:rPr>
                                <w:rFonts w:hint="eastAsia" w:ascii="宋体" w:hAnsi="宋体" w:cs="宋体"/>
                                <w:sz w:val="28"/>
                                <w:szCs w:val="28"/>
                                <w:u w:val="single"/>
                              </w:rPr>
                              <w:t xml:space="preserve">        </w:t>
                            </w:r>
                            <w:r>
                              <w:rPr>
                                <w:rFonts w:hint="eastAsia" w:ascii="宋体" w:hAnsi="宋体" w:cs="宋体"/>
                                <w:sz w:val="28"/>
                                <w:szCs w:val="28"/>
                              </w:rPr>
                              <w:t>企业类型：</w:t>
                            </w:r>
                            <w:r>
                              <w:rPr>
                                <w:rFonts w:hint="eastAsia" w:ascii="宋体" w:hAnsi="宋体" w:cs="宋体"/>
                                <w:sz w:val="28"/>
                                <w:szCs w:val="28"/>
                                <w:u w:val="single"/>
                              </w:rPr>
                              <w:t xml:space="preserve">           </w:t>
                            </w:r>
                          </w:p>
                          <w:p>
                            <w:pPr>
                              <w:snapToGrid w:val="0"/>
                              <w:spacing w:line="480" w:lineRule="atLeast"/>
                              <w:ind w:firstLine="560" w:firstLineChars="200"/>
                              <w:rPr>
                                <w:rFonts w:hint="eastAsia" w:ascii="宋体" w:hAnsi="宋体" w:cs="宋体"/>
                                <w:sz w:val="28"/>
                                <w:szCs w:val="28"/>
                                <w:u w:val="single"/>
                              </w:rPr>
                            </w:pPr>
                            <w:r>
                              <w:rPr>
                                <w:rFonts w:hint="eastAsia" w:ascii="宋体" w:hAnsi="宋体" w:cs="宋体"/>
                                <w:sz w:val="28"/>
                                <w:szCs w:val="28"/>
                              </w:rPr>
                              <w:t>经营范围：</w:t>
                            </w:r>
                            <w:r>
                              <w:rPr>
                                <w:rFonts w:hint="eastAsia" w:ascii="宋体" w:hAnsi="宋体" w:cs="宋体"/>
                                <w:sz w:val="28"/>
                                <w:szCs w:val="28"/>
                                <w:u w:val="single"/>
                              </w:rPr>
                              <w:t xml:space="preserve">                   </w:t>
                            </w:r>
                          </w:p>
                          <w:p>
                            <w:pPr>
                              <w:snapToGrid w:val="0"/>
                              <w:spacing w:line="480" w:lineRule="atLeast"/>
                              <w:ind w:firstLine="560" w:firstLineChars="200"/>
                              <w:rPr>
                                <w:rFonts w:hint="eastAsia" w:ascii="宋体" w:hAnsi="宋体" w:cs="宋体"/>
                                <w:sz w:val="28"/>
                                <w:szCs w:val="28"/>
                              </w:rPr>
                            </w:pPr>
                            <w:r>
                              <w:rPr>
                                <w:rFonts w:hint="eastAsia" w:ascii="宋体" w:hAnsi="宋体" w:cs="宋体"/>
                                <w:sz w:val="28"/>
                                <w:szCs w:val="28"/>
                              </w:rPr>
                              <w:t>法定代表人（负责人）：</w:t>
                            </w:r>
                            <w:r>
                              <w:rPr>
                                <w:rFonts w:hint="eastAsia" w:ascii="宋体" w:hAnsi="宋体" w:cs="宋体"/>
                                <w:sz w:val="28"/>
                                <w:szCs w:val="28"/>
                                <w:u w:val="single"/>
                              </w:rPr>
                              <w:t xml:space="preserve">             </w:t>
                            </w:r>
                            <w:r>
                              <w:rPr>
                                <w:rFonts w:hint="eastAsia" w:ascii="宋体" w:hAnsi="宋体" w:cs="宋体"/>
                                <w:sz w:val="28"/>
                                <w:szCs w:val="28"/>
                              </w:rPr>
                              <w:t>（签名）</w:t>
                            </w:r>
                          </w:p>
                          <w:p>
                            <w:pPr>
                              <w:snapToGrid w:val="0"/>
                              <w:spacing w:line="480" w:lineRule="atLeast"/>
                              <w:ind w:firstLine="560" w:firstLineChars="200"/>
                              <w:rPr>
                                <w:rFonts w:hint="eastAsia" w:ascii="宋体" w:hAnsi="宋体" w:cs="宋体"/>
                                <w:sz w:val="28"/>
                                <w:szCs w:val="28"/>
                                <w:u w:val="single"/>
                              </w:rPr>
                            </w:pPr>
                            <w:r>
                              <w:rPr>
                                <w:rFonts w:hint="eastAsia" w:ascii="宋体" w:hAnsi="宋体" w:cs="宋体"/>
                                <w:sz w:val="28"/>
                                <w:szCs w:val="28"/>
                              </w:rPr>
                              <w:t>授权单位：（盖章）</w:t>
                            </w:r>
                            <w:r>
                              <w:rPr>
                                <w:rFonts w:hint="eastAsia" w:ascii="宋体" w:hAnsi="宋体" w:cs="宋体"/>
                                <w:sz w:val="28"/>
                                <w:szCs w:val="28"/>
                                <w:u w:val="single"/>
                              </w:rPr>
                              <w:t xml:space="preserve">                 </w:t>
                            </w:r>
                          </w:p>
                          <w:p>
                            <w:pPr>
                              <w:ind w:firstLine="7000" w:firstLineChars="2500"/>
                            </w:pPr>
                            <w:r>
                              <w:rPr>
                                <w:rFonts w:hint="eastAsia"/>
                                <w:sz w:val="28"/>
                                <w:szCs w:val="28"/>
                              </w:rPr>
                              <w:t>年月日</w:t>
                            </w:r>
                          </w:p>
                        </w:txbxContent>
                      </wps:txbx>
                      <wps:bodyPr upright="1"/>
                    </wps:wsp>
                  </a:graphicData>
                </a:graphic>
              </wp:anchor>
            </w:drawing>
          </mc:Choice>
          <mc:Fallback>
            <w:pict>
              <v:shape id="_x0000_s1026" o:spid="_x0000_s1026" o:spt="202" type="#_x0000_t202" style="position:absolute;left:0pt;margin-left:-9pt;margin-top:4pt;height:254.6pt;width:459pt;z-index:251661312;mso-width-relative:page;mso-height-relative:page;" fillcolor="#FFFFFF" filled="t" stroked="t" coordsize="21600,21600" o:gfxdata="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kJjtzYAAAACQEAAA8AAAAA&#10;AAAAAQAgAAAAIgAAAGRycy9kb3ducmV2LnhtbFBLAQIUABQAAAAIAIdO4kCBzzHUFAIAAEcEAAAO&#10;AAAAAAAAAAEAIAAAACcBAABkcnMvZTJvRG9jLnhtbFBLBQYAAAAABgAGAFkBAACtBQAAAAA=&#10;">
                <v:fill on="t" focussize="0,0"/>
                <v:stroke color="#000000" joinstyle="miter"/>
                <v:imagedata o:title=""/>
                <o:lock v:ext="edit" aspectratio="f"/>
                <v:textbox>
                  <w:txbxContent>
                    <w:p>
                      <w:pPr>
                        <w:spacing w:before="156" w:beforeLines="50"/>
                        <w:ind w:firstLine="560" w:firstLineChars="200"/>
                        <w:rPr>
                          <w:rFonts w:hint="eastAsia" w:ascii="宋体" w:hAnsi="宋体" w:cs="宋体"/>
                          <w:sz w:val="28"/>
                          <w:szCs w:val="28"/>
                          <w:u w:val="single"/>
                        </w:rPr>
                      </w:pPr>
                      <w:r>
                        <w:rPr>
                          <w:rFonts w:hint="eastAsia" w:ascii="宋体" w:hAnsi="宋体" w:cs="宋体"/>
                          <w:sz w:val="28"/>
                          <w:szCs w:val="28"/>
                        </w:rPr>
                        <w:t>兹授权为我方委托代理人，其权限是：</w:t>
                      </w:r>
                      <w:r>
                        <w:rPr>
                          <w:rFonts w:hint="eastAsia" w:ascii="宋体" w:hAnsi="宋体" w:cs="宋体"/>
                          <w:sz w:val="28"/>
                          <w:szCs w:val="28"/>
                          <w:u w:val="single"/>
                        </w:rPr>
                        <w:t xml:space="preserve">                       </w:t>
                      </w:r>
                    </w:p>
                    <w:p>
                      <w:pPr>
                        <w:spacing w:before="156" w:beforeLines="50"/>
                        <w:rPr>
                          <w:rFonts w:hint="eastAsia" w:ascii="宋体" w:hAnsi="宋体" w:cs="宋体"/>
                          <w:sz w:val="28"/>
                          <w:szCs w:val="28"/>
                          <w:u w:val="single"/>
                        </w:rPr>
                      </w:pPr>
                      <w:r>
                        <w:rPr>
                          <w:rFonts w:hint="eastAsia" w:ascii="宋体" w:hAnsi="宋体" w:cs="宋体"/>
                          <w:sz w:val="28"/>
                          <w:szCs w:val="28"/>
                          <w:u w:val="single"/>
                        </w:rPr>
                        <w:t xml:space="preserve">                                </w:t>
                      </w:r>
                    </w:p>
                    <w:p>
                      <w:pPr>
                        <w:spacing w:before="156" w:beforeLines="50"/>
                        <w:rPr>
                          <w:rFonts w:hint="eastAsia" w:ascii="宋体" w:hAnsi="宋体" w:cs="宋体"/>
                          <w:sz w:val="28"/>
                          <w:szCs w:val="28"/>
                          <w:u w:val="single"/>
                        </w:rPr>
                      </w:pPr>
                      <w:r>
                        <w:rPr>
                          <w:rFonts w:hint="eastAsia" w:ascii="宋体" w:hAnsi="宋体" w:cs="宋体"/>
                          <w:sz w:val="28"/>
                          <w:szCs w:val="28"/>
                        </w:rPr>
                        <w:t>有效期限：</w:t>
                      </w:r>
                      <w:r>
                        <w:rPr>
                          <w:rFonts w:hint="eastAsia" w:ascii="宋体" w:hAnsi="宋体" w:cs="宋体"/>
                          <w:sz w:val="28"/>
                          <w:szCs w:val="28"/>
                          <w:u w:val="single"/>
                        </w:rPr>
                        <w:t xml:space="preserve">               </w:t>
                      </w:r>
                      <w:r>
                        <w:rPr>
                          <w:rFonts w:hint="eastAsia" w:ascii="宋体" w:hAnsi="宋体" w:cs="宋体"/>
                          <w:sz w:val="28"/>
                          <w:szCs w:val="28"/>
                        </w:rPr>
                        <w:t xml:space="preserve">     </w:t>
                      </w:r>
                    </w:p>
                    <w:p>
                      <w:pPr>
                        <w:snapToGrid w:val="0"/>
                        <w:spacing w:line="480" w:lineRule="atLeast"/>
                        <w:rPr>
                          <w:rFonts w:hint="eastAsia" w:ascii="宋体" w:hAnsi="宋体" w:cs="宋体"/>
                          <w:sz w:val="28"/>
                          <w:szCs w:val="28"/>
                          <w:u w:val="single"/>
                        </w:rPr>
                      </w:pPr>
                      <w:r>
                        <w:rPr>
                          <w:rFonts w:hint="eastAsia" w:ascii="宋体" w:hAnsi="宋体" w:cs="宋体"/>
                          <w:sz w:val="28"/>
                          <w:szCs w:val="28"/>
                        </w:rPr>
                        <w:t>附：代理人性别：</w:t>
                      </w:r>
                      <w:r>
                        <w:rPr>
                          <w:rFonts w:hint="eastAsia" w:ascii="宋体" w:hAnsi="宋体" w:cs="宋体"/>
                          <w:sz w:val="28"/>
                          <w:szCs w:val="28"/>
                          <w:u w:val="single"/>
                        </w:rPr>
                        <w:t xml:space="preserve">    </w:t>
                      </w:r>
                      <w:r>
                        <w:rPr>
                          <w:rFonts w:hint="eastAsia" w:ascii="宋体" w:hAnsi="宋体" w:cs="宋体"/>
                          <w:sz w:val="28"/>
                          <w:szCs w:val="28"/>
                        </w:rPr>
                        <w:t>年龄：</w:t>
                      </w:r>
                      <w:r>
                        <w:rPr>
                          <w:rFonts w:hint="eastAsia" w:ascii="宋体" w:hAnsi="宋体" w:cs="宋体"/>
                          <w:sz w:val="28"/>
                          <w:szCs w:val="28"/>
                          <w:u w:val="single"/>
                        </w:rPr>
                        <w:t xml:space="preserve">        </w:t>
                      </w:r>
                      <w:r>
                        <w:rPr>
                          <w:rFonts w:hint="eastAsia" w:ascii="宋体" w:hAnsi="宋体" w:cs="宋体"/>
                          <w:sz w:val="28"/>
                          <w:szCs w:val="28"/>
                        </w:rPr>
                        <w:t>身份证号码：</w:t>
                      </w:r>
                      <w:r>
                        <w:rPr>
                          <w:rFonts w:hint="eastAsia" w:ascii="宋体" w:hAnsi="宋体" w:cs="宋体"/>
                          <w:sz w:val="28"/>
                          <w:szCs w:val="28"/>
                          <w:u w:val="single"/>
                        </w:rPr>
                        <w:t xml:space="preserve">           </w:t>
                      </w:r>
                    </w:p>
                    <w:p>
                      <w:pPr>
                        <w:snapToGrid w:val="0"/>
                        <w:spacing w:line="480" w:lineRule="atLeast"/>
                        <w:ind w:firstLine="560" w:firstLineChars="200"/>
                        <w:rPr>
                          <w:rFonts w:hint="eastAsia" w:ascii="宋体" w:hAnsi="宋体" w:cs="宋体"/>
                          <w:sz w:val="28"/>
                          <w:szCs w:val="28"/>
                          <w:u w:val="single"/>
                        </w:rPr>
                      </w:pPr>
                      <w:r>
                        <w:rPr>
                          <w:rFonts w:hint="eastAsia" w:ascii="宋体" w:hAnsi="宋体" w:cs="宋体"/>
                          <w:sz w:val="28"/>
                          <w:szCs w:val="28"/>
                        </w:rPr>
                        <w:t>注册号码：</w:t>
                      </w:r>
                      <w:r>
                        <w:rPr>
                          <w:rFonts w:hint="eastAsia" w:ascii="宋体" w:hAnsi="宋体" w:cs="宋体"/>
                          <w:sz w:val="28"/>
                          <w:szCs w:val="28"/>
                          <w:u w:val="single"/>
                        </w:rPr>
                        <w:t xml:space="preserve">        </w:t>
                      </w:r>
                      <w:r>
                        <w:rPr>
                          <w:rFonts w:hint="eastAsia" w:ascii="宋体" w:hAnsi="宋体" w:cs="宋体"/>
                          <w:sz w:val="28"/>
                          <w:szCs w:val="28"/>
                        </w:rPr>
                        <w:t>企业类型：</w:t>
                      </w:r>
                      <w:r>
                        <w:rPr>
                          <w:rFonts w:hint="eastAsia" w:ascii="宋体" w:hAnsi="宋体" w:cs="宋体"/>
                          <w:sz w:val="28"/>
                          <w:szCs w:val="28"/>
                          <w:u w:val="single"/>
                        </w:rPr>
                        <w:t xml:space="preserve">           </w:t>
                      </w:r>
                    </w:p>
                    <w:p>
                      <w:pPr>
                        <w:snapToGrid w:val="0"/>
                        <w:spacing w:line="480" w:lineRule="atLeast"/>
                        <w:ind w:firstLine="560" w:firstLineChars="200"/>
                        <w:rPr>
                          <w:rFonts w:hint="eastAsia" w:ascii="宋体" w:hAnsi="宋体" w:cs="宋体"/>
                          <w:sz w:val="28"/>
                          <w:szCs w:val="28"/>
                          <w:u w:val="single"/>
                        </w:rPr>
                      </w:pPr>
                      <w:r>
                        <w:rPr>
                          <w:rFonts w:hint="eastAsia" w:ascii="宋体" w:hAnsi="宋体" w:cs="宋体"/>
                          <w:sz w:val="28"/>
                          <w:szCs w:val="28"/>
                        </w:rPr>
                        <w:t>经营范围：</w:t>
                      </w:r>
                      <w:r>
                        <w:rPr>
                          <w:rFonts w:hint="eastAsia" w:ascii="宋体" w:hAnsi="宋体" w:cs="宋体"/>
                          <w:sz w:val="28"/>
                          <w:szCs w:val="28"/>
                          <w:u w:val="single"/>
                        </w:rPr>
                        <w:t xml:space="preserve">                   </w:t>
                      </w:r>
                    </w:p>
                    <w:p>
                      <w:pPr>
                        <w:snapToGrid w:val="0"/>
                        <w:spacing w:line="480" w:lineRule="atLeast"/>
                        <w:ind w:firstLine="560" w:firstLineChars="200"/>
                        <w:rPr>
                          <w:rFonts w:hint="eastAsia" w:ascii="宋体" w:hAnsi="宋体" w:cs="宋体"/>
                          <w:sz w:val="28"/>
                          <w:szCs w:val="28"/>
                        </w:rPr>
                      </w:pPr>
                      <w:r>
                        <w:rPr>
                          <w:rFonts w:hint="eastAsia" w:ascii="宋体" w:hAnsi="宋体" w:cs="宋体"/>
                          <w:sz w:val="28"/>
                          <w:szCs w:val="28"/>
                        </w:rPr>
                        <w:t>法定代表人（负责人）：</w:t>
                      </w:r>
                      <w:r>
                        <w:rPr>
                          <w:rFonts w:hint="eastAsia" w:ascii="宋体" w:hAnsi="宋体" w:cs="宋体"/>
                          <w:sz w:val="28"/>
                          <w:szCs w:val="28"/>
                          <w:u w:val="single"/>
                        </w:rPr>
                        <w:t xml:space="preserve">             </w:t>
                      </w:r>
                      <w:r>
                        <w:rPr>
                          <w:rFonts w:hint="eastAsia" w:ascii="宋体" w:hAnsi="宋体" w:cs="宋体"/>
                          <w:sz w:val="28"/>
                          <w:szCs w:val="28"/>
                        </w:rPr>
                        <w:t>（签名）</w:t>
                      </w:r>
                    </w:p>
                    <w:p>
                      <w:pPr>
                        <w:snapToGrid w:val="0"/>
                        <w:spacing w:line="480" w:lineRule="atLeast"/>
                        <w:ind w:firstLine="560" w:firstLineChars="200"/>
                        <w:rPr>
                          <w:rFonts w:hint="eastAsia" w:ascii="宋体" w:hAnsi="宋体" w:cs="宋体"/>
                          <w:sz w:val="28"/>
                          <w:szCs w:val="28"/>
                          <w:u w:val="single"/>
                        </w:rPr>
                      </w:pPr>
                      <w:r>
                        <w:rPr>
                          <w:rFonts w:hint="eastAsia" w:ascii="宋体" w:hAnsi="宋体" w:cs="宋体"/>
                          <w:sz w:val="28"/>
                          <w:szCs w:val="28"/>
                        </w:rPr>
                        <w:t>授权单位：（盖章）</w:t>
                      </w:r>
                      <w:r>
                        <w:rPr>
                          <w:rFonts w:hint="eastAsia" w:ascii="宋体" w:hAnsi="宋体" w:cs="宋体"/>
                          <w:sz w:val="28"/>
                          <w:szCs w:val="28"/>
                          <w:u w:val="single"/>
                        </w:rPr>
                        <w:t xml:space="preserve">                 </w:t>
                      </w:r>
                    </w:p>
                    <w:p>
                      <w:pPr>
                        <w:ind w:firstLine="7000" w:firstLineChars="2500"/>
                      </w:pPr>
                      <w:r>
                        <w:rPr>
                          <w:rFonts w:hint="eastAsia"/>
                          <w:sz w:val="28"/>
                          <w:szCs w:val="28"/>
                        </w:rPr>
                        <w:t>年月日</w:t>
                      </w:r>
                    </w:p>
                  </w:txbxContent>
                </v:textbox>
              </v:shape>
            </w:pict>
          </mc:Fallback>
        </mc:AlternateContent>
      </w:r>
    </w:p>
    <w:p>
      <w:pPr>
        <w:tabs>
          <w:tab w:val="left" w:pos="8820"/>
        </w:tabs>
        <w:spacing w:line="400" w:lineRule="exact"/>
        <w:jc w:val="center"/>
        <w:rPr>
          <w:rFonts w:hint="eastAsia" w:ascii="宋体" w:hAnsi="宋体"/>
          <w:sz w:val="30"/>
          <w:szCs w:val="30"/>
        </w:rPr>
      </w:pPr>
    </w:p>
    <w:p>
      <w:pPr>
        <w:tabs>
          <w:tab w:val="left" w:pos="8820"/>
        </w:tabs>
        <w:spacing w:line="400" w:lineRule="exact"/>
        <w:jc w:val="center"/>
        <w:rPr>
          <w:rFonts w:hint="eastAsia" w:ascii="宋体" w:hAnsi="宋体"/>
          <w:sz w:val="30"/>
          <w:szCs w:val="30"/>
        </w:rPr>
      </w:pPr>
    </w:p>
    <w:p>
      <w:pPr>
        <w:tabs>
          <w:tab w:val="left" w:pos="8820"/>
        </w:tabs>
        <w:spacing w:line="400" w:lineRule="exact"/>
        <w:jc w:val="center"/>
        <w:rPr>
          <w:rFonts w:hint="eastAsia" w:ascii="宋体" w:hAnsi="宋体"/>
          <w:sz w:val="30"/>
          <w:szCs w:val="30"/>
        </w:rPr>
      </w:pPr>
    </w:p>
    <w:p>
      <w:pPr>
        <w:tabs>
          <w:tab w:val="left" w:pos="8820"/>
        </w:tabs>
        <w:spacing w:line="400" w:lineRule="exact"/>
        <w:jc w:val="center"/>
        <w:rPr>
          <w:rFonts w:hint="eastAsia" w:ascii="宋体" w:hAnsi="宋体"/>
          <w:sz w:val="30"/>
          <w:szCs w:val="30"/>
        </w:rPr>
      </w:pPr>
    </w:p>
    <w:p>
      <w:pPr>
        <w:tabs>
          <w:tab w:val="left" w:pos="8820"/>
        </w:tabs>
        <w:spacing w:line="400" w:lineRule="exact"/>
        <w:jc w:val="center"/>
        <w:rPr>
          <w:rFonts w:hint="eastAsia" w:ascii="宋体" w:hAnsi="宋体"/>
          <w:sz w:val="30"/>
          <w:szCs w:val="30"/>
        </w:rPr>
      </w:pPr>
    </w:p>
    <w:p>
      <w:pPr>
        <w:tabs>
          <w:tab w:val="left" w:pos="8820"/>
        </w:tabs>
        <w:spacing w:line="400" w:lineRule="exact"/>
        <w:jc w:val="center"/>
        <w:rPr>
          <w:rFonts w:hint="eastAsia" w:ascii="宋体" w:hAnsi="宋体"/>
          <w:sz w:val="30"/>
          <w:szCs w:val="30"/>
        </w:rPr>
      </w:pPr>
    </w:p>
    <w:p>
      <w:pPr>
        <w:tabs>
          <w:tab w:val="left" w:pos="8820"/>
        </w:tabs>
        <w:spacing w:line="400" w:lineRule="exact"/>
        <w:jc w:val="center"/>
        <w:rPr>
          <w:rFonts w:hint="eastAsia" w:ascii="宋体" w:hAnsi="宋体"/>
          <w:sz w:val="30"/>
          <w:szCs w:val="30"/>
        </w:rPr>
      </w:pPr>
    </w:p>
    <w:p>
      <w:pPr>
        <w:tabs>
          <w:tab w:val="left" w:pos="8820"/>
        </w:tabs>
        <w:spacing w:line="400" w:lineRule="exact"/>
        <w:jc w:val="center"/>
        <w:rPr>
          <w:rFonts w:hint="eastAsia" w:ascii="宋体" w:hAnsi="宋体"/>
          <w:sz w:val="30"/>
          <w:szCs w:val="30"/>
        </w:rPr>
      </w:pPr>
    </w:p>
    <w:p>
      <w:pPr>
        <w:tabs>
          <w:tab w:val="left" w:pos="8820"/>
        </w:tabs>
        <w:spacing w:line="400" w:lineRule="exact"/>
        <w:jc w:val="center"/>
        <w:rPr>
          <w:rFonts w:hint="eastAsia" w:ascii="宋体" w:hAnsi="宋体"/>
          <w:sz w:val="30"/>
          <w:szCs w:val="30"/>
        </w:rPr>
      </w:pPr>
    </w:p>
    <w:p>
      <w:pPr>
        <w:tabs>
          <w:tab w:val="left" w:pos="8820"/>
        </w:tabs>
        <w:spacing w:line="400" w:lineRule="exact"/>
        <w:jc w:val="center"/>
        <w:rPr>
          <w:rFonts w:hint="eastAsia" w:ascii="宋体" w:hAnsi="宋体"/>
          <w:sz w:val="30"/>
          <w:szCs w:val="30"/>
        </w:rPr>
      </w:pPr>
    </w:p>
    <w:p>
      <w:pPr>
        <w:tabs>
          <w:tab w:val="left" w:pos="8820"/>
        </w:tabs>
        <w:spacing w:line="400" w:lineRule="exact"/>
        <w:jc w:val="center"/>
        <w:rPr>
          <w:rFonts w:hint="eastAsia" w:ascii="宋体" w:hAnsi="宋体"/>
          <w:sz w:val="30"/>
          <w:szCs w:val="30"/>
        </w:rPr>
      </w:pPr>
    </w:p>
    <w:p>
      <w:pPr>
        <w:spacing w:line="360" w:lineRule="auto"/>
        <w:jc w:val="center"/>
        <w:rPr>
          <w:rFonts w:hint="eastAsia" w:ascii="宋体" w:hAnsi="宋体"/>
          <w:b/>
          <w:bCs/>
          <w:sz w:val="24"/>
        </w:rPr>
      </w:pPr>
    </w:p>
    <w:p>
      <w:pPr>
        <w:autoSpaceDE w:val="0"/>
        <w:autoSpaceDN w:val="0"/>
        <w:adjustRightInd w:val="0"/>
        <w:rPr>
          <w:rFonts w:hint="eastAsia" w:ascii="宋体" w:hAnsi="宋体" w:cs="宋体"/>
          <w:bCs/>
          <w:sz w:val="24"/>
        </w:rPr>
      </w:pPr>
      <w:r>
        <w:rPr>
          <w:rFonts w:hint="eastAsia" w:ascii="宋体" w:hAnsi="宋体" w:cs="宋体"/>
          <w:spacing w:val="4"/>
          <w:kern w:val="0"/>
          <w:sz w:val="24"/>
          <w:szCs w:val="24"/>
        </w:rPr>
        <w:t>注：该格式供参考。</w:t>
      </w:r>
      <w:r>
        <w:rPr>
          <w:rFonts w:hint="eastAsia" w:ascii="宋体" w:hAnsi="宋体" w:cs="宋体"/>
          <w:bCs/>
          <w:sz w:val="24"/>
        </w:rPr>
        <w:br w:type="page"/>
      </w:r>
      <w:r>
        <w:rPr>
          <w:rFonts w:hint="eastAsia" w:ascii="宋体" w:hAnsi="宋体" w:cs="宋体"/>
          <w:bCs/>
          <w:sz w:val="24"/>
        </w:rPr>
        <w:t>附件五</w:t>
      </w:r>
    </w:p>
    <w:p>
      <w:pPr>
        <w:pStyle w:val="7"/>
        <w:jc w:val="center"/>
        <w:rPr>
          <w:rFonts w:ascii="Times New Roman" w:hAnsi="Times New Roman"/>
          <w:b/>
          <w:bCs/>
          <w:sz w:val="36"/>
          <w:szCs w:val="36"/>
        </w:rPr>
      </w:pPr>
      <w:bookmarkStart w:id="65" w:name="_Toc2742"/>
      <w:bookmarkStart w:id="66" w:name="_Toc482188667"/>
      <w:bookmarkStart w:id="67" w:name="_Toc42941305"/>
      <w:r>
        <w:rPr>
          <w:rFonts w:ascii="Times New Roman" w:hAnsi="Times New Roman"/>
          <w:b/>
          <w:bCs/>
          <w:sz w:val="36"/>
          <w:szCs w:val="36"/>
        </w:rPr>
        <w:t>拟委任的</w:t>
      </w:r>
      <w:r>
        <w:rPr>
          <w:rFonts w:hint="eastAsia" w:ascii="Times New Roman" w:hAnsi="Times New Roman"/>
          <w:b/>
          <w:bCs/>
          <w:sz w:val="36"/>
          <w:szCs w:val="36"/>
        </w:rPr>
        <w:t>项目管理机构</w:t>
      </w:r>
      <w:r>
        <w:rPr>
          <w:rFonts w:ascii="Times New Roman" w:hAnsi="Times New Roman"/>
          <w:b/>
          <w:bCs/>
          <w:sz w:val="36"/>
          <w:szCs w:val="36"/>
        </w:rPr>
        <w:t>人员汇总表</w:t>
      </w:r>
      <w:bookmarkEnd w:id="65"/>
      <w:bookmarkEnd w:id="66"/>
      <w:bookmarkEnd w:id="67"/>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75"/>
        <w:gridCol w:w="992"/>
        <w:gridCol w:w="603"/>
        <w:gridCol w:w="488"/>
        <w:gridCol w:w="1134"/>
        <w:gridCol w:w="709"/>
        <w:gridCol w:w="871"/>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restart"/>
            <w:vAlign w:val="center"/>
          </w:tcPr>
          <w:p>
            <w:pPr>
              <w:spacing w:line="440" w:lineRule="exact"/>
              <w:jc w:val="center"/>
              <w:rPr>
                <w:rFonts w:ascii="Times New Roman" w:hAnsi="Times New Roman"/>
              </w:rPr>
            </w:pPr>
            <w:r>
              <w:rPr>
                <w:rFonts w:ascii="Times New Roman" w:hAnsi="Times New Roman"/>
              </w:rPr>
              <w:t>序号</w:t>
            </w:r>
          </w:p>
        </w:tc>
        <w:tc>
          <w:tcPr>
            <w:tcW w:w="1275" w:type="dxa"/>
            <w:vMerge w:val="restart"/>
            <w:vAlign w:val="center"/>
          </w:tcPr>
          <w:p>
            <w:pPr>
              <w:spacing w:line="440" w:lineRule="exact"/>
              <w:jc w:val="center"/>
              <w:rPr>
                <w:rFonts w:ascii="Times New Roman" w:hAnsi="Times New Roman"/>
              </w:rPr>
            </w:pPr>
            <w:r>
              <w:rPr>
                <w:rFonts w:ascii="Times New Roman" w:hAnsi="Times New Roman"/>
              </w:rPr>
              <w:t>本项目任职</w:t>
            </w:r>
          </w:p>
        </w:tc>
        <w:tc>
          <w:tcPr>
            <w:tcW w:w="992" w:type="dxa"/>
            <w:vMerge w:val="restart"/>
            <w:vAlign w:val="center"/>
          </w:tcPr>
          <w:p>
            <w:pPr>
              <w:spacing w:line="440" w:lineRule="exact"/>
              <w:jc w:val="center"/>
              <w:rPr>
                <w:rFonts w:ascii="Times New Roman" w:hAnsi="Times New Roman"/>
              </w:rPr>
            </w:pPr>
            <w:r>
              <w:rPr>
                <w:rFonts w:ascii="Times New Roman" w:hAnsi="Times New Roman"/>
              </w:rPr>
              <w:t>姓名</w:t>
            </w:r>
          </w:p>
        </w:tc>
        <w:tc>
          <w:tcPr>
            <w:tcW w:w="603" w:type="dxa"/>
            <w:vMerge w:val="restart"/>
            <w:vAlign w:val="center"/>
          </w:tcPr>
          <w:p>
            <w:pPr>
              <w:spacing w:line="440" w:lineRule="exact"/>
              <w:jc w:val="center"/>
              <w:rPr>
                <w:rFonts w:ascii="Times New Roman" w:hAnsi="Times New Roman"/>
              </w:rPr>
            </w:pPr>
            <w:r>
              <w:rPr>
                <w:rFonts w:ascii="Times New Roman" w:hAnsi="Times New Roman"/>
              </w:rPr>
              <w:t>职称</w:t>
            </w:r>
          </w:p>
        </w:tc>
        <w:tc>
          <w:tcPr>
            <w:tcW w:w="488" w:type="dxa"/>
            <w:vMerge w:val="restart"/>
            <w:vAlign w:val="center"/>
          </w:tcPr>
          <w:p>
            <w:pPr>
              <w:spacing w:line="440" w:lineRule="exact"/>
              <w:jc w:val="center"/>
              <w:rPr>
                <w:rFonts w:ascii="Times New Roman" w:hAnsi="Times New Roman"/>
              </w:rPr>
            </w:pPr>
            <w:r>
              <w:rPr>
                <w:rFonts w:ascii="Times New Roman" w:hAnsi="Times New Roman"/>
              </w:rPr>
              <w:t>专业</w:t>
            </w:r>
          </w:p>
        </w:tc>
        <w:tc>
          <w:tcPr>
            <w:tcW w:w="2714" w:type="dxa"/>
            <w:gridSpan w:val="3"/>
            <w:vAlign w:val="center"/>
          </w:tcPr>
          <w:p>
            <w:pPr>
              <w:spacing w:line="440" w:lineRule="exact"/>
              <w:jc w:val="center"/>
              <w:rPr>
                <w:rFonts w:ascii="Times New Roman" w:hAnsi="Times New Roman"/>
              </w:rPr>
            </w:pPr>
            <w:r>
              <w:rPr>
                <w:rFonts w:ascii="Times New Roman" w:hAnsi="Times New Roman"/>
              </w:rPr>
              <w:t>执业或职业资格证明</w:t>
            </w:r>
          </w:p>
        </w:tc>
        <w:tc>
          <w:tcPr>
            <w:tcW w:w="1134" w:type="dxa"/>
            <w:vAlign w:val="center"/>
          </w:tcPr>
          <w:p>
            <w:pPr>
              <w:spacing w:line="440" w:lineRule="exact"/>
              <w:jc w:val="center"/>
              <w:rPr>
                <w:rFonts w:ascii="Times New Roman" w:hAnsi="Times New Roman"/>
              </w:rPr>
            </w:pPr>
            <w:r>
              <w:rPr>
                <w:rFonts w:ascii="Times New Roman" w:hAnsi="Times New Roma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continue"/>
            <w:vAlign w:val="center"/>
          </w:tcPr>
          <w:p>
            <w:pPr>
              <w:rPr>
                <w:rFonts w:ascii="Times New Roman" w:hAnsi="Times New Roman"/>
              </w:rPr>
            </w:pPr>
          </w:p>
        </w:tc>
        <w:tc>
          <w:tcPr>
            <w:tcW w:w="1275" w:type="dxa"/>
            <w:vMerge w:val="continue"/>
          </w:tcPr>
          <w:p>
            <w:pPr>
              <w:rPr>
                <w:rFonts w:ascii="Times New Roman" w:hAnsi="Times New Roman"/>
              </w:rPr>
            </w:pPr>
          </w:p>
        </w:tc>
        <w:tc>
          <w:tcPr>
            <w:tcW w:w="992" w:type="dxa"/>
            <w:vMerge w:val="continue"/>
            <w:vAlign w:val="center"/>
          </w:tcPr>
          <w:p>
            <w:pPr>
              <w:rPr>
                <w:rFonts w:ascii="Times New Roman" w:hAnsi="Times New Roman"/>
              </w:rPr>
            </w:pPr>
          </w:p>
        </w:tc>
        <w:tc>
          <w:tcPr>
            <w:tcW w:w="603" w:type="dxa"/>
            <w:vMerge w:val="continue"/>
            <w:vAlign w:val="center"/>
          </w:tcPr>
          <w:p>
            <w:pPr>
              <w:rPr>
                <w:rFonts w:ascii="Times New Roman" w:hAnsi="Times New Roman"/>
              </w:rPr>
            </w:pPr>
          </w:p>
        </w:tc>
        <w:tc>
          <w:tcPr>
            <w:tcW w:w="488" w:type="dxa"/>
            <w:vMerge w:val="continue"/>
            <w:vAlign w:val="center"/>
          </w:tcPr>
          <w:p>
            <w:pPr>
              <w:spacing w:line="440" w:lineRule="exact"/>
              <w:jc w:val="center"/>
              <w:rPr>
                <w:rFonts w:ascii="Times New Roman" w:hAnsi="Times New Roman"/>
              </w:rPr>
            </w:pPr>
          </w:p>
        </w:tc>
        <w:tc>
          <w:tcPr>
            <w:tcW w:w="1134" w:type="dxa"/>
            <w:vAlign w:val="center"/>
          </w:tcPr>
          <w:p>
            <w:pPr>
              <w:spacing w:before="100" w:beforeAutospacing="1" w:after="100" w:afterAutospacing="1" w:line="440" w:lineRule="exact"/>
              <w:jc w:val="center"/>
              <w:rPr>
                <w:rFonts w:ascii="Times New Roman" w:hAnsi="Times New Roman"/>
              </w:rPr>
            </w:pPr>
            <w:r>
              <w:rPr>
                <w:rFonts w:ascii="Times New Roman" w:hAnsi="Times New Roman"/>
              </w:rPr>
              <w:t>证书名称</w:t>
            </w:r>
          </w:p>
        </w:tc>
        <w:tc>
          <w:tcPr>
            <w:tcW w:w="709" w:type="dxa"/>
            <w:vAlign w:val="center"/>
          </w:tcPr>
          <w:p>
            <w:pPr>
              <w:spacing w:before="100" w:beforeAutospacing="1" w:after="100" w:afterAutospacing="1" w:line="440" w:lineRule="exact"/>
              <w:jc w:val="center"/>
              <w:rPr>
                <w:rFonts w:ascii="Times New Roman" w:hAnsi="Times New Roman"/>
              </w:rPr>
            </w:pPr>
            <w:r>
              <w:rPr>
                <w:rFonts w:ascii="Times New Roman" w:hAnsi="Times New Roman"/>
              </w:rPr>
              <w:t>级别</w:t>
            </w:r>
          </w:p>
        </w:tc>
        <w:tc>
          <w:tcPr>
            <w:tcW w:w="871" w:type="dxa"/>
            <w:vAlign w:val="center"/>
          </w:tcPr>
          <w:p>
            <w:pPr>
              <w:spacing w:before="100" w:beforeAutospacing="1" w:after="100" w:afterAutospacing="1" w:line="440" w:lineRule="exact"/>
              <w:jc w:val="center"/>
              <w:rPr>
                <w:rFonts w:ascii="Times New Roman" w:hAnsi="Times New Roman"/>
              </w:rPr>
            </w:pPr>
            <w:r>
              <w:rPr>
                <w:rFonts w:ascii="Times New Roman" w:hAnsi="Times New Roman"/>
              </w:rPr>
              <w:t>证号</w:t>
            </w:r>
          </w:p>
        </w:tc>
        <w:tc>
          <w:tcPr>
            <w:tcW w:w="1134" w:type="dxa"/>
            <w:vAlign w:val="center"/>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40" w:lineRule="exact"/>
              <w:jc w:val="center"/>
              <w:rPr>
                <w:rFonts w:ascii="Times New Roman" w:hAnsi="Times New Roman"/>
              </w:rPr>
            </w:pPr>
          </w:p>
        </w:tc>
        <w:tc>
          <w:tcPr>
            <w:tcW w:w="1275" w:type="dxa"/>
          </w:tcPr>
          <w:p>
            <w:pPr>
              <w:spacing w:line="440" w:lineRule="exact"/>
              <w:jc w:val="center"/>
              <w:rPr>
                <w:rFonts w:ascii="Times New Roman" w:hAnsi="Times New Roman"/>
              </w:rPr>
            </w:pPr>
          </w:p>
        </w:tc>
        <w:tc>
          <w:tcPr>
            <w:tcW w:w="992" w:type="dxa"/>
            <w:vAlign w:val="center"/>
          </w:tcPr>
          <w:p>
            <w:pPr>
              <w:spacing w:line="440" w:lineRule="exact"/>
              <w:jc w:val="center"/>
              <w:rPr>
                <w:rFonts w:ascii="Times New Roman" w:hAnsi="Times New Roman"/>
              </w:rPr>
            </w:pPr>
          </w:p>
        </w:tc>
        <w:tc>
          <w:tcPr>
            <w:tcW w:w="603" w:type="dxa"/>
            <w:vAlign w:val="center"/>
          </w:tcPr>
          <w:p>
            <w:pPr>
              <w:spacing w:line="440" w:lineRule="exact"/>
              <w:jc w:val="center"/>
              <w:rPr>
                <w:rFonts w:ascii="Times New Roman" w:hAnsi="Times New Roman"/>
              </w:rPr>
            </w:pPr>
          </w:p>
        </w:tc>
        <w:tc>
          <w:tcPr>
            <w:tcW w:w="488" w:type="dxa"/>
            <w:vAlign w:val="center"/>
          </w:tcPr>
          <w:p>
            <w:pPr>
              <w:spacing w:line="440" w:lineRule="exact"/>
              <w:jc w:val="center"/>
              <w:rPr>
                <w:rFonts w:ascii="Times New Roman" w:hAnsi="Times New Roman"/>
              </w:rPr>
            </w:pPr>
          </w:p>
        </w:tc>
        <w:tc>
          <w:tcPr>
            <w:tcW w:w="1134" w:type="dxa"/>
            <w:vAlign w:val="center"/>
          </w:tcPr>
          <w:p>
            <w:pPr>
              <w:spacing w:line="440" w:lineRule="exact"/>
              <w:jc w:val="center"/>
              <w:rPr>
                <w:rFonts w:ascii="Times New Roman" w:hAnsi="Times New Roman"/>
              </w:rPr>
            </w:pPr>
          </w:p>
        </w:tc>
        <w:tc>
          <w:tcPr>
            <w:tcW w:w="709" w:type="dxa"/>
            <w:vAlign w:val="center"/>
          </w:tcPr>
          <w:p>
            <w:pPr>
              <w:spacing w:line="440" w:lineRule="exact"/>
              <w:jc w:val="center"/>
              <w:rPr>
                <w:rFonts w:ascii="Times New Roman" w:hAnsi="Times New Roman"/>
              </w:rPr>
            </w:pPr>
          </w:p>
        </w:tc>
        <w:tc>
          <w:tcPr>
            <w:tcW w:w="871" w:type="dxa"/>
            <w:vAlign w:val="center"/>
          </w:tcPr>
          <w:p>
            <w:pPr>
              <w:spacing w:line="440" w:lineRule="exact"/>
              <w:jc w:val="center"/>
              <w:rPr>
                <w:rFonts w:ascii="Times New Roman" w:hAnsi="Times New Roman"/>
              </w:rPr>
            </w:pPr>
          </w:p>
        </w:tc>
        <w:tc>
          <w:tcPr>
            <w:tcW w:w="1134" w:type="dxa"/>
            <w:vAlign w:val="center"/>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spacing w:line="440" w:lineRule="exact"/>
              <w:jc w:val="center"/>
              <w:rPr>
                <w:rFonts w:ascii="Times New Roman" w:hAnsi="Times New Roman"/>
              </w:rPr>
            </w:pPr>
          </w:p>
        </w:tc>
        <w:tc>
          <w:tcPr>
            <w:tcW w:w="1275" w:type="dxa"/>
          </w:tcPr>
          <w:p>
            <w:pPr>
              <w:spacing w:line="440" w:lineRule="exact"/>
              <w:jc w:val="center"/>
              <w:rPr>
                <w:rFonts w:ascii="Times New Roman" w:hAnsi="Times New Roman"/>
              </w:rPr>
            </w:pPr>
          </w:p>
        </w:tc>
        <w:tc>
          <w:tcPr>
            <w:tcW w:w="992" w:type="dxa"/>
          </w:tcPr>
          <w:p>
            <w:pPr>
              <w:spacing w:line="440" w:lineRule="exact"/>
              <w:jc w:val="center"/>
              <w:rPr>
                <w:rFonts w:ascii="Times New Roman" w:hAnsi="Times New Roman"/>
              </w:rPr>
            </w:pPr>
          </w:p>
        </w:tc>
        <w:tc>
          <w:tcPr>
            <w:tcW w:w="603" w:type="dxa"/>
          </w:tcPr>
          <w:p>
            <w:pPr>
              <w:spacing w:line="440" w:lineRule="exact"/>
              <w:jc w:val="center"/>
              <w:rPr>
                <w:rFonts w:ascii="Times New Roman" w:hAnsi="Times New Roman"/>
              </w:rPr>
            </w:pPr>
          </w:p>
        </w:tc>
        <w:tc>
          <w:tcPr>
            <w:tcW w:w="488"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c>
          <w:tcPr>
            <w:tcW w:w="709" w:type="dxa"/>
          </w:tcPr>
          <w:p>
            <w:pPr>
              <w:spacing w:line="440" w:lineRule="exact"/>
              <w:jc w:val="center"/>
              <w:rPr>
                <w:rFonts w:ascii="Times New Roman" w:hAnsi="Times New Roman"/>
              </w:rPr>
            </w:pPr>
          </w:p>
        </w:tc>
        <w:tc>
          <w:tcPr>
            <w:tcW w:w="871"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spacing w:line="440" w:lineRule="exact"/>
              <w:jc w:val="center"/>
              <w:rPr>
                <w:rFonts w:ascii="Times New Roman" w:hAnsi="Times New Roman"/>
              </w:rPr>
            </w:pPr>
          </w:p>
        </w:tc>
        <w:tc>
          <w:tcPr>
            <w:tcW w:w="1275" w:type="dxa"/>
          </w:tcPr>
          <w:p>
            <w:pPr>
              <w:spacing w:line="440" w:lineRule="exact"/>
              <w:jc w:val="center"/>
              <w:rPr>
                <w:rFonts w:ascii="Times New Roman" w:hAnsi="Times New Roman"/>
              </w:rPr>
            </w:pPr>
          </w:p>
        </w:tc>
        <w:tc>
          <w:tcPr>
            <w:tcW w:w="992" w:type="dxa"/>
          </w:tcPr>
          <w:p>
            <w:pPr>
              <w:spacing w:line="440" w:lineRule="exact"/>
              <w:jc w:val="center"/>
              <w:rPr>
                <w:rFonts w:ascii="Times New Roman" w:hAnsi="Times New Roman"/>
              </w:rPr>
            </w:pPr>
          </w:p>
        </w:tc>
        <w:tc>
          <w:tcPr>
            <w:tcW w:w="603" w:type="dxa"/>
          </w:tcPr>
          <w:p>
            <w:pPr>
              <w:spacing w:line="440" w:lineRule="exact"/>
              <w:jc w:val="center"/>
              <w:rPr>
                <w:rFonts w:ascii="Times New Roman" w:hAnsi="Times New Roman"/>
              </w:rPr>
            </w:pPr>
          </w:p>
        </w:tc>
        <w:tc>
          <w:tcPr>
            <w:tcW w:w="488"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c>
          <w:tcPr>
            <w:tcW w:w="709" w:type="dxa"/>
          </w:tcPr>
          <w:p>
            <w:pPr>
              <w:spacing w:line="440" w:lineRule="exact"/>
              <w:jc w:val="center"/>
              <w:rPr>
                <w:rFonts w:ascii="Times New Roman" w:hAnsi="Times New Roman"/>
              </w:rPr>
            </w:pPr>
          </w:p>
        </w:tc>
        <w:tc>
          <w:tcPr>
            <w:tcW w:w="871"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spacing w:line="440" w:lineRule="exact"/>
              <w:jc w:val="center"/>
              <w:rPr>
                <w:rFonts w:ascii="Times New Roman" w:hAnsi="Times New Roman"/>
              </w:rPr>
            </w:pPr>
          </w:p>
        </w:tc>
        <w:tc>
          <w:tcPr>
            <w:tcW w:w="1275" w:type="dxa"/>
          </w:tcPr>
          <w:p>
            <w:pPr>
              <w:spacing w:line="440" w:lineRule="exact"/>
              <w:jc w:val="center"/>
              <w:rPr>
                <w:rFonts w:ascii="Times New Roman" w:hAnsi="Times New Roman"/>
              </w:rPr>
            </w:pPr>
          </w:p>
        </w:tc>
        <w:tc>
          <w:tcPr>
            <w:tcW w:w="992" w:type="dxa"/>
          </w:tcPr>
          <w:p>
            <w:pPr>
              <w:spacing w:line="440" w:lineRule="exact"/>
              <w:jc w:val="center"/>
              <w:rPr>
                <w:rFonts w:ascii="Times New Roman" w:hAnsi="Times New Roman"/>
              </w:rPr>
            </w:pPr>
          </w:p>
        </w:tc>
        <w:tc>
          <w:tcPr>
            <w:tcW w:w="603" w:type="dxa"/>
          </w:tcPr>
          <w:p>
            <w:pPr>
              <w:spacing w:line="440" w:lineRule="exact"/>
              <w:jc w:val="center"/>
              <w:rPr>
                <w:rFonts w:ascii="Times New Roman" w:hAnsi="Times New Roman"/>
              </w:rPr>
            </w:pPr>
          </w:p>
        </w:tc>
        <w:tc>
          <w:tcPr>
            <w:tcW w:w="488"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c>
          <w:tcPr>
            <w:tcW w:w="709" w:type="dxa"/>
          </w:tcPr>
          <w:p>
            <w:pPr>
              <w:spacing w:line="440" w:lineRule="exact"/>
              <w:jc w:val="center"/>
              <w:rPr>
                <w:rFonts w:ascii="Times New Roman" w:hAnsi="Times New Roman"/>
              </w:rPr>
            </w:pPr>
          </w:p>
        </w:tc>
        <w:tc>
          <w:tcPr>
            <w:tcW w:w="871"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spacing w:line="440" w:lineRule="exact"/>
              <w:jc w:val="center"/>
              <w:rPr>
                <w:rFonts w:ascii="Times New Roman" w:hAnsi="Times New Roman"/>
              </w:rPr>
            </w:pPr>
          </w:p>
        </w:tc>
        <w:tc>
          <w:tcPr>
            <w:tcW w:w="1275" w:type="dxa"/>
          </w:tcPr>
          <w:p>
            <w:pPr>
              <w:spacing w:line="440" w:lineRule="exact"/>
              <w:jc w:val="center"/>
              <w:rPr>
                <w:rFonts w:ascii="Times New Roman" w:hAnsi="Times New Roman"/>
              </w:rPr>
            </w:pPr>
          </w:p>
        </w:tc>
        <w:tc>
          <w:tcPr>
            <w:tcW w:w="992" w:type="dxa"/>
          </w:tcPr>
          <w:p>
            <w:pPr>
              <w:spacing w:line="440" w:lineRule="exact"/>
              <w:jc w:val="center"/>
              <w:rPr>
                <w:rFonts w:ascii="Times New Roman" w:hAnsi="Times New Roman"/>
              </w:rPr>
            </w:pPr>
          </w:p>
        </w:tc>
        <w:tc>
          <w:tcPr>
            <w:tcW w:w="603" w:type="dxa"/>
          </w:tcPr>
          <w:p>
            <w:pPr>
              <w:spacing w:line="440" w:lineRule="exact"/>
              <w:jc w:val="center"/>
              <w:rPr>
                <w:rFonts w:ascii="Times New Roman" w:hAnsi="Times New Roman"/>
              </w:rPr>
            </w:pPr>
          </w:p>
        </w:tc>
        <w:tc>
          <w:tcPr>
            <w:tcW w:w="488"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c>
          <w:tcPr>
            <w:tcW w:w="709" w:type="dxa"/>
          </w:tcPr>
          <w:p>
            <w:pPr>
              <w:spacing w:line="440" w:lineRule="exact"/>
              <w:jc w:val="center"/>
              <w:rPr>
                <w:rFonts w:ascii="Times New Roman" w:hAnsi="Times New Roman"/>
              </w:rPr>
            </w:pPr>
          </w:p>
        </w:tc>
        <w:tc>
          <w:tcPr>
            <w:tcW w:w="871"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spacing w:line="440" w:lineRule="exact"/>
              <w:jc w:val="center"/>
              <w:rPr>
                <w:rFonts w:ascii="Times New Roman" w:hAnsi="Times New Roman"/>
              </w:rPr>
            </w:pPr>
          </w:p>
        </w:tc>
        <w:tc>
          <w:tcPr>
            <w:tcW w:w="1275" w:type="dxa"/>
          </w:tcPr>
          <w:p>
            <w:pPr>
              <w:spacing w:line="440" w:lineRule="exact"/>
              <w:jc w:val="center"/>
              <w:rPr>
                <w:rFonts w:ascii="Times New Roman" w:hAnsi="Times New Roman"/>
              </w:rPr>
            </w:pPr>
          </w:p>
        </w:tc>
        <w:tc>
          <w:tcPr>
            <w:tcW w:w="992" w:type="dxa"/>
          </w:tcPr>
          <w:p>
            <w:pPr>
              <w:spacing w:line="440" w:lineRule="exact"/>
              <w:jc w:val="center"/>
              <w:rPr>
                <w:rFonts w:ascii="Times New Roman" w:hAnsi="Times New Roman"/>
              </w:rPr>
            </w:pPr>
          </w:p>
        </w:tc>
        <w:tc>
          <w:tcPr>
            <w:tcW w:w="603" w:type="dxa"/>
          </w:tcPr>
          <w:p>
            <w:pPr>
              <w:spacing w:line="440" w:lineRule="exact"/>
              <w:jc w:val="center"/>
              <w:rPr>
                <w:rFonts w:ascii="Times New Roman" w:hAnsi="Times New Roman"/>
              </w:rPr>
            </w:pPr>
          </w:p>
        </w:tc>
        <w:tc>
          <w:tcPr>
            <w:tcW w:w="488"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c>
          <w:tcPr>
            <w:tcW w:w="709" w:type="dxa"/>
          </w:tcPr>
          <w:p>
            <w:pPr>
              <w:spacing w:line="440" w:lineRule="exact"/>
              <w:jc w:val="center"/>
              <w:rPr>
                <w:rFonts w:ascii="Times New Roman" w:hAnsi="Times New Roman"/>
              </w:rPr>
            </w:pPr>
          </w:p>
        </w:tc>
        <w:tc>
          <w:tcPr>
            <w:tcW w:w="871"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spacing w:line="440" w:lineRule="exact"/>
              <w:jc w:val="center"/>
              <w:rPr>
                <w:rFonts w:ascii="Times New Roman" w:hAnsi="Times New Roman"/>
              </w:rPr>
            </w:pPr>
          </w:p>
        </w:tc>
        <w:tc>
          <w:tcPr>
            <w:tcW w:w="1275" w:type="dxa"/>
          </w:tcPr>
          <w:p>
            <w:pPr>
              <w:spacing w:line="440" w:lineRule="exact"/>
              <w:jc w:val="center"/>
              <w:rPr>
                <w:rFonts w:ascii="Times New Roman" w:hAnsi="Times New Roman"/>
              </w:rPr>
            </w:pPr>
          </w:p>
        </w:tc>
        <w:tc>
          <w:tcPr>
            <w:tcW w:w="992" w:type="dxa"/>
          </w:tcPr>
          <w:p>
            <w:pPr>
              <w:spacing w:line="440" w:lineRule="exact"/>
              <w:jc w:val="center"/>
              <w:rPr>
                <w:rFonts w:ascii="Times New Roman" w:hAnsi="Times New Roman"/>
              </w:rPr>
            </w:pPr>
          </w:p>
        </w:tc>
        <w:tc>
          <w:tcPr>
            <w:tcW w:w="603" w:type="dxa"/>
          </w:tcPr>
          <w:p>
            <w:pPr>
              <w:spacing w:line="440" w:lineRule="exact"/>
              <w:jc w:val="center"/>
              <w:rPr>
                <w:rFonts w:ascii="Times New Roman" w:hAnsi="Times New Roman"/>
              </w:rPr>
            </w:pPr>
          </w:p>
        </w:tc>
        <w:tc>
          <w:tcPr>
            <w:tcW w:w="488"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c>
          <w:tcPr>
            <w:tcW w:w="709" w:type="dxa"/>
          </w:tcPr>
          <w:p>
            <w:pPr>
              <w:spacing w:line="440" w:lineRule="exact"/>
              <w:jc w:val="center"/>
              <w:rPr>
                <w:rFonts w:ascii="Times New Roman" w:hAnsi="Times New Roman"/>
              </w:rPr>
            </w:pPr>
          </w:p>
        </w:tc>
        <w:tc>
          <w:tcPr>
            <w:tcW w:w="871"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spacing w:line="440" w:lineRule="exact"/>
              <w:jc w:val="center"/>
              <w:rPr>
                <w:rFonts w:ascii="Times New Roman" w:hAnsi="Times New Roman"/>
              </w:rPr>
            </w:pPr>
          </w:p>
        </w:tc>
        <w:tc>
          <w:tcPr>
            <w:tcW w:w="1275" w:type="dxa"/>
          </w:tcPr>
          <w:p>
            <w:pPr>
              <w:spacing w:line="440" w:lineRule="exact"/>
              <w:jc w:val="center"/>
              <w:rPr>
                <w:rFonts w:ascii="Times New Roman" w:hAnsi="Times New Roman"/>
              </w:rPr>
            </w:pPr>
          </w:p>
        </w:tc>
        <w:tc>
          <w:tcPr>
            <w:tcW w:w="992" w:type="dxa"/>
          </w:tcPr>
          <w:p>
            <w:pPr>
              <w:spacing w:line="440" w:lineRule="exact"/>
              <w:jc w:val="center"/>
              <w:rPr>
                <w:rFonts w:ascii="Times New Roman" w:hAnsi="Times New Roman"/>
              </w:rPr>
            </w:pPr>
          </w:p>
        </w:tc>
        <w:tc>
          <w:tcPr>
            <w:tcW w:w="603" w:type="dxa"/>
          </w:tcPr>
          <w:p>
            <w:pPr>
              <w:spacing w:line="440" w:lineRule="exact"/>
              <w:jc w:val="center"/>
              <w:rPr>
                <w:rFonts w:ascii="Times New Roman" w:hAnsi="Times New Roman"/>
              </w:rPr>
            </w:pPr>
          </w:p>
        </w:tc>
        <w:tc>
          <w:tcPr>
            <w:tcW w:w="488"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c>
          <w:tcPr>
            <w:tcW w:w="709" w:type="dxa"/>
          </w:tcPr>
          <w:p>
            <w:pPr>
              <w:spacing w:line="440" w:lineRule="exact"/>
              <w:jc w:val="center"/>
              <w:rPr>
                <w:rFonts w:ascii="Times New Roman" w:hAnsi="Times New Roman"/>
              </w:rPr>
            </w:pPr>
          </w:p>
        </w:tc>
        <w:tc>
          <w:tcPr>
            <w:tcW w:w="871"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spacing w:line="440" w:lineRule="exact"/>
              <w:jc w:val="center"/>
              <w:rPr>
                <w:rFonts w:ascii="Times New Roman" w:hAnsi="Times New Roman"/>
              </w:rPr>
            </w:pPr>
          </w:p>
        </w:tc>
        <w:tc>
          <w:tcPr>
            <w:tcW w:w="1275" w:type="dxa"/>
          </w:tcPr>
          <w:p>
            <w:pPr>
              <w:spacing w:line="440" w:lineRule="exact"/>
              <w:jc w:val="center"/>
              <w:rPr>
                <w:rFonts w:ascii="Times New Roman" w:hAnsi="Times New Roman"/>
              </w:rPr>
            </w:pPr>
          </w:p>
        </w:tc>
        <w:tc>
          <w:tcPr>
            <w:tcW w:w="992" w:type="dxa"/>
          </w:tcPr>
          <w:p>
            <w:pPr>
              <w:spacing w:line="440" w:lineRule="exact"/>
              <w:jc w:val="center"/>
              <w:rPr>
                <w:rFonts w:ascii="Times New Roman" w:hAnsi="Times New Roman"/>
              </w:rPr>
            </w:pPr>
          </w:p>
        </w:tc>
        <w:tc>
          <w:tcPr>
            <w:tcW w:w="603" w:type="dxa"/>
          </w:tcPr>
          <w:p>
            <w:pPr>
              <w:spacing w:line="440" w:lineRule="exact"/>
              <w:jc w:val="center"/>
              <w:rPr>
                <w:rFonts w:ascii="Times New Roman" w:hAnsi="Times New Roman"/>
              </w:rPr>
            </w:pPr>
          </w:p>
        </w:tc>
        <w:tc>
          <w:tcPr>
            <w:tcW w:w="488"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c>
          <w:tcPr>
            <w:tcW w:w="709" w:type="dxa"/>
          </w:tcPr>
          <w:p>
            <w:pPr>
              <w:spacing w:line="440" w:lineRule="exact"/>
              <w:jc w:val="center"/>
              <w:rPr>
                <w:rFonts w:ascii="Times New Roman" w:hAnsi="Times New Roman"/>
              </w:rPr>
            </w:pPr>
          </w:p>
        </w:tc>
        <w:tc>
          <w:tcPr>
            <w:tcW w:w="871"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spacing w:line="440" w:lineRule="exact"/>
              <w:jc w:val="center"/>
              <w:rPr>
                <w:rFonts w:ascii="Times New Roman" w:hAnsi="Times New Roman"/>
              </w:rPr>
            </w:pPr>
          </w:p>
        </w:tc>
        <w:tc>
          <w:tcPr>
            <w:tcW w:w="1275" w:type="dxa"/>
          </w:tcPr>
          <w:p>
            <w:pPr>
              <w:spacing w:line="440" w:lineRule="exact"/>
              <w:jc w:val="center"/>
              <w:rPr>
                <w:rFonts w:ascii="Times New Roman" w:hAnsi="Times New Roman"/>
              </w:rPr>
            </w:pPr>
          </w:p>
        </w:tc>
        <w:tc>
          <w:tcPr>
            <w:tcW w:w="992" w:type="dxa"/>
          </w:tcPr>
          <w:p>
            <w:pPr>
              <w:spacing w:line="440" w:lineRule="exact"/>
              <w:jc w:val="center"/>
              <w:rPr>
                <w:rFonts w:ascii="Times New Roman" w:hAnsi="Times New Roman"/>
              </w:rPr>
            </w:pPr>
          </w:p>
        </w:tc>
        <w:tc>
          <w:tcPr>
            <w:tcW w:w="603" w:type="dxa"/>
          </w:tcPr>
          <w:p>
            <w:pPr>
              <w:spacing w:line="440" w:lineRule="exact"/>
              <w:jc w:val="center"/>
              <w:rPr>
                <w:rFonts w:ascii="Times New Roman" w:hAnsi="Times New Roman"/>
              </w:rPr>
            </w:pPr>
          </w:p>
        </w:tc>
        <w:tc>
          <w:tcPr>
            <w:tcW w:w="488"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c>
          <w:tcPr>
            <w:tcW w:w="709" w:type="dxa"/>
          </w:tcPr>
          <w:p>
            <w:pPr>
              <w:spacing w:line="440" w:lineRule="exact"/>
              <w:jc w:val="center"/>
              <w:rPr>
                <w:rFonts w:ascii="Times New Roman" w:hAnsi="Times New Roman"/>
              </w:rPr>
            </w:pPr>
          </w:p>
        </w:tc>
        <w:tc>
          <w:tcPr>
            <w:tcW w:w="871"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spacing w:line="440" w:lineRule="exact"/>
              <w:jc w:val="center"/>
              <w:rPr>
                <w:rFonts w:ascii="Times New Roman" w:hAnsi="Times New Roman"/>
              </w:rPr>
            </w:pPr>
          </w:p>
        </w:tc>
        <w:tc>
          <w:tcPr>
            <w:tcW w:w="1275" w:type="dxa"/>
          </w:tcPr>
          <w:p>
            <w:pPr>
              <w:spacing w:line="440" w:lineRule="exact"/>
              <w:jc w:val="center"/>
              <w:rPr>
                <w:rFonts w:ascii="Times New Roman" w:hAnsi="Times New Roman"/>
              </w:rPr>
            </w:pPr>
          </w:p>
        </w:tc>
        <w:tc>
          <w:tcPr>
            <w:tcW w:w="992" w:type="dxa"/>
          </w:tcPr>
          <w:p>
            <w:pPr>
              <w:spacing w:line="440" w:lineRule="exact"/>
              <w:jc w:val="center"/>
              <w:rPr>
                <w:rFonts w:ascii="Times New Roman" w:hAnsi="Times New Roman"/>
              </w:rPr>
            </w:pPr>
          </w:p>
        </w:tc>
        <w:tc>
          <w:tcPr>
            <w:tcW w:w="603" w:type="dxa"/>
          </w:tcPr>
          <w:p>
            <w:pPr>
              <w:spacing w:line="440" w:lineRule="exact"/>
              <w:jc w:val="center"/>
              <w:rPr>
                <w:rFonts w:ascii="Times New Roman" w:hAnsi="Times New Roman"/>
              </w:rPr>
            </w:pPr>
          </w:p>
        </w:tc>
        <w:tc>
          <w:tcPr>
            <w:tcW w:w="488"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c>
          <w:tcPr>
            <w:tcW w:w="709" w:type="dxa"/>
          </w:tcPr>
          <w:p>
            <w:pPr>
              <w:spacing w:line="440" w:lineRule="exact"/>
              <w:jc w:val="center"/>
              <w:rPr>
                <w:rFonts w:ascii="Times New Roman" w:hAnsi="Times New Roman"/>
              </w:rPr>
            </w:pPr>
          </w:p>
        </w:tc>
        <w:tc>
          <w:tcPr>
            <w:tcW w:w="871"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spacing w:line="440" w:lineRule="exact"/>
              <w:jc w:val="center"/>
              <w:rPr>
                <w:rFonts w:ascii="Times New Roman" w:hAnsi="Times New Roman"/>
              </w:rPr>
            </w:pPr>
          </w:p>
        </w:tc>
        <w:tc>
          <w:tcPr>
            <w:tcW w:w="1275" w:type="dxa"/>
          </w:tcPr>
          <w:p>
            <w:pPr>
              <w:spacing w:line="440" w:lineRule="exact"/>
              <w:jc w:val="center"/>
              <w:rPr>
                <w:rFonts w:ascii="Times New Roman" w:hAnsi="Times New Roman"/>
              </w:rPr>
            </w:pPr>
          </w:p>
        </w:tc>
        <w:tc>
          <w:tcPr>
            <w:tcW w:w="992" w:type="dxa"/>
          </w:tcPr>
          <w:p>
            <w:pPr>
              <w:spacing w:line="440" w:lineRule="exact"/>
              <w:jc w:val="center"/>
              <w:rPr>
                <w:rFonts w:ascii="Times New Roman" w:hAnsi="Times New Roman"/>
              </w:rPr>
            </w:pPr>
          </w:p>
        </w:tc>
        <w:tc>
          <w:tcPr>
            <w:tcW w:w="603" w:type="dxa"/>
          </w:tcPr>
          <w:p>
            <w:pPr>
              <w:spacing w:line="440" w:lineRule="exact"/>
              <w:jc w:val="center"/>
              <w:rPr>
                <w:rFonts w:ascii="Times New Roman" w:hAnsi="Times New Roman"/>
              </w:rPr>
            </w:pPr>
          </w:p>
        </w:tc>
        <w:tc>
          <w:tcPr>
            <w:tcW w:w="488"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c>
          <w:tcPr>
            <w:tcW w:w="709" w:type="dxa"/>
          </w:tcPr>
          <w:p>
            <w:pPr>
              <w:spacing w:line="440" w:lineRule="exact"/>
              <w:jc w:val="center"/>
              <w:rPr>
                <w:rFonts w:ascii="Times New Roman" w:hAnsi="Times New Roman"/>
              </w:rPr>
            </w:pPr>
          </w:p>
        </w:tc>
        <w:tc>
          <w:tcPr>
            <w:tcW w:w="871"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spacing w:line="440" w:lineRule="exact"/>
              <w:jc w:val="center"/>
              <w:rPr>
                <w:rFonts w:ascii="Times New Roman" w:hAnsi="Times New Roman"/>
              </w:rPr>
            </w:pPr>
          </w:p>
        </w:tc>
        <w:tc>
          <w:tcPr>
            <w:tcW w:w="1275" w:type="dxa"/>
          </w:tcPr>
          <w:p>
            <w:pPr>
              <w:spacing w:line="440" w:lineRule="exact"/>
              <w:jc w:val="center"/>
              <w:rPr>
                <w:rFonts w:ascii="Times New Roman" w:hAnsi="Times New Roman"/>
              </w:rPr>
            </w:pPr>
          </w:p>
        </w:tc>
        <w:tc>
          <w:tcPr>
            <w:tcW w:w="992" w:type="dxa"/>
          </w:tcPr>
          <w:p>
            <w:pPr>
              <w:spacing w:line="440" w:lineRule="exact"/>
              <w:jc w:val="center"/>
              <w:rPr>
                <w:rFonts w:ascii="Times New Roman" w:hAnsi="Times New Roman"/>
              </w:rPr>
            </w:pPr>
          </w:p>
        </w:tc>
        <w:tc>
          <w:tcPr>
            <w:tcW w:w="603" w:type="dxa"/>
          </w:tcPr>
          <w:p>
            <w:pPr>
              <w:spacing w:line="440" w:lineRule="exact"/>
              <w:jc w:val="center"/>
              <w:rPr>
                <w:rFonts w:ascii="Times New Roman" w:hAnsi="Times New Roman"/>
              </w:rPr>
            </w:pPr>
          </w:p>
        </w:tc>
        <w:tc>
          <w:tcPr>
            <w:tcW w:w="488"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c>
          <w:tcPr>
            <w:tcW w:w="709" w:type="dxa"/>
          </w:tcPr>
          <w:p>
            <w:pPr>
              <w:spacing w:line="440" w:lineRule="exact"/>
              <w:jc w:val="center"/>
              <w:rPr>
                <w:rFonts w:ascii="Times New Roman" w:hAnsi="Times New Roman"/>
              </w:rPr>
            </w:pPr>
          </w:p>
        </w:tc>
        <w:tc>
          <w:tcPr>
            <w:tcW w:w="871"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spacing w:line="440" w:lineRule="exact"/>
              <w:jc w:val="center"/>
              <w:rPr>
                <w:rFonts w:ascii="Times New Roman" w:hAnsi="Times New Roman"/>
              </w:rPr>
            </w:pPr>
          </w:p>
        </w:tc>
        <w:tc>
          <w:tcPr>
            <w:tcW w:w="1275" w:type="dxa"/>
          </w:tcPr>
          <w:p>
            <w:pPr>
              <w:spacing w:line="440" w:lineRule="exact"/>
              <w:jc w:val="center"/>
              <w:rPr>
                <w:rFonts w:ascii="Times New Roman" w:hAnsi="Times New Roman"/>
              </w:rPr>
            </w:pPr>
          </w:p>
        </w:tc>
        <w:tc>
          <w:tcPr>
            <w:tcW w:w="992" w:type="dxa"/>
          </w:tcPr>
          <w:p>
            <w:pPr>
              <w:spacing w:line="440" w:lineRule="exact"/>
              <w:jc w:val="center"/>
              <w:rPr>
                <w:rFonts w:ascii="Times New Roman" w:hAnsi="Times New Roman"/>
              </w:rPr>
            </w:pPr>
          </w:p>
        </w:tc>
        <w:tc>
          <w:tcPr>
            <w:tcW w:w="603" w:type="dxa"/>
          </w:tcPr>
          <w:p>
            <w:pPr>
              <w:spacing w:line="440" w:lineRule="exact"/>
              <w:jc w:val="center"/>
              <w:rPr>
                <w:rFonts w:ascii="Times New Roman" w:hAnsi="Times New Roman"/>
              </w:rPr>
            </w:pPr>
          </w:p>
        </w:tc>
        <w:tc>
          <w:tcPr>
            <w:tcW w:w="488"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c>
          <w:tcPr>
            <w:tcW w:w="709" w:type="dxa"/>
          </w:tcPr>
          <w:p>
            <w:pPr>
              <w:spacing w:line="440" w:lineRule="exact"/>
              <w:jc w:val="center"/>
              <w:rPr>
                <w:rFonts w:ascii="Times New Roman" w:hAnsi="Times New Roman"/>
              </w:rPr>
            </w:pPr>
          </w:p>
        </w:tc>
        <w:tc>
          <w:tcPr>
            <w:tcW w:w="871"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spacing w:line="440" w:lineRule="exact"/>
              <w:jc w:val="center"/>
              <w:rPr>
                <w:rFonts w:ascii="Times New Roman" w:hAnsi="Times New Roman"/>
              </w:rPr>
            </w:pPr>
          </w:p>
        </w:tc>
        <w:tc>
          <w:tcPr>
            <w:tcW w:w="1275" w:type="dxa"/>
          </w:tcPr>
          <w:p>
            <w:pPr>
              <w:spacing w:line="440" w:lineRule="exact"/>
              <w:jc w:val="center"/>
              <w:rPr>
                <w:rFonts w:ascii="Times New Roman" w:hAnsi="Times New Roman"/>
              </w:rPr>
            </w:pPr>
          </w:p>
        </w:tc>
        <w:tc>
          <w:tcPr>
            <w:tcW w:w="992" w:type="dxa"/>
          </w:tcPr>
          <w:p>
            <w:pPr>
              <w:spacing w:line="440" w:lineRule="exact"/>
              <w:jc w:val="center"/>
              <w:rPr>
                <w:rFonts w:ascii="Times New Roman" w:hAnsi="Times New Roman"/>
              </w:rPr>
            </w:pPr>
          </w:p>
        </w:tc>
        <w:tc>
          <w:tcPr>
            <w:tcW w:w="603" w:type="dxa"/>
          </w:tcPr>
          <w:p>
            <w:pPr>
              <w:spacing w:line="440" w:lineRule="exact"/>
              <w:jc w:val="center"/>
              <w:rPr>
                <w:rFonts w:ascii="Times New Roman" w:hAnsi="Times New Roman"/>
              </w:rPr>
            </w:pPr>
          </w:p>
        </w:tc>
        <w:tc>
          <w:tcPr>
            <w:tcW w:w="488"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c>
          <w:tcPr>
            <w:tcW w:w="709" w:type="dxa"/>
          </w:tcPr>
          <w:p>
            <w:pPr>
              <w:spacing w:line="440" w:lineRule="exact"/>
              <w:jc w:val="center"/>
              <w:rPr>
                <w:rFonts w:ascii="Times New Roman" w:hAnsi="Times New Roman"/>
              </w:rPr>
            </w:pPr>
          </w:p>
        </w:tc>
        <w:tc>
          <w:tcPr>
            <w:tcW w:w="871"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spacing w:line="440" w:lineRule="exact"/>
              <w:jc w:val="center"/>
              <w:rPr>
                <w:rFonts w:ascii="Times New Roman" w:hAnsi="Times New Roman"/>
              </w:rPr>
            </w:pPr>
          </w:p>
        </w:tc>
        <w:tc>
          <w:tcPr>
            <w:tcW w:w="1275" w:type="dxa"/>
          </w:tcPr>
          <w:p>
            <w:pPr>
              <w:spacing w:line="440" w:lineRule="exact"/>
              <w:jc w:val="center"/>
              <w:rPr>
                <w:rFonts w:ascii="Times New Roman" w:hAnsi="Times New Roman"/>
              </w:rPr>
            </w:pPr>
          </w:p>
        </w:tc>
        <w:tc>
          <w:tcPr>
            <w:tcW w:w="992" w:type="dxa"/>
          </w:tcPr>
          <w:p>
            <w:pPr>
              <w:spacing w:line="440" w:lineRule="exact"/>
              <w:jc w:val="center"/>
              <w:rPr>
                <w:rFonts w:ascii="Times New Roman" w:hAnsi="Times New Roman"/>
              </w:rPr>
            </w:pPr>
          </w:p>
        </w:tc>
        <w:tc>
          <w:tcPr>
            <w:tcW w:w="603" w:type="dxa"/>
          </w:tcPr>
          <w:p>
            <w:pPr>
              <w:spacing w:line="440" w:lineRule="exact"/>
              <w:jc w:val="center"/>
              <w:rPr>
                <w:rFonts w:ascii="Times New Roman" w:hAnsi="Times New Roman"/>
              </w:rPr>
            </w:pPr>
          </w:p>
        </w:tc>
        <w:tc>
          <w:tcPr>
            <w:tcW w:w="488"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c>
          <w:tcPr>
            <w:tcW w:w="709" w:type="dxa"/>
          </w:tcPr>
          <w:p>
            <w:pPr>
              <w:spacing w:line="440" w:lineRule="exact"/>
              <w:jc w:val="center"/>
              <w:rPr>
                <w:rFonts w:ascii="Times New Roman" w:hAnsi="Times New Roman"/>
              </w:rPr>
            </w:pPr>
          </w:p>
        </w:tc>
        <w:tc>
          <w:tcPr>
            <w:tcW w:w="871"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spacing w:line="440" w:lineRule="exact"/>
              <w:jc w:val="center"/>
              <w:rPr>
                <w:rFonts w:ascii="Times New Roman" w:hAnsi="Times New Roman"/>
              </w:rPr>
            </w:pPr>
          </w:p>
        </w:tc>
        <w:tc>
          <w:tcPr>
            <w:tcW w:w="1275" w:type="dxa"/>
          </w:tcPr>
          <w:p>
            <w:pPr>
              <w:spacing w:line="440" w:lineRule="exact"/>
              <w:jc w:val="center"/>
              <w:rPr>
                <w:rFonts w:ascii="Times New Roman" w:hAnsi="Times New Roman"/>
              </w:rPr>
            </w:pPr>
          </w:p>
        </w:tc>
        <w:tc>
          <w:tcPr>
            <w:tcW w:w="992" w:type="dxa"/>
          </w:tcPr>
          <w:p>
            <w:pPr>
              <w:spacing w:line="440" w:lineRule="exact"/>
              <w:jc w:val="center"/>
              <w:rPr>
                <w:rFonts w:ascii="Times New Roman" w:hAnsi="Times New Roman"/>
              </w:rPr>
            </w:pPr>
          </w:p>
        </w:tc>
        <w:tc>
          <w:tcPr>
            <w:tcW w:w="603" w:type="dxa"/>
          </w:tcPr>
          <w:p>
            <w:pPr>
              <w:spacing w:line="440" w:lineRule="exact"/>
              <w:jc w:val="center"/>
              <w:rPr>
                <w:rFonts w:ascii="Times New Roman" w:hAnsi="Times New Roman"/>
              </w:rPr>
            </w:pPr>
          </w:p>
        </w:tc>
        <w:tc>
          <w:tcPr>
            <w:tcW w:w="488"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c>
          <w:tcPr>
            <w:tcW w:w="709" w:type="dxa"/>
          </w:tcPr>
          <w:p>
            <w:pPr>
              <w:spacing w:line="440" w:lineRule="exact"/>
              <w:jc w:val="center"/>
              <w:rPr>
                <w:rFonts w:ascii="Times New Roman" w:hAnsi="Times New Roman"/>
              </w:rPr>
            </w:pPr>
          </w:p>
        </w:tc>
        <w:tc>
          <w:tcPr>
            <w:tcW w:w="871"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spacing w:line="440" w:lineRule="exact"/>
              <w:jc w:val="center"/>
              <w:rPr>
                <w:rFonts w:ascii="Times New Roman" w:hAnsi="Times New Roman"/>
              </w:rPr>
            </w:pPr>
          </w:p>
        </w:tc>
        <w:tc>
          <w:tcPr>
            <w:tcW w:w="1275" w:type="dxa"/>
          </w:tcPr>
          <w:p>
            <w:pPr>
              <w:spacing w:line="440" w:lineRule="exact"/>
              <w:jc w:val="center"/>
              <w:rPr>
                <w:rFonts w:ascii="Times New Roman" w:hAnsi="Times New Roman"/>
              </w:rPr>
            </w:pPr>
          </w:p>
        </w:tc>
        <w:tc>
          <w:tcPr>
            <w:tcW w:w="992" w:type="dxa"/>
          </w:tcPr>
          <w:p>
            <w:pPr>
              <w:spacing w:line="440" w:lineRule="exact"/>
              <w:jc w:val="center"/>
              <w:rPr>
                <w:rFonts w:ascii="Times New Roman" w:hAnsi="Times New Roman"/>
              </w:rPr>
            </w:pPr>
          </w:p>
        </w:tc>
        <w:tc>
          <w:tcPr>
            <w:tcW w:w="603" w:type="dxa"/>
          </w:tcPr>
          <w:p>
            <w:pPr>
              <w:spacing w:line="440" w:lineRule="exact"/>
              <w:jc w:val="center"/>
              <w:rPr>
                <w:rFonts w:ascii="Times New Roman" w:hAnsi="Times New Roman"/>
              </w:rPr>
            </w:pPr>
          </w:p>
        </w:tc>
        <w:tc>
          <w:tcPr>
            <w:tcW w:w="488"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c>
          <w:tcPr>
            <w:tcW w:w="709" w:type="dxa"/>
          </w:tcPr>
          <w:p>
            <w:pPr>
              <w:spacing w:line="440" w:lineRule="exact"/>
              <w:jc w:val="center"/>
              <w:rPr>
                <w:rFonts w:ascii="Times New Roman" w:hAnsi="Times New Roman"/>
              </w:rPr>
            </w:pPr>
          </w:p>
        </w:tc>
        <w:tc>
          <w:tcPr>
            <w:tcW w:w="871"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spacing w:line="440" w:lineRule="exact"/>
              <w:jc w:val="center"/>
              <w:rPr>
                <w:rFonts w:ascii="Times New Roman" w:hAnsi="Times New Roman"/>
              </w:rPr>
            </w:pPr>
          </w:p>
        </w:tc>
        <w:tc>
          <w:tcPr>
            <w:tcW w:w="1275" w:type="dxa"/>
          </w:tcPr>
          <w:p>
            <w:pPr>
              <w:spacing w:line="440" w:lineRule="exact"/>
              <w:jc w:val="center"/>
              <w:rPr>
                <w:rFonts w:ascii="Times New Roman" w:hAnsi="Times New Roman"/>
              </w:rPr>
            </w:pPr>
          </w:p>
        </w:tc>
        <w:tc>
          <w:tcPr>
            <w:tcW w:w="992" w:type="dxa"/>
          </w:tcPr>
          <w:p>
            <w:pPr>
              <w:spacing w:line="440" w:lineRule="exact"/>
              <w:jc w:val="center"/>
              <w:rPr>
                <w:rFonts w:ascii="Times New Roman" w:hAnsi="Times New Roman"/>
              </w:rPr>
            </w:pPr>
          </w:p>
        </w:tc>
        <w:tc>
          <w:tcPr>
            <w:tcW w:w="603" w:type="dxa"/>
          </w:tcPr>
          <w:p>
            <w:pPr>
              <w:spacing w:line="440" w:lineRule="exact"/>
              <w:jc w:val="center"/>
              <w:rPr>
                <w:rFonts w:ascii="Times New Roman" w:hAnsi="Times New Roman"/>
              </w:rPr>
            </w:pPr>
          </w:p>
        </w:tc>
        <w:tc>
          <w:tcPr>
            <w:tcW w:w="488"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c>
          <w:tcPr>
            <w:tcW w:w="709" w:type="dxa"/>
          </w:tcPr>
          <w:p>
            <w:pPr>
              <w:spacing w:line="440" w:lineRule="exact"/>
              <w:jc w:val="center"/>
              <w:rPr>
                <w:rFonts w:ascii="Times New Roman" w:hAnsi="Times New Roman"/>
              </w:rPr>
            </w:pPr>
          </w:p>
        </w:tc>
        <w:tc>
          <w:tcPr>
            <w:tcW w:w="871"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spacing w:line="440" w:lineRule="exact"/>
              <w:jc w:val="center"/>
              <w:rPr>
                <w:rFonts w:ascii="Times New Roman" w:hAnsi="Times New Roman"/>
              </w:rPr>
            </w:pPr>
          </w:p>
        </w:tc>
        <w:tc>
          <w:tcPr>
            <w:tcW w:w="1275" w:type="dxa"/>
          </w:tcPr>
          <w:p>
            <w:pPr>
              <w:spacing w:line="440" w:lineRule="exact"/>
              <w:jc w:val="center"/>
              <w:rPr>
                <w:rFonts w:ascii="Times New Roman" w:hAnsi="Times New Roman"/>
              </w:rPr>
            </w:pPr>
          </w:p>
        </w:tc>
        <w:tc>
          <w:tcPr>
            <w:tcW w:w="992" w:type="dxa"/>
          </w:tcPr>
          <w:p>
            <w:pPr>
              <w:spacing w:line="440" w:lineRule="exact"/>
              <w:jc w:val="center"/>
              <w:rPr>
                <w:rFonts w:ascii="Times New Roman" w:hAnsi="Times New Roman"/>
              </w:rPr>
            </w:pPr>
          </w:p>
        </w:tc>
        <w:tc>
          <w:tcPr>
            <w:tcW w:w="603" w:type="dxa"/>
          </w:tcPr>
          <w:p>
            <w:pPr>
              <w:spacing w:line="440" w:lineRule="exact"/>
              <w:jc w:val="center"/>
              <w:rPr>
                <w:rFonts w:ascii="Times New Roman" w:hAnsi="Times New Roman"/>
              </w:rPr>
            </w:pPr>
          </w:p>
        </w:tc>
        <w:tc>
          <w:tcPr>
            <w:tcW w:w="488"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c>
          <w:tcPr>
            <w:tcW w:w="709" w:type="dxa"/>
          </w:tcPr>
          <w:p>
            <w:pPr>
              <w:spacing w:line="440" w:lineRule="exact"/>
              <w:jc w:val="center"/>
              <w:rPr>
                <w:rFonts w:ascii="Times New Roman" w:hAnsi="Times New Roman"/>
              </w:rPr>
            </w:pPr>
          </w:p>
        </w:tc>
        <w:tc>
          <w:tcPr>
            <w:tcW w:w="871"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spacing w:line="440" w:lineRule="exact"/>
              <w:jc w:val="center"/>
              <w:rPr>
                <w:rFonts w:ascii="Times New Roman" w:hAnsi="Times New Roman"/>
              </w:rPr>
            </w:pPr>
          </w:p>
        </w:tc>
        <w:tc>
          <w:tcPr>
            <w:tcW w:w="1275" w:type="dxa"/>
          </w:tcPr>
          <w:p>
            <w:pPr>
              <w:spacing w:line="440" w:lineRule="exact"/>
              <w:jc w:val="center"/>
              <w:rPr>
                <w:rFonts w:ascii="Times New Roman" w:hAnsi="Times New Roman"/>
              </w:rPr>
            </w:pPr>
          </w:p>
        </w:tc>
        <w:tc>
          <w:tcPr>
            <w:tcW w:w="992" w:type="dxa"/>
          </w:tcPr>
          <w:p>
            <w:pPr>
              <w:spacing w:line="440" w:lineRule="exact"/>
              <w:jc w:val="center"/>
              <w:rPr>
                <w:rFonts w:ascii="Times New Roman" w:hAnsi="Times New Roman"/>
              </w:rPr>
            </w:pPr>
          </w:p>
        </w:tc>
        <w:tc>
          <w:tcPr>
            <w:tcW w:w="603" w:type="dxa"/>
          </w:tcPr>
          <w:p>
            <w:pPr>
              <w:spacing w:line="440" w:lineRule="exact"/>
              <w:jc w:val="center"/>
              <w:rPr>
                <w:rFonts w:ascii="Times New Roman" w:hAnsi="Times New Roman"/>
              </w:rPr>
            </w:pPr>
          </w:p>
        </w:tc>
        <w:tc>
          <w:tcPr>
            <w:tcW w:w="488"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c>
          <w:tcPr>
            <w:tcW w:w="709" w:type="dxa"/>
          </w:tcPr>
          <w:p>
            <w:pPr>
              <w:spacing w:line="440" w:lineRule="exact"/>
              <w:jc w:val="center"/>
              <w:rPr>
                <w:rFonts w:ascii="Times New Roman" w:hAnsi="Times New Roman"/>
              </w:rPr>
            </w:pPr>
          </w:p>
        </w:tc>
        <w:tc>
          <w:tcPr>
            <w:tcW w:w="871"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r>
    </w:tbl>
    <w:p>
      <w:pPr>
        <w:spacing w:line="440" w:lineRule="exact"/>
        <w:rPr>
          <w:rFonts w:ascii="Times New Roman" w:hAnsi="Times New Roman"/>
        </w:rPr>
      </w:pPr>
    </w:p>
    <w:p>
      <w:pPr>
        <w:spacing w:line="440" w:lineRule="exact"/>
        <w:rPr>
          <w:rFonts w:ascii="Times New Roman" w:hAnsi="Times New Roman"/>
        </w:rPr>
      </w:pPr>
    </w:p>
    <w:p>
      <w:pPr>
        <w:autoSpaceDE w:val="0"/>
        <w:autoSpaceDN w:val="0"/>
        <w:adjustRightInd w:val="0"/>
        <w:snapToGrid w:val="0"/>
        <w:spacing w:line="480" w:lineRule="auto"/>
        <w:jc w:val="center"/>
        <w:rPr>
          <w:rFonts w:hint="eastAsia" w:ascii="宋体" w:hAnsi="宋体" w:cs="宋体"/>
          <w:b/>
          <w:sz w:val="32"/>
          <w:szCs w:val="32"/>
          <w:lang w:val="zh-CN"/>
        </w:rPr>
      </w:pPr>
    </w:p>
    <w:p>
      <w:pPr>
        <w:tabs>
          <w:tab w:val="left" w:pos="720"/>
        </w:tabs>
        <w:snapToGrid w:val="0"/>
        <w:spacing w:line="360" w:lineRule="auto"/>
        <w:rPr>
          <w:sz w:val="24"/>
          <w:szCs w:val="24"/>
        </w:rPr>
      </w:pPr>
    </w:p>
    <w:p>
      <w:pPr>
        <w:tabs>
          <w:tab w:val="left" w:pos="720"/>
        </w:tabs>
        <w:snapToGrid w:val="0"/>
        <w:spacing w:line="360" w:lineRule="auto"/>
        <w:rPr>
          <w:sz w:val="24"/>
          <w:szCs w:val="24"/>
        </w:rPr>
      </w:pPr>
      <w:r>
        <w:rPr>
          <w:rFonts w:hint="eastAsia"/>
          <w:sz w:val="24"/>
          <w:szCs w:val="24"/>
        </w:rPr>
        <w:t>附件六</w:t>
      </w:r>
    </w:p>
    <w:p>
      <w:pPr>
        <w:autoSpaceDE w:val="0"/>
        <w:autoSpaceDN w:val="0"/>
        <w:adjustRightInd w:val="0"/>
        <w:snapToGrid w:val="0"/>
        <w:spacing w:line="480" w:lineRule="auto"/>
        <w:jc w:val="center"/>
        <w:rPr>
          <w:rFonts w:hint="eastAsia" w:ascii="宋体" w:hAnsi="宋体" w:cs="宋体"/>
          <w:b/>
          <w:sz w:val="36"/>
          <w:szCs w:val="36"/>
          <w:lang w:val="zh-CN"/>
        </w:rPr>
      </w:pPr>
      <w:r>
        <w:rPr>
          <w:rFonts w:hint="eastAsia" w:ascii="宋体" w:hAnsi="宋体" w:cs="宋体"/>
          <w:b/>
          <w:sz w:val="36"/>
          <w:szCs w:val="36"/>
          <w:lang w:val="zh-CN"/>
        </w:rPr>
        <w:t>技术负责人（或其他项目管理机构人员）基本情况及业绩表</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8"/>
        <w:gridCol w:w="1243"/>
        <w:gridCol w:w="2123"/>
        <w:gridCol w:w="1017"/>
        <w:gridCol w:w="1019"/>
        <w:gridCol w:w="1224"/>
        <w:gridCol w:w="1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06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sz w:val="22"/>
                <w:szCs w:val="21"/>
              </w:rPr>
            </w:pPr>
            <w:r>
              <w:rPr>
                <w:rFonts w:hint="eastAsia" w:ascii="宋体" w:hAnsi="宋体" w:cs="宋体"/>
                <w:sz w:val="22"/>
                <w:szCs w:val="21"/>
              </w:rPr>
              <w:t>姓名</w:t>
            </w:r>
          </w:p>
        </w:tc>
        <w:tc>
          <w:tcPr>
            <w:tcW w:w="12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b/>
                <w:sz w:val="22"/>
                <w:szCs w:val="21"/>
              </w:rPr>
            </w:pPr>
          </w:p>
        </w:tc>
        <w:tc>
          <w:tcPr>
            <w:tcW w:w="212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sz w:val="22"/>
                <w:szCs w:val="21"/>
              </w:rPr>
            </w:pPr>
            <w:r>
              <w:rPr>
                <w:rFonts w:hint="eastAsia" w:ascii="宋体" w:hAnsi="宋体" w:cs="宋体"/>
                <w:sz w:val="22"/>
                <w:szCs w:val="21"/>
              </w:rPr>
              <w:t>性别</w:t>
            </w:r>
          </w:p>
        </w:tc>
        <w:tc>
          <w:tcPr>
            <w:tcW w:w="2036"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b/>
                <w:sz w:val="22"/>
                <w:szCs w:val="21"/>
              </w:rPr>
            </w:pPr>
          </w:p>
        </w:tc>
        <w:tc>
          <w:tcPr>
            <w:tcW w:w="122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sz w:val="22"/>
                <w:szCs w:val="21"/>
              </w:rPr>
            </w:pPr>
            <w:r>
              <w:rPr>
                <w:rFonts w:hint="eastAsia" w:ascii="宋体" w:hAnsi="宋体" w:cs="宋体"/>
                <w:sz w:val="22"/>
                <w:szCs w:val="21"/>
              </w:rPr>
              <w:t>技术职称</w:t>
            </w:r>
          </w:p>
        </w:tc>
        <w:tc>
          <w:tcPr>
            <w:tcW w:w="12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b/>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06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sz w:val="22"/>
                <w:szCs w:val="21"/>
              </w:rPr>
            </w:pPr>
            <w:r>
              <w:rPr>
                <w:rFonts w:hint="eastAsia" w:ascii="宋体" w:hAnsi="宋体" w:cs="宋体"/>
                <w:sz w:val="22"/>
                <w:szCs w:val="21"/>
              </w:rPr>
              <w:t>身份证号</w:t>
            </w:r>
          </w:p>
        </w:tc>
        <w:tc>
          <w:tcPr>
            <w:tcW w:w="12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b/>
                <w:sz w:val="22"/>
                <w:szCs w:val="21"/>
              </w:rPr>
            </w:pPr>
          </w:p>
        </w:tc>
        <w:tc>
          <w:tcPr>
            <w:tcW w:w="212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sz w:val="22"/>
                <w:szCs w:val="21"/>
              </w:rPr>
            </w:pPr>
            <w:r>
              <w:rPr>
                <w:rFonts w:hint="eastAsia" w:ascii="宋体" w:hAnsi="宋体" w:cs="宋体"/>
                <w:sz w:val="22"/>
                <w:szCs w:val="21"/>
              </w:rPr>
              <w:t>学历</w:t>
            </w:r>
          </w:p>
        </w:tc>
        <w:tc>
          <w:tcPr>
            <w:tcW w:w="2036"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b/>
                <w:sz w:val="22"/>
                <w:szCs w:val="21"/>
              </w:rPr>
            </w:pPr>
          </w:p>
        </w:tc>
        <w:tc>
          <w:tcPr>
            <w:tcW w:w="122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sz w:val="22"/>
                <w:szCs w:val="21"/>
              </w:rPr>
            </w:pPr>
            <w:r>
              <w:rPr>
                <w:rFonts w:hint="eastAsia" w:ascii="宋体" w:hAnsi="宋体" w:cs="宋体"/>
                <w:sz w:val="22"/>
                <w:szCs w:val="21"/>
              </w:rPr>
              <w:t>所学专业</w:t>
            </w:r>
          </w:p>
        </w:tc>
        <w:tc>
          <w:tcPr>
            <w:tcW w:w="12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b/>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06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sz w:val="22"/>
                <w:szCs w:val="21"/>
              </w:rPr>
            </w:pPr>
            <w:r>
              <w:rPr>
                <w:rFonts w:hint="eastAsia" w:ascii="宋体" w:hAnsi="宋体" w:cs="宋体"/>
                <w:sz w:val="22"/>
                <w:szCs w:val="21"/>
              </w:rPr>
              <w:t>社保号</w:t>
            </w:r>
          </w:p>
        </w:tc>
        <w:tc>
          <w:tcPr>
            <w:tcW w:w="7851" w:type="dxa"/>
            <w:gridSpan w:val="6"/>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b/>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919"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sz w:val="22"/>
                <w:szCs w:val="21"/>
              </w:rPr>
            </w:pPr>
            <w:r>
              <w:rPr>
                <w:rFonts w:hint="eastAsia" w:ascii="宋体" w:hAnsi="宋体" w:cs="宋体"/>
                <w:sz w:val="22"/>
                <w:szCs w:val="21"/>
              </w:rPr>
              <w:t>从业简历</w:t>
            </w:r>
          </w:p>
          <w:p>
            <w:pPr>
              <w:autoSpaceDE w:val="0"/>
              <w:autoSpaceDN w:val="0"/>
              <w:adjustRightInd w:val="0"/>
              <w:jc w:val="center"/>
              <w:rPr>
                <w:rFonts w:hint="eastAsia" w:ascii="宋体" w:hAnsi="宋体" w:cs="宋体"/>
                <w:b/>
                <w:sz w:val="22"/>
                <w:szCs w:val="21"/>
              </w:rPr>
            </w:pPr>
          </w:p>
          <w:p>
            <w:pPr>
              <w:autoSpaceDE w:val="0"/>
              <w:autoSpaceDN w:val="0"/>
              <w:adjustRightInd w:val="0"/>
              <w:jc w:val="center"/>
              <w:rPr>
                <w:rFonts w:hint="eastAsia" w:ascii="宋体" w:hAnsi="宋体" w:cs="宋体"/>
                <w:b/>
                <w:sz w:val="22"/>
                <w:szCs w:val="21"/>
              </w:rPr>
            </w:pPr>
          </w:p>
          <w:p>
            <w:pPr>
              <w:autoSpaceDE w:val="0"/>
              <w:autoSpaceDN w:val="0"/>
              <w:adjustRightInd w:val="0"/>
              <w:jc w:val="center"/>
              <w:rPr>
                <w:rFonts w:hint="eastAsia" w:ascii="宋体" w:hAnsi="宋体" w:cs="宋体"/>
                <w:b/>
                <w:sz w:val="22"/>
                <w:szCs w:val="21"/>
              </w:rPr>
            </w:pPr>
          </w:p>
          <w:p>
            <w:pPr>
              <w:autoSpaceDE w:val="0"/>
              <w:autoSpaceDN w:val="0"/>
              <w:adjustRightInd w:val="0"/>
              <w:jc w:val="center"/>
              <w:rPr>
                <w:rFonts w:hint="eastAsia" w:ascii="宋体" w:hAnsi="宋体" w:cs="宋体"/>
                <w:b/>
                <w:sz w:val="22"/>
                <w:szCs w:val="21"/>
              </w:rPr>
            </w:pPr>
          </w:p>
          <w:p>
            <w:pPr>
              <w:autoSpaceDE w:val="0"/>
              <w:autoSpaceDN w:val="0"/>
              <w:adjustRightInd w:val="0"/>
              <w:jc w:val="center"/>
              <w:rPr>
                <w:rFonts w:hint="eastAsia" w:ascii="宋体" w:hAnsi="宋体" w:cs="宋体"/>
                <w:b/>
                <w:sz w:val="22"/>
                <w:szCs w:val="21"/>
              </w:rPr>
            </w:pPr>
          </w:p>
          <w:p>
            <w:pPr>
              <w:autoSpaceDE w:val="0"/>
              <w:autoSpaceDN w:val="0"/>
              <w:adjustRightInd w:val="0"/>
              <w:jc w:val="center"/>
              <w:rPr>
                <w:rFonts w:hint="eastAsia" w:ascii="宋体" w:hAnsi="宋体" w:cs="宋体"/>
                <w:b/>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919"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sz w:val="22"/>
                <w:szCs w:val="21"/>
              </w:rPr>
            </w:pPr>
            <w:r>
              <w:rPr>
                <w:rFonts w:hint="eastAsia" w:ascii="宋体" w:hAnsi="宋体" w:cs="宋体"/>
                <w:sz w:val="22"/>
                <w:szCs w:val="21"/>
              </w:rPr>
              <w:t>本人完成施工项目概况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06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sz w:val="22"/>
                <w:szCs w:val="21"/>
              </w:rPr>
            </w:pPr>
            <w:r>
              <w:rPr>
                <w:rFonts w:hint="eastAsia" w:ascii="宋体" w:hAnsi="宋体" w:cs="宋体"/>
                <w:sz w:val="22"/>
                <w:szCs w:val="21"/>
              </w:rPr>
              <w:t>序号</w:t>
            </w:r>
          </w:p>
        </w:tc>
        <w:tc>
          <w:tcPr>
            <w:tcW w:w="12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sz w:val="22"/>
                <w:szCs w:val="21"/>
              </w:rPr>
            </w:pPr>
            <w:r>
              <w:rPr>
                <w:rFonts w:hint="eastAsia" w:ascii="宋体" w:hAnsi="宋体" w:cs="宋体"/>
                <w:sz w:val="22"/>
                <w:szCs w:val="21"/>
              </w:rPr>
              <w:t>项目名称</w:t>
            </w:r>
          </w:p>
        </w:tc>
        <w:tc>
          <w:tcPr>
            <w:tcW w:w="212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sz w:val="22"/>
                <w:szCs w:val="21"/>
              </w:rPr>
            </w:pPr>
            <w:r>
              <w:rPr>
                <w:rFonts w:hint="eastAsia" w:ascii="宋体" w:hAnsi="宋体" w:cs="宋体"/>
                <w:sz w:val="22"/>
                <w:szCs w:val="21"/>
              </w:rPr>
              <w:t>项目规模指标</w:t>
            </w:r>
          </w:p>
        </w:tc>
        <w:tc>
          <w:tcPr>
            <w:tcW w:w="101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sz w:val="22"/>
                <w:szCs w:val="21"/>
              </w:rPr>
            </w:pPr>
            <w:r>
              <w:rPr>
                <w:rFonts w:hint="eastAsia" w:ascii="宋体" w:hAnsi="宋体" w:cs="宋体"/>
                <w:sz w:val="22"/>
                <w:szCs w:val="21"/>
              </w:rPr>
              <w:t>项目地址</w:t>
            </w:r>
          </w:p>
        </w:tc>
        <w:tc>
          <w:tcPr>
            <w:tcW w:w="101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sz w:val="22"/>
                <w:szCs w:val="21"/>
              </w:rPr>
            </w:pPr>
            <w:r>
              <w:rPr>
                <w:rFonts w:hint="eastAsia" w:ascii="宋体" w:hAnsi="宋体" w:cs="宋体"/>
                <w:sz w:val="22"/>
                <w:szCs w:val="21"/>
              </w:rPr>
              <w:t>起止时间</w:t>
            </w:r>
          </w:p>
        </w:tc>
        <w:tc>
          <w:tcPr>
            <w:tcW w:w="122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sz w:val="22"/>
                <w:szCs w:val="21"/>
              </w:rPr>
            </w:pPr>
            <w:r>
              <w:rPr>
                <w:rFonts w:hint="eastAsia" w:ascii="宋体" w:hAnsi="宋体" w:cs="宋体"/>
                <w:sz w:val="22"/>
                <w:szCs w:val="21"/>
              </w:rPr>
              <w:t>本人在工程项目所担任职务</w:t>
            </w:r>
          </w:p>
        </w:tc>
        <w:tc>
          <w:tcPr>
            <w:tcW w:w="12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sz w:val="22"/>
                <w:szCs w:val="21"/>
              </w:rPr>
            </w:pPr>
            <w:r>
              <w:rPr>
                <w:rFonts w:hint="eastAsia" w:ascii="宋体" w:hAnsi="宋体" w:cs="宋体"/>
                <w:sz w:val="22"/>
                <w:szCs w:val="21"/>
              </w:rPr>
              <w:t>完成项目的建筑业企业及资质等级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06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sz w:val="22"/>
                <w:szCs w:val="21"/>
              </w:rPr>
            </w:pPr>
          </w:p>
        </w:tc>
        <w:tc>
          <w:tcPr>
            <w:tcW w:w="12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sz w:val="22"/>
                <w:szCs w:val="21"/>
              </w:rPr>
            </w:pPr>
          </w:p>
        </w:tc>
        <w:tc>
          <w:tcPr>
            <w:tcW w:w="212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sz w:val="22"/>
                <w:szCs w:val="21"/>
              </w:rPr>
            </w:pPr>
          </w:p>
        </w:tc>
        <w:tc>
          <w:tcPr>
            <w:tcW w:w="101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sz w:val="22"/>
                <w:szCs w:val="21"/>
              </w:rPr>
            </w:pPr>
          </w:p>
        </w:tc>
        <w:tc>
          <w:tcPr>
            <w:tcW w:w="101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sz w:val="22"/>
                <w:szCs w:val="21"/>
              </w:rPr>
            </w:pPr>
          </w:p>
        </w:tc>
        <w:tc>
          <w:tcPr>
            <w:tcW w:w="122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sz w:val="22"/>
                <w:szCs w:val="21"/>
              </w:rPr>
            </w:pPr>
          </w:p>
        </w:tc>
        <w:tc>
          <w:tcPr>
            <w:tcW w:w="12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06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sz w:val="22"/>
                <w:szCs w:val="21"/>
              </w:rPr>
            </w:pPr>
          </w:p>
        </w:tc>
        <w:tc>
          <w:tcPr>
            <w:tcW w:w="12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sz w:val="22"/>
                <w:szCs w:val="21"/>
              </w:rPr>
            </w:pPr>
          </w:p>
        </w:tc>
        <w:tc>
          <w:tcPr>
            <w:tcW w:w="212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sz w:val="22"/>
                <w:szCs w:val="21"/>
              </w:rPr>
            </w:pPr>
          </w:p>
        </w:tc>
        <w:tc>
          <w:tcPr>
            <w:tcW w:w="101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sz w:val="22"/>
                <w:szCs w:val="21"/>
              </w:rPr>
            </w:pPr>
          </w:p>
        </w:tc>
        <w:tc>
          <w:tcPr>
            <w:tcW w:w="101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sz w:val="22"/>
                <w:szCs w:val="21"/>
              </w:rPr>
            </w:pPr>
          </w:p>
        </w:tc>
        <w:tc>
          <w:tcPr>
            <w:tcW w:w="122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sz w:val="22"/>
                <w:szCs w:val="21"/>
              </w:rPr>
            </w:pPr>
          </w:p>
        </w:tc>
        <w:tc>
          <w:tcPr>
            <w:tcW w:w="12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06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sz w:val="22"/>
                <w:szCs w:val="21"/>
              </w:rPr>
            </w:pPr>
          </w:p>
        </w:tc>
        <w:tc>
          <w:tcPr>
            <w:tcW w:w="12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sz w:val="22"/>
                <w:szCs w:val="21"/>
              </w:rPr>
            </w:pPr>
          </w:p>
        </w:tc>
        <w:tc>
          <w:tcPr>
            <w:tcW w:w="212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sz w:val="22"/>
                <w:szCs w:val="21"/>
              </w:rPr>
            </w:pPr>
          </w:p>
        </w:tc>
        <w:tc>
          <w:tcPr>
            <w:tcW w:w="101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sz w:val="22"/>
                <w:szCs w:val="21"/>
              </w:rPr>
            </w:pPr>
          </w:p>
        </w:tc>
        <w:tc>
          <w:tcPr>
            <w:tcW w:w="101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sz w:val="22"/>
                <w:szCs w:val="21"/>
              </w:rPr>
            </w:pPr>
          </w:p>
        </w:tc>
        <w:tc>
          <w:tcPr>
            <w:tcW w:w="122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sz w:val="22"/>
                <w:szCs w:val="21"/>
              </w:rPr>
            </w:pPr>
          </w:p>
        </w:tc>
        <w:tc>
          <w:tcPr>
            <w:tcW w:w="12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sz w:val="22"/>
                <w:szCs w:val="21"/>
              </w:rPr>
            </w:pPr>
          </w:p>
        </w:tc>
      </w:tr>
    </w:tbl>
    <w:p>
      <w:pPr>
        <w:autoSpaceDE w:val="0"/>
        <w:autoSpaceDN w:val="0"/>
        <w:adjustRightInd w:val="0"/>
        <w:ind w:firstLine="330" w:firstLineChars="150"/>
        <w:rPr>
          <w:rFonts w:hint="eastAsia" w:ascii="宋体" w:hAnsi="宋体" w:cs="宋体"/>
          <w:sz w:val="22"/>
          <w:szCs w:val="21"/>
        </w:rPr>
      </w:pPr>
      <w:r>
        <w:rPr>
          <w:rFonts w:hint="eastAsia" w:ascii="宋体" w:hAnsi="宋体" w:cs="宋体"/>
          <w:sz w:val="22"/>
          <w:szCs w:val="21"/>
        </w:rPr>
        <w:t>本人承诺以上填写内容真实有效。我知道隐瞒有关真实情况和填报虚假信息是严重的违法行为，以上关于我本人的基本信息及其业绩如有虚假，本人愿接受招标监管主管部门或其他有关部门依法给予的行政处罚并纳入个人诚信记录，除身份证号外，本人同意上述内容在评标后全部公开。</w:t>
      </w:r>
    </w:p>
    <w:p>
      <w:pPr>
        <w:wordWrap w:val="0"/>
        <w:autoSpaceDE w:val="0"/>
        <w:autoSpaceDN w:val="0"/>
        <w:adjustRightInd w:val="0"/>
        <w:ind w:firstLine="220" w:firstLineChars="100"/>
        <w:jc w:val="right"/>
        <w:rPr>
          <w:rFonts w:hint="eastAsia" w:ascii="宋体" w:hAnsi="宋体" w:cs="宋体"/>
          <w:sz w:val="22"/>
          <w:szCs w:val="21"/>
        </w:rPr>
      </w:pPr>
      <w:r>
        <w:rPr>
          <w:rFonts w:hint="eastAsia" w:ascii="宋体" w:hAnsi="宋体" w:cs="宋体"/>
          <w:sz w:val="22"/>
          <w:szCs w:val="21"/>
        </w:rPr>
        <w:t xml:space="preserve">本人签字：      </w:t>
      </w:r>
    </w:p>
    <w:p>
      <w:pPr>
        <w:autoSpaceDE w:val="0"/>
        <w:autoSpaceDN w:val="0"/>
        <w:adjustRightInd w:val="0"/>
        <w:ind w:firstLine="220" w:firstLineChars="100"/>
        <w:jc w:val="right"/>
        <w:rPr>
          <w:rFonts w:hint="eastAsia" w:ascii="宋体" w:hAnsi="宋体" w:cs="宋体"/>
          <w:sz w:val="22"/>
          <w:szCs w:val="21"/>
        </w:rPr>
      </w:pPr>
      <w:r>
        <w:rPr>
          <w:rFonts w:hint="eastAsia" w:ascii="宋体" w:hAnsi="宋体" w:cs="宋体"/>
          <w:sz w:val="22"/>
          <w:szCs w:val="21"/>
        </w:rPr>
        <w:t>年 月  日</w:t>
      </w:r>
    </w:p>
    <w:p>
      <w:pPr>
        <w:ind w:firstLine="440" w:firstLineChars="200"/>
        <w:rPr>
          <w:rFonts w:hint="eastAsia" w:ascii="宋体" w:hAnsi="宋体" w:cs="宋体"/>
          <w:sz w:val="22"/>
          <w:szCs w:val="21"/>
        </w:rPr>
      </w:pPr>
      <w:r>
        <w:rPr>
          <w:rFonts w:hint="eastAsia" w:ascii="宋体" w:hAnsi="宋体" w:cs="宋体"/>
          <w:sz w:val="22"/>
          <w:szCs w:val="21"/>
        </w:rPr>
        <w:t>我公司承诺上述内容真实有效。我公司知道隐瞒有关真实情况和填报虚假信息是严重的违法行为，上述内容如有虚假，我公司愿接受招标监管部门或其他有关部门依法给予的行政处罚，并接受招标人将我公司永久进入黑名单，不参与招标人今后所有项目的投标。</w:t>
      </w:r>
    </w:p>
    <w:p>
      <w:pPr>
        <w:wordWrap w:val="0"/>
        <w:jc w:val="right"/>
        <w:rPr>
          <w:rFonts w:hint="eastAsia" w:ascii="宋体" w:hAnsi="宋体" w:cs="宋体"/>
          <w:sz w:val="22"/>
          <w:szCs w:val="21"/>
        </w:rPr>
      </w:pPr>
      <w:r>
        <w:rPr>
          <w:rFonts w:hint="eastAsia" w:ascii="宋体" w:hAnsi="宋体" w:cs="宋体"/>
          <w:sz w:val="22"/>
          <w:szCs w:val="21"/>
        </w:rPr>
        <w:t>单位盖章</w:t>
      </w:r>
    </w:p>
    <w:p>
      <w:pPr>
        <w:spacing w:line="320" w:lineRule="exact"/>
        <w:jc w:val="right"/>
        <w:rPr>
          <w:rFonts w:hint="eastAsia" w:ascii="宋体" w:hAnsi="宋体" w:cs="宋体"/>
          <w:sz w:val="22"/>
        </w:rPr>
      </w:pPr>
      <w:r>
        <w:rPr>
          <w:rFonts w:hint="eastAsia" w:ascii="宋体" w:hAnsi="宋体" w:cs="宋体"/>
          <w:sz w:val="22"/>
          <w:szCs w:val="21"/>
        </w:rPr>
        <w:t>年  月  日</w:t>
      </w:r>
    </w:p>
    <w:p>
      <w:pPr>
        <w:spacing w:line="320" w:lineRule="exact"/>
        <w:rPr>
          <w:rFonts w:hint="eastAsia" w:ascii="仿宋_GB2312" w:hAnsi="楷体" w:eastAsia="仿宋_GB2312"/>
          <w:szCs w:val="21"/>
        </w:rPr>
      </w:pPr>
    </w:p>
    <w:p>
      <w:pPr>
        <w:spacing w:line="320" w:lineRule="exact"/>
        <w:rPr>
          <w:rFonts w:hint="eastAsia" w:ascii="仿宋_GB2312" w:hAnsi="楷体" w:eastAsia="仿宋_GB2312"/>
          <w:szCs w:val="21"/>
        </w:rPr>
      </w:pPr>
    </w:p>
    <w:p>
      <w:pPr>
        <w:spacing w:line="320" w:lineRule="exact"/>
        <w:rPr>
          <w:rFonts w:hint="eastAsia" w:ascii="宋体" w:hAnsi="宋体" w:cs="宋体"/>
          <w:szCs w:val="21"/>
        </w:rPr>
      </w:pPr>
      <w:r>
        <w:rPr>
          <w:rFonts w:hint="eastAsia" w:ascii="宋体" w:hAnsi="宋体" w:cs="宋体"/>
          <w:szCs w:val="21"/>
        </w:rPr>
        <w:t>注：本表后附</w:t>
      </w:r>
      <w:r>
        <w:rPr>
          <w:rFonts w:hint="eastAsia" w:ascii="宋体" w:hAnsi="宋体" w:cs="宋体"/>
          <w:color w:val="000000"/>
          <w:szCs w:val="21"/>
        </w:rPr>
        <w:t>社保证明、职称证（岗位证）、注册证等相关证明材料。</w:t>
      </w:r>
    </w:p>
    <w:p>
      <w:pPr>
        <w:rPr>
          <w:sz w:val="24"/>
          <w:szCs w:val="24"/>
        </w:rPr>
      </w:pPr>
      <w:r>
        <w:rPr>
          <w:rFonts w:hint="eastAsia"/>
          <w:sz w:val="24"/>
          <w:szCs w:val="24"/>
        </w:rPr>
        <w:t>附件七</w:t>
      </w:r>
    </w:p>
    <w:p>
      <w:pPr>
        <w:jc w:val="center"/>
        <w:rPr>
          <w:rFonts w:hint="eastAsia" w:ascii="宋体" w:hAnsi="宋体" w:cs="宋体"/>
          <w:b/>
          <w:bCs/>
          <w:sz w:val="36"/>
          <w:szCs w:val="36"/>
        </w:rPr>
      </w:pPr>
      <w:r>
        <w:rPr>
          <w:rFonts w:hint="eastAsia" w:ascii="宋体" w:hAnsi="宋体" w:cs="宋体"/>
          <w:b/>
          <w:bCs/>
          <w:sz w:val="36"/>
          <w:szCs w:val="36"/>
        </w:rPr>
        <w:t>企业类似工程业绩信息表</w:t>
      </w:r>
    </w:p>
    <w:p>
      <w:pPr>
        <w:jc w:val="center"/>
        <w:rPr>
          <w:rFonts w:ascii="宋体"/>
          <w:b/>
          <w:bCs/>
          <w:sz w:val="24"/>
          <w:szCs w:val="24"/>
        </w:rPr>
      </w:pPr>
      <w:r>
        <w:rPr>
          <w:rFonts w:hint="eastAsia" w:ascii="宋体" w:hAnsi="宋体" w:cs="宋体"/>
          <w:b/>
          <w:bCs/>
          <w:sz w:val="24"/>
          <w:szCs w:val="24"/>
        </w:rPr>
        <w:t>（中标金额大于或等于</w:t>
      </w:r>
      <w:r>
        <w:rPr>
          <w:rFonts w:hint="eastAsia" w:ascii="宋体" w:hAnsi="宋体" w:cs="宋体"/>
          <w:b/>
          <w:bCs/>
          <w:sz w:val="24"/>
          <w:szCs w:val="24"/>
          <w:lang w:val="en-US" w:eastAsia="zh-CN"/>
        </w:rPr>
        <w:t>400</w:t>
      </w:r>
      <w:r>
        <w:rPr>
          <w:rFonts w:hint="eastAsia" w:ascii="宋体" w:hAnsi="宋体" w:cs="宋体"/>
          <w:b/>
          <w:bCs/>
          <w:sz w:val="24"/>
          <w:szCs w:val="24"/>
        </w:rPr>
        <w:t>万元的建筑工程施工总承包或工程总承包（施工部分）业绩）</w:t>
      </w:r>
    </w:p>
    <w:p>
      <w:pPr>
        <w:jc w:val="center"/>
        <w:rPr>
          <w:rFonts w:ascii="宋体"/>
          <w:b/>
          <w:bCs/>
          <w:sz w:val="24"/>
          <w:szCs w:val="24"/>
        </w:rPr>
      </w:pPr>
    </w:p>
    <w:tbl>
      <w:tblPr>
        <w:tblStyle w:val="3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4261"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24"/>
                <w:szCs w:val="24"/>
              </w:rPr>
            </w:pPr>
            <w:r>
              <w:rPr>
                <w:rFonts w:hint="eastAsia" w:ascii="宋体" w:hAnsi="宋体" w:cs="宋体"/>
                <w:sz w:val="24"/>
                <w:szCs w:val="24"/>
              </w:rPr>
              <w:t>项目名称</w:t>
            </w:r>
          </w:p>
        </w:tc>
        <w:tc>
          <w:tcPr>
            <w:tcW w:w="4261"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24"/>
                <w:szCs w:val="24"/>
              </w:rPr>
            </w:pPr>
            <w:r>
              <w:rPr>
                <w:rFonts w:hint="eastAsia" w:ascii="宋体" w:hAnsi="宋体" w:cs="宋体"/>
                <w:sz w:val="24"/>
                <w:szCs w:val="24"/>
              </w:rPr>
              <w:t>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4261" w:type="dxa"/>
            <w:tcBorders>
              <w:top w:val="single" w:color="auto" w:sz="4" w:space="0"/>
              <w:left w:val="single" w:color="auto" w:sz="4" w:space="0"/>
              <w:bottom w:val="single" w:color="auto" w:sz="4" w:space="0"/>
              <w:right w:val="single" w:color="auto" w:sz="4" w:space="0"/>
            </w:tcBorders>
          </w:tcPr>
          <w:p>
            <w:pPr>
              <w:jc w:val="center"/>
              <w:rPr>
                <w:rFonts w:ascii="宋体"/>
                <w:b/>
                <w:bCs/>
                <w:sz w:val="24"/>
                <w:szCs w:val="24"/>
              </w:rPr>
            </w:pPr>
          </w:p>
        </w:tc>
        <w:tc>
          <w:tcPr>
            <w:tcW w:w="4261" w:type="dxa"/>
            <w:tcBorders>
              <w:top w:val="single" w:color="auto" w:sz="4" w:space="0"/>
              <w:left w:val="single" w:color="auto" w:sz="4" w:space="0"/>
              <w:bottom w:val="single" w:color="auto" w:sz="4" w:space="0"/>
              <w:right w:val="single" w:color="auto" w:sz="4" w:space="0"/>
            </w:tcBorders>
          </w:tcPr>
          <w:p>
            <w:pPr>
              <w:jc w:val="center"/>
              <w:rPr>
                <w:rFonts w:ascii="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4261" w:type="dxa"/>
            <w:tcBorders>
              <w:top w:val="single" w:color="auto" w:sz="4" w:space="0"/>
              <w:left w:val="single" w:color="auto" w:sz="4" w:space="0"/>
              <w:bottom w:val="single" w:color="auto" w:sz="4" w:space="0"/>
              <w:right w:val="single" w:color="auto" w:sz="4" w:space="0"/>
            </w:tcBorders>
          </w:tcPr>
          <w:p>
            <w:pPr>
              <w:jc w:val="center"/>
              <w:rPr>
                <w:rFonts w:ascii="宋体"/>
                <w:b/>
                <w:bCs/>
                <w:sz w:val="24"/>
                <w:szCs w:val="24"/>
              </w:rPr>
            </w:pPr>
          </w:p>
        </w:tc>
        <w:tc>
          <w:tcPr>
            <w:tcW w:w="4261" w:type="dxa"/>
            <w:tcBorders>
              <w:top w:val="single" w:color="auto" w:sz="4" w:space="0"/>
              <w:left w:val="single" w:color="auto" w:sz="4" w:space="0"/>
              <w:bottom w:val="single" w:color="auto" w:sz="4" w:space="0"/>
              <w:right w:val="single" w:color="auto" w:sz="4" w:space="0"/>
            </w:tcBorders>
          </w:tcPr>
          <w:p>
            <w:pPr>
              <w:jc w:val="center"/>
              <w:rPr>
                <w:rFonts w:ascii="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4261" w:type="dxa"/>
            <w:tcBorders>
              <w:top w:val="single" w:color="auto" w:sz="4" w:space="0"/>
              <w:left w:val="single" w:color="auto" w:sz="4" w:space="0"/>
              <w:bottom w:val="single" w:color="auto" w:sz="4" w:space="0"/>
              <w:right w:val="single" w:color="auto" w:sz="4" w:space="0"/>
            </w:tcBorders>
          </w:tcPr>
          <w:p>
            <w:pPr>
              <w:jc w:val="center"/>
              <w:rPr>
                <w:rFonts w:ascii="宋体"/>
                <w:b/>
                <w:bCs/>
                <w:sz w:val="24"/>
                <w:szCs w:val="24"/>
              </w:rPr>
            </w:pPr>
          </w:p>
        </w:tc>
        <w:tc>
          <w:tcPr>
            <w:tcW w:w="4261" w:type="dxa"/>
            <w:tcBorders>
              <w:top w:val="single" w:color="auto" w:sz="4" w:space="0"/>
              <w:left w:val="single" w:color="auto" w:sz="4" w:space="0"/>
              <w:bottom w:val="single" w:color="auto" w:sz="4" w:space="0"/>
              <w:right w:val="single" w:color="auto" w:sz="4" w:space="0"/>
            </w:tcBorders>
          </w:tcPr>
          <w:p>
            <w:pPr>
              <w:jc w:val="center"/>
              <w:rPr>
                <w:rFonts w:ascii="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4261" w:type="dxa"/>
            <w:tcBorders>
              <w:top w:val="single" w:color="auto" w:sz="4" w:space="0"/>
              <w:left w:val="single" w:color="auto" w:sz="4" w:space="0"/>
              <w:bottom w:val="single" w:color="auto" w:sz="4" w:space="0"/>
              <w:right w:val="single" w:color="auto" w:sz="4" w:space="0"/>
            </w:tcBorders>
          </w:tcPr>
          <w:p>
            <w:pPr>
              <w:jc w:val="center"/>
              <w:rPr>
                <w:rFonts w:ascii="宋体"/>
                <w:b/>
                <w:bCs/>
                <w:sz w:val="24"/>
                <w:szCs w:val="24"/>
              </w:rPr>
            </w:pPr>
          </w:p>
        </w:tc>
        <w:tc>
          <w:tcPr>
            <w:tcW w:w="4261" w:type="dxa"/>
            <w:tcBorders>
              <w:top w:val="single" w:color="auto" w:sz="4" w:space="0"/>
              <w:left w:val="single" w:color="auto" w:sz="4" w:space="0"/>
              <w:bottom w:val="single" w:color="auto" w:sz="4" w:space="0"/>
              <w:right w:val="single" w:color="auto" w:sz="4" w:space="0"/>
            </w:tcBorders>
          </w:tcPr>
          <w:p>
            <w:pPr>
              <w:jc w:val="center"/>
              <w:rPr>
                <w:rFonts w:ascii="宋体"/>
                <w:b/>
                <w:bCs/>
                <w:sz w:val="24"/>
                <w:szCs w:val="24"/>
              </w:rPr>
            </w:pPr>
          </w:p>
        </w:tc>
      </w:tr>
    </w:tbl>
    <w:p>
      <w:pPr>
        <w:ind w:firstLine="470" w:firstLineChars="224"/>
        <w:rPr>
          <w:rFonts w:ascii="宋体"/>
        </w:rPr>
      </w:pPr>
    </w:p>
    <w:p>
      <w:pPr>
        <w:pStyle w:val="114"/>
        <w:ind w:firstLine="3596" w:firstLineChars="1450"/>
        <w:rPr>
          <w:rFonts w:ascii="宋体"/>
        </w:rPr>
      </w:pPr>
    </w:p>
    <w:p>
      <w:pPr>
        <w:pStyle w:val="114"/>
        <w:ind w:firstLine="3596" w:firstLineChars="1450"/>
        <w:rPr>
          <w:rFonts w:ascii="宋体"/>
        </w:rPr>
      </w:pPr>
      <w:r>
        <w:rPr>
          <w:rFonts w:hint="eastAsia" w:ascii="宋体" w:hAnsi="宋体" w:cs="宋体"/>
        </w:rPr>
        <w:t>投标人：　　（盖章）</w:t>
      </w:r>
    </w:p>
    <w:p>
      <w:pPr>
        <w:pStyle w:val="114"/>
        <w:ind w:firstLine="3596" w:firstLineChars="1450"/>
        <w:rPr>
          <w:rFonts w:ascii="宋体"/>
        </w:rPr>
      </w:pPr>
      <w:r>
        <w:rPr>
          <w:rFonts w:hint="eastAsia" w:ascii="宋体" w:hAnsi="宋体" w:cs="宋体"/>
        </w:rPr>
        <w:t>法定代表人或授权代理人</w:t>
      </w:r>
      <w:r>
        <w:rPr>
          <w:rFonts w:ascii="宋体" w:hAnsi="宋体" w:cs="宋体"/>
        </w:rPr>
        <w:t>(</w:t>
      </w:r>
      <w:r>
        <w:rPr>
          <w:rFonts w:hint="eastAsia" w:ascii="宋体" w:hAnsi="宋体" w:cs="宋体"/>
        </w:rPr>
        <w:t>签名或盖章</w:t>
      </w:r>
      <w:r>
        <w:rPr>
          <w:rFonts w:ascii="宋体" w:hAnsi="宋体" w:cs="宋体"/>
        </w:rPr>
        <w:t>)</w:t>
      </w:r>
      <w:r>
        <w:rPr>
          <w:rFonts w:hint="eastAsia" w:ascii="宋体" w:hAnsi="宋体" w:cs="宋体"/>
        </w:rPr>
        <w:t>：</w:t>
      </w:r>
    </w:p>
    <w:p>
      <w:pPr>
        <w:tabs>
          <w:tab w:val="left" w:pos="720"/>
        </w:tabs>
        <w:snapToGrid w:val="0"/>
        <w:spacing w:line="360" w:lineRule="auto"/>
        <w:jc w:val="right"/>
        <w:rPr>
          <w:szCs w:val="21"/>
        </w:rPr>
      </w:pPr>
      <w:r>
        <w:rPr>
          <w:rFonts w:hint="eastAsia" w:ascii="宋体" w:hAnsi="宋体" w:cs="宋体"/>
        </w:rPr>
        <w:t>日期：年  月  日</w:t>
      </w:r>
    </w:p>
    <w:p>
      <w:pPr>
        <w:spacing w:line="320" w:lineRule="exact"/>
        <w:rPr>
          <w:rFonts w:hint="eastAsia" w:ascii="仿宋_GB2312" w:hAnsi="楷体" w:eastAsia="仿宋_GB2312"/>
          <w:color w:val="000000" w:themeColor="text1"/>
          <w:szCs w:val="21"/>
          <w14:textFill>
            <w14:solidFill>
              <w14:schemeClr w14:val="tx1"/>
            </w14:solidFill>
          </w14:textFill>
        </w:rPr>
      </w:pPr>
    </w:p>
    <w:p>
      <w:pPr>
        <w:jc w:val="left"/>
        <w:rPr>
          <w:rStyle w:val="60"/>
          <w:color w:val="000000" w:themeColor="text1"/>
          <w14:textFill>
            <w14:solidFill>
              <w14:schemeClr w14:val="tx1"/>
            </w14:solidFill>
          </w14:textFill>
        </w:rPr>
      </w:pPr>
      <w:bookmarkStart w:id="68" w:name="_Toc2272568"/>
      <w:bookmarkStart w:id="69" w:name="_Toc21525513"/>
      <w:r>
        <w:rPr>
          <w:rStyle w:val="60"/>
          <w:rFonts w:hint="eastAsia"/>
          <w:color w:val="000000" w:themeColor="text1"/>
          <w14:textFill>
            <w14:solidFill>
              <w14:schemeClr w14:val="tx1"/>
            </w14:solidFill>
          </w14:textFill>
        </w:rPr>
        <w:br w:type="page"/>
      </w:r>
    </w:p>
    <w:p>
      <w:pPr>
        <w:tabs>
          <w:tab w:val="left" w:pos="720"/>
        </w:tabs>
        <w:snapToGrid w:val="0"/>
        <w:spacing w:line="360" w:lineRule="auto"/>
        <w:jc w:val="center"/>
        <w:rPr>
          <w:rStyle w:val="60"/>
          <w:color w:val="000000" w:themeColor="text1"/>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p>
    <w:p>
      <w:pPr>
        <w:autoSpaceDE w:val="0"/>
        <w:autoSpaceDN w:val="0"/>
        <w:adjustRightInd w:val="0"/>
        <w:rPr>
          <w:rFonts w:hint="eastAsia" w:ascii="宋体" w:hAnsi="宋体" w:cs="宋体"/>
          <w:bCs/>
          <w:sz w:val="24"/>
        </w:rPr>
      </w:pPr>
      <w:bookmarkStart w:id="70" w:name="_Toc198822682"/>
      <w:bookmarkStart w:id="71" w:name="_Toc197436933"/>
      <w:bookmarkStart w:id="72" w:name="_Toc206175406"/>
      <w:bookmarkStart w:id="73" w:name="_Toc125032266"/>
      <w:r>
        <w:rPr>
          <w:rFonts w:hint="eastAsia" w:ascii="宋体" w:hAnsi="宋体" w:cs="宋体"/>
          <w:bCs/>
          <w:sz w:val="24"/>
        </w:rPr>
        <w:t>格式八：</w:t>
      </w:r>
      <w:r>
        <w:rPr>
          <w:rFonts w:hint="eastAsia" w:ascii="宋体" w:hAnsi="宋体" w:cs="宋体"/>
          <w:bCs/>
          <w:sz w:val="24"/>
          <w:lang w:bidi="ar"/>
        </w:rPr>
        <w:t>响应招标文件所附施工组织设计要点的承诺书</w:t>
      </w:r>
      <w:bookmarkEnd w:id="70"/>
      <w:bookmarkEnd w:id="71"/>
      <w:bookmarkEnd w:id="72"/>
    </w:p>
    <w:p>
      <w:pPr>
        <w:keepNext w:val="0"/>
        <w:keepLines w:val="0"/>
        <w:pageBreakBefore w:val="0"/>
        <w:widowControl w:val="0"/>
        <w:kinsoku/>
        <w:wordWrap/>
        <w:overflowPunct/>
        <w:topLinePunct/>
        <w:autoSpaceDE/>
        <w:autoSpaceDN/>
        <w:bidi w:val="0"/>
        <w:adjustRightInd w:val="0"/>
        <w:snapToGrid w:val="0"/>
        <w:spacing w:before="313" w:beforeLines="100" w:after="313" w:afterLines="100" w:line="360" w:lineRule="auto"/>
        <w:jc w:val="center"/>
        <w:textAlignment w:val="auto"/>
        <w:rPr>
          <w:rFonts w:ascii="宋体" w:cs="宋体"/>
          <w:b/>
          <w:spacing w:val="4"/>
          <w:kern w:val="0"/>
          <w:sz w:val="36"/>
          <w:szCs w:val="36"/>
        </w:rPr>
      </w:pPr>
      <w:r>
        <w:rPr>
          <w:rFonts w:hint="eastAsia" w:ascii="宋体" w:hAnsi="宋体" w:cs="宋体"/>
          <w:b/>
          <w:sz w:val="36"/>
          <w:szCs w:val="36"/>
          <w:lang w:bidi="ar"/>
        </w:rPr>
        <w:t>响应招标文件所附施工组织设计要点的承诺书</w:t>
      </w:r>
    </w:p>
    <w:p>
      <w:pPr>
        <w:spacing w:before="312" w:beforeLines="100" w:after="156" w:afterLines="50" w:line="360" w:lineRule="auto"/>
        <w:rPr>
          <w:rFonts w:ascii="宋体" w:cs="宋体"/>
          <w:sz w:val="24"/>
          <w:szCs w:val="24"/>
          <w:u w:val="single"/>
        </w:rPr>
      </w:pPr>
      <w:r>
        <w:rPr>
          <w:rFonts w:ascii="宋体" w:hAnsi="宋体" w:cs="宋体"/>
          <w:sz w:val="24"/>
          <w:szCs w:val="24"/>
          <w:u w:val="single"/>
          <w:lang w:bidi="ar"/>
        </w:rPr>
        <w:t xml:space="preserve">          （招标人）</w:t>
      </w:r>
      <w:r>
        <w:rPr>
          <w:rFonts w:hint="eastAsia" w:ascii="宋体" w:hAnsi="宋体" w:cs="宋体"/>
          <w:sz w:val="24"/>
          <w:szCs w:val="24"/>
          <w:lang w:bidi="ar"/>
        </w:rPr>
        <w:t>：</w:t>
      </w:r>
    </w:p>
    <w:p>
      <w:pPr>
        <w:spacing w:line="360" w:lineRule="auto"/>
        <w:ind w:firstLine="480"/>
        <w:rPr>
          <w:rFonts w:ascii="宋体" w:cs="宋体"/>
          <w:sz w:val="24"/>
          <w:szCs w:val="24"/>
        </w:rPr>
      </w:pPr>
      <w:r>
        <w:rPr>
          <w:rFonts w:hint="eastAsia" w:ascii="宋体" w:hAnsi="宋体" w:cs="宋体"/>
          <w:sz w:val="24"/>
          <w:szCs w:val="24"/>
          <w:lang w:bidi="ar"/>
        </w:rPr>
        <w:t>我方承诺，如中标承建</w:t>
      </w:r>
      <w:r>
        <w:rPr>
          <w:rFonts w:ascii="宋体" w:hAnsi="宋体" w:cs="宋体"/>
          <w:sz w:val="24"/>
          <w:szCs w:val="24"/>
          <w:u w:val="single"/>
          <w:lang w:bidi="ar"/>
        </w:rPr>
        <w:t xml:space="preserve">         (项目名称)</w:t>
      </w:r>
      <w:r>
        <w:rPr>
          <w:rFonts w:hint="eastAsia" w:ascii="宋体" w:hAnsi="宋体" w:cs="宋体"/>
          <w:sz w:val="24"/>
          <w:szCs w:val="24"/>
          <w:lang w:bidi="ar"/>
        </w:rPr>
        <w:t>，将按招标文件所附的本工程</w:t>
      </w:r>
      <w:r>
        <w:rPr>
          <w:rFonts w:ascii="宋体" w:hAnsi="宋体" w:cs="宋体"/>
          <w:sz w:val="24"/>
          <w:szCs w:val="24"/>
          <w:u w:val="single"/>
          <w:lang w:bidi="ar"/>
        </w:rPr>
        <w:t xml:space="preserve"> 施工组织设计要点 </w:t>
      </w:r>
      <w:r>
        <w:rPr>
          <w:rFonts w:hint="eastAsia" w:ascii="宋体" w:hAnsi="宋体" w:cs="宋体"/>
          <w:sz w:val="24"/>
          <w:szCs w:val="24"/>
          <w:lang w:bidi="ar"/>
        </w:rPr>
        <w:t>进行响应的基础上自行组织施工。并承诺在中标后按招标文件所附的</w:t>
      </w:r>
      <w:r>
        <w:rPr>
          <w:rFonts w:ascii="宋体" w:hAnsi="宋体" w:cs="宋体"/>
          <w:sz w:val="24"/>
          <w:szCs w:val="24"/>
          <w:u w:val="single"/>
          <w:lang w:bidi="ar"/>
        </w:rPr>
        <w:t xml:space="preserve"> 施工组织设计要点 </w:t>
      </w:r>
      <w:r>
        <w:rPr>
          <w:rFonts w:hint="eastAsia" w:ascii="宋体" w:hAnsi="宋体" w:cs="宋体"/>
          <w:sz w:val="24"/>
          <w:szCs w:val="24"/>
          <w:lang w:bidi="ar"/>
        </w:rPr>
        <w:t>基础上编制详细的施工组织设计，并报经监理单位和建设单位审批后实施。</w:t>
      </w:r>
    </w:p>
    <w:p>
      <w:pPr>
        <w:spacing w:line="360" w:lineRule="auto"/>
        <w:rPr>
          <w:rFonts w:ascii="宋体" w:cs="宋体"/>
          <w:sz w:val="24"/>
          <w:szCs w:val="24"/>
        </w:rPr>
      </w:pPr>
      <w:r>
        <w:rPr>
          <w:rFonts w:ascii="宋体" w:hAnsi="宋体" w:cs="宋体"/>
          <w:sz w:val="24"/>
          <w:szCs w:val="24"/>
          <w:lang w:bidi="ar"/>
        </w:rPr>
        <w:t xml:space="preserve"> </w:t>
      </w:r>
    </w:p>
    <w:p>
      <w:pPr>
        <w:spacing w:line="360" w:lineRule="auto"/>
        <w:rPr>
          <w:rFonts w:ascii="宋体" w:cs="宋体"/>
          <w:sz w:val="24"/>
          <w:szCs w:val="24"/>
        </w:rPr>
      </w:pPr>
      <w:r>
        <w:rPr>
          <w:rFonts w:ascii="宋体" w:hAnsi="宋体" w:cs="宋体"/>
          <w:sz w:val="24"/>
          <w:szCs w:val="24"/>
          <w:lang w:bidi="ar"/>
        </w:rPr>
        <w:t xml:space="preserve"> </w:t>
      </w:r>
    </w:p>
    <w:p>
      <w:pPr>
        <w:spacing w:line="360" w:lineRule="auto"/>
        <w:rPr>
          <w:rFonts w:ascii="宋体" w:cs="宋体"/>
          <w:sz w:val="24"/>
          <w:szCs w:val="24"/>
        </w:rPr>
      </w:pPr>
      <w:r>
        <w:rPr>
          <w:rFonts w:ascii="宋体" w:hAnsi="宋体" w:cs="宋体"/>
          <w:sz w:val="24"/>
          <w:szCs w:val="24"/>
          <w:lang w:bidi="ar"/>
        </w:rPr>
        <w:t xml:space="preserve"> </w:t>
      </w:r>
    </w:p>
    <w:p>
      <w:pPr>
        <w:spacing w:line="360" w:lineRule="auto"/>
        <w:rPr>
          <w:rFonts w:ascii="宋体" w:cs="宋体"/>
          <w:sz w:val="24"/>
          <w:szCs w:val="24"/>
        </w:rPr>
      </w:pPr>
      <w:r>
        <w:rPr>
          <w:rFonts w:ascii="宋体" w:hAnsi="宋体" w:cs="宋体"/>
          <w:sz w:val="24"/>
          <w:szCs w:val="24"/>
          <w:lang w:bidi="ar"/>
        </w:rPr>
        <w:t xml:space="preserve"> </w:t>
      </w:r>
    </w:p>
    <w:p>
      <w:pPr>
        <w:spacing w:line="360" w:lineRule="auto"/>
        <w:rPr>
          <w:rFonts w:ascii="宋体" w:cs="宋体"/>
          <w:sz w:val="24"/>
          <w:szCs w:val="24"/>
        </w:rPr>
      </w:pPr>
      <w:r>
        <w:rPr>
          <w:rFonts w:ascii="宋体" w:hAnsi="宋体" w:cs="宋体"/>
          <w:sz w:val="24"/>
          <w:szCs w:val="24"/>
          <w:lang w:bidi="ar"/>
        </w:rPr>
        <w:t xml:space="preserve"> </w:t>
      </w:r>
    </w:p>
    <w:p>
      <w:pPr>
        <w:spacing w:line="360" w:lineRule="auto"/>
        <w:rPr>
          <w:rFonts w:ascii="宋体" w:cs="宋体"/>
          <w:sz w:val="24"/>
          <w:szCs w:val="24"/>
        </w:rPr>
      </w:pPr>
      <w:r>
        <w:rPr>
          <w:rFonts w:ascii="宋体" w:hAnsi="宋体" w:cs="宋体"/>
          <w:sz w:val="24"/>
          <w:szCs w:val="24"/>
          <w:lang w:bidi="ar"/>
        </w:rPr>
        <w:t xml:space="preserve"> </w:t>
      </w:r>
    </w:p>
    <w:p>
      <w:pPr>
        <w:widowControl/>
        <w:topLinePunct/>
        <w:adjustRightInd w:val="0"/>
        <w:snapToGrid w:val="0"/>
        <w:spacing w:line="360" w:lineRule="auto"/>
        <w:ind w:firstLine="3596" w:firstLineChars="1450"/>
        <w:jc w:val="left"/>
        <w:rPr>
          <w:spacing w:val="4"/>
          <w:kern w:val="0"/>
          <w:sz w:val="24"/>
          <w:szCs w:val="24"/>
        </w:rPr>
      </w:pPr>
      <w:r>
        <w:rPr>
          <w:rFonts w:hint="eastAsia" w:ascii="宋体" w:hAnsi="宋体" w:cs="宋体"/>
          <w:spacing w:val="4"/>
          <w:kern w:val="0"/>
          <w:sz w:val="24"/>
          <w:szCs w:val="24"/>
          <w:lang w:bidi="ar"/>
        </w:rPr>
        <w:t>投标人：</w:t>
      </w:r>
    </w:p>
    <w:p>
      <w:pPr>
        <w:widowControl/>
        <w:topLinePunct/>
        <w:adjustRightInd w:val="0"/>
        <w:snapToGrid w:val="0"/>
        <w:spacing w:line="360" w:lineRule="auto"/>
        <w:ind w:firstLine="3596" w:firstLineChars="1450"/>
        <w:jc w:val="left"/>
        <w:rPr>
          <w:spacing w:val="4"/>
          <w:kern w:val="0"/>
          <w:sz w:val="24"/>
          <w:szCs w:val="24"/>
        </w:rPr>
      </w:pPr>
      <w:r>
        <w:rPr>
          <w:rFonts w:hint="eastAsia" w:ascii="宋体" w:hAnsi="宋体" w:cs="宋体"/>
          <w:spacing w:val="4"/>
          <w:kern w:val="0"/>
          <w:sz w:val="24"/>
          <w:szCs w:val="24"/>
          <w:lang w:bidi="ar"/>
        </w:rPr>
        <w:t>日</w:t>
      </w:r>
      <w:r>
        <w:rPr>
          <w:spacing w:val="4"/>
          <w:kern w:val="0"/>
          <w:sz w:val="24"/>
          <w:szCs w:val="24"/>
          <w:lang w:bidi="ar"/>
        </w:rPr>
        <w:t xml:space="preserve">   </w:t>
      </w:r>
      <w:r>
        <w:rPr>
          <w:rFonts w:hint="eastAsia" w:ascii="宋体" w:hAnsi="宋体" w:cs="宋体"/>
          <w:spacing w:val="4"/>
          <w:kern w:val="0"/>
          <w:sz w:val="24"/>
          <w:szCs w:val="24"/>
          <w:lang w:bidi="ar"/>
        </w:rPr>
        <w:t>期：</w:t>
      </w:r>
      <w:r>
        <w:rPr>
          <w:spacing w:val="4"/>
          <w:kern w:val="0"/>
          <w:sz w:val="24"/>
          <w:szCs w:val="24"/>
          <w:lang w:bidi="ar"/>
        </w:rPr>
        <w:t xml:space="preserve">    </w:t>
      </w:r>
      <w:r>
        <w:rPr>
          <w:rFonts w:hint="eastAsia" w:ascii="宋体" w:hAnsi="宋体" w:cs="宋体"/>
          <w:spacing w:val="4"/>
          <w:kern w:val="0"/>
          <w:sz w:val="24"/>
          <w:szCs w:val="24"/>
          <w:lang w:bidi="ar"/>
        </w:rPr>
        <w:t>年</w:t>
      </w:r>
      <w:r>
        <w:rPr>
          <w:spacing w:val="4"/>
          <w:kern w:val="0"/>
          <w:sz w:val="24"/>
          <w:szCs w:val="24"/>
          <w:lang w:bidi="ar"/>
        </w:rPr>
        <w:t xml:space="preserve">    </w:t>
      </w:r>
      <w:r>
        <w:rPr>
          <w:rFonts w:hint="eastAsia" w:ascii="宋体" w:hAnsi="宋体" w:cs="宋体"/>
          <w:spacing w:val="4"/>
          <w:kern w:val="0"/>
          <w:sz w:val="24"/>
          <w:szCs w:val="24"/>
          <w:lang w:bidi="ar"/>
        </w:rPr>
        <w:t>月</w:t>
      </w:r>
      <w:r>
        <w:rPr>
          <w:spacing w:val="4"/>
          <w:kern w:val="0"/>
          <w:sz w:val="24"/>
          <w:szCs w:val="24"/>
          <w:lang w:bidi="ar"/>
        </w:rPr>
        <w:t xml:space="preserve">    </w:t>
      </w:r>
      <w:r>
        <w:rPr>
          <w:rFonts w:hint="eastAsia" w:ascii="宋体" w:hAnsi="宋体" w:cs="宋体"/>
          <w:spacing w:val="4"/>
          <w:kern w:val="0"/>
          <w:sz w:val="24"/>
          <w:szCs w:val="24"/>
          <w:lang w:bidi="ar"/>
        </w:rPr>
        <w:t>日</w:t>
      </w:r>
      <w:r>
        <w:rPr>
          <w:spacing w:val="4"/>
          <w:kern w:val="0"/>
          <w:sz w:val="24"/>
          <w:szCs w:val="24"/>
          <w:lang w:bidi="ar"/>
        </w:rPr>
        <w:t xml:space="preserve"> </w:t>
      </w:r>
    </w:p>
    <w:p>
      <w:pPr>
        <w:topLinePunct/>
        <w:adjustRightInd w:val="0"/>
        <w:snapToGrid w:val="0"/>
        <w:spacing w:line="360" w:lineRule="auto"/>
        <w:jc w:val="center"/>
        <w:rPr>
          <w:rFonts w:eastAsia="黑体"/>
          <w:spacing w:val="4"/>
          <w:sz w:val="36"/>
          <w:szCs w:val="36"/>
        </w:rPr>
      </w:pPr>
      <w:r>
        <w:rPr>
          <w:rFonts w:eastAsia="黑体"/>
          <w:spacing w:val="4"/>
          <w:sz w:val="36"/>
          <w:szCs w:val="36"/>
          <w:lang w:bidi="ar"/>
        </w:rPr>
        <w:t xml:space="preserve"> </w:t>
      </w:r>
    </w:p>
    <w:p>
      <w:pPr>
        <w:widowControl/>
        <w:spacing w:line="360" w:lineRule="auto"/>
        <w:jc w:val="left"/>
        <w:rPr>
          <w:rFonts w:hint="eastAsia" w:ascii="宋体" w:hAnsi="宋体" w:cs="宋体"/>
          <w:b/>
          <w:spacing w:val="4"/>
          <w:kern w:val="0"/>
          <w:sz w:val="32"/>
          <w:szCs w:val="32"/>
          <w:lang w:bidi="ar"/>
        </w:rPr>
      </w:pPr>
      <w:r>
        <w:rPr>
          <w:rFonts w:ascii="宋体" w:hAnsi="宋体" w:cs="宋体"/>
          <w:b/>
          <w:spacing w:val="4"/>
          <w:kern w:val="0"/>
          <w:sz w:val="32"/>
          <w:szCs w:val="32"/>
          <w:lang w:bidi="ar"/>
        </w:rPr>
        <w:br w:type="page"/>
      </w:r>
    </w:p>
    <w:p>
      <w:pPr>
        <w:topLinePunct/>
        <w:adjustRightInd w:val="0"/>
        <w:snapToGrid w:val="0"/>
        <w:spacing w:line="360" w:lineRule="auto"/>
        <w:rPr>
          <w:rFonts w:eastAsia="黑体"/>
          <w:spacing w:val="4"/>
          <w:sz w:val="36"/>
          <w:szCs w:val="36"/>
        </w:rPr>
      </w:pPr>
      <w:r>
        <w:rPr>
          <w:rFonts w:hint="eastAsia" w:ascii="宋体" w:hAnsi="宋体" w:cs="宋体"/>
          <w:b/>
          <w:spacing w:val="4"/>
          <w:kern w:val="0"/>
          <w:sz w:val="32"/>
          <w:szCs w:val="32"/>
          <w:lang w:bidi="ar"/>
        </w:rPr>
        <w:t>附：</w:t>
      </w:r>
      <w:r>
        <w:rPr>
          <w:rFonts w:ascii="黑体" w:hAnsi="宋体" w:eastAsia="黑体" w:cs="黑体"/>
          <w:spacing w:val="4"/>
          <w:sz w:val="36"/>
          <w:szCs w:val="36"/>
          <w:lang w:bidi="ar"/>
        </w:rPr>
        <w:t>施工组织设计要点</w:t>
      </w:r>
    </w:p>
    <w:p>
      <w:pPr>
        <w:topLinePunct/>
        <w:adjustRightInd w:val="0"/>
        <w:snapToGrid w:val="0"/>
        <w:spacing w:line="360" w:lineRule="auto"/>
        <w:ind w:firstLine="496" w:firstLineChars="200"/>
        <w:rPr>
          <w:rFonts w:ascii="宋体" w:cs="宋体"/>
          <w:spacing w:val="4"/>
          <w:kern w:val="0"/>
          <w:sz w:val="24"/>
          <w:szCs w:val="24"/>
        </w:rPr>
      </w:pPr>
      <w:r>
        <w:rPr>
          <w:rFonts w:hint="eastAsia" w:ascii="宋体" w:hAnsi="宋体" w:cs="宋体"/>
          <w:spacing w:val="4"/>
          <w:kern w:val="0"/>
          <w:sz w:val="24"/>
          <w:szCs w:val="24"/>
          <w:lang w:bidi="ar"/>
        </w:rPr>
        <w:t>由投标人有针对性的描述，各部分文字直接简炼，不得出现大量宣传性及无实质性意义或直接引用范本照搬照套的文字。</w:t>
      </w:r>
    </w:p>
    <w:p>
      <w:pPr>
        <w:topLinePunct/>
        <w:adjustRightInd w:val="0"/>
        <w:snapToGrid w:val="0"/>
        <w:spacing w:line="360" w:lineRule="auto"/>
        <w:ind w:firstLine="496" w:firstLineChars="200"/>
        <w:rPr>
          <w:rFonts w:ascii="宋体" w:cs="宋体"/>
          <w:spacing w:val="4"/>
          <w:kern w:val="0"/>
          <w:sz w:val="24"/>
          <w:szCs w:val="24"/>
        </w:rPr>
      </w:pPr>
      <w:r>
        <w:rPr>
          <w:rFonts w:hint="eastAsia" w:ascii="宋体" w:hAnsi="宋体" w:cs="宋体"/>
          <w:spacing w:val="4"/>
          <w:kern w:val="0"/>
          <w:sz w:val="24"/>
          <w:szCs w:val="24"/>
          <w:lang w:bidi="ar"/>
        </w:rPr>
        <w:t>施工组织设计包括但不限于以下方面内容：</w:t>
      </w:r>
    </w:p>
    <w:p>
      <w:pPr>
        <w:topLinePunct/>
        <w:adjustRightInd w:val="0"/>
        <w:snapToGrid w:val="0"/>
        <w:spacing w:line="360" w:lineRule="auto"/>
        <w:ind w:firstLine="496" w:firstLineChars="200"/>
        <w:rPr>
          <w:rFonts w:ascii="宋体" w:cs="宋体"/>
          <w:spacing w:val="4"/>
          <w:kern w:val="0"/>
          <w:sz w:val="24"/>
          <w:szCs w:val="24"/>
        </w:rPr>
      </w:pPr>
      <w:r>
        <w:rPr>
          <w:rFonts w:hint="eastAsia" w:ascii="宋体" w:hAnsi="宋体" w:cs="宋体"/>
          <w:spacing w:val="4"/>
          <w:kern w:val="0"/>
          <w:sz w:val="24"/>
          <w:szCs w:val="24"/>
          <w:lang w:bidi="ar"/>
        </w:rPr>
        <w:t>（一）工程概况</w:t>
      </w:r>
    </w:p>
    <w:p>
      <w:pPr>
        <w:topLinePunct/>
        <w:adjustRightInd w:val="0"/>
        <w:snapToGrid w:val="0"/>
        <w:spacing w:line="360" w:lineRule="auto"/>
        <w:ind w:firstLine="496" w:firstLineChars="200"/>
        <w:rPr>
          <w:rFonts w:ascii="宋体" w:cs="宋体"/>
          <w:spacing w:val="4"/>
          <w:kern w:val="0"/>
          <w:sz w:val="24"/>
          <w:szCs w:val="24"/>
        </w:rPr>
      </w:pPr>
      <w:r>
        <w:rPr>
          <w:rFonts w:hint="eastAsia" w:ascii="宋体" w:hAnsi="宋体" w:cs="宋体"/>
          <w:spacing w:val="4"/>
          <w:kern w:val="0"/>
          <w:sz w:val="24"/>
          <w:szCs w:val="24"/>
          <w:lang w:bidi="ar"/>
        </w:rPr>
        <w:t>（二）项目实施条件分析</w:t>
      </w:r>
    </w:p>
    <w:p>
      <w:pPr>
        <w:topLinePunct/>
        <w:adjustRightInd w:val="0"/>
        <w:snapToGrid w:val="0"/>
        <w:spacing w:line="360" w:lineRule="auto"/>
        <w:ind w:firstLine="496" w:firstLineChars="200"/>
        <w:rPr>
          <w:rFonts w:ascii="宋体" w:cs="宋体"/>
          <w:spacing w:val="4"/>
          <w:kern w:val="0"/>
          <w:sz w:val="24"/>
          <w:szCs w:val="24"/>
        </w:rPr>
      </w:pPr>
      <w:r>
        <w:rPr>
          <w:rFonts w:hint="eastAsia" w:ascii="宋体" w:hAnsi="宋体" w:cs="宋体"/>
          <w:spacing w:val="4"/>
          <w:kern w:val="0"/>
          <w:sz w:val="24"/>
          <w:szCs w:val="24"/>
          <w:lang w:bidi="ar"/>
        </w:rPr>
        <w:t>（三）项目管理目标</w:t>
      </w:r>
    </w:p>
    <w:p>
      <w:pPr>
        <w:topLinePunct/>
        <w:adjustRightInd w:val="0"/>
        <w:snapToGrid w:val="0"/>
        <w:spacing w:line="360" w:lineRule="auto"/>
        <w:ind w:firstLine="496" w:firstLineChars="200"/>
        <w:rPr>
          <w:rFonts w:ascii="宋体" w:cs="宋体"/>
          <w:spacing w:val="4"/>
          <w:kern w:val="0"/>
          <w:sz w:val="24"/>
          <w:szCs w:val="24"/>
        </w:rPr>
      </w:pPr>
      <w:r>
        <w:rPr>
          <w:rFonts w:hint="eastAsia" w:ascii="宋体" w:hAnsi="宋体" w:cs="宋体"/>
          <w:spacing w:val="4"/>
          <w:kern w:val="0"/>
          <w:sz w:val="24"/>
          <w:szCs w:val="24"/>
          <w:lang w:bidi="ar"/>
        </w:rPr>
        <w:t>（四）项目组织机构设置</w:t>
      </w:r>
    </w:p>
    <w:p>
      <w:pPr>
        <w:topLinePunct/>
        <w:adjustRightInd w:val="0"/>
        <w:snapToGrid w:val="0"/>
        <w:spacing w:line="360" w:lineRule="auto"/>
        <w:ind w:firstLine="496" w:firstLineChars="200"/>
        <w:rPr>
          <w:rFonts w:ascii="宋体" w:cs="宋体"/>
          <w:spacing w:val="4"/>
          <w:kern w:val="0"/>
          <w:sz w:val="24"/>
          <w:szCs w:val="24"/>
        </w:rPr>
      </w:pPr>
      <w:r>
        <w:rPr>
          <w:rFonts w:hint="eastAsia" w:ascii="宋体" w:hAnsi="宋体" w:cs="宋体"/>
          <w:spacing w:val="4"/>
          <w:kern w:val="0"/>
          <w:sz w:val="24"/>
          <w:szCs w:val="24"/>
          <w:lang w:bidi="ar"/>
        </w:rPr>
        <w:t>（五）现场管理和施工总平面图</w:t>
      </w:r>
    </w:p>
    <w:p>
      <w:pPr>
        <w:topLinePunct/>
        <w:adjustRightInd w:val="0"/>
        <w:snapToGrid w:val="0"/>
        <w:spacing w:line="360" w:lineRule="auto"/>
        <w:ind w:firstLine="496" w:firstLineChars="200"/>
        <w:rPr>
          <w:rFonts w:ascii="宋体" w:cs="宋体"/>
          <w:spacing w:val="4"/>
          <w:kern w:val="0"/>
          <w:sz w:val="24"/>
          <w:szCs w:val="24"/>
        </w:rPr>
      </w:pPr>
      <w:r>
        <w:rPr>
          <w:rFonts w:hint="eastAsia" w:ascii="宋体" w:hAnsi="宋体" w:cs="宋体"/>
          <w:spacing w:val="4"/>
          <w:kern w:val="0"/>
          <w:sz w:val="24"/>
          <w:szCs w:val="24"/>
          <w:lang w:bidi="ar"/>
        </w:rPr>
        <w:t>（六）施工部署和施工准备工作</w:t>
      </w:r>
    </w:p>
    <w:p>
      <w:pPr>
        <w:topLinePunct/>
        <w:adjustRightInd w:val="0"/>
        <w:snapToGrid w:val="0"/>
        <w:spacing w:line="360" w:lineRule="auto"/>
        <w:ind w:firstLine="496" w:firstLineChars="200"/>
        <w:rPr>
          <w:rFonts w:ascii="宋体" w:cs="宋体"/>
          <w:spacing w:val="4"/>
          <w:kern w:val="0"/>
          <w:sz w:val="24"/>
          <w:szCs w:val="24"/>
        </w:rPr>
      </w:pPr>
      <w:r>
        <w:rPr>
          <w:rFonts w:ascii="宋体" w:hAnsi="宋体" w:cs="宋体"/>
          <w:spacing w:val="4"/>
          <w:kern w:val="0"/>
          <w:sz w:val="24"/>
          <w:szCs w:val="24"/>
          <w:lang w:bidi="ar"/>
        </w:rPr>
        <w:t>1、项目管理总体安排；</w:t>
      </w:r>
    </w:p>
    <w:p>
      <w:pPr>
        <w:topLinePunct/>
        <w:adjustRightInd w:val="0"/>
        <w:snapToGrid w:val="0"/>
        <w:spacing w:line="360" w:lineRule="auto"/>
        <w:ind w:firstLine="496" w:firstLineChars="200"/>
        <w:rPr>
          <w:rFonts w:ascii="宋体" w:cs="宋体"/>
          <w:spacing w:val="4"/>
          <w:kern w:val="0"/>
          <w:sz w:val="24"/>
          <w:szCs w:val="24"/>
        </w:rPr>
      </w:pPr>
      <w:r>
        <w:rPr>
          <w:rFonts w:ascii="宋体" w:hAnsi="宋体" w:cs="宋体"/>
          <w:spacing w:val="4"/>
          <w:kern w:val="0"/>
          <w:sz w:val="24"/>
          <w:szCs w:val="24"/>
          <w:lang w:bidi="ar"/>
        </w:rPr>
        <w:t>2、施工和管理人员的准备和拟投入的最高人数和平均人数；</w:t>
      </w:r>
    </w:p>
    <w:p>
      <w:pPr>
        <w:topLinePunct/>
        <w:adjustRightInd w:val="0"/>
        <w:snapToGrid w:val="0"/>
        <w:spacing w:line="360" w:lineRule="auto"/>
        <w:ind w:firstLine="496" w:firstLineChars="200"/>
        <w:rPr>
          <w:rFonts w:ascii="宋体" w:cs="宋体"/>
          <w:spacing w:val="4"/>
          <w:kern w:val="0"/>
          <w:sz w:val="24"/>
          <w:szCs w:val="24"/>
        </w:rPr>
      </w:pPr>
      <w:r>
        <w:rPr>
          <w:rFonts w:ascii="宋体" w:hAnsi="宋体" w:cs="宋体"/>
          <w:spacing w:val="4"/>
          <w:kern w:val="0"/>
          <w:sz w:val="24"/>
          <w:szCs w:val="24"/>
          <w:lang w:bidi="ar"/>
        </w:rPr>
        <w:t>3、施工现场准备和施工程序；</w:t>
      </w:r>
    </w:p>
    <w:p>
      <w:pPr>
        <w:topLinePunct/>
        <w:adjustRightInd w:val="0"/>
        <w:snapToGrid w:val="0"/>
        <w:spacing w:line="360" w:lineRule="auto"/>
        <w:ind w:firstLine="496" w:firstLineChars="200"/>
        <w:rPr>
          <w:rFonts w:ascii="宋体" w:cs="宋体"/>
          <w:spacing w:val="4"/>
          <w:kern w:val="0"/>
          <w:sz w:val="24"/>
          <w:szCs w:val="24"/>
        </w:rPr>
      </w:pPr>
      <w:r>
        <w:rPr>
          <w:rFonts w:ascii="宋体" w:hAnsi="宋体" w:cs="宋体"/>
          <w:spacing w:val="4"/>
          <w:kern w:val="0"/>
          <w:sz w:val="24"/>
          <w:szCs w:val="24"/>
          <w:lang w:bidi="ar"/>
        </w:rPr>
        <w:t>4、施工准备工作组织和时间安排。</w:t>
      </w:r>
    </w:p>
    <w:p>
      <w:pPr>
        <w:topLinePunct/>
        <w:adjustRightInd w:val="0"/>
        <w:snapToGrid w:val="0"/>
        <w:spacing w:line="360" w:lineRule="auto"/>
        <w:ind w:firstLine="496" w:firstLineChars="200"/>
        <w:rPr>
          <w:rFonts w:ascii="宋体" w:cs="宋体"/>
          <w:spacing w:val="4"/>
          <w:kern w:val="0"/>
          <w:sz w:val="24"/>
          <w:szCs w:val="24"/>
        </w:rPr>
      </w:pPr>
      <w:r>
        <w:rPr>
          <w:rFonts w:hint="eastAsia" w:ascii="宋体" w:hAnsi="宋体" w:cs="宋体"/>
          <w:spacing w:val="4"/>
          <w:kern w:val="0"/>
          <w:sz w:val="24"/>
          <w:szCs w:val="24"/>
          <w:lang w:bidi="ar"/>
        </w:rPr>
        <w:t>（七）施工组织方案</w:t>
      </w:r>
    </w:p>
    <w:p>
      <w:pPr>
        <w:topLinePunct/>
        <w:adjustRightInd w:val="0"/>
        <w:snapToGrid w:val="0"/>
        <w:spacing w:line="360" w:lineRule="auto"/>
        <w:ind w:firstLine="496" w:firstLineChars="200"/>
        <w:rPr>
          <w:rFonts w:ascii="宋体" w:cs="宋体"/>
          <w:spacing w:val="4"/>
          <w:kern w:val="0"/>
          <w:sz w:val="24"/>
          <w:szCs w:val="24"/>
        </w:rPr>
      </w:pPr>
      <w:r>
        <w:rPr>
          <w:rFonts w:ascii="宋体" w:hAnsi="宋体" w:cs="宋体"/>
          <w:spacing w:val="4"/>
          <w:kern w:val="0"/>
          <w:sz w:val="24"/>
          <w:szCs w:val="24"/>
          <w:lang w:bidi="ar"/>
        </w:rPr>
        <w:t>1、施工流向和施工顺序；</w:t>
      </w:r>
    </w:p>
    <w:p>
      <w:pPr>
        <w:topLinePunct/>
        <w:adjustRightInd w:val="0"/>
        <w:snapToGrid w:val="0"/>
        <w:spacing w:line="360" w:lineRule="auto"/>
        <w:ind w:firstLine="496" w:firstLineChars="200"/>
        <w:rPr>
          <w:rFonts w:ascii="宋体" w:cs="宋体"/>
          <w:spacing w:val="4"/>
          <w:kern w:val="0"/>
          <w:sz w:val="24"/>
          <w:szCs w:val="24"/>
        </w:rPr>
      </w:pPr>
      <w:r>
        <w:rPr>
          <w:rFonts w:ascii="宋体" w:hAnsi="宋体" w:cs="宋体"/>
          <w:spacing w:val="4"/>
          <w:kern w:val="0"/>
          <w:sz w:val="24"/>
          <w:szCs w:val="24"/>
          <w:lang w:bidi="ar"/>
        </w:rPr>
        <w:t>2、施工阶段划分；</w:t>
      </w:r>
    </w:p>
    <w:p>
      <w:pPr>
        <w:topLinePunct/>
        <w:adjustRightInd w:val="0"/>
        <w:snapToGrid w:val="0"/>
        <w:spacing w:line="360" w:lineRule="auto"/>
        <w:ind w:firstLine="496" w:firstLineChars="200"/>
        <w:rPr>
          <w:rFonts w:ascii="宋体" w:cs="宋体"/>
          <w:spacing w:val="4"/>
          <w:kern w:val="0"/>
          <w:sz w:val="24"/>
          <w:szCs w:val="24"/>
        </w:rPr>
      </w:pPr>
      <w:r>
        <w:rPr>
          <w:rFonts w:ascii="宋体" w:hAnsi="宋体" w:cs="宋体"/>
          <w:spacing w:val="4"/>
          <w:kern w:val="0"/>
          <w:sz w:val="24"/>
          <w:szCs w:val="24"/>
          <w:lang w:bidi="ar"/>
        </w:rPr>
        <w:t>3、施工方法和施工机械选择；</w:t>
      </w:r>
    </w:p>
    <w:p>
      <w:pPr>
        <w:topLinePunct/>
        <w:adjustRightInd w:val="0"/>
        <w:snapToGrid w:val="0"/>
        <w:spacing w:line="360" w:lineRule="auto"/>
        <w:ind w:firstLine="496" w:firstLineChars="200"/>
        <w:rPr>
          <w:rFonts w:ascii="宋体" w:cs="宋体"/>
          <w:spacing w:val="4"/>
          <w:kern w:val="0"/>
          <w:sz w:val="24"/>
          <w:szCs w:val="24"/>
        </w:rPr>
      </w:pPr>
      <w:r>
        <w:rPr>
          <w:rFonts w:ascii="宋体" w:hAnsi="宋体" w:cs="宋体"/>
          <w:spacing w:val="4"/>
          <w:kern w:val="0"/>
          <w:sz w:val="24"/>
          <w:szCs w:val="24"/>
          <w:lang w:bidi="ar"/>
        </w:rPr>
        <w:t>4、安全生产和文明施工设计；</w:t>
      </w:r>
    </w:p>
    <w:p>
      <w:pPr>
        <w:topLinePunct/>
        <w:adjustRightInd w:val="0"/>
        <w:snapToGrid w:val="0"/>
        <w:spacing w:line="360" w:lineRule="auto"/>
        <w:ind w:firstLine="496" w:firstLineChars="200"/>
        <w:rPr>
          <w:rFonts w:ascii="宋体" w:cs="宋体"/>
          <w:spacing w:val="4"/>
          <w:kern w:val="0"/>
          <w:sz w:val="24"/>
          <w:szCs w:val="24"/>
        </w:rPr>
      </w:pPr>
      <w:r>
        <w:rPr>
          <w:rFonts w:ascii="宋体" w:hAnsi="宋体" w:cs="宋体"/>
          <w:spacing w:val="4"/>
          <w:kern w:val="0"/>
          <w:sz w:val="24"/>
          <w:szCs w:val="24"/>
          <w:lang w:bidi="ar"/>
        </w:rPr>
        <w:t>5、环境管理；</w:t>
      </w:r>
    </w:p>
    <w:p>
      <w:pPr>
        <w:topLinePunct/>
        <w:adjustRightInd w:val="0"/>
        <w:snapToGrid w:val="0"/>
        <w:spacing w:line="360" w:lineRule="auto"/>
        <w:ind w:firstLine="496" w:firstLineChars="200"/>
        <w:rPr>
          <w:rFonts w:ascii="宋体" w:cs="宋体"/>
          <w:spacing w:val="4"/>
          <w:kern w:val="0"/>
          <w:sz w:val="24"/>
          <w:szCs w:val="24"/>
        </w:rPr>
      </w:pPr>
      <w:r>
        <w:rPr>
          <w:rFonts w:ascii="宋体" w:hAnsi="宋体" w:cs="宋体"/>
          <w:spacing w:val="4"/>
          <w:kern w:val="0"/>
          <w:sz w:val="24"/>
          <w:szCs w:val="24"/>
          <w:lang w:bidi="ar"/>
        </w:rPr>
        <w:t>6、报装、报建方案；</w:t>
      </w:r>
    </w:p>
    <w:p>
      <w:pPr>
        <w:topLinePunct/>
        <w:adjustRightInd w:val="0"/>
        <w:snapToGrid w:val="0"/>
        <w:spacing w:line="360" w:lineRule="auto"/>
        <w:ind w:firstLine="496" w:firstLineChars="200"/>
        <w:rPr>
          <w:rFonts w:ascii="宋体" w:cs="宋体"/>
          <w:spacing w:val="4"/>
          <w:kern w:val="0"/>
          <w:sz w:val="24"/>
          <w:szCs w:val="24"/>
        </w:rPr>
      </w:pPr>
      <w:r>
        <w:rPr>
          <w:rFonts w:ascii="宋体" w:hAnsi="宋体" w:cs="宋体"/>
          <w:spacing w:val="4"/>
          <w:kern w:val="0"/>
          <w:sz w:val="24"/>
          <w:szCs w:val="24"/>
          <w:lang w:bidi="ar"/>
        </w:rPr>
        <w:t>7、调试方案；</w:t>
      </w:r>
    </w:p>
    <w:p>
      <w:pPr>
        <w:topLinePunct/>
        <w:adjustRightInd w:val="0"/>
        <w:snapToGrid w:val="0"/>
        <w:spacing w:line="360" w:lineRule="auto"/>
        <w:ind w:firstLine="496" w:firstLineChars="200"/>
        <w:rPr>
          <w:rFonts w:ascii="宋体" w:cs="宋体"/>
          <w:spacing w:val="4"/>
          <w:kern w:val="0"/>
          <w:sz w:val="24"/>
          <w:szCs w:val="24"/>
        </w:rPr>
      </w:pPr>
      <w:r>
        <w:rPr>
          <w:rFonts w:ascii="宋体" w:hAnsi="宋体" w:cs="宋体"/>
          <w:spacing w:val="4"/>
          <w:kern w:val="0"/>
          <w:sz w:val="24"/>
          <w:szCs w:val="24"/>
          <w:lang w:bidi="ar"/>
        </w:rPr>
        <w:t>8、施工方案；</w:t>
      </w:r>
    </w:p>
    <w:p>
      <w:pPr>
        <w:topLinePunct/>
        <w:adjustRightInd w:val="0"/>
        <w:snapToGrid w:val="0"/>
        <w:spacing w:line="360" w:lineRule="auto"/>
        <w:ind w:firstLine="496" w:firstLineChars="200"/>
        <w:rPr>
          <w:rFonts w:ascii="宋体" w:cs="宋体"/>
          <w:spacing w:val="4"/>
          <w:kern w:val="0"/>
          <w:sz w:val="24"/>
          <w:szCs w:val="24"/>
        </w:rPr>
      </w:pPr>
      <w:r>
        <w:rPr>
          <w:rFonts w:ascii="宋体" w:hAnsi="宋体" w:cs="宋体"/>
          <w:spacing w:val="4"/>
          <w:kern w:val="0"/>
          <w:sz w:val="24"/>
          <w:szCs w:val="24"/>
          <w:lang w:bidi="ar"/>
        </w:rPr>
        <w:t>9、其他。</w:t>
      </w:r>
    </w:p>
    <w:p>
      <w:pPr>
        <w:topLinePunct/>
        <w:adjustRightInd w:val="0"/>
        <w:snapToGrid w:val="0"/>
        <w:spacing w:line="360" w:lineRule="auto"/>
        <w:ind w:firstLine="496" w:firstLineChars="200"/>
        <w:rPr>
          <w:rFonts w:ascii="宋体" w:cs="宋体"/>
          <w:spacing w:val="4"/>
          <w:kern w:val="0"/>
          <w:sz w:val="24"/>
          <w:szCs w:val="24"/>
        </w:rPr>
      </w:pPr>
      <w:r>
        <w:rPr>
          <w:rFonts w:hint="eastAsia" w:ascii="宋体" w:hAnsi="宋体" w:cs="宋体"/>
          <w:spacing w:val="4"/>
          <w:kern w:val="0"/>
          <w:sz w:val="24"/>
          <w:szCs w:val="24"/>
          <w:lang w:bidi="ar"/>
        </w:rPr>
        <w:t>（八）施工技术组织措施计划</w:t>
      </w:r>
    </w:p>
    <w:p>
      <w:pPr>
        <w:topLinePunct/>
        <w:adjustRightInd w:val="0"/>
        <w:snapToGrid w:val="0"/>
        <w:spacing w:line="360" w:lineRule="auto"/>
        <w:ind w:firstLine="496" w:firstLineChars="200"/>
        <w:rPr>
          <w:rFonts w:ascii="宋体" w:cs="宋体"/>
          <w:spacing w:val="4"/>
          <w:kern w:val="0"/>
          <w:sz w:val="24"/>
          <w:szCs w:val="24"/>
        </w:rPr>
      </w:pPr>
      <w:r>
        <w:rPr>
          <w:rFonts w:ascii="宋体" w:hAnsi="宋体" w:cs="宋体"/>
          <w:spacing w:val="4"/>
          <w:kern w:val="0"/>
          <w:sz w:val="24"/>
          <w:szCs w:val="24"/>
          <w:lang w:bidi="ar"/>
        </w:rPr>
        <w:t>1、施工总进度计划和单项工程施工进度计划（附表1）；</w:t>
      </w:r>
    </w:p>
    <w:p>
      <w:pPr>
        <w:topLinePunct/>
        <w:adjustRightInd w:val="0"/>
        <w:snapToGrid w:val="0"/>
        <w:spacing w:line="360" w:lineRule="auto"/>
        <w:ind w:firstLine="496" w:firstLineChars="200"/>
        <w:rPr>
          <w:rFonts w:ascii="宋体" w:cs="宋体"/>
          <w:spacing w:val="4"/>
          <w:kern w:val="0"/>
          <w:sz w:val="24"/>
          <w:szCs w:val="24"/>
        </w:rPr>
      </w:pPr>
      <w:r>
        <w:rPr>
          <w:rFonts w:ascii="宋体" w:hAnsi="宋体" w:cs="宋体"/>
          <w:spacing w:val="4"/>
          <w:kern w:val="0"/>
          <w:sz w:val="24"/>
          <w:szCs w:val="24"/>
          <w:lang w:bidi="ar"/>
        </w:rPr>
        <w:t>2、保证进度的措施；</w:t>
      </w:r>
    </w:p>
    <w:p>
      <w:pPr>
        <w:topLinePunct/>
        <w:adjustRightInd w:val="0"/>
        <w:snapToGrid w:val="0"/>
        <w:spacing w:line="360" w:lineRule="auto"/>
        <w:ind w:firstLine="496" w:firstLineChars="200"/>
        <w:rPr>
          <w:rFonts w:ascii="宋体" w:cs="宋体"/>
          <w:spacing w:val="4"/>
          <w:kern w:val="0"/>
          <w:sz w:val="24"/>
          <w:szCs w:val="24"/>
        </w:rPr>
      </w:pPr>
      <w:r>
        <w:rPr>
          <w:rFonts w:ascii="宋体" w:hAnsi="宋体" w:cs="宋体"/>
          <w:spacing w:val="4"/>
          <w:kern w:val="0"/>
          <w:sz w:val="24"/>
          <w:szCs w:val="24"/>
          <w:lang w:bidi="ar"/>
        </w:rPr>
        <w:t>3、保证质量的措施；</w:t>
      </w:r>
    </w:p>
    <w:p>
      <w:pPr>
        <w:topLinePunct/>
        <w:adjustRightInd w:val="0"/>
        <w:snapToGrid w:val="0"/>
        <w:spacing w:line="360" w:lineRule="auto"/>
        <w:ind w:firstLine="496" w:firstLineChars="200"/>
        <w:rPr>
          <w:rFonts w:ascii="宋体" w:cs="宋体"/>
          <w:spacing w:val="4"/>
          <w:kern w:val="0"/>
          <w:sz w:val="24"/>
          <w:szCs w:val="24"/>
        </w:rPr>
      </w:pPr>
      <w:r>
        <w:rPr>
          <w:rFonts w:ascii="宋体" w:hAnsi="宋体" w:cs="宋体"/>
          <w:spacing w:val="4"/>
          <w:kern w:val="0"/>
          <w:sz w:val="24"/>
          <w:szCs w:val="24"/>
          <w:lang w:bidi="ar"/>
        </w:rPr>
        <w:t>4、保证安全生产和文明施工目标的措施；</w:t>
      </w:r>
    </w:p>
    <w:p>
      <w:pPr>
        <w:topLinePunct/>
        <w:adjustRightInd w:val="0"/>
        <w:snapToGrid w:val="0"/>
        <w:spacing w:line="360" w:lineRule="auto"/>
        <w:ind w:firstLine="496" w:firstLineChars="200"/>
        <w:rPr>
          <w:rFonts w:ascii="宋体" w:cs="宋体"/>
          <w:spacing w:val="4"/>
          <w:kern w:val="0"/>
          <w:sz w:val="24"/>
          <w:szCs w:val="24"/>
        </w:rPr>
      </w:pPr>
      <w:r>
        <w:rPr>
          <w:rFonts w:ascii="宋体" w:hAnsi="宋体" w:cs="宋体"/>
          <w:spacing w:val="4"/>
          <w:kern w:val="0"/>
          <w:sz w:val="24"/>
          <w:szCs w:val="24"/>
          <w:lang w:bidi="ar"/>
        </w:rPr>
        <w:t>5、保证季节施工的措施；</w:t>
      </w:r>
    </w:p>
    <w:p>
      <w:pPr>
        <w:topLinePunct/>
        <w:adjustRightInd w:val="0"/>
        <w:snapToGrid w:val="0"/>
        <w:spacing w:line="360" w:lineRule="auto"/>
        <w:ind w:firstLine="496" w:firstLineChars="200"/>
        <w:rPr>
          <w:rFonts w:ascii="宋体" w:cs="宋体"/>
          <w:spacing w:val="4"/>
          <w:kern w:val="0"/>
          <w:sz w:val="24"/>
          <w:szCs w:val="24"/>
        </w:rPr>
      </w:pPr>
      <w:r>
        <w:rPr>
          <w:rFonts w:ascii="宋体" w:hAnsi="宋体" w:cs="宋体"/>
          <w:spacing w:val="4"/>
          <w:kern w:val="0"/>
          <w:sz w:val="24"/>
          <w:szCs w:val="24"/>
          <w:lang w:bidi="ar"/>
        </w:rPr>
        <w:t>6、保证环境的措施；</w:t>
      </w:r>
    </w:p>
    <w:p>
      <w:pPr>
        <w:topLinePunct/>
        <w:adjustRightInd w:val="0"/>
        <w:snapToGrid w:val="0"/>
        <w:spacing w:line="360" w:lineRule="auto"/>
        <w:ind w:firstLine="496" w:firstLineChars="200"/>
        <w:rPr>
          <w:rFonts w:ascii="宋体" w:cs="宋体"/>
          <w:spacing w:val="4"/>
          <w:kern w:val="0"/>
          <w:sz w:val="24"/>
          <w:szCs w:val="24"/>
        </w:rPr>
      </w:pPr>
      <w:r>
        <w:rPr>
          <w:rFonts w:ascii="宋体" w:hAnsi="宋体" w:cs="宋体"/>
          <w:spacing w:val="4"/>
          <w:kern w:val="0"/>
          <w:sz w:val="24"/>
          <w:szCs w:val="24"/>
          <w:lang w:bidi="ar"/>
        </w:rPr>
        <w:t>7、成品保护措施。</w:t>
      </w:r>
    </w:p>
    <w:p>
      <w:pPr>
        <w:topLinePunct/>
        <w:adjustRightInd w:val="0"/>
        <w:snapToGrid w:val="0"/>
        <w:spacing w:line="360" w:lineRule="auto"/>
        <w:ind w:firstLine="496" w:firstLineChars="200"/>
        <w:rPr>
          <w:rFonts w:ascii="宋体" w:cs="宋体"/>
          <w:spacing w:val="4"/>
          <w:kern w:val="0"/>
          <w:sz w:val="24"/>
          <w:szCs w:val="24"/>
        </w:rPr>
      </w:pPr>
      <w:r>
        <w:rPr>
          <w:rFonts w:hint="eastAsia" w:ascii="宋体" w:hAnsi="宋体" w:cs="宋体"/>
          <w:spacing w:val="4"/>
          <w:kern w:val="0"/>
          <w:sz w:val="24"/>
          <w:szCs w:val="24"/>
          <w:lang w:bidi="ar"/>
        </w:rPr>
        <w:t>以上各项措施应包括技术措施、组织措施、经济措施及合同措施。</w:t>
      </w:r>
    </w:p>
    <w:p>
      <w:pPr>
        <w:topLinePunct/>
        <w:adjustRightInd w:val="0"/>
        <w:snapToGrid w:val="0"/>
        <w:spacing w:line="360" w:lineRule="auto"/>
        <w:ind w:firstLine="496" w:firstLineChars="200"/>
        <w:rPr>
          <w:rFonts w:ascii="宋体" w:cs="宋体"/>
          <w:spacing w:val="4"/>
          <w:kern w:val="0"/>
          <w:sz w:val="24"/>
          <w:szCs w:val="24"/>
        </w:rPr>
      </w:pPr>
      <w:r>
        <w:rPr>
          <w:rFonts w:hint="eastAsia" w:ascii="宋体" w:hAnsi="宋体" w:cs="宋体"/>
          <w:spacing w:val="4"/>
          <w:kern w:val="0"/>
          <w:sz w:val="24"/>
          <w:szCs w:val="24"/>
          <w:lang w:bidi="ar"/>
        </w:rPr>
        <w:t>（九）资源供应保障计划</w:t>
      </w:r>
    </w:p>
    <w:p>
      <w:pPr>
        <w:topLinePunct/>
        <w:adjustRightInd w:val="0"/>
        <w:snapToGrid w:val="0"/>
        <w:spacing w:line="360" w:lineRule="auto"/>
        <w:ind w:firstLine="496" w:firstLineChars="200"/>
        <w:rPr>
          <w:rFonts w:ascii="宋体" w:cs="宋体"/>
          <w:spacing w:val="4"/>
          <w:kern w:val="0"/>
          <w:sz w:val="24"/>
          <w:szCs w:val="24"/>
        </w:rPr>
      </w:pPr>
      <w:r>
        <w:rPr>
          <w:rFonts w:ascii="宋体" w:hAnsi="宋体" w:cs="宋体"/>
          <w:spacing w:val="4"/>
          <w:kern w:val="0"/>
          <w:sz w:val="24"/>
          <w:szCs w:val="24"/>
          <w:lang w:bidi="ar"/>
        </w:rPr>
        <w:t>1、劳动力需求计划（附表2）；</w:t>
      </w:r>
    </w:p>
    <w:p>
      <w:pPr>
        <w:topLinePunct/>
        <w:adjustRightInd w:val="0"/>
        <w:snapToGrid w:val="0"/>
        <w:spacing w:line="360" w:lineRule="auto"/>
        <w:ind w:firstLine="496" w:firstLineChars="200"/>
        <w:rPr>
          <w:rFonts w:ascii="宋体" w:cs="宋体"/>
          <w:spacing w:val="4"/>
          <w:kern w:val="0"/>
          <w:sz w:val="24"/>
          <w:szCs w:val="24"/>
        </w:rPr>
      </w:pPr>
      <w:r>
        <w:rPr>
          <w:rFonts w:ascii="宋体" w:hAnsi="宋体" w:cs="宋体"/>
          <w:spacing w:val="4"/>
          <w:kern w:val="0"/>
          <w:sz w:val="24"/>
          <w:szCs w:val="24"/>
          <w:lang w:bidi="ar"/>
        </w:rPr>
        <w:t>2、主要材料、设备采购计划表（附表3）；</w:t>
      </w:r>
    </w:p>
    <w:p>
      <w:pPr>
        <w:topLinePunct/>
        <w:adjustRightInd w:val="0"/>
        <w:snapToGrid w:val="0"/>
        <w:spacing w:line="360" w:lineRule="auto"/>
        <w:ind w:firstLine="496" w:firstLineChars="200"/>
        <w:rPr>
          <w:rFonts w:ascii="宋体" w:cs="宋体"/>
          <w:spacing w:val="4"/>
          <w:kern w:val="0"/>
          <w:sz w:val="24"/>
          <w:szCs w:val="24"/>
        </w:rPr>
      </w:pPr>
      <w:r>
        <w:rPr>
          <w:rFonts w:ascii="宋体" w:hAnsi="宋体" w:cs="宋体"/>
          <w:spacing w:val="4"/>
          <w:kern w:val="0"/>
          <w:sz w:val="24"/>
          <w:szCs w:val="24"/>
          <w:lang w:bidi="ar"/>
        </w:rPr>
        <w:t>3、主要材料、设备选用表；</w:t>
      </w:r>
    </w:p>
    <w:p>
      <w:pPr>
        <w:topLinePunct/>
        <w:adjustRightInd w:val="0"/>
        <w:snapToGrid w:val="0"/>
        <w:spacing w:line="360" w:lineRule="auto"/>
        <w:ind w:firstLine="496" w:firstLineChars="200"/>
        <w:rPr>
          <w:rFonts w:ascii="宋体" w:cs="宋体"/>
          <w:spacing w:val="4"/>
          <w:kern w:val="0"/>
          <w:sz w:val="24"/>
          <w:szCs w:val="24"/>
        </w:rPr>
      </w:pPr>
      <w:r>
        <w:rPr>
          <w:rFonts w:ascii="宋体" w:hAnsi="宋体" w:cs="宋体"/>
          <w:spacing w:val="4"/>
          <w:kern w:val="0"/>
          <w:sz w:val="24"/>
          <w:szCs w:val="24"/>
          <w:lang w:bidi="ar"/>
        </w:rPr>
        <w:t>4、主要机械设备及大型工具、器具需求计划（附表4）；</w:t>
      </w:r>
    </w:p>
    <w:p>
      <w:pPr>
        <w:topLinePunct/>
        <w:adjustRightInd w:val="0"/>
        <w:snapToGrid w:val="0"/>
        <w:spacing w:line="360" w:lineRule="auto"/>
        <w:ind w:firstLine="496" w:firstLineChars="200"/>
        <w:rPr>
          <w:rFonts w:ascii="宋体" w:cs="宋体"/>
          <w:spacing w:val="4"/>
          <w:kern w:val="0"/>
          <w:sz w:val="24"/>
          <w:szCs w:val="24"/>
        </w:rPr>
      </w:pPr>
      <w:r>
        <w:rPr>
          <w:rFonts w:ascii="宋体" w:hAnsi="宋体" w:cs="宋体"/>
          <w:spacing w:val="4"/>
          <w:kern w:val="0"/>
          <w:sz w:val="24"/>
          <w:szCs w:val="24"/>
          <w:lang w:bidi="ar"/>
        </w:rPr>
        <w:t>5、资金使用计划（附表5）；</w:t>
      </w:r>
    </w:p>
    <w:p>
      <w:pPr>
        <w:topLinePunct/>
        <w:adjustRightInd w:val="0"/>
        <w:snapToGrid w:val="0"/>
        <w:spacing w:line="360" w:lineRule="auto"/>
        <w:ind w:firstLine="496" w:firstLineChars="200"/>
        <w:rPr>
          <w:rFonts w:ascii="宋体" w:cs="宋体"/>
          <w:spacing w:val="4"/>
          <w:kern w:val="0"/>
          <w:sz w:val="24"/>
          <w:szCs w:val="24"/>
        </w:rPr>
      </w:pPr>
      <w:r>
        <w:rPr>
          <w:rFonts w:ascii="宋体" w:hAnsi="宋体" w:cs="宋体"/>
          <w:spacing w:val="4"/>
          <w:kern w:val="0"/>
          <w:sz w:val="24"/>
          <w:szCs w:val="24"/>
          <w:lang w:bidi="ar"/>
        </w:rPr>
        <w:t>6、材料设备供应保障措施。</w:t>
      </w:r>
    </w:p>
    <w:p>
      <w:pPr>
        <w:topLinePunct/>
        <w:adjustRightInd w:val="0"/>
        <w:snapToGrid w:val="0"/>
        <w:spacing w:line="360" w:lineRule="auto"/>
        <w:ind w:firstLine="496" w:firstLineChars="200"/>
        <w:rPr>
          <w:rFonts w:ascii="宋体" w:cs="宋体"/>
          <w:spacing w:val="4"/>
          <w:kern w:val="0"/>
          <w:sz w:val="24"/>
          <w:szCs w:val="24"/>
        </w:rPr>
      </w:pPr>
      <w:r>
        <w:rPr>
          <w:rFonts w:hint="eastAsia" w:ascii="宋体" w:hAnsi="宋体" w:cs="宋体"/>
          <w:spacing w:val="4"/>
          <w:kern w:val="0"/>
          <w:sz w:val="24"/>
          <w:szCs w:val="24"/>
          <w:lang w:bidi="ar"/>
        </w:rPr>
        <w:t>（十）项目风险预测和管理</w:t>
      </w:r>
    </w:p>
    <w:p>
      <w:pPr>
        <w:topLinePunct/>
        <w:adjustRightInd w:val="0"/>
        <w:snapToGrid w:val="0"/>
        <w:spacing w:line="360" w:lineRule="auto"/>
        <w:ind w:firstLine="496" w:firstLineChars="200"/>
        <w:rPr>
          <w:rFonts w:ascii="宋体" w:cs="宋体"/>
          <w:spacing w:val="4"/>
          <w:kern w:val="0"/>
          <w:sz w:val="24"/>
          <w:szCs w:val="24"/>
        </w:rPr>
      </w:pPr>
      <w:r>
        <w:rPr>
          <w:rFonts w:ascii="宋体" w:hAnsi="宋体" w:cs="宋体"/>
          <w:spacing w:val="4"/>
          <w:kern w:val="0"/>
          <w:sz w:val="24"/>
          <w:szCs w:val="24"/>
          <w:lang w:bidi="ar"/>
        </w:rPr>
        <w:t>1、风险管理重点；</w:t>
      </w:r>
    </w:p>
    <w:p>
      <w:pPr>
        <w:topLinePunct/>
        <w:adjustRightInd w:val="0"/>
        <w:snapToGrid w:val="0"/>
        <w:spacing w:line="360" w:lineRule="auto"/>
        <w:ind w:firstLine="496" w:firstLineChars="200"/>
        <w:rPr>
          <w:rFonts w:ascii="宋体" w:cs="宋体"/>
          <w:spacing w:val="4"/>
          <w:kern w:val="0"/>
          <w:sz w:val="24"/>
          <w:szCs w:val="24"/>
        </w:rPr>
      </w:pPr>
      <w:r>
        <w:rPr>
          <w:rFonts w:ascii="宋体" w:hAnsi="宋体" w:cs="宋体"/>
          <w:spacing w:val="4"/>
          <w:kern w:val="0"/>
          <w:sz w:val="24"/>
          <w:szCs w:val="24"/>
          <w:lang w:bidi="ar"/>
        </w:rPr>
        <w:t>2、风险防范对策；</w:t>
      </w:r>
    </w:p>
    <w:p>
      <w:pPr>
        <w:topLinePunct/>
        <w:adjustRightInd w:val="0"/>
        <w:snapToGrid w:val="0"/>
        <w:spacing w:line="360" w:lineRule="auto"/>
        <w:ind w:firstLine="496" w:firstLineChars="200"/>
        <w:rPr>
          <w:rFonts w:ascii="宋体" w:cs="宋体"/>
          <w:spacing w:val="4"/>
          <w:kern w:val="0"/>
          <w:sz w:val="24"/>
          <w:szCs w:val="24"/>
        </w:rPr>
      </w:pPr>
      <w:r>
        <w:rPr>
          <w:rFonts w:ascii="宋体" w:hAnsi="宋体" w:cs="宋体"/>
          <w:spacing w:val="4"/>
          <w:kern w:val="0"/>
          <w:sz w:val="24"/>
          <w:szCs w:val="24"/>
          <w:lang w:bidi="ar"/>
        </w:rPr>
        <w:t>3、风险管理责任。</w:t>
      </w:r>
    </w:p>
    <w:p>
      <w:pPr>
        <w:topLinePunct/>
        <w:adjustRightInd w:val="0"/>
        <w:snapToGrid w:val="0"/>
        <w:spacing w:line="360" w:lineRule="auto"/>
        <w:ind w:firstLine="496" w:firstLineChars="200"/>
        <w:rPr>
          <w:rFonts w:ascii="宋体" w:cs="宋体"/>
          <w:spacing w:val="4"/>
          <w:kern w:val="0"/>
          <w:sz w:val="24"/>
          <w:szCs w:val="24"/>
        </w:rPr>
      </w:pPr>
      <w:r>
        <w:rPr>
          <w:rFonts w:hint="eastAsia" w:ascii="宋体" w:hAnsi="宋体" w:cs="宋体"/>
          <w:spacing w:val="4"/>
          <w:kern w:val="0"/>
          <w:sz w:val="24"/>
          <w:szCs w:val="24"/>
          <w:lang w:bidi="ar"/>
        </w:rPr>
        <w:t>（十一）信息管理</w:t>
      </w:r>
    </w:p>
    <w:p>
      <w:pPr>
        <w:topLinePunct/>
        <w:adjustRightInd w:val="0"/>
        <w:snapToGrid w:val="0"/>
        <w:spacing w:line="360" w:lineRule="auto"/>
        <w:ind w:firstLine="496" w:firstLineChars="200"/>
        <w:rPr>
          <w:rFonts w:ascii="宋体" w:cs="宋体"/>
          <w:spacing w:val="4"/>
          <w:kern w:val="0"/>
          <w:sz w:val="24"/>
          <w:szCs w:val="24"/>
        </w:rPr>
      </w:pPr>
      <w:r>
        <w:rPr>
          <w:rFonts w:ascii="宋体" w:hAnsi="宋体" w:cs="宋体"/>
          <w:spacing w:val="4"/>
          <w:kern w:val="0"/>
          <w:sz w:val="24"/>
          <w:szCs w:val="24"/>
          <w:lang w:bidi="ar"/>
        </w:rPr>
        <w:t>1、与项目组织相适应的信息流通系统；</w:t>
      </w:r>
    </w:p>
    <w:p>
      <w:pPr>
        <w:topLinePunct/>
        <w:adjustRightInd w:val="0"/>
        <w:snapToGrid w:val="0"/>
        <w:spacing w:line="360" w:lineRule="auto"/>
        <w:ind w:firstLine="496" w:firstLineChars="200"/>
        <w:rPr>
          <w:rFonts w:ascii="宋体" w:cs="宋体"/>
          <w:spacing w:val="4"/>
          <w:kern w:val="0"/>
          <w:sz w:val="24"/>
          <w:szCs w:val="24"/>
        </w:rPr>
      </w:pPr>
      <w:r>
        <w:rPr>
          <w:rFonts w:ascii="宋体" w:hAnsi="宋体" w:cs="宋体"/>
          <w:spacing w:val="4"/>
          <w:kern w:val="0"/>
          <w:sz w:val="24"/>
          <w:szCs w:val="24"/>
          <w:lang w:bidi="ar"/>
        </w:rPr>
        <w:t>2、与招标人的项目信息管理处理系统软硬件相配套的资源配置；</w:t>
      </w:r>
    </w:p>
    <w:p>
      <w:pPr>
        <w:topLinePunct/>
        <w:adjustRightInd w:val="0"/>
        <w:snapToGrid w:val="0"/>
        <w:spacing w:line="360" w:lineRule="auto"/>
        <w:ind w:firstLine="496" w:firstLineChars="200"/>
        <w:rPr>
          <w:rFonts w:ascii="宋体" w:cs="宋体"/>
          <w:spacing w:val="4"/>
          <w:kern w:val="0"/>
          <w:sz w:val="24"/>
          <w:szCs w:val="24"/>
        </w:rPr>
      </w:pPr>
      <w:r>
        <w:rPr>
          <w:rFonts w:ascii="宋体" w:hAnsi="宋体" w:cs="宋体"/>
          <w:spacing w:val="4"/>
          <w:kern w:val="0"/>
          <w:sz w:val="24"/>
          <w:szCs w:val="24"/>
          <w:lang w:bidi="ar"/>
        </w:rPr>
        <w:t>3、信息管理实施规划。</w:t>
      </w:r>
    </w:p>
    <w:p>
      <w:pPr>
        <w:topLinePunct/>
        <w:adjustRightInd w:val="0"/>
        <w:snapToGrid w:val="0"/>
        <w:spacing w:line="360" w:lineRule="auto"/>
        <w:ind w:firstLine="496" w:firstLineChars="200"/>
        <w:rPr>
          <w:rFonts w:ascii="宋体" w:cs="宋体"/>
          <w:spacing w:val="4"/>
          <w:kern w:val="0"/>
          <w:sz w:val="24"/>
          <w:szCs w:val="24"/>
        </w:rPr>
      </w:pPr>
      <w:r>
        <w:rPr>
          <w:rFonts w:hint="eastAsia" w:ascii="宋体" w:hAnsi="宋体" w:cs="宋体"/>
          <w:spacing w:val="4"/>
          <w:kern w:val="0"/>
          <w:sz w:val="24"/>
          <w:szCs w:val="24"/>
          <w:lang w:bidi="ar"/>
        </w:rPr>
        <w:t>（十二）建筑垃圾处理方案</w:t>
      </w:r>
    </w:p>
    <w:p>
      <w:pPr>
        <w:topLinePunct/>
        <w:adjustRightInd w:val="0"/>
        <w:snapToGrid w:val="0"/>
        <w:spacing w:line="360" w:lineRule="auto"/>
        <w:ind w:firstLine="496" w:firstLineChars="200"/>
        <w:rPr>
          <w:rFonts w:ascii="宋体" w:cs="宋体"/>
          <w:spacing w:val="4"/>
          <w:kern w:val="0"/>
          <w:sz w:val="24"/>
          <w:szCs w:val="24"/>
        </w:rPr>
      </w:pPr>
      <w:r>
        <w:rPr>
          <w:rFonts w:ascii="宋体" w:hAnsi="宋体" w:cs="宋体"/>
          <w:spacing w:val="4"/>
          <w:kern w:val="0"/>
          <w:sz w:val="24"/>
          <w:szCs w:val="24"/>
          <w:lang w:bidi="ar"/>
        </w:rPr>
        <w:t>1、工程概况和施工单位基本信息；</w:t>
      </w:r>
    </w:p>
    <w:p>
      <w:pPr>
        <w:topLinePunct/>
        <w:adjustRightInd w:val="0"/>
        <w:snapToGrid w:val="0"/>
        <w:spacing w:line="360" w:lineRule="auto"/>
        <w:ind w:firstLine="496" w:firstLineChars="200"/>
        <w:rPr>
          <w:rFonts w:ascii="宋体" w:cs="宋体"/>
          <w:spacing w:val="4"/>
          <w:kern w:val="0"/>
          <w:sz w:val="24"/>
          <w:szCs w:val="24"/>
        </w:rPr>
      </w:pPr>
      <w:r>
        <w:rPr>
          <w:rFonts w:ascii="宋体" w:hAnsi="宋体" w:cs="宋体"/>
          <w:spacing w:val="4"/>
          <w:kern w:val="0"/>
          <w:sz w:val="24"/>
          <w:szCs w:val="24"/>
          <w:lang w:bidi="ar"/>
        </w:rPr>
        <w:t>2、建筑垃圾产生量与种类；</w:t>
      </w:r>
    </w:p>
    <w:p>
      <w:pPr>
        <w:topLinePunct/>
        <w:adjustRightInd w:val="0"/>
        <w:snapToGrid w:val="0"/>
        <w:spacing w:line="360" w:lineRule="auto"/>
        <w:ind w:firstLine="496" w:firstLineChars="200"/>
        <w:rPr>
          <w:rFonts w:ascii="宋体" w:cs="宋体"/>
          <w:spacing w:val="4"/>
          <w:kern w:val="0"/>
          <w:sz w:val="24"/>
          <w:szCs w:val="24"/>
        </w:rPr>
      </w:pPr>
      <w:r>
        <w:rPr>
          <w:rFonts w:ascii="宋体" w:hAnsi="宋体" w:cs="宋体"/>
          <w:spacing w:val="4"/>
          <w:kern w:val="0"/>
          <w:sz w:val="24"/>
          <w:szCs w:val="24"/>
          <w:lang w:bidi="ar"/>
        </w:rPr>
        <w:t>3、建筑垃圾源头减量、分类收集、综合利用、污染防治的措施和目标；</w:t>
      </w:r>
    </w:p>
    <w:p>
      <w:pPr>
        <w:topLinePunct/>
        <w:adjustRightInd w:val="0"/>
        <w:snapToGrid w:val="0"/>
        <w:spacing w:line="360" w:lineRule="auto"/>
        <w:ind w:firstLine="496" w:firstLineChars="200"/>
        <w:rPr>
          <w:rFonts w:ascii="宋体" w:cs="宋体"/>
          <w:spacing w:val="4"/>
          <w:kern w:val="0"/>
          <w:sz w:val="24"/>
          <w:szCs w:val="24"/>
        </w:rPr>
      </w:pPr>
      <w:r>
        <w:rPr>
          <w:rFonts w:ascii="宋体" w:hAnsi="宋体" w:cs="宋体"/>
          <w:spacing w:val="4"/>
          <w:kern w:val="0"/>
          <w:sz w:val="24"/>
          <w:szCs w:val="24"/>
          <w:lang w:bidi="ar"/>
        </w:rPr>
        <w:t>4、需要外运的建筑垃圾种类、数量与运输的时间、路线、方式和运输单位；</w:t>
      </w:r>
    </w:p>
    <w:p>
      <w:pPr>
        <w:topLinePunct/>
        <w:adjustRightInd w:val="0"/>
        <w:snapToGrid w:val="0"/>
        <w:spacing w:line="360" w:lineRule="auto"/>
        <w:ind w:firstLine="496" w:firstLineChars="200"/>
        <w:rPr>
          <w:rFonts w:ascii="宋体" w:cs="宋体"/>
          <w:spacing w:val="4"/>
          <w:kern w:val="0"/>
          <w:sz w:val="24"/>
          <w:szCs w:val="24"/>
        </w:rPr>
      </w:pPr>
      <w:r>
        <w:rPr>
          <w:rFonts w:ascii="宋体" w:hAnsi="宋体" w:cs="宋体"/>
          <w:spacing w:val="4"/>
          <w:kern w:val="0"/>
          <w:sz w:val="24"/>
          <w:szCs w:val="24"/>
          <w:lang w:bidi="ar"/>
        </w:rPr>
        <w:t>5、建筑垃圾回填、消纳、综合利用场所名称；</w:t>
      </w:r>
    </w:p>
    <w:p>
      <w:pPr>
        <w:topLinePunct/>
        <w:adjustRightInd w:val="0"/>
        <w:snapToGrid w:val="0"/>
        <w:spacing w:line="360" w:lineRule="auto"/>
        <w:ind w:firstLine="496" w:firstLineChars="200"/>
        <w:rPr>
          <w:rFonts w:ascii="宋体" w:cs="宋体"/>
          <w:spacing w:val="4"/>
          <w:kern w:val="0"/>
          <w:sz w:val="24"/>
          <w:szCs w:val="24"/>
        </w:rPr>
      </w:pPr>
      <w:r>
        <w:rPr>
          <w:rFonts w:ascii="宋体" w:hAnsi="宋体" w:cs="宋体"/>
          <w:spacing w:val="4"/>
          <w:kern w:val="0"/>
          <w:sz w:val="24"/>
          <w:szCs w:val="24"/>
          <w:lang w:bidi="ar"/>
        </w:rPr>
        <w:t>6、法律、法规规定的其他内容。</w:t>
      </w:r>
    </w:p>
    <w:p>
      <w:pPr>
        <w:topLinePunct/>
        <w:adjustRightInd w:val="0"/>
        <w:snapToGrid w:val="0"/>
        <w:spacing w:line="360" w:lineRule="auto"/>
        <w:ind w:firstLine="496" w:firstLineChars="200"/>
        <w:rPr>
          <w:rFonts w:ascii="宋体" w:cs="宋体"/>
          <w:spacing w:val="4"/>
          <w:kern w:val="0"/>
          <w:sz w:val="24"/>
          <w:szCs w:val="24"/>
        </w:rPr>
      </w:pPr>
      <w:r>
        <w:rPr>
          <w:rFonts w:hint="eastAsia" w:ascii="宋体" w:hAnsi="宋体" w:cs="宋体"/>
          <w:spacing w:val="4"/>
          <w:kern w:val="0"/>
          <w:sz w:val="24"/>
          <w:szCs w:val="24"/>
          <w:lang w:bidi="ar"/>
        </w:rPr>
        <w:t>（十三）其它</w:t>
      </w:r>
    </w:p>
    <w:p>
      <w:pPr>
        <w:topLinePunct/>
        <w:adjustRightInd w:val="0"/>
        <w:snapToGrid w:val="0"/>
        <w:spacing w:line="360" w:lineRule="auto"/>
        <w:ind w:firstLine="496" w:firstLineChars="200"/>
        <w:rPr>
          <w:rFonts w:hint="eastAsia" w:ascii="宋体" w:eastAsia="宋体" w:cs="宋体"/>
          <w:spacing w:val="4"/>
          <w:kern w:val="0"/>
          <w:sz w:val="24"/>
          <w:szCs w:val="24"/>
          <w:lang w:eastAsia="zh-CN"/>
        </w:rPr>
      </w:pPr>
      <w:r>
        <w:rPr>
          <w:rFonts w:ascii="宋体" w:hAnsi="宋体" w:cs="宋体"/>
          <w:spacing w:val="4"/>
          <w:kern w:val="0"/>
          <w:sz w:val="24"/>
          <w:szCs w:val="24"/>
          <w:lang w:bidi="ar"/>
        </w:rPr>
        <w:t>1、质保期服务方案</w:t>
      </w:r>
      <w:r>
        <w:rPr>
          <w:rFonts w:hint="eastAsia" w:ascii="宋体" w:hAnsi="宋体" w:cs="宋体"/>
          <w:spacing w:val="4"/>
          <w:kern w:val="0"/>
          <w:sz w:val="24"/>
          <w:szCs w:val="24"/>
          <w:lang w:eastAsia="zh-CN" w:bidi="ar"/>
        </w:rPr>
        <w:t>。</w:t>
      </w:r>
    </w:p>
    <w:p>
      <w:pPr>
        <w:topLinePunct/>
        <w:adjustRightInd w:val="0"/>
        <w:snapToGrid w:val="0"/>
        <w:spacing w:line="360" w:lineRule="auto"/>
        <w:jc w:val="left"/>
        <w:rPr>
          <w:rFonts w:hint="eastAsia" w:ascii="宋体" w:hAnsi="宋体"/>
          <w:spacing w:val="4"/>
          <w:kern w:val="0"/>
          <w:sz w:val="24"/>
          <w:szCs w:val="24"/>
        </w:rPr>
      </w:pPr>
      <w:r>
        <w:rPr>
          <w:rFonts w:ascii="宋体" w:hAnsi="宋体"/>
          <w:spacing w:val="4"/>
          <w:kern w:val="0"/>
          <w:sz w:val="24"/>
          <w:szCs w:val="24"/>
          <w:lang w:bidi="ar"/>
        </w:rPr>
        <w:t xml:space="preserve"> </w:t>
      </w:r>
    </w:p>
    <w:p>
      <w:pPr>
        <w:widowControl/>
        <w:spacing w:line="360" w:lineRule="auto"/>
        <w:jc w:val="left"/>
        <w:rPr>
          <w:rFonts w:hint="eastAsia" w:ascii="宋体" w:hAnsi="宋体" w:cs="宋体"/>
          <w:b/>
          <w:spacing w:val="4"/>
          <w:kern w:val="0"/>
          <w:sz w:val="24"/>
          <w:szCs w:val="24"/>
        </w:rPr>
      </w:pPr>
      <w:r>
        <w:rPr>
          <w:rFonts w:ascii="宋体" w:hAnsi="宋体" w:cs="宋体"/>
          <w:b/>
          <w:spacing w:val="4"/>
          <w:kern w:val="0"/>
          <w:sz w:val="24"/>
          <w:szCs w:val="24"/>
          <w:lang w:bidi="ar"/>
        </w:rPr>
        <w:br w:type="page"/>
      </w:r>
    </w:p>
    <w:p>
      <w:pPr>
        <w:topLinePunct/>
        <w:adjustRightInd w:val="0"/>
        <w:snapToGrid w:val="0"/>
        <w:spacing w:line="360" w:lineRule="auto"/>
        <w:outlineLvl w:val="3"/>
        <w:rPr>
          <w:rFonts w:ascii="宋体" w:cs="宋体"/>
          <w:b/>
          <w:spacing w:val="4"/>
          <w:kern w:val="0"/>
          <w:sz w:val="24"/>
          <w:szCs w:val="24"/>
        </w:rPr>
      </w:pPr>
      <w:r>
        <w:rPr>
          <w:rFonts w:hint="eastAsia" w:ascii="宋体" w:hAnsi="宋体" w:cs="宋体"/>
          <w:b/>
          <w:spacing w:val="4"/>
          <w:kern w:val="0"/>
          <w:sz w:val="24"/>
          <w:szCs w:val="24"/>
          <w:lang w:bidi="ar"/>
        </w:rPr>
        <w:t>附表</w:t>
      </w:r>
      <w:r>
        <w:rPr>
          <w:rFonts w:ascii="宋体" w:hAnsi="宋体" w:cs="宋体"/>
          <w:b/>
          <w:spacing w:val="4"/>
          <w:kern w:val="0"/>
          <w:sz w:val="24"/>
          <w:szCs w:val="24"/>
          <w:lang w:bidi="ar"/>
        </w:rPr>
        <w:t>1：施工进度计划表</w:t>
      </w:r>
    </w:p>
    <w:p>
      <w:pPr>
        <w:topLinePunct/>
        <w:adjustRightInd w:val="0"/>
        <w:snapToGrid w:val="0"/>
        <w:spacing w:line="360" w:lineRule="auto"/>
        <w:jc w:val="center"/>
        <w:rPr>
          <w:rFonts w:ascii="宋体" w:cs="宋体"/>
          <w:b/>
          <w:spacing w:val="4"/>
          <w:kern w:val="0"/>
          <w:sz w:val="36"/>
          <w:szCs w:val="36"/>
        </w:rPr>
      </w:pPr>
      <w:r>
        <w:rPr>
          <w:rFonts w:hint="eastAsia" w:ascii="宋体" w:hAnsi="宋体" w:cs="宋体"/>
          <w:b/>
          <w:spacing w:val="4"/>
          <w:kern w:val="0"/>
          <w:sz w:val="36"/>
          <w:szCs w:val="36"/>
          <w:lang w:bidi="ar"/>
        </w:rPr>
        <w:t>施工进度计划表</w:t>
      </w:r>
    </w:p>
    <w:tbl>
      <w:tblPr>
        <w:tblStyle w:val="36"/>
        <w:tblW w:w="9348"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468"/>
        <w:gridCol w:w="876"/>
        <w:gridCol w:w="720"/>
        <w:gridCol w:w="776"/>
        <w:gridCol w:w="540"/>
        <w:gridCol w:w="540"/>
        <w:gridCol w:w="540"/>
        <w:gridCol w:w="540"/>
        <w:gridCol w:w="540"/>
        <w:gridCol w:w="540"/>
        <w:gridCol w:w="540"/>
        <w:gridCol w:w="540"/>
        <w:gridCol w:w="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Cs w:val="21"/>
              </w:rPr>
            </w:pPr>
            <w:r>
              <w:rPr>
                <w:rFonts w:hint="eastAsia" w:ascii="宋体" w:hAnsi="宋体" w:cs="宋体"/>
                <w:szCs w:val="21"/>
                <w:lang w:bidi="ar"/>
              </w:rPr>
              <w:t>序号</w:t>
            </w:r>
          </w:p>
        </w:tc>
        <w:tc>
          <w:tcPr>
            <w:tcW w:w="1468"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Cs w:val="21"/>
              </w:rPr>
            </w:pPr>
            <w:r>
              <w:rPr>
                <w:rFonts w:hint="eastAsia" w:ascii="宋体" w:hAnsi="宋体" w:cs="宋体"/>
                <w:szCs w:val="21"/>
                <w:lang w:bidi="ar"/>
              </w:rPr>
              <w:t>工程项目</w:t>
            </w:r>
          </w:p>
        </w:tc>
        <w:tc>
          <w:tcPr>
            <w:tcW w:w="876"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Cs w:val="21"/>
              </w:rPr>
            </w:pPr>
            <w:r>
              <w:rPr>
                <w:rFonts w:hint="eastAsia" w:ascii="宋体" w:hAnsi="宋体" w:cs="宋体"/>
                <w:szCs w:val="21"/>
                <w:lang w:bidi="ar"/>
              </w:rPr>
              <w:t>工程量</w:t>
            </w:r>
          </w:p>
        </w:tc>
        <w:tc>
          <w:tcPr>
            <w:tcW w:w="720"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Cs w:val="21"/>
              </w:rPr>
            </w:pPr>
            <w:r>
              <w:rPr>
                <w:rFonts w:hint="eastAsia" w:ascii="宋体" w:hAnsi="宋体" w:cs="宋体"/>
                <w:szCs w:val="21"/>
                <w:lang w:bidi="ar"/>
              </w:rPr>
              <w:t>开工时间</w:t>
            </w:r>
          </w:p>
        </w:tc>
        <w:tc>
          <w:tcPr>
            <w:tcW w:w="776"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Cs w:val="21"/>
              </w:rPr>
            </w:pPr>
            <w:r>
              <w:rPr>
                <w:rFonts w:hint="eastAsia" w:ascii="宋体" w:hAnsi="宋体" w:cs="宋体"/>
                <w:szCs w:val="21"/>
                <w:lang w:bidi="ar"/>
              </w:rPr>
              <w:t>完工时间</w:t>
            </w:r>
          </w:p>
        </w:tc>
        <w:tc>
          <w:tcPr>
            <w:tcW w:w="4860"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Cs w:val="21"/>
              </w:rPr>
            </w:pPr>
            <w:r>
              <w:rPr>
                <w:rFonts w:hint="eastAsia" w:ascii="宋体" w:hAnsi="宋体" w:cs="宋体"/>
                <w:szCs w:val="21"/>
                <w:lang w:bidi="ar"/>
              </w:rPr>
              <w:t>进度计划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sz w:val="20"/>
                <w:szCs w:val="20"/>
              </w:rPr>
            </w:pPr>
          </w:p>
        </w:tc>
        <w:tc>
          <w:tcPr>
            <w:tcW w:w="1468"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sz w:val="20"/>
                <w:szCs w:val="20"/>
              </w:rPr>
            </w:pPr>
          </w:p>
        </w:tc>
        <w:tc>
          <w:tcPr>
            <w:tcW w:w="876"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sz w:val="20"/>
                <w:szCs w:val="20"/>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sz w:val="20"/>
                <w:szCs w:val="20"/>
              </w:rPr>
            </w:pPr>
          </w:p>
        </w:tc>
        <w:tc>
          <w:tcPr>
            <w:tcW w:w="776"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sz w:val="20"/>
                <w:szCs w:val="20"/>
              </w:rPr>
            </w:pPr>
          </w:p>
        </w:tc>
        <w:tc>
          <w:tcPr>
            <w:tcW w:w="4860"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Cs w:val="21"/>
              </w:rPr>
            </w:pPr>
            <w:r>
              <w:rPr>
                <w:rFonts w:ascii="宋体" w:hAnsi="宋体" w:cs="宋体"/>
                <w:szCs w:val="21"/>
                <w:lang w:bidi="ar"/>
              </w:rPr>
              <w:t>20</w:t>
            </w:r>
            <w:r>
              <w:rPr>
                <w:rFonts w:ascii="宋体" w:hAnsi="宋体" w:cs="宋体"/>
                <w:szCs w:val="21"/>
                <w:u w:val="single"/>
                <w:lang w:bidi="ar"/>
              </w:rPr>
              <w:t xml:space="preserve">   </w:t>
            </w:r>
            <w:r>
              <w:rPr>
                <w:rFonts w:hint="eastAsia" w:ascii="宋体" w:hAnsi="宋体" w:cs="宋体"/>
                <w:szCs w:val="21"/>
                <w:lang w:bidi="ar"/>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648"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sz w:val="20"/>
                <w:szCs w:val="20"/>
              </w:rPr>
            </w:pPr>
          </w:p>
        </w:tc>
        <w:tc>
          <w:tcPr>
            <w:tcW w:w="1468"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sz w:val="20"/>
                <w:szCs w:val="20"/>
              </w:rPr>
            </w:pPr>
          </w:p>
        </w:tc>
        <w:tc>
          <w:tcPr>
            <w:tcW w:w="876"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sz w:val="20"/>
                <w:szCs w:val="20"/>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sz w:val="20"/>
                <w:szCs w:val="20"/>
              </w:rPr>
            </w:pPr>
          </w:p>
        </w:tc>
        <w:tc>
          <w:tcPr>
            <w:tcW w:w="776"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sz w:val="20"/>
                <w:szCs w:val="20"/>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r>
              <w:rPr>
                <w:rFonts w:ascii="宋体" w:hAnsi="宋体" w:cs="宋体"/>
                <w:szCs w:val="21"/>
                <w:lang w:bidi="ar"/>
              </w:rPr>
              <w:t>1</w:t>
            </w:r>
          </w:p>
        </w:tc>
        <w:tc>
          <w:tcPr>
            <w:tcW w:w="146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r>
              <w:rPr>
                <w:rFonts w:hint="eastAsia" w:ascii="宋体" w:hAnsi="宋体" w:cs="宋体"/>
                <w:szCs w:val="21"/>
                <w:lang w:bidi="ar"/>
              </w:rPr>
              <w:t>施工准备</w:t>
            </w:r>
          </w:p>
        </w:tc>
        <w:tc>
          <w:tcPr>
            <w:tcW w:w="87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77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r>
              <w:rPr>
                <w:rFonts w:ascii="宋体" w:hAnsi="宋体" w:cs="宋体"/>
                <w:szCs w:val="21"/>
                <w:lang w:bidi="ar"/>
              </w:rPr>
              <w:t>2</w:t>
            </w:r>
          </w:p>
        </w:tc>
        <w:tc>
          <w:tcPr>
            <w:tcW w:w="146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r>
              <w:rPr>
                <w:rFonts w:hint="eastAsia" w:ascii="宋体" w:hAnsi="宋体" w:cs="宋体"/>
                <w:szCs w:val="21"/>
                <w:lang w:bidi="ar"/>
              </w:rPr>
              <w:t>……工程</w:t>
            </w:r>
          </w:p>
        </w:tc>
        <w:tc>
          <w:tcPr>
            <w:tcW w:w="87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77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r>
              <w:rPr>
                <w:rFonts w:ascii="宋体" w:hAnsi="宋体" w:cs="宋体"/>
                <w:szCs w:val="21"/>
                <w:lang w:bidi="ar"/>
              </w:rPr>
              <w:t>3</w:t>
            </w:r>
          </w:p>
        </w:tc>
        <w:tc>
          <w:tcPr>
            <w:tcW w:w="146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r>
              <w:rPr>
                <w:rFonts w:hint="eastAsia" w:ascii="宋体" w:hAnsi="宋体" w:cs="宋体"/>
                <w:szCs w:val="21"/>
                <w:lang w:bidi="ar"/>
              </w:rPr>
              <w:t>……工程</w:t>
            </w:r>
          </w:p>
        </w:tc>
        <w:tc>
          <w:tcPr>
            <w:tcW w:w="87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77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r>
              <w:rPr>
                <w:rFonts w:ascii="宋体" w:hAnsi="宋体" w:cs="宋体"/>
                <w:szCs w:val="21"/>
                <w:lang w:bidi="ar"/>
              </w:rPr>
              <w:t>4</w:t>
            </w:r>
          </w:p>
        </w:tc>
        <w:tc>
          <w:tcPr>
            <w:tcW w:w="146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r>
              <w:rPr>
                <w:rFonts w:hint="eastAsia" w:ascii="宋体" w:hAnsi="宋体" w:cs="宋体"/>
                <w:szCs w:val="21"/>
                <w:lang w:bidi="ar"/>
              </w:rPr>
              <w:t>……工程</w:t>
            </w:r>
          </w:p>
        </w:tc>
        <w:tc>
          <w:tcPr>
            <w:tcW w:w="87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77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r>
              <w:rPr>
                <w:rFonts w:ascii="宋体" w:hAnsi="宋体" w:cs="宋体"/>
                <w:szCs w:val="21"/>
                <w:lang w:bidi="ar"/>
              </w:rPr>
              <w:t>5</w:t>
            </w:r>
          </w:p>
        </w:tc>
        <w:tc>
          <w:tcPr>
            <w:tcW w:w="146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r>
              <w:rPr>
                <w:rFonts w:hint="eastAsia" w:ascii="宋体" w:hAnsi="宋体" w:cs="宋体"/>
                <w:szCs w:val="21"/>
                <w:lang w:bidi="ar"/>
              </w:rPr>
              <w:t>……工程</w:t>
            </w:r>
          </w:p>
        </w:tc>
        <w:tc>
          <w:tcPr>
            <w:tcW w:w="87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77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r>
              <w:rPr>
                <w:rFonts w:ascii="宋体" w:hAnsi="宋体" w:cs="宋体"/>
                <w:szCs w:val="21"/>
                <w:lang w:bidi="ar"/>
              </w:rPr>
              <w:t>6</w:t>
            </w:r>
          </w:p>
        </w:tc>
        <w:tc>
          <w:tcPr>
            <w:tcW w:w="146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87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77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r>
              <w:rPr>
                <w:rFonts w:ascii="宋体" w:hAnsi="宋体" w:cs="宋体"/>
                <w:szCs w:val="21"/>
                <w:lang w:bidi="ar"/>
              </w:rPr>
              <w:t>7</w:t>
            </w:r>
          </w:p>
        </w:tc>
        <w:tc>
          <w:tcPr>
            <w:tcW w:w="146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87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77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r>
              <w:rPr>
                <w:rFonts w:ascii="宋体" w:hAnsi="宋体" w:cs="宋体"/>
                <w:szCs w:val="21"/>
                <w:lang w:bidi="ar"/>
              </w:rPr>
              <w:t>8</w:t>
            </w:r>
          </w:p>
        </w:tc>
        <w:tc>
          <w:tcPr>
            <w:tcW w:w="146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87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77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r>
              <w:rPr>
                <w:rFonts w:ascii="宋体" w:hAnsi="宋体" w:cs="宋体"/>
                <w:szCs w:val="21"/>
                <w:lang w:bidi="ar"/>
              </w:rPr>
              <w:t>9</w:t>
            </w:r>
          </w:p>
        </w:tc>
        <w:tc>
          <w:tcPr>
            <w:tcW w:w="146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87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77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r>
              <w:rPr>
                <w:rFonts w:ascii="宋体" w:hAnsi="宋体" w:cs="宋体"/>
                <w:szCs w:val="21"/>
                <w:lang w:bidi="ar"/>
              </w:rPr>
              <w:t>10</w:t>
            </w:r>
          </w:p>
        </w:tc>
        <w:tc>
          <w:tcPr>
            <w:tcW w:w="146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87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77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r>
              <w:rPr>
                <w:rFonts w:ascii="宋体" w:hAnsi="宋体" w:cs="宋体"/>
                <w:szCs w:val="21"/>
                <w:lang w:bidi="ar"/>
              </w:rPr>
              <w:t>11</w:t>
            </w:r>
          </w:p>
        </w:tc>
        <w:tc>
          <w:tcPr>
            <w:tcW w:w="146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87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77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r>
              <w:rPr>
                <w:rFonts w:ascii="宋体" w:hAnsi="宋体" w:cs="宋体"/>
                <w:szCs w:val="21"/>
                <w:lang w:bidi="ar"/>
              </w:rPr>
              <w:t>12</w:t>
            </w:r>
          </w:p>
        </w:tc>
        <w:tc>
          <w:tcPr>
            <w:tcW w:w="146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r>
              <w:rPr>
                <w:rFonts w:hint="eastAsia" w:ascii="宋体" w:hAnsi="宋体" w:cs="宋体"/>
                <w:szCs w:val="21"/>
                <w:lang w:bidi="ar"/>
              </w:rPr>
              <w:t>……</w:t>
            </w:r>
          </w:p>
        </w:tc>
        <w:tc>
          <w:tcPr>
            <w:tcW w:w="87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77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r>
    </w:tbl>
    <w:p>
      <w:pPr>
        <w:topLinePunct/>
        <w:adjustRightInd w:val="0"/>
        <w:snapToGrid w:val="0"/>
        <w:spacing w:line="360" w:lineRule="auto"/>
        <w:ind w:firstLine="496" w:firstLineChars="200"/>
        <w:rPr>
          <w:rFonts w:ascii="宋体" w:cs="宋体"/>
          <w:spacing w:val="4"/>
          <w:kern w:val="0"/>
          <w:sz w:val="24"/>
          <w:szCs w:val="24"/>
        </w:rPr>
      </w:pPr>
      <w:r>
        <w:rPr>
          <w:rFonts w:ascii="宋体" w:hAnsi="宋体" w:cs="宋体"/>
          <w:spacing w:val="4"/>
          <w:kern w:val="0"/>
          <w:sz w:val="24"/>
          <w:szCs w:val="24"/>
          <w:lang w:bidi="ar"/>
        </w:rPr>
        <w:t xml:space="preserve"> </w:t>
      </w:r>
    </w:p>
    <w:p>
      <w:pPr>
        <w:topLinePunct/>
        <w:adjustRightInd w:val="0"/>
        <w:snapToGrid w:val="0"/>
        <w:spacing w:line="360" w:lineRule="auto"/>
        <w:ind w:firstLine="3596" w:firstLineChars="1450"/>
        <w:rPr>
          <w:rFonts w:ascii="宋体" w:cs="宋体"/>
          <w:spacing w:val="4"/>
          <w:kern w:val="0"/>
          <w:sz w:val="24"/>
          <w:szCs w:val="24"/>
        </w:rPr>
      </w:pPr>
      <w:r>
        <w:rPr>
          <w:rFonts w:ascii="宋体" w:hAnsi="宋体" w:cs="宋体"/>
          <w:spacing w:val="4"/>
          <w:kern w:val="0"/>
          <w:sz w:val="24"/>
          <w:szCs w:val="24"/>
          <w:lang w:bidi="ar"/>
        </w:rPr>
        <w:t xml:space="preserve"> </w:t>
      </w:r>
    </w:p>
    <w:p>
      <w:pPr>
        <w:topLinePunct/>
        <w:adjustRightInd w:val="0"/>
        <w:snapToGrid w:val="0"/>
        <w:spacing w:line="360" w:lineRule="auto"/>
        <w:ind w:firstLine="199" w:firstLineChars="80"/>
        <w:outlineLvl w:val="3"/>
        <w:rPr>
          <w:rFonts w:ascii="宋体" w:cs="宋体"/>
          <w:b/>
          <w:spacing w:val="4"/>
          <w:kern w:val="0"/>
          <w:sz w:val="24"/>
          <w:szCs w:val="24"/>
        </w:rPr>
      </w:pPr>
      <w:r>
        <w:rPr>
          <w:rFonts w:ascii="宋体" w:cs="宋体"/>
          <w:b/>
          <w:spacing w:val="4"/>
          <w:kern w:val="0"/>
          <w:sz w:val="24"/>
          <w:szCs w:val="24"/>
          <w:lang w:bidi="ar"/>
        </w:rPr>
        <w:br w:type="page"/>
      </w:r>
      <w:r>
        <w:rPr>
          <w:rFonts w:hint="eastAsia" w:ascii="宋体" w:hAnsi="宋体" w:cs="宋体"/>
          <w:b/>
          <w:spacing w:val="4"/>
          <w:kern w:val="0"/>
          <w:sz w:val="24"/>
          <w:szCs w:val="24"/>
          <w:lang w:bidi="ar"/>
        </w:rPr>
        <w:t>附表</w:t>
      </w:r>
      <w:r>
        <w:rPr>
          <w:rFonts w:ascii="宋体" w:hAnsi="宋体" w:cs="宋体"/>
          <w:b/>
          <w:spacing w:val="4"/>
          <w:kern w:val="0"/>
          <w:sz w:val="24"/>
          <w:szCs w:val="24"/>
          <w:lang w:bidi="ar"/>
        </w:rPr>
        <w:t>2：投入劳动力计划表</w:t>
      </w:r>
    </w:p>
    <w:p>
      <w:pPr>
        <w:topLinePunct/>
        <w:adjustRightInd w:val="0"/>
        <w:snapToGrid w:val="0"/>
        <w:spacing w:before="312" w:beforeLines="100" w:line="360" w:lineRule="auto"/>
        <w:jc w:val="center"/>
        <w:rPr>
          <w:rFonts w:ascii="宋体" w:cs="宋体"/>
          <w:b/>
          <w:spacing w:val="4"/>
          <w:kern w:val="0"/>
          <w:sz w:val="36"/>
          <w:szCs w:val="36"/>
        </w:rPr>
      </w:pPr>
      <w:r>
        <w:rPr>
          <w:rFonts w:hint="eastAsia" w:ascii="宋体" w:hAnsi="宋体" w:cs="宋体"/>
          <w:b/>
          <w:spacing w:val="4"/>
          <w:kern w:val="0"/>
          <w:sz w:val="36"/>
          <w:szCs w:val="36"/>
          <w:lang w:bidi="ar"/>
        </w:rPr>
        <w:t>投入劳动力计划表</w:t>
      </w:r>
    </w:p>
    <w:tbl>
      <w:tblPr>
        <w:tblStyle w:val="36"/>
        <w:tblW w:w="9327"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721"/>
        <w:gridCol w:w="1314"/>
        <w:gridCol w:w="1137"/>
        <w:gridCol w:w="1138"/>
        <w:gridCol w:w="1137"/>
        <w:gridCol w:w="1138"/>
        <w:gridCol w:w="1137"/>
        <w:gridCol w:w="1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7"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r>
              <w:rPr>
                <w:rFonts w:hint="eastAsia" w:ascii="宋体" w:hAnsi="宋体" w:cs="宋体"/>
                <w:szCs w:val="21"/>
                <w:lang w:bidi="ar"/>
              </w:rPr>
              <w:t>序号</w:t>
            </w:r>
          </w:p>
        </w:tc>
        <w:tc>
          <w:tcPr>
            <w:tcW w:w="721"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r>
              <w:rPr>
                <w:rFonts w:hint="eastAsia" w:ascii="宋体" w:hAnsi="宋体" w:cs="宋体"/>
                <w:szCs w:val="21"/>
                <w:lang w:bidi="ar"/>
              </w:rPr>
              <w:t>工种</w:t>
            </w:r>
          </w:p>
        </w:tc>
        <w:tc>
          <w:tcPr>
            <w:tcW w:w="1314"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r>
              <w:rPr>
                <w:rFonts w:hint="eastAsia" w:ascii="宋体" w:hAnsi="宋体" w:cs="宋体"/>
                <w:szCs w:val="21"/>
                <w:lang w:bidi="ar"/>
              </w:rPr>
              <w:t>投入总数量</w:t>
            </w:r>
          </w:p>
        </w:tc>
        <w:tc>
          <w:tcPr>
            <w:tcW w:w="6825"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Cs w:val="21"/>
              </w:rPr>
            </w:pPr>
            <w:r>
              <w:rPr>
                <w:rFonts w:hint="eastAsia" w:ascii="宋体" w:hAnsi="宋体" w:cs="宋体"/>
                <w:szCs w:val="21"/>
                <w:lang w:bidi="ar"/>
              </w:rPr>
              <w:t>进场计划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7"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sz w:val="20"/>
                <w:szCs w:val="20"/>
              </w:rPr>
            </w:pPr>
          </w:p>
        </w:tc>
        <w:tc>
          <w:tcPr>
            <w:tcW w:w="721"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sz w:val="20"/>
                <w:szCs w:val="20"/>
              </w:rPr>
            </w:pPr>
          </w:p>
        </w:tc>
        <w:tc>
          <w:tcPr>
            <w:tcW w:w="1314"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sz w:val="20"/>
                <w:szCs w:val="20"/>
              </w:rPr>
            </w:pPr>
          </w:p>
        </w:tc>
        <w:tc>
          <w:tcPr>
            <w:tcW w:w="6825" w:type="dxa"/>
            <w:gridSpan w:val="6"/>
            <w:tcBorders>
              <w:top w:val="single" w:color="auto" w:sz="4" w:space="0"/>
              <w:left w:val="single" w:color="auto" w:sz="4" w:space="0"/>
              <w:bottom w:val="nil"/>
              <w:right w:val="single" w:color="auto" w:sz="4" w:space="0"/>
            </w:tcBorders>
            <w:vAlign w:val="center"/>
          </w:tcPr>
          <w:p>
            <w:pPr>
              <w:spacing w:line="360" w:lineRule="auto"/>
              <w:jc w:val="center"/>
              <w:rPr>
                <w:rFonts w:ascii="宋体" w:cs="宋体"/>
                <w:szCs w:val="21"/>
              </w:rPr>
            </w:pPr>
            <w:r>
              <w:rPr>
                <w:rFonts w:ascii="宋体" w:hAnsi="宋体" w:cs="宋体"/>
                <w:szCs w:val="21"/>
                <w:lang w:bidi="ar"/>
              </w:rPr>
              <w:t>20</w:t>
            </w:r>
            <w:r>
              <w:rPr>
                <w:rFonts w:ascii="宋体" w:hAnsi="宋体" w:cs="宋体"/>
                <w:szCs w:val="21"/>
                <w:u w:val="single"/>
                <w:lang w:bidi="ar"/>
              </w:rPr>
              <w:t xml:space="preserve">    </w:t>
            </w:r>
            <w:r>
              <w:rPr>
                <w:rFonts w:hint="eastAsia" w:ascii="宋体" w:hAnsi="宋体" w:cs="宋体"/>
                <w:szCs w:val="21"/>
                <w:lang w:bidi="ar"/>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7"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sz w:val="20"/>
                <w:szCs w:val="20"/>
              </w:rPr>
            </w:pPr>
          </w:p>
        </w:tc>
        <w:tc>
          <w:tcPr>
            <w:tcW w:w="721"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sz w:val="20"/>
                <w:szCs w:val="20"/>
              </w:rPr>
            </w:pPr>
          </w:p>
        </w:tc>
        <w:tc>
          <w:tcPr>
            <w:tcW w:w="1314"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sz w:val="20"/>
                <w:szCs w:val="20"/>
              </w:rPr>
            </w:pPr>
          </w:p>
        </w:tc>
        <w:tc>
          <w:tcPr>
            <w:tcW w:w="11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Cs w:val="21"/>
              </w:rPr>
            </w:pPr>
            <w:r>
              <w:rPr>
                <w:rFonts w:hint="eastAsia" w:ascii="宋体" w:hAnsi="宋体" w:cs="宋体"/>
                <w:szCs w:val="21"/>
                <w:lang w:bidi="ar"/>
              </w:rPr>
              <w:t>×月</w:t>
            </w:r>
          </w:p>
        </w:tc>
        <w:tc>
          <w:tcPr>
            <w:tcW w:w="11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Cs w:val="21"/>
              </w:rPr>
            </w:pPr>
            <w:r>
              <w:rPr>
                <w:rFonts w:hint="eastAsia" w:ascii="宋体" w:hAnsi="宋体" w:cs="宋体"/>
                <w:szCs w:val="21"/>
                <w:lang w:bidi="ar"/>
              </w:rPr>
              <w:t>×月</w:t>
            </w:r>
          </w:p>
        </w:tc>
        <w:tc>
          <w:tcPr>
            <w:tcW w:w="11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Cs w:val="21"/>
              </w:rPr>
            </w:pPr>
            <w:r>
              <w:rPr>
                <w:rFonts w:hint="eastAsia" w:ascii="宋体" w:hAnsi="宋体" w:cs="宋体"/>
                <w:szCs w:val="21"/>
                <w:lang w:bidi="ar"/>
              </w:rPr>
              <w:t>×月</w:t>
            </w:r>
          </w:p>
        </w:tc>
        <w:tc>
          <w:tcPr>
            <w:tcW w:w="11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Cs w:val="21"/>
              </w:rPr>
            </w:pPr>
            <w:r>
              <w:rPr>
                <w:rFonts w:hint="eastAsia" w:ascii="宋体" w:hAnsi="宋体" w:cs="宋体"/>
                <w:szCs w:val="21"/>
                <w:lang w:bidi="ar"/>
              </w:rPr>
              <w:t>×月</w:t>
            </w:r>
          </w:p>
        </w:tc>
        <w:tc>
          <w:tcPr>
            <w:tcW w:w="11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Cs w:val="21"/>
              </w:rPr>
            </w:pPr>
            <w:r>
              <w:rPr>
                <w:rFonts w:hint="eastAsia" w:ascii="宋体" w:hAnsi="宋体" w:cs="宋体"/>
                <w:szCs w:val="21"/>
                <w:lang w:bidi="ar"/>
              </w:rPr>
              <w:t>×月</w:t>
            </w:r>
          </w:p>
        </w:tc>
        <w:tc>
          <w:tcPr>
            <w:tcW w:w="11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Cs w:val="21"/>
              </w:rPr>
            </w:pPr>
            <w:r>
              <w:rPr>
                <w:rFonts w:hint="eastAsia" w:ascii="宋体" w:hAnsi="宋体" w:cs="宋体"/>
                <w:szCs w:val="21"/>
                <w:lang w:bidi="ar"/>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467"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r>
              <w:rPr>
                <w:rFonts w:ascii="宋体" w:hAnsi="宋体" w:cs="宋体"/>
                <w:szCs w:val="21"/>
                <w:lang w:bidi="ar"/>
              </w:rPr>
              <w:t>1</w:t>
            </w:r>
          </w:p>
        </w:tc>
        <w:tc>
          <w:tcPr>
            <w:tcW w:w="721"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1314"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1137"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113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1137"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113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1137"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113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467"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r>
              <w:rPr>
                <w:rFonts w:ascii="宋体" w:hAnsi="宋体" w:cs="宋体"/>
                <w:szCs w:val="21"/>
                <w:lang w:bidi="ar"/>
              </w:rPr>
              <w:t>2</w:t>
            </w:r>
          </w:p>
        </w:tc>
        <w:tc>
          <w:tcPr>
            <w:tcW w:w="721"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1314"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1137"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113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1137"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113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1137"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113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467"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r>
              <w:rPr>
                <w:rFonts w:ascii="宋体" w:hAnsi="宋体" w:cs="宋体"/>
                <w:szCs w:val="21"/>
                <w:lang w:bidi="ar"/>
              </w:rPr>
              <w:t>3</w:t>
            </w:r>
          </w:p>
        </w:tc>
        <w:tc>
          <w:tcPr>
            <w:tcW w:w="721"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1314"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1137"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113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1137"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113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1137"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113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467"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r>
              <w:rPr>
                <w:rFonts w:ascii="宋体" w:hAnsi="宋体" w:cs="宋体"/>
                <w:szCs w:val="21"/>
                <w:lang w:bidi="ar"/>
              </w:rPr>
              <w:t>4</w:t>
            </w:r>
          </w:p>
        </w:tc>
        <w:tc>
          <w:tcPr>
            <w:tcW w:w="721"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1314"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1137"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113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1137"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113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1137"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113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467"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r>
              <w:rPr>
                <w:rFonts w:ascii="宋体" w:hAnsi="宋体" w:cs="宋体"/>
                <w:szCs w:val="21"/>
                <w:lang w:bidi="ar"/>
              </w:rPr>
              <w:t>5</w:t>
            </w:r>
          </w:p>
        </w:tc>
        <w:tc>
          <w:tcPr>
            <w:tcW w:w="721"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1314"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1137"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113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1137"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113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1137"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113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467"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r>
              <w:rPr>
                <w:rFonts w:ascii="宋体" w:hAnsi="宋体" w:cs="宋体"/>
                <w:szCs w:val="21"/>
                <w:lang w:bidi="ar"/>
              </w:rPr>
              <w:t>6</w:t>
            </w:r>
          </w:p>
        </w:tc>
        <w:tc>
          <w:tcPr>
            <w:tcW w:w="721"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r>
              <w:rPr>
                <w:rFonts w:hint="eastAsia" w:ascii="宋体" w:hAnsi="宋体" w:cs="宋体"/>
                <w:szCs w:val="21"/>
                <w:lang w:bidi="ar"/>
              </w:rPr>
              <w:t>…</w:t>
            </w:r>
          </w:p>
        </w:tc>
        <w:tc>
          <w:tcPr>
            <w:tcW w:w="1314"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1137"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113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1137"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113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1137"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113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r>
    </w:tbl>
    <w:p>
      <w:pPr>
        <w:spacing w:line="360" w:lineRule="auto"/>
        <w:jc w:val="left"/>
        <w:rPr>
          <w:rFonts w:ascii="宋体" w:cs="宋体"/>
          <w:szCs w:val="21"/>
        </w:rPr>
      </w:pPr>
      <w:r>
        <w:rPr>
          <w:rFonts w:hint="eastAsia" w:ascii="宋体" w:hAnsi="宋体" w:cs="宋体"/>
          <w:szCs w:val="21"/>
          <w:lang w:bidi="ar"/>
        </w:rPr>
        <w:t>注：本表后应附投入劳动力计划柱状图。</w:t>
      </w:r>
    </w:p>
    <w:p>
      <w:pPr>
        <w:topLinePunct/>
        <w:adjustRightInd w:val="0"/>
        <w:snapToGrid w:val="0"/>
        <w:spacing w:line="360" w:lineRule="auto"/>
        <w:ind w:firstLine="496" w:firstLineChars="200"/>
        <w:rPr>
          <w:rFonts w:ascii="宋体" w:cs="宋体"/>
          <w:spacing w:val="4"/>
          <w:kern w:val="0"/>
          <w:sz w:val="24"/>
          <w:szCs w:val="24"/>
        </w:rPr>
      </w:pPr>
      <w:r>
        <w:rPr>
          <w:rFonts w:ascii="宋体" w:hAnsi="宋体" w:cs="宋体"/>
          <w:spacing w:val="4"/>
          <w:kern w:val="0"/>
          <w:sz w:val="24"/>
          <w:szCs w:val="24"/>
          <w:lang w:bidi="ar"/>
        </w:rPr>
        <w:t xml:space="preserve"> </w:t>
      </w:r>
    </w:p>
    <w:p>
      <w:pPr>
        <w:topLinePunct/>
        <w:adjustRightInd w:val="0"/>
        <w:snapToGrid w:val="0"/>
        <w:spacing w:line="360" w:lineRule="auto"/>
        <w:ind w:firstLine="496" w:firstLineChars="200"/>
        <w:rPr>
          <w:rFonts w:ascii="宋体" w:cs="宋体"/>
          <w:spacing w:val="4"/>
          <w:kern w:val="0"/>
          <w:sz w:val="24"/>
          <w:szCs w:val="24"/>
        </w:rPr>
      </w:pPr>
      <w:r>
        <w:rPr>
          <w:rFonts w:ascii="宋体" w:hAnsi="宋体" w:cs="宋体"/>
          <w:spacing w:val="4"/>
          <w:kern w:val="0"/>
          <w:sz w:val="24"/>
          <w:szCs w:val="24"/>
          <w:lang w:bidi="ar"/>
        </w:rPr>
        <w:t xml:space="preserve"> </w:t>
      </w:r>
    </w:p>
    <w:p>
      <w:pPr>
        <w:topLinePunct/>
        <w:adjustRightInd w:val="0"/>
        <w:snapToGrid w:val="0"/>
        <w:spacing w:line="360" w:lineRule="auto"/>
        <w:ind w:firstLine="496" w:firstLineChars="200"/>
        <w:rPr>
          <w:rFonts w:ascii="宋体" w:cs="宋体"/>
          <w:spacing w:val="4"/>
          <w:kern w:val="0"/>
          <w:sz w:val="24"/>
          <w:szCs w:val="24"/>
        </w:rPr>
      </w:pPr>
      <w:r>
        <w:rPr>
          <w:rFonts w:ascii="宋体" w:hAnsi="宋体" w:cs="宋体"/>
          <w:spacing w:val="4"/>
          <w:kern w:val="0"/>
          <w:sz w:val="24"/>
          <w:szCs w:val="24"/>
          <w:lang w:bidi="ar"/>
        </w:rPr>
        <w:t xml:space="preserve"> </w:t>
      </w:r>
    </w:p>
    <w:p>
      <w:pPr>
        <w:topLinePunct/>
        <w:adjustRightInd w:val="0"/>
        <w:snapToGrid w:val="0"/>
        <w:spacing w:line="360" w:lineRule="auto"/>
        <w:ind w:firstLine="496" w:firstLineChars="200"/>
        <w:rPr>
          <w:rFonts w:ascii="宋体" w:cs="宋体"/>
          <w:spacing w:val="4"/>
          <w:kern w:val="0"/>
          <w:sz w:val="24"/>
          <w:szCs w:val="24"/>
        </w:rPr>
      </w:pPr>
      <w:r>
        <w:rPr>
          <w:rFonts w:ascii="宋体" w:hAnsi="宋体" w:cs="宋体"/>
          <w:spacing w:val="4"/>
          <w:kern w:val="0"/>
          <w:sz w:val="24"/>
          <w:szCs w:val="24"/>
          <w:lang w:bidi="ar"/>
        </w:rPr>
        <w:t xml:space="preserve"> </w:t>
      </w:r>
    </w:p>
    <w:p>
      <w:pPr>
        <w:topLinePunct/>
        <w:adjustRightInd w:val="0"/>
        <w:snapToGrid w:val="0"/>
        <w:spacing w:line="360" w:lineRule="auto"/>
        <w:ind w:firstLine="496" w:firstLineChars="200"/>
        <w:rPr>
          <w:rFonts w:ascii="宋体" w:cs="宋体"/>
          <w:spacing w:val="4"/>
          <w:kern w:val="0"/>
          <w:sz w:val="24"/>
          <w:szCs w:val="24"/>
        </w:rPr>
      </w:pPr>
      <w:r>
        <w:rPr>
          <w:rFonts w:ascii="宋体" w:hAnsi="宋体" w:cs="宋体"/>
          <w:spacing w:val="4"/>
          <w:kern w:val="0"/>
          <w:sz w:val="24"/>
          <w:szCs w:val="24"/>
          <w:lang w:bidi="ar"/>
        </w:rPr>
        <w:t xml:space="preserve"> </w:t>
      </w:r>
    </w:p>
    <w:p>
      <w:pPr>
        <w:spacing w:line="360" w:lineRule="auto"/>
        <w:rPr>
          <w:rFonts w:ascii="宋体" w:cs="宋体"/>
          <w:spacing w:val="4"/>
          <w:kern w:val="0"/>
          <w:sz w:val="24"/>
          <w:szCs w:val="24"/>
        </w:rPr>
        <w:sectPr>
          <w:pgSz w:w="11907" w:h="16840"/>
          <w:pgMar w:top="1134" w:right="1418" w:bottom="1247" w:left="1418" w:header="851" w:footer="851" w:gutter="0"/>
          <w:pgNumType w:fmt="decimal"/>
          <w:cols w:space="720" w:num="1"/>
          <w:docGrid w:type="lines" w:linePitch="312" w:charSpace="0"/>
        </w:sectPr>
      </w:pPr>
    </w:p>
    <w:p>
      <w:pPr>
        <w:topLinePunct/>
        <w:adjustRightInd w:val="0"/>
        <w:snapToGrid w:val="0"/>
        <w:spacing w:before="156" w:beforeLines="50" w:after="156" w:afterLines="50" w:line="360" w:lineRule="auto"/>
        <w:outlineLvl w:val="3"/>
        <w:rPr>
          <w:rFonts w:ascii="宋体" w:cs="宋体"/>
          <w:b/>
          <w:spacing w:val="4"/>
          <w:kern w:val="0"/>
          <w:sz w:val="24"/>
          <w:szCs w:val="24"/>
        </w:rPr>
      </w:pPr>
      <w:r>
        <w:rPr>
          <w:rFonts w:hint="eastAsia" w:ascii="宋体" w:hAnsi="宋体" w:cs="宋体"/>
          <w:b/>
          <w:spacing w:val="4"/>
          <w:kern w:val="0"/>
          <w:sz w:val="24"/>
          <w:szCs w:val="24"/>
          <w:lang w:bidi="ar"/>
        </w:rPr>
        <w:t>附表</w:t>
      </w:r>
      <w:r>
        <w:rPr>
          <w:rFonts w:ascii="宋体" w:hAnsi="宋体" w:cs="宋体"/>
          <w:b/>
          <w:spacing w:val="4"/>
          <w:kern w:val="0"/>
          <w:sz w:val="24"/>
          <w:szCs w:val="24"/>
          <w:lang w:bidi="ar"/>
        </w:rPr>
        <w:t>3：主要材料、设备进场时间表</w:t>
      </w:r>
    </w:p>
    <w:p>
      <w:pPr>
        <w:topLinePunct/>
        <w:adjustRightInd w:val="0"/>
        <w:snapToGrid w:val="0"/>
        <w:spacing w:before="312" w:beforeLines="100" w:line="360" w:lineRule="auto"/>
        <w:jc w:val="center"/>
        <w:rPr>
          <w:rFonts w:ascii="宋体" w:cs="宋体"/>
          <w:b/>
          <w:spacing w:val="4"/>
          <w:kern w:val="0"/>
          <w:sz w:val="36"/>
          <w:szCs w:val="36"/>
        </w:rPr>
      </w:pPr>
      <w:r>
        <w:rPr>
          <w:rFonts w:hint="eastAsia" w:ascii="宋体" w:hAnsi="宋体" w:cs="宋体"/>
          <w:b/>
          <w:spacing w:val="4"/>
          <w:kern w:val="0"/>
          <w:sz w:val="36"/>
          <w:szCs w:val="36"/>
          <w:lang w:bidi="ar"/>
        </w:rPr>
        <w:t>主要材料、设备进场时间表</w:t>
      </w:r>
    </w:p>
    <w:tbl>
      <w:tblPr>
        <w:tblStyle w:val="36"/>
        <w:tblW w:w="9108"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1800"/>
        <w:gridCol w:w="720"/>
        <w:gridCol w:w="720"/>
        <w:gridCol w:w="733"/>
        <w:gridCol w:w="852"/>
        <w:gridCol w:w="1163"/>
        <w:gridCol w:w="1260"/>
        <w:gridCol w:w="1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4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cs="宋体"/>
                <w:kern w:val="0"/>
                <w:szCs w:val="21"/>
              </w:rPr>
            </w:pPr>
            <w:r>
              <w:rPr>
                <w:rFonts w:hint="eastAsia" w:ascii="宋体" w:hAnsi="宋体" w:cs="宋体"/>
                <w:kern w:val="0"/>
                <w:szCs w:val="21"/>
                <w:lang w:bidi="ar"/>
              </w:rPr>
              <w:t>序号</w:t>
            </w:r>
          </w:p>
        </w:tc>
        <w:tc>
          <w:tcPr>
            <w:tcW w:w="1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cs="宋体"/>
                <w:kern w:val="0"/>
                <w:szCs w:val="21"/>
              </w:rPr>
            </w:pPr>
            <w:r>
              <w:rPr>
                <w:rFonts w:hint="eastAsia" w:ascii="宋体" w:hAnsi="宋体" w:cs="宋体"/>
                <w:kern w:val="0"/>
                <w:szCs w:val="21"/>
                <w:lang w:bidi="ar"/>
              </w:rPr>
              <w:t>材料设备名称</w:t>
            </w:r>
          </w:p>
        </w:tc>
        <w:tc>
          <w:tcPr>
            <w:tcW w:w="7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cs="宋体"/>
                <w:kern w:val="0"/>
                <w:szCs w:val="21"/>
              </w:rPr>
            </w:pPr>
            <w:r>
              <w:rPr>
                <w:rFonts w:hint="eastAsia" w:ascii="宋体" w:hAnsi="宋体" w:cs="宋体"/>
                <w:kern w:val="0"/>
                <w:szCs w:val="21"/>
                <w:lang w:bidi="ar"/>
              </w:rPr>
              <w:t>规格型号</w:t>
            </w:r>
          </w:p>
        </w:tc>
        <w:tc>
          <w:tcPr>
            <w:tcW w:w="7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cs="宋体"/>
                <w:kern w:val="0"/>
                <w:szCs w:val="21"/>
              </w:rPr>
            </w:pPr>
            <w:r>
              <w:rPr>
                <w:rFonts w:hint="eastAsia" w:ascii="宋体" w:hAnsi="宋体" w:cs="宋体"/>
                <w:kern w:val="0"/>
                <w:szCs w:val="21"/>
                <w:lang w:bidi="ar"/>
              </w:rPr>
              <w:t>计量单位</w:t>
            </w:r>
          </w:p>
        </w:tc>
        <w:tc>
          <w:tcPr>
            <w:tcW w:w="7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cs="宋体"/>
                <w:kern w:val="0"/>
                <w:szCs w:val="21"/>
              </w:rPr>
            </w:pPr>
            <w:r>
              <w:rPr>
                <w:rFonts w:hint="eastAsia" w:ascii="宋体" w:hAnsi="宋体" w:cs="宋体"/>
                <w:kern w:val="0"/>
                <w:szCs w:val="21"/>
                <w:lang w:bidi="ar"/>
              </w:rPr>
              <w:t>暂定数量</w:t>
            </w: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cs="宋体"/>
                <w:kern w:val="0"/>
                <w:szCs w:val="21"/>
              </w:rPr>
            </w:pPr>
            <w:r>
              <w:rPr>
                <w:rFonts w:hint="eastAsia" w:ascii="宋体" w:hAnsi="宋体" w:cs="宋体"/>
                <w:kern w:val="0"/>
                <w:szCs w:val="21"/>
                <w:lang w:bidi="ar"/>
              </w:rPr>
              <w:t>质量</w:t>
            </w:r>
          </w:p>
          <w:p>
            <w:pPr>
              <w:adjustRightInd w:val="0"/>
              <w:snapToGrid w:val="0"/>
              <w:spacing w:line="360" w:lineRule="auto"/>
              <w:jc w:val="center"/>
              <w:rPr>
                <w:rFonts w:ascii="宋体" w:cs="宋体"/>
                <w:kern w:val="0"/>
                <w:szCs w:val="21"/>
              </w:rPr>
            </w:pPr>
            <w:r>
              <w:rPr>
                <w:rFonts w:hint="eastAsia" w:ascii="宋体" w:hAnsi="宋体" w:cs="宋体"/>
                <w:kern w:val="0"/>
                <w:szCs w:val="21"/>
                <w:lang w:bidi="ar"/>
              </w:rPr>
              <w:t>等级</w:t>
            </w:r>
          </w:p>
        </w:tc>
        <w:tc>
          <w:tcPr>
            <w:tcW w:w="11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cs="宋体"/>
                <w:kern w:val="0"/>
                <w:szCs w:val="21"/>
              </w:rPr>
            </w:pPr>
            <w:r>
              <w:rPr>
                <w:rFonts w:hint="eastAsia" w:ascii="宋体" w:hAnsi="宋体" w:cs="宋体"/>
                <w:kern w:val="0"/>
                <w:szCs w:val="21"/>
                <w:lang w:bidi="ar"/>
              </w:rPr>
              <w:t>到货时间</w:t>
            </w:r>
          </w:p>
        </w:tc>
        <w:tc>
          <w:tcPr>
            <w:tcW w:w="1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cs="宋体"/>
                <w:kern w:val="0"/>
                <w:szCs w:val="21"/>
              </w:rPr>
            </w:pPr>
            <w:r>
              <w:rPr>
                <w:rFonts w:hint="eastAsia" w:ascii="宋体" w:hAnsi="宋体" w:cs="宋体"/>
                <w:kern w:val="0"/>
                <w:szCs w:val="21"/>
                <w:lang w:bidi="ar"/>
              </w:rPr>
              <w:t>到货地点</w:t>
            </w:r>
          </w:p>
        </w:tc>
        <w:tc>
          <w:tcPr>
            <w:tcW w:w="13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cs="宋体"/>
                <w:kern w:val="0"/>
                <w:szCs w:val="21"/>
              </w:rPr>
            </w:pPr>
            <w:r>
              <w:rPr>
                <w:rFonts w:hint="eastAsia" w:ascii="宋体" w:hAnsi="宋体" w:cs="宋体"/>
                <w:kern w:val="0"/>
                <w:szCs w:val="21"/>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c>
          <w:tcPr>
            <w:tcW w:w="180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c>
          <w:tcPr>
            <w:tcW w:w="7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c>
          <w:tcPr>
            <w:tcW w:w="7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c>
          <w:tcPr>
            <w:tcW w:w="733"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c>
          <w:tcPr>
            <w:tcW w:w="852"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c>
          <w:tcPr>
            <w:tcW w:w="1163"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c>
          <w:tcPr>
            <w:tcW w:w="126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c>
          <w:tcPr>
            <w:tcW w:w="1392"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c>
          <w:tcPr>
            <w:tcW w:w="180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c>
          <w:tcPr>
            <w:tcW w:w="7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c>
          <w:tcPr>
            <w:tcW w:w="7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c>
          <w:tcPr>
            <w:tcW w:w="733"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c>
          <w:tcPr>
            <w:tcW w:w="852"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c>
          <w:tcPr>
            <w:tcW w:w="1163"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c>
          <w:tcPr>
            <w:tcW w:w="126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c>
          <w:tcPr>
            <w:tcW w:w="1392"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c>
          <w:tcPr>
            <w:tcW w:w="180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c>
          <w:tcPr>
            <w:tcW w:w="7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c>
          <w:tcPr>
            <w:tcW w:w="7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c>
          <w:tcPr>
            <w:tcW w:w="733"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c>
          <w:tcPr>
            <w:tcW w:w="852"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c>
          <w:tcPr>
            <w:tcW w:w="1163"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c>
          <w:tcPr>
            <w:tcW w:w="126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c>
          <w:tcPr>
            <w:tcW w:w="1392"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c>
          <w:tcPr>
            <w:tcW w:w="180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c>
          <w:tcPr>
            <w:tcW w:w="7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c>
          <w:tcPr>
            <w:tcW w:w="7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c>
          <w:tcPr>
            <w:tcW w:w="733"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c>
          <w:tcPr>
            <w:tcW w:w="852"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c>
          <w:tcPr>
            <w:tcW w:w="1163"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c>
          <w:tcPr>
            <w:tcW w:w="126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c>
          <w:tcPr>
            <w:tcW w:w="1392"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c>
          <w:tcPr>
            <w:tcW w:w="180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c>
          <w:tcPr>
            <w:tcW w:w="7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c>
          <w:tcPr>
            <w:tcW w:w="7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c>
          <w:tcPr>
            <w:tcW w:w="733"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c>
          <w:tcPr>
            <w:tcW w:w="852"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c>
          <w:tcPr>
            <w:tcW w:w="1163"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c>
          <w:tcPr>
            <w:tcW w:w="126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c>
          <w:tcPr>
            <w:tcW w:w="1392"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c>
          <w:tcPr>
            <w:tcW w:w="180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c>
          <w:tcPr>
            <w:tcW w:w="7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c>
          <w:tcPr>
            <w:tcW w:w="7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c>
          <w:tcPr>
            <w:tcW w:w="733"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c>
          <w:tcPr>
            <w:tcW w:w="852"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c>
          <w:tcPr>
            <w:tcW w:w="1163"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c>
          <w:tcPr>
            <w:tcW w:w="126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c>
          <w:tcPr>
            <w:tcW w:w="1392"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r>
    </w:tbl>
    <w:p>
      <w:pPr>
        <w:spacing w:line="360" w:lineRule="auto"/>
        <w:jc w:val="left"/>
        <w:rPr>
          <w:rFonts w:ascii="宋体" w:cs="宋体"/>
          <w:szCs w:val="21"/>
        </w:rPr>
      </w:pPr>
      <w:r>
        <w:rPr>
          <w:rFonts w:hint="eastAsia" w:ascii="宋体" w:hAnsi="宋体" w:cs="宋体"/>
          <w:szCs w:val="21"/>
          <w:lang w:bidi="ar"/>
        </w:rPr>
        <w:t>说明：</w:t>
      </w:r>
      <w:r>
        <w:rPr>
          <w:rFonts w:ascii="宋体" w:hAnsi="宋体" w:cs="宋体"/>
          <w:szCs w:val="21"/>
          <w:lang w:bidi="ar"/>
        </w:rPr>
        <w:t>1、按专业工程不同分别列表分类填写。</w:t>
      </w:r>
    </w:p>
    <w:p>
      <w:pPr>
        <w:spacing w:line="360" w:lineRule="auto"/>
        <w:jc w:val="left"/>
        <w:rPr>
          <w:rFonts w:ascii="宋体" w:cs="宋体"/>
          <w:szCs w:val="21"/>
        </w:rPr>
      </w:pPr>
      <w:r>
        <w:rPr>
          <w:rFonts w:ascii="宋体" w:hAnsi="宋体" w:cs="宋体"/>
          <w:szCs w:val="21"/>
          <w:lang w:bidi="ar"/>
        </w:rPr>
        <w:t xml:space="preserve"> </w:t>
      </w:r>
    </w:p>
    <w:p>
      <w:pPr>
        <w:spacing w:line="360" w:lineRule="auto"/>
        <w:jc w:val="left"/>
        <w:rPr>
          <w:rFonts w:ascii="宋体" w:cs="宋体"/>
          <w:szCs w:val="21"/>
        </w:rPr>
      </w:pPr>
      <w:r>
        <w:rPr>
          <w:rFonts w:ascii="宋体" w:hAnsi="宋体" w:cs="宋体"/>
          <w:szCs w:val="21"/>
          <w:lang w:bidi="ar"/>
        </w:rPr>
        <w:t xml:space="preserve"> </w:t>
      </w:r>
    </w:p>
    <w:p>
      <w:pPr>
        <w:spacing w:line="360" w:lineRule="auto"/>
        <w:jc w:val="left"/>
        <w:rPr>
          <w:rFonts w:ascii="宋体" w:cs="宋体"/>
          <w:szCs w:val="21"/>
        </w:rPr>
      </w:pPr>
      <w:r>
        <w:rPr>
          <w:rFonts w:ascii="宋体" w:hAnsi="宋体" w:cs="宋体"/>
          <w:szCs w:val="21"/>
          <w:lang w:bidi="ar"/>
        </w:rPr>
        <w:t xml:space="preserve"> </w:t>
      </w:r>
    </w:p>
    <w:p>
      <w:pPr>
        <w:spacing w:line="360" w:lineRule="auto"/>
        <w:jc w:val="left"/>
        <w:rPr>
          <w:rFonts w:ascii="宋体" w:cs="宋体"/>
          <w:szCs w:val="21"/>
        </w:rPr>
      </w:pPr>
      <w:r>
        <w:rPr>
          <w:rFonts w:ascii="宋体" w:hAnsi="宋体" w:cs="宋体"/>
          <w:szCs w:val="21"/>
          <w:lang w:bidi="ar"/>
        </w:rPr>
        <w:t xml:space="preserve"> </w:t>
      </w:r>
    </w:p>
    <w:p>
      <w:pPr>
        <w:topLinePunct/>
        <w:adjustRightInd w:val="0"/>
        <w:snapToGrid w:val="0"/>
        <w:spacing w:line="360" w:lineRule="auto"/>
        <w:ind w:firstLine="3360" w:firstLineChars="1600"/>
        <w:rPr>
          <w:rFonts w:ascii="宋体" w:cs="宋体"/>
          <w:spacing w:val="4"/>
          <w:kern w:val="0"/>
          <w:sz w:val="24"/>
          <w:szCs w:val="24"/>
        </w:rPr>
      </w:pPr>
      <w:r>
        <w:rPr>
          <w:rFonts w:ascii="宋体" w:hAnsi="宋体" w:cs="宋体"/>
          <w:szCs w:val="21"/>
          <w:lang w:bidi="ar"/>
        </w:rPr>
        <w:t xml:space="preserve"> </w:t>
      </w:r>
    </w:p>
    <w:p>
      <w:pPr>
        <w:spacing w:line="360" w:lineRule="auto"/>
        <w:rPr>
          <w:rFonts w:ascii="宋体" w:cs="宋体"/>
          <w:spacing w:val="4"/>
          <w:kern w:val="0"/>
          <w:sz w:val="24"/>
          <w:szCs w:val="24"/>
        </w:rPr>
        <w:sectPr>
          <w:pgSz w:w="11907" w:h="16840"/>
          <w:pgMar w:top="1418" w:right="1418" w:bottom="1418" w:left="1418" w:header="851" w:footer="851" w:gutter="0"/>
          <w:pgNumType w:fmt="decimal"/>
          <w:cols w:space="720" w:num="1"/>
          <w:docGrid w:type="lines" w:linePitch="312" w:charSpace="0"/>
        </w:sectPr>
      </w:pPr>
    </w:p>
    <w:p>
      <w:pPr>
        <w:topLinePunct/>
        <w:adjustRightInd w:val="0"/>
        <w:snapToGrid w:val="0"/>
        <w:spacing w:after="156" w:afterLines="50" w:line="360" w:lineRule="auto"/>
        <w:outlineLvl w:val="3"/>
        <w:rPr>
          <w:rFonts w:ascii="宋体" w:cs="宋体"/>
          <w:b/>
          <w:spacing w:val="4"/>
          <w:kern w:val="0"/>
          <w:sz w:val="24"/>
          <w:szCs w:val="24"/>
        </w:rPr>
      </w:pPr>
      <w:r>
        <w:rPr>
          <w:rFonts w:hint="eastAsia" w:ascii="宋体" w:hAnsi="宋体" w:cs="宋体"/>
          <w:b/>
          <w:spacing w:val="4"/>
          <w:kern w:val="0"/>
          <w:sz w:val="24"/>
          <w:szCs w:val="24"/>
          <w:lang w:bidi="ar"/>
        </w:rPr>
        <w:t>附表</w:t>
      </w:r>
      <w:r>
        <w:rPr>
          <w:rFonts w:ascii="宋体" w:hAnsi="宋体" w:cs="宋体"/>
          <w:b/>
          <w:spacing w:val="4"/>
          <w:kern w:val="0"/>
          <w:sz w:val="24"/>
          <w:szCs w:val="24"/>
          <w:lang w:bidi="ar"/>
        </w:rPr>
        <w:t>4：投入主要施工机械设备表</w:t>
      </w:r>
    </w:p>
    <w:p>
      <w:pPr>
        <w:topLinePunct/>
        <w:adjustRightInd w:val="0"/>
        <w:snapToGrid w:val="0"/>
        <w:spacing w:before="312" w:beforeLines="100" w:line="360" w:lineRule="auto"/>
        <w:jc w:val="center"/>
        <w:rPr>
          <w:rFonts w:ascii="宋体" w:cs="宋体"/>
          <w:spacing w:val="4"/>
          <w:kern w:val="0"/>
          <w:sz w:val="36"/>
          <w:szCs w:val="36"/>
        </w:rPr>
      </w:pPr>
      <w:r>
        <w:rPr>
          <w:rFonts w:hint="eastAsia" w:ascii="宋体" w:hAnsi="宋体" w:cs="宋体"/>
          <w:b/>
          <w:spacing w:val="4"/>
          <w:kern w:val="0"/>
          <w:sz w:val="36"/>
          <w:szCs w:val="36"/>
          <w:lang w:bidi="ar"/>
        </w:rPr>
        <w:t>投入主要施工机械设备表</w:t>
      </w:r>
    </w:p>
    <w:tbl>
      <w:tblPr>
        <w:tblStyle w:val="36"/>
        <w:tblW w:w="8494" w:type="dxa"/>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432"/>
        <w:gridCol w:w="1625"/>
        <w:gridCol w:w="2100"/>
        <w:gridCol w:w="900"/>
        <w:gridCol w:w="900"/>
        <w:gridCol w:w="847"/>
        <w:gridCol w:w="816"/>
        <w:gridCol w:w="874"/>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545" w:hRule="atLeast"/>
          <w:jc w:val="center"/>
        </w:trPr>
        <w:tc>
          <w:tcPr>
            <w:tcW w:w="2057" w:type="dxa"/>
            <w:gridSpan w:val="2"/>
            <w:vMerge w:val="restart"/>
            <w:tcBorders>
              <w:top w:val="single" w:color="auto" w:sz="2" w:space="0"/>
              <w:left w:val="single" w:color="auto" w:sz="2" w:space="0"/>
              <w:bottom w:val="single" w:color="auto" w:sz="6" w:space="0"/>
              <w:right w:val="single" w:color="auto" w:sz="6" w:space="0"/>
            </w:tcBorders>
            <w:vAlign w:val="center"/>
          </w:tcPr>
          <w:p>
            <w:pPr>
              <w:spacing w:line="360" w:lineRule="auto"/>
              <w:jc w:val="center"/>
              <w:rPr>
                <w:rFonts w:ascii="宋体" w:cs="宋体"/>
                <w:szCs w:val="21"/>
              </w:rPr>
            </w:pPr>
            <w:r>
              <w:rPr>
                <w:rFonts w:hint="eastAsia" w:ascii="宋体" w:hAnsi="宋体" w:cs="宋体"/>
                <w:szCs w:val="21"/>
                <w:lang w:bidi="ar"/>
              </w:rPr>
              <w:t>名称及型号</w:t>
            </w:r>
          </w:p>
        </w:tc>
        <w:tc>
          <w:tcPr>
            <w:tcW w:w="6437" w:type="dxa"/>
            <w:gridSpan w:val="6"/>
            <w:tcBorders>
              <w:top w:val="single" w:color="auto" w:sz="2" w:space="0"/>
              <w:left w:val="single" w:color="auto" w:sz="6" w:space="0"/>
              <w:bottom w:val="single" w:color="auto" w:sz="6" w:space="0"/>
              <w:right w:val="single" w:color="auto" w:sz="2" w:space="0"/>
            </w:tcBorders>
            <w:vAlign w:val="center"/>
          </w:tcPr>
          <w:p>
            <w:pPr>
              <w:spacing w:line="360" w:lineRule="auto"/>
              <w:jc w:val="center"/>
              <w:rPr>
                <w:rFonts w:ascii="宋体" w:cs="宋体"/>
                <w:szCs w:val="21"/>
              </w:rPr>
            </w:pPr>
            <w:r>
              <w:rPr>
                <w:rFonts w:hint="eastAsia" w:ascii="宋体" w:hAnsi="宋体" w:cs="宋体"/>
                <w:szCs w:val="21"/>
                <w:lang w:bidi="ar"/>
              </w:rPr>
              <w:t>申请单位能达到的程度简述（由申请单位填写）</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554" w:hRule="atLeast"/>
          <w:jc w:val="center"/>
        </w:trPr>
        <w:tc>
          <w:tcPr>
            <w:tcW w:w="2057" w:type="dxa"/>
            <w:gridSpan w:val="2"/>
            <w:vMerge w:val="continue"/>
            <w:tcBorders>
              <w:top w:val="single" w:color="auto" w:sz="2" w:space="0"/>
              <w:left w:val="single" w:color="auto" w:sz="2" w:space="0"/>
              <w:bottom w:val="single" w:color="auto" w:sz="6" w:space="0"/>
              <w:right w:val="single" w:color="auto" w:sz="6" w:space="0"/>
            </w:tcBorders>
            <w:vAlign w:val="center"/>
          </w:tcPr>
          <w:p>
            <w:pPr>
              <w:spacing w:line="360" w:lineRule="auto"/>
              <w:rPr>
                <w:sz w:val="20"/>
                <w:szCs w:val="20"/>
              </w:rPr>
            </w:pPr>
          </w:p>
        </w:tc>
        <w:tc>
          <w:tcPr>
            <w:tcW w:w="210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cs="宋体"/>
                <w:szCs w:val="21"/>
              </w:rPr>
            </w:pPr>
            <w:r>
              <w:rPr>
                <w:rFonts w:hint="eastAsia" w:ascii="宋体" w:hAnsi="宋体" w:cs="宋体"/>
                <w:szCs w:val="21"/>
                <w:lang w:bidi="ar"/>
              </w:rPr>
              <w:t>机械投入数量</w:t>
            </w:r>
          </w:p>
        </w:tc>
        <w:tc>
          <w:tcPr>
            <w:tcW w:w="4337" w:type="dxa"/>
            <w:gridSpan w:val="5"/>
            <w:tcBorders>
              <w:top w:val="single" w:color="auto" w:sz="6" w:space="0"/>
              <w:left w:val="single" w:color="auto" w:sz="6" w:space="0"/>
              <w:bottom w:val="single" w:color="auto" w:sz="6" w:space="0"/>
              <w:right w:val="single" w:color="auto" w:sz="2" w:space="0"/>
            </w:tcBorders>
            <w:vAlign w:val="center"/>
          </w:tcPr>
          <w:p>
            <w:pPr>
              <w:spacing w:line="360" w:lineRule="auto"/>
              <w:jc w:val="center"/>
              <w:rPr>
                <w:rFonts w:ascii="宋体" w:cs="宋体"/>
                <w:szCs w:val="21"/>
              </w:rPr>
            </w:pPr>
            <w:r>
              <w:rPr>
                <w:rFonts w:hint="eastAsia" w:ascii="宋体" w:hAnsi="宋体" w:cs="宋体"/>
                <w:szCs w:val="21"/>
                <w:lang w:bidi="ar"/>
              </w:rPr>
              <w:t>投入本项目施工机械的情况（台套）</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489" w:hRule="atLeast"/>
          <w:jc w:val="center"/>
        </w:trPr>
        <w:tc>
          <w:tcPr>
            <w:tcW w:w="2057" w:type="dxa"/>
            <w:gridSpan w:val="2"/>
            <w:tcBorders>
              <w:top w:val="single" w:color="auto" w:sz="6" w:space="0"/>
              <w:left w:val="single" w:color="auto" w:sz="2" w:space="0"/>
              <w:bottom w:val="single" w:color="auto" w:sz="6" w:space="0"/>
              <w:right w:val="single" w:color="auto" w:sz="6" w:space="0"/>
            </w:tcBorders>
            <w:vAlign w:val="center"/>
          </w:tcPr>
          <w:p>
            <w:pPr>
              <w:spacing w:line="360" w:lineRule="auto"/>
              <w:jc w:val="center"/>
              <w:rPr>
                <w:rFonts w:ascii="宋体" w:cs="宋体"/>
                <w:szCs w:val="21"/>
              </w:rPr>
            </w:pPr>
            <w:r>
              <w:rPr>
                <w:rFonts w:hint="eastAsia" w:ascii="宋体" w:hAnsi="宋体" w:cs="宋体"/>
                <w:szCs w:val="21"/>
                <w:lang w:bidi="ar"/>
              </w:rPr>
              <w:t>名</w:t>
            </w:r>
            <w:r>
              <w:rPr>
                <w:rFonts w:ascii="宋体" w:hAnsi="宋体" w:cs="宋体"/>
                <w:szCs w:val="21"/>
                <w:lang w:bidi="ar"/>
              </w:rPr>
              <w:t xml:space="preserve">     </w:t>
            </w:r>
            <w:r>
              <w:rPr>
                <w:rFonts w:hint="eastAsia" w:ascii="宋体" w:hAnsi="宋体" w:cs="宋体"/>
                <w:szCs w:val="21"/>
                <w:lang w:bidi="ar"/>
              </w:rPr>
              <w:t>称</w:t>
            </w:r>
          </w:p>
        </w:tc>
        <w:tc>
          <w:tcPr>
            <w:tcW w:w="210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cs="宋体"/>
                <w:szCs w:val="21"/>
              </w:rPr>
            </w:pPr>
            <w:r>
              <w:rPr>
                <w:rFonts w:hint="eastAsia" w:ascii="宋体" w:hAnsi="宋体" w:cs="宋体"/>
                <w:szCs w:val="21"/>
                <w:lang w:bidi="ar"/>
              </w:rPr>
              <w:t>数量（台套）</w:t>
            </w:r>
          </w:p>
        </w:tc>
        <w:tc>
          <w:tcPr>
            <w:tcW w:w="90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cs="宋体"/>
                <w:szCs w:val="21"/>
              </w:rPr>
            </w:pPr>
            <w:r>
              <w:rPr>
                <w:rFonts w:hint="eastAsia" w:ascii="宋体" w:hAnsi="宋体" w:cs="宋体"/>
                <w:szCs w:val="21"/>
                <w:lang w:bidi="ar"/>
              </w:rPr>
              <w:t>小计</w:t>
            </w:r>
          </w:p>
        </w:tc>
        <w:tc>
          <w:tcPr>
            <w:tcW w:w="90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cs="宋体"/>
                <w:szCs w:val="21"/>
              </w:rPr>
            </w:pPr>
            <w:r>
              <w:rPr>
                <w:rFonts w:hint="eastAsia" w:ascii="宋体" w:hAnsi="宋体" w:cs="宋体"/>
                <w:szCs w:val="21"/>
                <w:lang w:bidi="ar"/>
              </w:rPr>
              <w:t>新购</w:t>
            </w:r>
          </w:p>
        </w:tc>
        <w:tc>
          <w:tcPr>
            <w:tcW w:w="847"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cs="宋体"/>
                <w:szCs w:val="21"/>
              </w:rPr>
            </w:pPr>
            <w:r>
              <w:rPr>
                <w:rFonts w:hint="eastAsia" w:ascii="宋体" w:hAnsi="宋体" w:cs="宋体"/>
                <w:szCs w:val="21"/>
                <w:lang w:bidi="ar"/>
              </w:rPr>
              <w:t>自有</w:t>
            </w:r>
          </w:p>
        </w:tc>
        <w:tc>
          <w:tcPr>
            <w:tcW w:w="81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cs="宋体"/>
                <w:szCs w:val="21"/>
              </w:rPr>
            </w:pPr>
            <w:r>
              <w:rPr>
                <w:rFonts w:hint="eastAsia" w:ascii="宋体" w:hAnsi="宋体" w:cs="宋体"/>
                <w:szCs w:val="21"/>
                <w:lang w:bidi="ar"/>
              </w:rPr>
              <w:t>租赁</w:t>
            </w:r>
          </w:p>
        </w:tc>
        <w:tc>
          <w:tcPr>
            <w:tcW w:w="874" w:type="dxa"/>
            <w:tcBorders>
              <w:top w:val="single" w:color="auto" w:sz="6" w:space="0"/>
              <w:left w:val="single" w:color="auto" w:sz="6" w:space="0"/>
              <w:bottom w:val="single" w:color="auto" w:sz="6" w:space="0"/>
              <w:right w:val="single" w:color="auto" w:sz="2" w:space="0"/>
            </w:tcBorders>
            <w:vAlign w:val="center"/>
          </w:tcPr>
          <w:p>
            <w:pPr>
              <w:spacing w:line="360" w:lineRule="auto"/>
              <w:jc w:val="center"/>
              <w:rPr>
                <w:rFonts w:ascii="宋体" w:cs="宋体"/>
                <w:szCs w:val="21"/>
              </w:rPr>
            </w:pPr>
            <w:r>
              <w:rPr>
                <w:rFonts w:hint="eastAsia" w:ascii="宋体" w:hAnsi="宋体" w:cs="宋体"/>
                <w:szCs w:val="21"/>
                <w:lang w:bidi="ar"/>
              </w:rPr>
              <w:t>型号</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622" w:hRule="atLeast"/>
          <w:jc w:val="center"/>
        </w:trPr>
        <w:tc>
          <w:tcPr>
            <w:tcW w:w="432" w:type="dxa"/>
            <w:vMerge w:val="restart"/>
            <w:tcBorders>
              <w:top w:val="single" w:color="auto" w:sz="6" w:space="0"/>
              <w:left w:val="single" w:color="auto" w:sz="2" w:space="0"/>
              <w:bottom w:val="single" w:color="auto" w:sz="6" w:space="0"/>
              <w:right w:val="single" w:color="auto" w:sz="6" w:space="0"/>
            </w:tcBorders>
            <w:vAlign w:val="center"/>
          </w:tcPr>
          <w:p>
            <w:pPr>
              <w:spacing w:line="360" w:lineRule="auto"/>
              <w:jc w:val="left"/>
              <w:rPr>
                <w:rFonts w:ascii="宋体" w:cs="宋体"/>
                <w:szCs w:val="21"/>
              </w:rPr>
            </w:pPr>
            <w:r>
              <w:rPr>
                <w:rFonts w:hint="eastAsia" w:ascii="宋体" w:hAnsi="宋体" w:cs="宋体"/>
                <w:szCs w:val="21"/>
                <w:lang w:bidi="ar"/>
              </w:rPr>
              <w:t>施工机械设备</w:t>
            </w:r>
          </w:p>
        </w:tc>
        <w:tc>
          <w:tcPr>
            <w:tcW w:w="1625"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 w:val="24"/>
                <w:szCs w:val="24"/>
              </w:rPr>
            </w:pPr>
          </w:p>
        </w:tc>
        <w:tc>
          <w:tcPr>
            <w:tcW w:w="2100"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 w:val="24"/>
                <w:szCs w:val="24"/>
              </w:rPr>
            </w:pPr>
          </w:p>
        </w:tc>
        <w:tc>
          <w:tcPr>
            <w:tcW w:w="900"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Cs w:val="21"/>
              </w:rPr>
            </w:pPr>
          </w:p>
        </w:tc>
        <w:tc>
          <w:tcPr>
            <w:tcW w:w="900"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Cs w:val="21"/>
              </w:rPr>
            </w:pPr>
          </w:p>
        </w:tc>
        <w:tc>
          <w:tcPr>
            <w:tcW w:w="847"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Cs w:val="21"/>
              </w:rPr>
            </w:pPr>
          </w:p>
        </w:tc>
        <w:tc>
          <w:tcPr>
            <w:tcW w:w="816"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Cs w:val="21"/>
              </w:rPr>
            </w:pPr>
          </w:p>
        </w:tc>
        <w:tc>
          <w:tcPr>
            <w:tcW w:w="874" w:type="dxa"/>
            <w:tcBorders>
              <w:top w:val="single" w:color="auto" w:sz="6" w:space="0"/>
              <w:left w:val="single" w:color="auto" w:sz="6" w:space="0"/>
              <w:bottom w:val="single" w:color="auto" w:sz="6" w:space="0"/>
              <w:right w:val="single" w:color="auto" w:sz="2" w:space="0"/>
            </w:tcBorders>
            <w:vAlign w:val="center"/>
          </w:tcPr>
          <w:p>
            <w:pPr>
              <w:spacing w:line="360" w:lineRule="auto"/>
              <w:jc w:val="left"/>
              <w:rPr>
                <w:rFonts w:ascii="宋体" w:cs="宋体"/>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622" w:hRule="atLeast"/>
          <w:jc w:val="center"/>
        </w:trPr>
        <w:tc>
          <w:tcPr>
            <w:tcW w:w="432" w:type="dxa"/>
            <w:vMerge w:val="continue"/>
            <w:tcBorders>
              <w:top w:val="single" w:color="auto" w:sz="6" w:space="0"/>
              <w:left w:val="single" w:color="auto" w:sz="2" w:space="0"/>
              <w:bottom w:val="single" w:color="auto" w:sz="6" w:space="0"/>
              <w:right w:val="single" w:color="auto" w:sz="6" w:space="0"/>
            </w:tcBorders>
            <w:vAlign w:val="center"/>
          </w:tcPr>
          <w:p>
            <w:pPr>
              <w:spacing w:line="360" w:lineRule="auto"/>
              <w:rPr>
                <w:sz w:val="20"/>
                <w:szCs w:val="20"/>
              </w:rPr>
            </w:pPr>
          </w:p>
        </w:tc>
        <w:tc>
          <w:tcPr>
            <w:tcW w:w="1625"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 w:val="24"/>
                <w:szCs w:val="24"/>
              </w:rPr>
            </w:pPr>
          </w:p>
        </w:tc>
        <w:tc>
          <w:tcPr>
            <w:tcW w:w="2100"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 w:val="24"/>
                <w:szCs w:val="24"/>
              </w:rPr>
            </w:pPr>
          </w:p>
        </w:tc>
        <w:tc>
          <w:tcPr>
            <w:tcW w:w="900"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Cs w:val="21"/>
              </w:rPr>
            </w:pPr>
          </w:p>
        </w:tc>
        <w:tc>
          <w:tcPr>
            <w:tcW w:w="900"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Cs w:val="21"/>
              </w:rPr>
            </w:pPr>
          </w:p>
        </w:tc>
        <w:tc>
          <w:tcPr>
            <w:tcW w:w="847"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Cs w:val="21"/>
              </w:rPr>
            </w:pPr>
          </w:p>
        </w:tc>
        <w:tc>
          <w:tcPr>
            <w:tcW w:w="816"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Cs w:val="21"/>
              </w:rPr>
            </w:pPr>
          </w:p>
        </w:tc>
        <w:tc>
          <w:tcPr>
            <w:tcW w:w="874" w:type="dxa"/>
            <w:tcBorders>
              <w:top w:val="single" w:color="auto" w:sz="6" w:space="0"/>
              <w:left w:val="single" w:color="auto" w:sz="6" w:space="0"/>
              <w:bottom w:val="single" w:color="auto" w:sz="6" w:space="0"/>
              <w:right w:val="single" w:color="auto" w:sz="2" w:space="0"/>
            </w:tcBorders>
            <w:vAlign w:val="center"/>
          </w:tcPr>
          <w:p>
            <w:pPr>
              <w:spacing w:line="360" w:lineRule="auto"/>
              <w:jc w:val="left"/>
              <w:rPr>
                <w:rFonts w:ascii="宋体" w:cs="宋体"/>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432" w:type="dxa"/>
            <w:vMerge w:val="continue"/>
            <w:tcBorders>
              <w:top w:val="single" w:color="auto" w:sz="6" w:space="0"/>
              <w:left w:val="single" w:color="auto" w:sz="2" w:space="0"/>
              <w:bottom w:val="single" w:color="auto" w:sz="6" w:space="0"/>
              <w:right w:val="single" w:color="auto" w:sz="6" w:space="0"/>
            </w:tcBorders>
            <w:vAlign w:val="center"/>
          </w:tcPr>
          <w:p>
            <w:pPr>
              <w:spacing w:line="360" w:lineRule="auto"/>
              <w:rPr>
                <w:sz w:val="20"/>
                <w:szCs w:val="20"/>
              </w:rPr>
            </w:pPr>
          </w:p>
        </w:tc>
        <w:tc>
          <w:tcPr>
            <w:tcW w:w="1625"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 w:val="24"/>
                <w:szCs w:val="24"/>
              </w:rPr>
            </w:pPr>
          </w:p>
        </w:tc>
        <w:tc>
          <w:tcPr>
            <w:tcW w:w="2100"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 w:val="24"/>
                <w:szCs w:val="24"/>
              </w:rPr>
            </w:pPr>
          </w:p>
        </w:tc>
        <w:tc>
          <w:tcPr>
            <w:tcW w:w="900"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Cs w:val="21"/>
              </w:rPr>
            </w:pPr>
          </w:p>
        </w:tc>
        <w:tc>
          <w:tcPr>
            <w:tcW w:w="900"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Cs w:val="21"/>
              </w:rPr>
            </w:pPr>
          </w:p>
        </w:tc>
        <w:tc>
          <w:tcPr>
            <w:tcW w:w="847"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Cs w:val="21"/>
              </w:rPr>
            </w:pPr>
          </w:p>
        </w:tc>
        <w:tc>
          <w:tcPr>
            <w:tcW w:w="816"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Cs w:val="21"/>
              </w:rPr>
            </w:pPr>
          </w:p>
        </w:tc>
        <w:tc>
          <w:tcPr>
            <w:tcW w:w="874" w:type="dxa"/>
            <w:tcBorders>
              <w:top w:val="single" w:color="auto" w:sz="6" w:space="0"/>
              <w:left w:val="single" w:color="auto" w:sz="6" w:space="0"/>
              <w:bottom w:val="single" w:color="auto" w:sz="6" w:space="0"/>
              <w:right w:val="single" w:color="auto" w:sz="2" w:space="0"/>
            </w:tcBorders>
            <w:vAlign w:val="center"/>
          </w:tcPr>
          <w:p>
            <w:pPr>
              <w:spacing w:line="360" w:lineRule="auto"/>
              <w:jc w:val="left"/>
              <w:rPr>
                <w:rFonts w:ascii="宋体" w:cs="宋体"/>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601" w:hRule="atLeast"/>
          <w:jc w:val="center"/>
        </w:trPr>
        <w:tc>
          <w:tcPr>
            <w:tcW w:w="432" w:type="dxa"/>
            <w:vMerge w:val="continue"/>
            <w:tcBorders>
              <w:top w:val="single" w:color="auto" w:sz="6" w:space="0"/>
              <w:left w:val="single" w:color="auto" w:sz="2" w:space="0"/>
              <w:bottom w:val="single" w:color="auto" w:sz="6" w:space="0"/>
              <w:right w:val="single" w:color="auto" w:sz="6" w:space="0"/>
            </w:tcBorders>
            <w:vAlign w:val="center"/>
          </w:tcPr>
          <w:p>
            <w:pPr>
              <w:spacing w:line="360" w:lineRule="auto"/>
              <w:rPr>
                <w:sz w:val="20"/>
                <w:szCs w:val="20"/>
              </w:rPr>
            </w:pPr>
          </w:p>
        </w:tc>
        <w:tc>
          <w:tcPr>
            <w:tcW w:w="1625"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 w:val="24"/>
                <w:szCs w:val="24"/>
              </w:rPr>
            </w:pPr>
          </w:p>
        </w:tc>
        <w:tc>
          <w:tcPr>
            <w:tcW w:w="2100"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 w:val="24"/>
                <w:szCs w:val="24"/>
              </w:rPr>
            </w:pPr>
          </w:p>
        </w:tc>
        <w:tc>
          <w:tcPr>
            <w:tcW w:w="900"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Cs w:val="21"/>
              </w:rPr>
            </w:pPr>
          </w:p>
        </w:tc>
        <w:tc>
          <w:tcPr>
            <w:tcW w:w="900"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Cs w:val="21"/>
              </w:rPr>
            </w:pPr>
          </w:p>
        </w:tc>
        <w:tc>
          <w:tcPr>
            <w:tcW w:w="847"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Cs w:val="21"/>
              </w:rPr>
            </w:pPr>
          </w:p>
        </w:tc>
        <w:tc>
          <w:tcPr>
            <w:tcW w:w="816"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Cs w:val="21"/>
              </w:rPr>
            </w:pPr>
          </w:p>
        </w:tc>
        <w:tc>
          <w:tcPr>
            <w:tcW w:w="874" w:type="dxa"/>
            <w:tcBorders>
              <w:top w:val="single" w:color="auto" w:sz="6" w:space="0"/>
              <w:left w:val="single" w:color="auto" w:sz="6" w:space="0"/>
              <w:bottom w:val="single" w:color="auto" w:sz="6" w:space="0"/>
              <w:right w:val="single" w:color="auto" w:sz="2" w:space="0"/>
            </w:tcBorders>
            <w:vAlign w:val="center"/>
          </w:tcPr>
          <w:p>
            <w:pPr>
              <w:spacing w:line="360" w:lineRule="auto"/>
              <w:jc w:val="left"/>
              <w:rPr>
                <w:rFonts w:ascii="宋体" w:cs="宋体"/>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623" w:hRule="atLeast"/>
          <w:jc w:val="center"/>
        </w:trPr>
        <w:tc>
          <w:tcPr>
            <w:tcW w:w="432" w:type="dxa"/>
            <w:vMerge w:val="continue"/>
            <w:tcBorders>
              <w:top w:val="single" w:color="auto" w:sz="6" w:space="0"/>
              <w:left w:val="single" w:color="auto" w:sz="2" w:space="0"/>
              <w:bottom w:val="single" w:color="auto" w:sz="6" w:space="0"/>
              <w:right w:val="single" w:color="auto" w:sz="6" w:space="0"/>
            </w:tcBorders>
            <w:vAlign w:val="center"/>
          </w:tcPr>
          <w:p>
            <w:pPr>
              <w:spacing w:line="360" w:lineRule="auto"/>
              <w:rPr>
                <w:sz w:val="20"/>
                <w:szCs w:val="20"/>
              </w:rPr>
            </w:pPr>
          </w:p>
        </w:tc>
        <w:tc>
          <w:tcPr>
            <w:tcW w:w="1625"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 w:val="24"/>
                <w:szCs w:val="24"/>
              </w:rPr>
            </w:pPr>
          </w:p>
        </w:tc>
        <w:tc>
          <w:tcPr>
            <w:tcW w:w="2100"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 w:val="24"/>
                <w:szCs w:val="24"/>
              </w:rPr>
            </w:pPr>
          </w:p>
        </w:tc>
        <w:tc>
          <w:tcPr>
            <w:tcW w:w="900"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Cs w:val="21"/>
              </w:rPr>
            </w:pPr>
          </w:p>
        </w:tc>
        <w:tc>
          <w:tcPr>
            <w:tcW w:w="900"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Cs w:val="21"/>
              </w:rPr>
            </w:pPr>
          </w:p>
        </w:tc>
        <w:tc>
          <w:tcPr>
            <w:tcW w:w="847"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Cs w:val="21"/>
              </w:rPr>
            </w:pPr>
          </w:p>
        </w:tc>
        <w:tc>
          <w:tcPr>
            <w:tcW w:w="816"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Cs w:val="21"/>
              </w:rPr>
            </w:pPr>
          </w:p>
        </w:tc>
        <w:tc>
          <w:tcPr>
            <w:tcW w:w="874" w:type="dxa"/>
            <w:tcBorders>
              <w:top w:val="single" w:color="auto" w:sz="6" w:space="0"/>
              <w:left w:val="single" w:color="auto" w:sz="6" w:space="0"/>
              <w:bottom w:val="single" w:color="auto" w:sz="6" w:space="0"/>
              <w:right w:val="single" w:color="auto" w:sz="2" w:space="0"/>
            </w:tcBorders>
            <w:vAlign w:val="center"/>
          </w:tcPr>
          <w:p>
            <w:pPr>
              <w:spacing w:line="360" w:lineRule="auto"/>
              <w:jc w:val="left"/>
              <w:rPr>
                <w:rFonts w:ascii="宋体" w:cs="宋体"/>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616" w:hRule="atLeast"/>
          <w:jc w:val="center"/>
        </w:trPr>
        <w:tc>
          <w:tcPr>
            <w:tcW w:w="432" w:type="dxa"/>
            <w:vMerge w:val="continue"/>
            <w:tcBorders>
              <w:top w:val="single" w:color="auto" w:sz="6" w:space="0"/>
              <w:left w:val="single" w:color="auto" w:sz="2" w:space="0"/>
              <w:bottom w:val="single" w:color="auto" w:sz="6" w:space="0"/>
              <w:right w:val="single" w:color="auto" w:sz="6" w:space="0"/>
            </w:tcBorders>
            <w:vAlign w:val="center"/>
          </w:tcPr>
          <w:p>
            <w:pPr>
              <w:spacing w:line="360" w:lineRule="auto"/>
              <w:rPr>
                <w:sz w:val="20"/>
                <w:szCs w:val="20"/>
              </w:rPr>
            </w:pPr>
          </w:p>
        </w:tc>
        <w:tc>
          <w:tcPr>
            <w:tcW w:w="1625"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 w:val="24"/>
                <w:szCs w:val="24"/>
              </w:rPr>
            </w:pPr>
          </w:p>
        </w:tc>
        <w:tc>
          <w:tcPr>
            <w:tcW w:w="2100"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 w:val="24"/>
                <w:szCs w:val="24"/>
              </w:rPr>
            </w:pPr>
          </w:p>
        </w:tc>
        <w:tc>
          <w:tcPr>
            <w:tcW w:w="900"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Cs w:val="21"/>
              </w:rPr>
            </w:pPr>
          </w:p>
        </w:tc>
        <w:tc>
          <w:tcPr>
            <w:tcW w:w="900"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Cs w:val="21"/>
              </w:rPr>
            </w:pPr>
          </w:p>
        </w:tc>
        <w:tc>
          <w:tcPr>
            <w:tcW w:w="847"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Cs w:val="21"/>
              </w:rPr>
            </w:pPr>
          </w:p>
        </w:tc>
        <w:tc>
          <w:tcPr>
            <w:tcW w:w="816"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Cs w:val="21"/>
              </w:rPr>
            </w:pPr>
          </w:p>
        </w:tc>
        <w:tc>
          <w:tcPr>
            <w:tcW w:w="874" w:type="dxa"/>
            <w:tcBorders>
              <w:top w:val="single" w:color="auto" w:sz="6" w:space="0"/>
              <w:left w:val="single" w:color="auto" w:sz="6" w:space="0"/>
              <w:bottom w:val="single" w:color="auto" w:sz="6" w:space="0"/>
              <w:right w:val="single" w:color="auto" w:sz="2" w:space="0"/>
            </w:tcBorders>
            <w:vAlign w:val="center"/>
          </w:tcPr>
          <w:p>
            <w:pPr>
              <w:spacing w:line="360" w:lineRule="auto"/>
              <w:jc w:val="left"/>
              <w:rPr>
                <w:rFonts w:ascii="宋体" w:cs="宋体"/>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616" w:hRule="atLeast"/>
          <w:jc w:val="center"/>
        </w:trPr>
        <w:tc>
          <w:tcPr>
            <w:tcW w:w="432" w:type="dxa"/>
            <w:vMerge w:val="continue"/>
            <w:tcBorders>
              <w:top w:val="single" w:color="auto" w:sz="6" w:space="0"/>
              <w:left w:val="single" w:color="auto" w:sz="2" w:space="0"/>
              <w:bottom w:val="single" w:color="auto" w:sz="6" w:space="0"/>
              <w:right w:val="single" w:color="auto" w:sz="6" w:space="0"/>
            </w:tcBorders>
            <w:vAlign w:val="center"/>
          </w:tcPr>
          <w:p>
            <w:pPr>
              <w:spacing w:line="360" w:lineRule="auto"/>
              <w:rPr>
                <w:sz w:val="20"/>
                <w:szCs w:val="20"/>
              </w:rPr>
            </w:pPr>
          </w:p>
        </w:tc>
        <w:tc>
          <w:tcPr>
            <w:tcW w:w="1625"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 w:val="24"/>
                <w:szCs w:val="24"/>
              </w:rPr>
            </w:pPr>
          </w:p>
        </w:tc>
        <w:tc>
          <w:tcPr>
            <w:tcW w:w="2100"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 w:val="24"/>
                <w:szCs w:val="24"/>
              </w:rPr>
            </w:pPr>
          </w:p>
        </w:tc>
        <w:tc>
          <w:tcPr>
            <w:tcW w:w="900"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Cs w:val="21"/>
              </w:rPr>
            </w:pPr>
          </w:p>
        </w:tc>
        <w:tc>
          <w:tcPr>
            <w:tcW w:w="900"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Cs w:val="21"/>
              </w:rPr>
            </w:pPr>
          </w:p>
        </w:tc>
        <w:tc>
          <w:tcPr>
            <w:tcW w:w="847"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Cs w:val="21"/>
              </w:rPr>
            </w:pPr>
          </w:p>
        </w:tc>
        <w:tc>
          <w:tcPr>
            <w:tcW w:w="816"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Cs w:val="21"/>
              </w:rPr>
            </w:pPr>
          </w:p>
        </w:tc>
        <w:tc>
          <w:tcPr>
            <w:tcW w:w="874" w:type="dxa"/>
            <w:tcBorders>
              <w:top w:val="single" w:color="auto" w:sz="6" w:space="0"/>
              <w:left w:val="single" w:color="auto" w:sz="6" w:space="0"/>
              <w:bottom w:val="single" w:color="auto" w:sz="6" w:space="0"/>
              <w:right w:val="single" w:color="auto" w:sz="2" w:space="0"/>
            </w:tcBorders>
            <w:vAlign w:val="center"/>
          </w:tcPr>
          <w:p>
            <w:pPr>
              <w:spacing w:line="360" w:lineRule="auto"/>
              <w:jc w:val="left"/>
              <w:rPr>
                <w:rFonts w:ascii="宋体" w:cs="宋体"/>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616" w:hRule="atLeast"/>
          <w:jc w:val="center"/>
        </w:trPr>
        <w:tc>
          <w:tcPr>
            <w:tcW w:w="432" w:type="dxa"/>
            <w:vMerge w:val="continue"/>
            <w:tcBorders>
              <w:top w:val="single" w:color="auto" w:sz="6" w:space="0"/>
              <w:left w:val="single" w:color="auto" w:sz="2" w:space="0"/>
              <w:bottom w:val="single" w:color="auto" w:sz="6" w:space="0"/>
              <w:right w:val="single" w:color="auto" w:sz="6" w:space="0"/>
            </w:tcBorders>
            <w:vAlign w:val="center"/>
          </w:tcPr>
          <w:p>
            <w:pPr>
              <w:spacing w:line="360" w:lineRule="auto"/>
              <w:rPr>
                <w:sz w:val="20"/>
                <w:szCs w:val="20"/>
              </w:rPr>
            </w:pPr>
          </w:p>
        </w:tc>
        <w:tc>
          <w:tcPr>
            <w:tcW w:w="1625"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 w:val="24"/>
                <w:szCs w:val="24"/>
              </w:rPr>
            </w:pPr>
          </w:p>
        </w:tc>
        <w:tc>
          <w:tcPr>
            <w:tcW w:w="2100"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 w:val="24"/>
                <w:szCs w:val="24"/>
              </w:rPr>
            </w:pPr>
          </w:p>
        </w:tc>
        <w:tc>
          <w:tcPr>
            <w:tcW w:w="900"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Cs w:val="21"/>
              </w:rPr>
            </w:pPr>
          </w:p>
        </w:tc>
        <w:tc>
          <w:tcPr>
            <w:tcW w:w="900"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Cs w:val="21"/>
              </w:rPr>
            </w:pPr>
          </w:p>
        </w:tc>
        <w:tc>
          <w:tcPr>
            <w:tcW w:w="847"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Cs w:val="21"/>
              </w:rPr>
            </w:pPr>
          </w:p>
        </w:tc>
        <w:tc>
          <w:tcPr>
            <w:tcW w:w="816"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Cs w:val="21"/>
              </w:rPr>
            </w:pPr>
          </w:p>
        </w:tc>
        <w:tc>
          <w:tcPr>
            <w:tcW w:w="874" w:type="dxa"/>
            <w:tcBorders>
              <w:top w:val="single" w:color="auto" w:sz="6" w:space="0"/>
              <w:left w:val="single" w:color="auto" w:sz="6" w:space="0"/>
              <w:bottom w:val="single" w:color="auto" w:sz="6" w:space="0"/>
              <w:right w:val="single" w:color="auto" w:sz="2" w:space="0"/>
            </w:tcBorders>
            <w:vAlign w:val="center"/>
          </w:tcPr>
          <w:p>
            <w:pPr>
              <w:spacing w:line="360" w:lineRule="auto"/>
              <w:jc w:val="left"/>
              <w:rPr>
                <w:rFonts w:ascii="宋体" w:cs="宋体"/>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596" w:hRule="atLeast"/>
          <w:jc w:val="center"/>
        </w:trPr>
        <w:tc>
          <w:tcPr>
            <w:tcW w:w="432" w:type="dxa"/>
            <w:vMerge w:val="restart"/>
            <w:tcBorders>
              <w:top w:val="single" w:color="auto" w:sz="6" w:space="0"/>
              <w:left w:val="single" w:color="auto" w:sz="2" w:space="0"/>
              <w:bottom w:val="single" w:color="auto" w:sz="6" w:space="0"/>
              <w:right w:val="single" w:color="auto" w:sz="6" w:space="0"/>
            </w:tcBorders>
            <w:vAlign w:val="center"/>
          </w:tcPr>
          <w:p>
            <w:pPr>
              <w:spacing w:line="360" w:lineRule="auto"/>
              <w:jc w:val="left"/>
              <w:rPr>
                <w:rFonts w:ascii="宋体" w:cs="宋体"/>
                <w:szCs w:val="21"/>
              </w:rPr>
            </w:pPr>
            <w:r>
              <w:rPr>
                <w:rFonts w:hint="eastAsia" w:ascii="宋体" w:hAnsi="宋体" w:cs="宋体"/>
                <w:szCs w:val="21"/>
                <w:lang w:bidi="ar"/>
              </w:rPr>
              <w:t>其他设备</w:t>
            </w:r>
          </w:p>
        </w:tc>
        <w:tc>
          <w:tcPr>
            <w:tcW w:w="1625"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 w:val="24"/>
                <w:szCs w:val="24"/>
              </w:rPr>
            </w:pPr>
          </w:p>
        </w:tc>
        <w:tc>
          <w:tcPr>
            <w:tcW w:w="2100"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 w:val="24"/>
                <w:szCs w:val="24"/>
              </w:rPr>
            </w:pPr>
          </w:p>
        </w:tc>
        <w:tc>
          <w:tcPr>
            <w:tcW w:w="900"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Cs w:val="21"/>
              </w:rPr>
            </w:pPr>
          </w:p>
        </w:tc>
        <w:tc>
          <w:tcPr>
            <w:tcW w:w="900"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Cs w:val="21"/>
              </w:rPr>
            </w:pPr>
          </w:p>
        </w:tc>
        <w:tc>
          <w:tcPr>
            <w:tcW w:w="847"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Cs w:val="21"/>
              </w:rPr>
            </w:pPr>
          </w:p>
        </w:tc>
        <w:tc>
          <w:tcPr>
            <w:tcW w:w="816"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Cs w:val="21"/>
              </w:rPr>
            </w:pPr>
          </w:p>
        </w:tc>
        <w:tc>
          <w:tcPr>
            <w:tcW w:w="874" w:type="dxa"/>
            <w:tcBorders>
              <w:top w:val="single" w:color="auto" w:sz="6" w:space="0"/>
              <w:left w:val="single" w:color="auto" w:sz="6" w:space="0"/>
              <w:bottom w:val="single" w:color="auto" w:sz="6" w:space="0"/>
              <w:right w:val="single" w:color="auto" w:sz="2" w:space="0"/>
            </w:tcBorders>
            <w:vAlign w:val="center"/>
          </w:tcPr>
          <w:p>
            <w:pPr>
              <w:spacing w:line="360" w:lineRule="auto"/>
              <w:jc w:val="left"/>
              <w:rPr>
                <w:rFonts w:ascii="宋体" w:cs="宋体"/>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596" w:hRule="atLeast"/>
          <w:jc w:val="center"/>
        </w:trPr>
        <w:tc>
          <w:tcPr>
            <w:tcW w:w="432" w:type="dxa"/>
            <w:vMerge w:val="continue"/>
            <w:tcBorders>
              <w:top w:val="single" w:color="auto" w:sz="6" w:space="0"/>
              <w:left w:val="single" w:color="auto" w:sz="2" w:space="0"/>
              <w:bottom w:val="single" w:color="auto" w:sz="6" w:space="0"/>
              <w:right w:val="single" w:color="auto" w:sz="6" w:space="0"/>
            </w:tcBorders>
            <w:vAlign w:val="center"/>
          </w:tcPr>
          <w:p>
            <w:pPr>
              <w:spacing w:line="360" w:lineRule="auto"/>
              <w:rPr>
                <w:sz w:val="20"/>
                <w:szCs w:val="20"/>
              </w:rPr>
            </w:pPr>
          </w:p>
        </w:tc>
        <w:tc>
          <w:tcPr>
            <w:tcW w:w="1625"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 w:val="24"/>
                <w:szCs w:val="24"/>
              </w:rPr>
            </w:pPr>
          </w:p>
        </w:tc>
        <w:tc>
          <w:tcPr>
            <w:tcW w:w="2100"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 w:val="24"/>
                <w:szCs w:val="24"/>
              </w:rPr>
            </w:pPr>
          </w:p>
        </w:tc>
        <w:tc>
          <w:tcPr>
            <w:tcW w:w="900"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Cs w:val="21"/>
              </w:rPr>
            </w:pPr>
          </w:p>
        </w:tc>
        <w:tc>
          <w:tcPr>
            <w:tcW w:w="900"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Cs w:val="21"/>
              </w:rPr>
            </w:pPr>
          </w:p>
        </w:tc>
        <w:tc>
          <w:tcPr>
            <w:tcW w:w="847"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Cs w:val="21"/>
              </w:rPr>
            </w:pPr>
          </w:p>
        </w:tc>
        <w:tc>
          <w:tcPr>
            <w:tcW w:w="816"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Cs w:val="21"/>
              </w:rPr>
            </w:pPr>
          </w:p>
        </w:tc>
        <w:tc>
          <w:tcPr>
            <w:tcW w:w="874" w:type="dxa"/>
            <w:tcBorders>
              <w:top w:val="single" w:color="auto" w:sz="6" w:space="0"/>
              <w:left w:val="single" w:color="auto" w:sz="6" w:space="0"/>
              <w:bottom w:val="single" w:color="auto" w:sz="6" w:space="0"/>
              <w:right w:val="single" w:color="auto" w:sz="2" w:space="0"/>
            </w:tcBorders>
            <w:vAlign w:val="center"/>
          </w:tcPr>
          <w:p>
            <w:pPr>
              <w:spacing w:line="360" w:lineRule="auto"/>
              <w:jc w:val="left"/>
              <w:rPr>
                <w:rFonts w:ascii="宋体" w:cs="宋体"/>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596" w:hRule="atLeast"/>
          <w:jc w:val="center"/>
        </w:trPr>
        <w:tc>
          <w:tcPr>
            <w:tcW w:w="432" w:type="dxa"/>
            <w:vMerge w:val="continue"/>
            <w:tcBorders>
              <w:top w:val="single" w:color="auto" w:sz="6" w:space="0"/>
              <w:left w:val="single" w:color="auto" w:sz="2" w:space="0"/>
              <w:bottom w:val="single" w:color="auto" w:sz="6" w:space="0"/>
              <w:right w:val="single" w:color="auto" w:sz="6" w:space="0"/>
            </w:tcBorders>
            <w:vAlign w:val="center"/>
          </w:tcPr>
          <w:p>
            <w:pPr>
              <w:spacing w:line="360" w:lineRule="auto"/>
              <w:rPr>
                <w:sz w:val="20"/>
                <w:szCs w:val="20"/>
              </w:rPr>
            </w:pPr>
          </w:p>
        </w:tc>
        <w:tc>
          <w:tcPr>
            <w:tcW w:w="1625"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 w:val="24"/>
                <w:szCs w:val="24"/>
              </w:rPr>
            </w:pPr>
          </w:p>
        </w:tc>
        <w:tc>
          <w:tcPr>
            <w:tcW w:w="2100"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 w:val="24"/>
                <w:szCs w:val="24"/>
              </w:rPr>
            </w:pPr>
          </w:p>
        </w:tc>
        <w:tc>
          <w:tcPr>
            <w:tcW w:w="900"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Cs w:val="21"/>
              </w:rPr>
            </w:pPr>
          </w:p>
        </w:tc>
        <w:tc>
          <w:tcPr>
            <w:tcW w:w="900"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Cs w:val="21"/>
              </w:rPr>
            </w:pPr>
          </w:p>
        </w:tc>
        <w:tc>
          <w:tcPr>
            <w:tcW w:w="847"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Cs w:val="21"/>
              </w:rPr>
            </w:pPr>
          </w:p>
        </w:tc>
        <w:tc>
          <w:tcPr>
            <w:tcW w:w="816"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Cs w:val="21"/>
              </w:rPr>
            </w:pPr>
          </w:p>
        </w:tc>
        <w:tc>
          <w:tcPr>
            <w:tcW w:w="874" w:type="dxa"/>
            <w:tcBorders>
              <w:top w:val="single" w:color="auto" w:sz="6" w:space="0"/>
              <w:left w:val="single" w:color="auto" w:sz="6" w:space="0"/>
              <w:bottom w:val="single" w:color="auto" w:sz="6" w:space="0"/>
              <w:right w:val="single" w:color="auto" w:sz="2" w:space="0"/>
            </w:tcBorders>
            <w:vAlign w:val="center"/>
          </w:tcPr>
          <w:p>
            <w:pPr>
              <w:spacing w:line="360" w:lineRule="auto"/>
              <w:jc w:val="left"/>
              <w:rPr>
                <w:rFonts w:ascii="宋体" w:cs="宋体"/>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498" w:hRule="atLeast"/>
          <w:jc w:val="center"/>
        </w:trPr>
        <w:tc>
          <w:tcPr>
            <w:tcW w:w="432" w:type="dxa"/>
            <w:vMerge w:val="continue"/>
            <w:tcBorders>
              <w:top w:val="single" w:color="auto" w:sz="6" w:space="0"/>
              <w:left w:val="single" w:color="auto" w:sz="2" w:space="0"/>
              <w:bottom w:val="single" w:color="auto" w:sz="6" w:space="0"/>
              <w:right w:val="single" w:color="auto" w:sz="6" w:space="0"/>
            </w:tcBorders>
            <w:vAlign w:val="center"/>
          </w:tcPr>
          <w:p>
            <w:pPr>
              <w:spacing w:line="360" w:lineRule="auto"/>
              <w:rPr>
                <w:sz w:val="20"/>
                <w:szCs w:val="20"/>
              </w:rPr>
            </w:pPr>
          </w:p>
        </w:tc>
        <w:tc>
          <w:tcPr>
            <w:tcW w:w="1625" w:type="dxa"/>
            <w:tcBorders>
              <w:top w:val="single" w:color="auto" w:sz="6" w:space="0"/>
              <w:left w:val="single" w:color="auto" w:sz="6" w:space="0"/>
              <w:bottom w:val="single" w:color="auto" w:sz="2" w:space="0"/>
              <w:right w:val="single" w:color="auto" w:sz="6" w:space="0"/>
            </w:tcBorders>
            <w:vAlign w:val="center"/>
          </w:tcPr>
          <w:p>
            <w:pPr>
              <w:spacing w:line="360" w:lineRule="auto"/>
              <w:jc w:val="left"/>
              <w:rPr>
                <w:rFonts w:ascii="宋体" w:cs="宋体"/>
                <w:szCs w:val="21"/>
              </w:rPr>
            </w:pPr>
            <w:r>
              <w:rPr>
                <w:rFonts w:hint="eastAsia" w:ascii="宋体" w:hAnsi="宋体" w:cs="宋体"/>
                <w:szCs w:val="21"/>
                <w:lang w:bidi="ar"/>
              </w:rPr>
              <w:t>…</w:t>
            </w:r>
          </w:p>
        </w:tc>
        <w:tc>
          <w:tcPr>
            <w:tcW w:w="2100" w:type="dxa"/>
            <w:tcBorders>
              <w:top w:val="single" w:color="auto" w:sz="6" w:space="0"/>
              <w:left w:val="single" w:color="auto" w:sz="6" w:space="0"/>
              <w:bottom w:val="single" w:color="auto" w:sz="2" w:space="0"/>
              <w:right w:val="single" w:color="auto" w:sz="6" w:space="0"/>
            </w:tcBorders>
            <w:vAlign w:val="center"/>
          </w:tcPr>
          <w:p>
            <w:pPr>
              <w:spacing w:line="360" w:lineRule="auto"/>
              <w:jc w:val="left"/>
              <w:rPr>
                <w:rFonts w:ascii="宋体" w:cs="宋体"/>
                <w:szCs w:val="21"/>
              </w:rPr>
            </w:pPr>
          </w:p>
        </w:tc>
        <w:tc>
          <w:tcPr>
            <w:tcW w:w="900" w:type="dxa"/>
            <w:tcBorders>
              <w:top w:val="single" w:color="auto" w:sz="6" w:space="0"/>
              <w:left w:val="single" w:color="auto" w:sz="6" w:space="0"/>
              <w:bottom w:val="single" w:color="auto" w:sz="2" w:space="0"/>
              <w:right w:val="single" w:color="auto" w:sz="6" w:space="0"/>
            </w:tcBorders>
            <w:vAlign w:val="center"/>
          </w:tcPr>
          <w:p>
            <w:pPr>
              <w:spacing w:line="360" w:lineRule="auto"/>
              <w:jc w:val="left"/>
              <w:rPr>
                <w:rFonts w:ascii="宋体" w:cs="宋体"/>
                <w:szCs w:val="21"/>
              </w:rPr>
            </w:pPr>
          </w:p>
        </w:tc>
        <w:tc>
          <w:tcPr>
            <w:tcW w:w="900" w:type="dxa"/>
            <w:tcBorders>
              <w:top w:val="single" w:color="auto" w:sz="6" w:space="0"/>
              <w:left w:val="single" w:color="auto" w:sz="6" w:space="0"/>
              <w:bottom w:val="single" w:color="auto" w:sz="2" w:space="0"/>
              <w:right w:val="single" w:color="auto" w:sz="6" w:space="0"/>
            </w:tcBorders>
            <w:vAlign w:val="center"/>
          </w:tcPr>
          <w:p>
            <w:pPr>
              <w:spacing w:line="360" w:lineRule="auto"/>
              <w:jc w:val="left"/>
              <w:rPr>
                <w:rFonts w:ascii="宋体" w:cs="宋体"/>
                <w:szCs w:val="21"/>
              </w:rPr>
            </w:pPr>
          </w:p>
        </w:tc>
        <w:tc>
          <w:tcPr>
            <w:tcW w:w="847" w:type="dxa"/>
            <w:tcBorders>
              <w:top w:val="single" w:color="auto" w:sz="6" w:space="0"/>
              <w:left w:val="single" w:color="auto" w:sz="6" w:space="0"/>
              <w:bottom w:val="single" w:color="auto" w:sz="2" w:space="0"/>
              <w:right w:val="single" w:color="auto" w:sz="6" w:space="0"/>
            </w:tcBorders>
            <w:vAlign w:val="center"/>
          </w:tcPr>
          <w:p>
            <w:pPr>
              <w:spacing w:line="360" w:lineRule="auto"/>
              <w:jc w:val="left"/>
              <w:rPr>
                <w:rFonts w:ascii="宋体" w:cs="宋体"/>
                <w:szCs w:val="21"/>
              </w:rPr>
            </w:pPr>
          </w:p>
        </w:tc>
        <w:tc>
          <w:tcPr>
            <w:tcW w:w="816" w:type="dxa"/>
            <w:tcBorders>
              <w:top w:val="single" w:color="auto" w:sz="6" w:space="0"/>
              <w:left w:val="single" w:color="auto" w:sz="6" w:space="0"/>
              <w:bottom w:val="single" w:color="auto" w:sz="2" w:space="0"/>
              <w:right w:val="single" w:color="auto" w:sz="6" w:space="0"/>
            </w:tcBorders>
            <w:vAlign w:val="center"/>
          </w:tcPr>
          <w:p>
            <w:pPr>
              <w:spacing w:line="360" w:lineRule="auto"/>
              <w:jc w:val="left"/>
              <w:rPr>
                <w:rFonts w:ascii="宋体" w:cs="宋体"/>
                <w:szCs w:val="21"/>
              </w:rPr>
            </w:pPr>
          </w:p>
        </w:tc>
        <w:tc>
          <w:tcPr>
            <w:tcW w:w="874" w:type="dxa"/>
            <w:tcBorders>
              <w:top w:val="single" w:color="auto" w:sz="6" w:space="0"/>
              <w:left w:val="single" w:color="auto" w:sz="6" w:space="0"/>
              <w:bottom w:val="single" w:color="auto" w:sz="2" w:space="0"/>
              <w:right w:val="single" w:color="auto" w:sz="2" w:space="0"/>
            </w:tcBorders>
            <w:vAlign w:val="center"/>
          </w:tcPr>
          <w:p>
            <w:pPr>
              <w:spacing w:line="360" w:lineRule="auto"/>
              <w:jc w:val="left"/>
              <w:rPr>
                <w:rFonts w:ascii="宋体" w:cs="宋体"/>
                <w:szCs w:val="21"/>
              </w:rPr>
            </w:pPr>
          </w:p>
        </w:tc>
      </w:tr>
    </w:tbl>
    <w:p>
      <w:pPr>
        <w:topLinePunct/>
        <w:adjustRightInd w:val="0"/>
        <w:snapToGrid w:val="0"/>
        <w:spacing w:before="156" w:beforeLines="50" w:line="360" w:lineRule="auto"/>
        <w:ind w:firstLine="436" w:firstLineChars="200"/>
        <w:rPr>
          <w:rFonts w:ascii="宋体" w:cs="宋体"/>
          <w:spacing w:val="4"/>
          <w:kern w:val="0"/>
          <w:szCs w:val="21"/>
        </w:rPr>
      </w:pPr>
      <w:r>
        <w:rPr>
          <w:rFonts w:hint="eastAsia" w:ascii="宋体" w:hAnsi="宋体" w:cs="宋体"/>
          <w:spacing w:val="4"/>
          <w:kern w:val="0"/>
          <w:szCs w:val="21"/>
          <w:lang w:bidi="ar"/>
        </w:rPr>
        <w:t>注：设备名称及要求数量由投标人视本工程具体情况结合招标人对本工程的具体要求自行配备；</w:t>
      </w:r>
    </w:p>
    <w:p>
      <w:pPr>
        <w:topLinePunct/>
        <w:adjustRightInd w:val="0"/>
        <w:snapToGrid w:val="0"/>
        <w:spacing w:after="156" w:afterLines="50" w:line="360" w:lineRule="auto"/>
        <w:outlineLvl w:val="3"/>
        <w:rPr>
          <w:rFonts w:ascii="宋体" w:cs="宋体"/>
          <w:spacing w:val="4"/>
          <w:kern w:val="0"/>
          <w:sz w:val="24"/>
          <w:szCs w:val="24"/>
        </w:rPr>
      </w:pPr>
      <w:r>
        <w:rPr>
          <w:rFonts w:ascii="宋体" w:cs="宋体"/>
          <w:spacing w:val="4"/>
          <w:kern w:val="0"/>
          <w:sz w:val="24"/>
          <w:szCs w:val="24"/>
          <w:lang w:bidi="ar"/>
        </w:rPr>
        <w:br w:type="page"/>
      </w:r>
      <w:r>
        <w:rPr>
          <w:rFonts w:hint="eastAsia" w:ascii="宋体" w:hAnsi="宋体" w:cs="宋体"/>
          <w:b/>
          <w:spacing w:val="4"/>
          <w:kern w:val="0"/>
          <w:sz w:val="24"/>
          <w:szCs w:val="24"/>
          <w:lang w:bidi="ar"/>
        </w:rPr>
        <w:t>附表</w:t>
      </w:r>
      <w:r>
        <w:rPr>
          <w:rFonts w:ascii="宋体" w:hAnsi="宋体" w:cs="宋体"/>
          <w:b/>
          <w:spacing w:val="4"/>
          <w:kern w:val="0"/>
          <w:sz w:val="24"/>
          <w:szCs w:val="24"/>
          <w:lang w:bidi="ar"/>
        </w:rPr>
        <w:t>5：资金使用计划表</w:t>
      </w:r>
    </w:p>
    <w:p>
      <w:pPr>
        <w:topLinePunct/>
        <w:adjustRightInd w:val="0"/>
        <w:snapToGrid w:val="0"/>
        <w:spacing w:line="360" w:lineRule="auto"/>
        <w:jc w:val="center"/>
        <w:rPr>
          <w:rFonts w:ascii="宋体" w:cs="宋体"/>
          <w:spacing w:val="4"/>
          <w:kern w:val="0"/>
          <w:sz w:val="36"/>
          <w:szCs w:val="36"/>
        </w:rPr>
      </w:pPr>
      <w:r>
        <w:rPr>
          <w:rFonts w:hint="eastAsia" w:ascii="宋体" w:hAnsi="宋体" w:cs="宋体"/>
          <w:b/>
          <w:spacing w:val="4"/>
          <w:kern w:val="0"/>
          <w:sz w:val="36"/>
          <w:szCs w:val="36"/>
          <w:lang w:bidi="ar"/>
        </w:rPr>
        <w:t>资金使用计划表</w:t>
      </w:r>
    </w:p>
    <w:tbl>
      <w:tblPr>
        <w:tblStyle w:val="36"/>
        <w:tblW w:w="8403" w:type="dxa"/>
        <w:jc w:val="center"/>
        <w:tblLayout w:type="fixed"/>
        <w:tblCellMar>
          <w:top w:w="0" w:type="dxa"/>
          <w:left w:w="108" w:type="dxa"/>
          <w:bottom w:w="0" w:type="dxa"/>
          <w:right w:w="108" w:type="dxa"/>
        </w:tblCellMar>
      </w:tblPr>
      <w:tblGrid>
        <w:gridCol w:w="2152"/>
        <w:gridCol w:w="2140"/>
        <w:gridCol w:w="2140"/>
        <w:gridCol w:w="1971"/>
      </w:tblGrid>
      <w:tr>
        <w:tblPrEx>
          <w:tblCellMar>
            <w:top w:w="0" w:type="dxa"/>
            <w:left w:w="108" w:type="dxa"/>
            <w:bottom w:w="0" w:type="dxa"/>
            <w:right w:w="108" w:type="dxa"/>
          </w:tblCellMar>
        </w:tblPrEx>
        <w:trPr>
          <w:trHeight w:val="496" w:hRule="atLeast"/>
          <w:jc w:val="center"/>
        </w:trPr>
        <w:tc>
          <w:tcPr>
            <w:tcW w:w="2152" w:type="dxa"/>
            <w:vMerge w:val="restart"/>
            <w:tcBorders>
              <w:top w:val="single" w:color="auto" w:sz="4" w:space="0"/>
              <w:left w:val="single" w:color="auto" w:sz="4" w:space="0"/>
              <w:bottom w:val="single" w:color="auto" w:sz="6" w:space="0"/>
              <w:right w:val="single" w:color="auto" w:sz="6" w:space="0"/>
            </w:tcBorders>
            <w:vAlign w:val="center"/>
          </w:tcPr>
          <w:p>
            <w:pPr>
              <w:topLinePunct/>
              <w:adjustRightInd w:val="0"/>
              <w:snapToGrid w:val="0"/>
              <w:spacing w:line="360" w:lineRule="auto"/>
              <w:ind w:left="17" w:hanging="17" w:hangingChars="7"/>
              <w:jc w:val="center"/>
              <w:rPr>
                <w:rFonts w:ascii="宋体" w:cs="宋体"/>
                <w:spacing w:val="4"/>
                <w:sz w:val="24"/>
                <w:szCs w:val="24"/>
              </w:rPr>
            </w:pPr>
            <w:r>
              <w:rPr>
                <w:rFonts w:hint="eastAsia" w:ascii="宋体" w:hAnsi="宋体" w:cs="宋体"/>
                <w:spacing w:val="4"/>
                <w:sz w:val="24"/>
                <w:szCs w:val="24"/>
                <w:lang w:bidi="ar"/>
              </w:rPr>
              <w:t>从开工月算起的时间（月）</w:t>
            </w:r>
          </w:p>
        </w:tc>
        <w:tc>
          <w:tcPr>
            <w:tcW w:w="4280" w:type="dxa"/>
            <w:gridSpan w:val="2"/>
            <w:tcBorders>
              <w:top w:val="single" w:color="auto" w:sz="4" w:space="0"/>
              <w:left w:val="nil"/>
              <w:bottom w:val="single" w:color="auto" w:sz="6" w:space="0"/>
              <w:right w:val="single" w:color="auto" w:sz="6" w:space="0"/>
            </w:tcBorders>
            <w:vAlign w:val="center"/>
          </w:tcPr>
          <w:p>
            <w:pPr>
              <w:topLinePunct/>
              <w:adjustRightInd w:val="0"/>
              <w:snapToGrid w:val="0"/>
              <w:spacing w:line="360" w:lineRule="auto"/>
              <w:ind w:left="479"/>
              <w:jc w:val="center"/>
              <w:rPr>
                <w:rFonts w:ascii="宋体" w:cs="宋体"/>
                <w:spacing w:val="4"/>
                <w:sz w:val="24"/>
                <w:szCs w:val="24"/>
              </w:rPr>
            </w:pPr>
            <w:r>
              <w:rPr>
                <w:rFonts w:hint="eastAsia" w:ascii="宋体" w:hAnsi="宋体" w:cs="宋体"/>
                <w:spacing w:val="4"/>
                <w:sz w:val="24"/>
                <w:szCs w:val="24"/>
                <w:lang w:bidi="ar"/>
              </w:rPr>
              <w:t>资金使用计划</w:t>
            </w:r>
          </w:p>
        </w:tc>
        <w:tc>
          <w:tcPr>
            <w:tcW w:w="1971" w:type="dxa"/>
            <w:vMerge w:val="restart"/>
            <w:tcBorders>
              <w:top w:val="single" w:color="auto" w:sz="4" w:space="0"/>
              <w:left w:val="nil"/>
              <w:bottom w:val="single" w:color="auto" w:sz="6" w:space="0"/>
              <w:right w:val="single" w:color="auto" w:sz="4" w:space="0"/>
            </w:tcBorders>
            <w:vAlign w:val="center"/>
          </w:tcPr>
          <w:p>
            <w:pPr>
              <w:topLinePunct/>
              <w:adjustRightInd w:val="0"/>
              <w:snapToGrid w:val="0"/>
              <w:spacing w:line="360" w:lineRule="auto"/>
              <w:ind w:left="17" w:hanging="17" w:hangingChars="7"/>
              <w:jc w:val="center"/>
              <w:rPr>
                <w:rFonts w:ascii="宋体" w:cs="宋体"/>
                <w:spacing w:val="4"/>
                <w:sz w:val="24"/>
                <w:szCs w:val="24"/>
              </w:rPr>
            </w:pPr>
            <w:r>
              <w:rPr>
                <w:rFonts w:hint="eastAsia" w:ascii="宋体" w:hAnsi="宋体" w:cs="宋体"/>
                <w:spacing w:val="4"/>
                <w:sz w:val="24"/>
                <w:szCs w:val="24"/>
                <w:lang w:bidi="ar"/>
              </w:rPr>
              <w:t>备注</w:t>
            </w:r>
          </w:p>
        </w:tc>
      </w:tr>
      <w:tr>
        <w:tblPrEx>
          <w:tblCellMar>
            <w:top w:w="0" w:type="dxa"/>
            <w:left w:w="108" w:type="dxa"/>
            <w:bottom w:w="0" w:type="dxa"/>
            <w:right w:w="108" w:type="dxa"/>
          </w:tblCellMar>
        </w:tblPrEx>
        <w:trPr>
          <w:trHeight w:val="562" w:hRule="atLeast"/>
          <w:jc w:val="center"/>
        </w:trPr>
        <w:tc>
          <w:tcPr>
            <w:tcW w:w="2152" w:type="dxa"/>
            <w:vMerge w:val="continue"/>
            <w:tcBorders>
              <w:top w:val="single" w:color="auto" w:sz="4" w:space="0"/>
              <w:left w:val="single" w:color="auto" w:sz="4" w:space="0"/>
              <w:bottom w:val="single" w:color="auto" w:sz="6" w:space="0"/>
              <w:right w:val="single" w:color="auto" w:sz="6" w:space="0"/>
            </w:tcBorders>
            <w:vAlign w:val="center"/>
          </w:tcPr>
          <w:p>
            <w:pPr>
              <w:spacing w:line="360" w:lineRule="auto"/>
              <w:rPr>
                <w:sz w:val="20"/>
                <w:szCs w:val="20"/>
              </w:rPr>
            </w:pPr>
          </w:p>
        </w:tc>
        <w:tc>
          <w:tcPr>
            <w:tcW w:w="2140" w:type="dxa"/>
            <w:tcBorders>
              <w:top w:val="single" w:color="auto" w:sz="6" w:space="0"/>
              <w:left w:val="nil"/>
              <w:bottom w:val="single" w:color="auto" w:sz="6" w:space="0"/>
              <w:right w:val="single" w:color="auto" w:sz="6" w:space="0"/>
            </w:tcBorders>
            <w:vAlign w:val="center"/>
          </w:tcPr>
          <w:p>
            <w:pPr>
              <w:topLinePunct/>
              <w:adjustRightInd w:val="0"/>
              <w:snapToGrid w:val="0"/>
              <w:spacing w:line="360" w:lineRule="auto"/>
              <w:ind w:left="479"/>
              <w:jc w:val="center"/>
              <w:rPr>
                <w:rFonts w:ascii="宋体" w:cs="宋体"/>
                <w:spacing w:val="4"/>
                <w:sz w:val="24"/>
                <w:szCs w:val="24"/>
              </w:rPr>
            </w:pPr>
            <w:r>
              <w:rPr>
                <w:rFonts w:hint="eastAsia" w:ascii="宋体" w:hAnsi="宋体" w:cs="宋体"/>
                <w:spacing w:val="4"/>
                <w:sz w:val="24"/>
                <w:szCs w:val="24"/>
                <w:lang w:bidi="ar"/>
              </w:rPr>
              <w:t>分期（</w:t>
            </w:r>
            <w:r>
              <w:rPr>
                <w:rFonts w:ascii="宋体" w:hAnsi="宋体" w:cs="宋体"/>
                <w:spacing w:val="4"/>
                <w:sz w:val="24"/>
                <w:szCs w:val="24"/>
                <w:lang w:bidi="ar"/>
              </w:rPr>
              <w:t>%）</w:t>
            </w:r>
          </w:p>
        </w:tc>
        <w:tc>
          <w:tcPr>
            <w:tcW w:w="2140" w:type="dxa"/>
            <w:tcBorders>
              <w:top w:val="single" w:color="auto" w:sz="6" w:space="0"/>
              <w:left w:val="nil"/>
              <w:bottom w:val="single" w:color="auto" w:sz="6" w:space="0"/>
              <w:right w:val="single" w:color="auto" w:sz="6" w:space="0"/>
            </w:tcBorders>
            <w:vAlign w:val="center"/>
          </w:tcPr>
          <w:p>
            <w:pPr>
              <w:topLinePunct/>
              <w:adjustRightInd w:val="0"/>
              <w:snapToGrid w:val="0"/>
              <w:spacing w:line="360" w:lineRule="auto"/>
              <w:ind w:left="479"/>
              <w:jc w:val="center"/>
              <w:rPr>
                <w:rFonts w:ascii="宋体" w:cs="宋体"/>
                <w:spacing w:val="4"/>
                <w:sz w:val="24"/>
                <w:szCs w:val="24"/>
              </w:rPr>
            </w:pPr>
            <w:r>
              <w:rPr>
                <w:rFonts w:hint="eastAsia" w:ascii="宋体" w:hAnsi="宋体" w:cs="宋体"/>
                <w:spacing w:val="4"/>
                <w:sz w:val="24"/>
                <w:szCs w:val="24"/>
                <w:lang w:bidi="ar"/>
              </w:rPr>
              <w:t>累计（</w:t>
            </w:r>
            <w:r>
              <w:rPr>
                <w:rFonts w:ascii="宋体" w:hAnsi="宋体" w:cs="宋体"/>
                <w:spacing w:val="4"/>
                <w:sz w:val="24"/>
                <w:szCs w:val="24"/>
                <w:lang w:bidi="ar"/>
              </w:rPr>
              <w:t>%）</w:t>
            </w:r>
          </w:p>
        </w:tc>
        <w:tc>
          <w:tcPr>
            <w:tcW w:w="1971" w:type="dxa"/>
            <w:vMerge w:val="continue"/>
            <w:tcBorders>
              <w:top w:val="single" w:color="auto" w:sz="4" w:space="0"/>
              <w:left w:val="nil"/>
              <w:bottom w:val="single" w:color="auto" w:sz="6" w:space="0"/>
              <w:right w:val="single" w:color="auto" w:sz="4" w:space="0"/>
            </w:tcBorders>
            <w:vAlign w:val="center"/>
          </w:tcPr>
          <w:p>
            <w:pPr>
              <w:spacing w:line="360" w:lineRule="auto"/>
              <w:rPr>
                <w:sz w:val="20"/>
                <w:szCs w:val="20"/>
              </w:rPr>
            </w:pPr>
          </w:p>
        </w:tc>
      </w:tr>
      <w:tr>
        <w:tblPrEx>
          <w:tblCellMar>
            <w:top w:w="0" w:type="dxa"/>
            <w:left w:w="108" w:type="dxa"/>
            <w:bottom w:w="0" w:type="dxa"/>
            <w:right w:w="108" w:type="dxa"/>
          </w:tblCellMar>
        </w:tblPrEx>
        <w:trPr>
          <w:trHeight w:val="454" w:hRule="atLeast"/>
          <w:jc w:val="center"/>
        </w:trPr>
        <w:tc>
          <w:tcPr>
            <w:tcW w:w="2152" w:type="dxa"/>
            <w:tcBorders>
              <w:top w:val="single" w:color="auto" w:sz="6" w:space="0"/>
              <w:left w:val="single" w:color="auto" w:sz="4" w:space="0"/>
              <w:bottom w:val="single" w:color="auto" w:sz="6" w:space="0"/>
              <w:right w:val="single" w:color="auto" w:sz="6" w:space="0"/>
            </w:tcBorders>
            <w:vAlign w:val="center"/>
          </w:tcPr>
          <w:p>
            <w:pPr>
              <w:topLinePunct/>
              <w:adjustRightInd w:val="0"/>
              <w:snapToGrid w:val="0"/>
              <w:spacing w:line="360" w:lineRule="auto"/>
              <w:ind w:left="17" w:hanging="17" w:hangingChars="7"/>
              <w:jc w:val="center"/>
              <w:rPr>
                <w:rFonts w:ascii="宋体" w:cs="宋体"/>
                <w:spacing w:val="4"/>
                <w:sz w:val="24"/>
                <w:szCs w:val="24"/>
              </w:rPr>
            </w:pPr>
            <w:r>
              <w:rPr>
                <w:rFonts w:hint="eastAsia" w:ascii="宋体" w:hAnsi="宋体" w:cs="宋体"/>
                <w:spacing w:val="4"/>
                <w:sz w:val="24"/>
                <w:szCs w:val="24"/>
                <w:lang w:bidi="ar"/>
              </w:rPr>
              <w:t>预付款</w:t>
            </w:r>
          </w:p>
        </w:tc>
        <w:tc>
          <w:tcPr>
            <w:tcW w:w="2140" w:type="dxa"/>
            <w:tcBorders>
              <w:top w:val="single" w:color="auto" w:sz="6" w:space="0"/>
              <w:left w:val="nil"/>
              <w:bottom w:val="single" w:color="auto" w:sz="6" w:space="0"/>
              <w:right w:val="single" w:color="auto" w:sz="6" w:space="0"/>
            </w:tcBorders>
            <w:vAlign w:val="center"/>
          </w:tcPr>
          <w:p>
            <w:pPr>
              <w:topLinePunct/>
              <w:adjustRightInd w:val="0"/>
              <w:snapToGrid w:val="0"/>
              <w:spacing w:line="360" w:lineRule="auto"/>
              <w:ind w:left="479"/>
              <w:jc w:val="center"/>
              <w:rPr>
                <w:rFonts w:ascii="宋体" w:cs="宋体"/>
                <w:spacing w:val="4"/>
                <w:sz w:val="24"/>
                <w:szCs w:val="24"/>
              </w:rPr>
            </w:pPr>
          </w:p>
        </w:tc>
        <w:tc>
          <w:tcPr>
            <w:tcW w:w="2140" w:type="dxa"/>
            <w:tcBorders>
              <w:top w:val="single" w:color="auto" w:sz="6" w:space="0"/>
              <w:left w:val="nil"/>
              <w:bottom w:val="single" w:color="auto" w:sz="6" w:space="0"/>
              <w:right w:val="single" w:color="auto" w:sz="6" w:space="0"/>
            </w:tcBorders>
            <w:vAlign w:val="center"/>
          </w:tcPr>
          <w:p>
            <w:pPr>
              <w:topLinePunct/>
              <w:adjustRightInd w:val="0"/>
              <w:snapToGrid w:val="0"/>
              <w:spacing w:line="360" w:lineRule="auto"/>
              <w:ind w:left="479"/>
              <w:jc w:val="center"/>
              <w:rPr>
                <w:rFonts w:ascii="宋体" w:cs="宋体"/>
                <w:spacing w:val="4"/>
                <w:sz w:val="24"/>
                <w:szCs w:val="24"/>
              </w:rPr>
            </w:pPr>
          </w:p>
        </w:tc>
        <w:tc>
          <w:tcPr>
            <w:tcW w:w="1971" w:type="dxa"/>
            <w:tcBorders>
              <w:top w:val="single" w:color="auto" w:sz="6" w:space="0"/>
              <w:left w:val="nil"/>
              <w:bottom w:val="single" w:color="auto" w:sz="6" w:space="0"/>
              <w:right w:val="single" w:color="auto" w:sz="4" w:space="0"/>
            </w:tcBorders>
            <w:vAlign w:val="center"/>
          </w:tcPr>
          <w:p>
            <w:pPr>
              <w:topLinePunct/>
              <w:adjustRightInd w:val="0"/>
              <w:snapToGrid w:val="0"/>
              <w:spacing w:line="360" w:lineRule="auto"/>
              <w:ind w:left="479"/>
              <w:jc w:val="center"/>
              <w:rPr>
                <w:rFonts w:ascii="宋体" w:cs="宋体"/>
                <w:spacing w:val="4"/>
                <w:sz w:val="24"/>
                <w:szCs w:val="24"/>
              </w:rPr>
            </w:pPr>
          </w:p>
        </w:tc>
      </w:tr>
      <w:tr>
        <w:tblPrEx>
          <w:tblCellMar>
            <w:top w:w="0" w:type="dxa"/>
            <w:left w:w="108" w:type="dxa"/>
            <w:bottom w:w="0" w:type="dxa"/>
            <w:right w:w="108" w:type="dxa"/>
          </w:tblCellMar>
        </w:tblPrEx>
        <w:trPr>
          <w:trHeight w:val="454" w:hRule="atLeast"/>
          <w:jc w:val="center"/>
        </w:trPr>
        <w:tc>
          <w:tcPr>
            <w:tcW w:w="2152" w:type="dxa"/>
            <w:tcBorders>
              <w:top w:val="single" w:color="auto" w:sz="6" w:space="0"/>
              <w:left w:val="single" w:color="auto" w:sz="4" w:space="0"/>
              <w:bottom w:val="single" w:color="auto" w:sz="6" w:space="0"/>
              <w:right w:val="single" w:color="auto" w:sz="6" w:space="0"/>
            </w:tcBorders>
            <w:vAlign w:val="center"/>
          </w:tcPr>
          <w:p>
            <w:pPr>
              <w:topLinePunct/>
              <w:adjustRightInd w:val="0"/>
              <w:snapToGrid w:val="0"/>
              <w:spacing w:line="360" w:lineRule="auto"/>
              <w:ind w:left="17" w:hanging="17" w:hangingChars="7"/>
              <w:jc w:val="center"/>
              <w:rPr>
                <w:rFonts w:ascii="宋体" w:cs="宋体"/>
                <w:spacing w:val="4"/>
                <w:sz w:val="24"/>
                <w:szCs w:val="24"/>
              </w:rPr>
            </w:pPr>
            <w:r>
              <w:rPr>
                <w:rFonts w:hint="eastAsia" w:ascii="宋体" w:hAnsi="宋体" w:cs="宋体"/>
                <w:spacing w:val="4"/>
                <w:sz w:val="24"/>
                <w:szCs w:val="24"/>
                <w:lang w:bidi="ar"/>
              </w:rPr>
              <w:t>第</w:t>
            </w:r>
            <w:r>
              <w:rPr>
                <w:rFonts w:ascii="宋体" w:hAnsi="宋体" w:cs="宋体"/>
                <w:spacing w:val="4"/>
                <w:sz w:val="24"/>
                <w:szCs w:val="24"/>
                <w:lang w:bidi="ar"/>
              </w:rPr>
              <w:t>1月</w:t>
            </w:r>
          </w:p>
        </w:tc>
        <w:tc>
          <w:tcPr>
            <w:tcW w:w="2140" w:type="dxa"/>
            <w:tcBorders>
              <w:top w:val="single" w:color="auto" w:sz="6" w:space="0"/>
              <w:left w:val="nil"/>
              <w:bottom w:val="single" w:color="auto" w:sz="6" w:space="0"/>
              <w:right w:val="single" w:color="auto" w:sz="6" w:space="0"/>
            </w:tcBorders>
            <w:vAlign w:val="center"/>
          </w:tcPr>
          <w:p>
            <w:pPr>
              <w:topLinePunct/>
              <w:adjustRightInd w:val="0"/>
              <w:snapToGrid w:val="0"/>
              <w:spacing w:line="360" w:lineRule="auto"/>
              <w:ind w:left="479"/>
              <w:jc w:val="center"/>
              <w:rPr>
                <w:rFonts w:ascii="宋体" w:cs="宋体"/>
                <w:spacing w:val="4"/>
                <w:sz w:val="24"/>
                <w:szCs w:val="24"/>
              </w:rPr>
            </w:pPr>
          </w:p>
        </w:tc>
        <w:tc>
          <w:tcPr>
            <w:tcW w:w="2140" w:type="dxa"/>
            <w:tcBorders>
              <w:top w:val="single" w:color="auto" w:sz="6" w:space="0"/>
              <w:left w:val="nil"/>
              <w:bottom w:val="single" w:color="auto" w:sz="6" w:space="0"/>
              <w:right w:val="single" w:color="auto" w:sz="6" w:space="0"/>
            </w:tcBorders>
            <w:vAlign w:val="center"/>
          </w:tcPr>
          <w:p>
            <w:pPr>
              <w:topLinePunct/>
              <w:adjustRightInd w:val="0"/>
              <w:snapToGrid w:val="0"/>
              <w:spacing w:line="360" w:lineRule="auto"/>
              <w:ind w:left="479"/>
              <w:jc w:val="center"/>
              <w:rPr>
                <w:rFonts w:ascii="宋体" w:cs="宋体"/>
                <w:spacing w:val="4"/>
                <w:sz w:val="24"/>
                <w:szCs w:val="24"/>
              </w:rPr>
            </w:pPr>
          </w:p>
        </w:tc>
        <w:tc>
          <w:tcPr>
            <w:tcW w:w="1971" w:type="dxa"/>
            <w:tcBorders>
              <w:top w:val="single" w:color="auto" w:sz="6" w:space="0"/>
              <w:left w:val="nil"/>
              <w:bottom w:val="single" w:color="auto" w:sz="6" w:space="0"/>
              <w:right w:val="single" w:color="auto" w:sz="4" w:space="0"/>
            </w:tcBorders>
            <w:vAlign w:val="center"/>
          </w:tcPr>
          <w:p>
            <w:pPr>
              <w:topLinePunct/>
              <w:adjustRightInd w:val="0"/>
              <w:snapToGrid w:val="0"/>
              <w:spacing w:line="360" w:lineRule="auto"/>
              <w:ind w:left="479"/>
              <w:jc w:val="center"/>
              <w:rPr>
                <w:rFonts w:ascii="宋体" w:cs="宋体"/>
                <w:spacing w:val="4"/>
                <w:sz w:val="24"/>
                <w:szCs w:val="24"/>
              </w:rPr>
            </w:pPr>
          </w:p>
        </w:tc>
      </w:tr>
      <w:tr>
        <w:tblPrEx>
          <w:tblCellMar>
            <w:top w:w="0" w:type="dxa"/>
            <w:left w:w="108" w:type="dxa"/>
            <w:bottom w:w="0" w:type="dxa"/>
            <w:right w:w="108" w:type="dxa"/>
          </w:tblCellMar>
        </w:tblPrEx>
        <w:trPr>
          <w:trHeight w:val="454" w:hRule="atLeast"/>
          <w:jc w:val="center"/>
        </w:trPr>
        <w:tc>
          <w:tcPr>
            <w:tcW w:w="2152" w:type="dxa"/>
            <w:tcBorders>
              <w:top w:val="single" w:color="auto" w:sz="6" w:space="0"/>
              <w:left w:val="single" w:color="auto" w:sz="4" w:space="0"/>
              <w:bottom w:val="single" w:color="auto" w:sz="6" w:space="0"/>
              <w:right w:val="single" w:color="auto" w:sz="6" w:space="0"/>
            </w:tcBorders>
            <w:vAlign w:val="center"/>
          </w:tcPr>
          <w:p>
            <w:pPr>
              <w:topLinePunct/>
              <w:adjustRightInd w:val="0"/>
              <w:snapToGrid w:val="0"/>
              <w:spacing w:line="360" w:lineRule="auto"/>
              <w:ind w:left="17" w:hanging="17" w:hangingChars="7"/>
              <w:jc w:val="center"/>
              <w:rPr>
                <w:rFonts w:ascii="宋体" w:cs="宋体"/>
                <w:spacing w:val="4"/>
                <w:sz w:val="24"/>
                <w:szCs w:val="24"/>
              </w:rPr>
            </w:pPr>
            <w:r>
              <w:rPr>
                <w:rFonts w:hint="eastAsia" w:ascii="宋体" w:hAnsi="宋体" w:cs="宋体"/>
                <w:spacing w:val="4"/>
                <w:sz w:val="24"/>
                <w:szCs w:val="24"/>
                <w:lang w:bidi="ar"/>
              </w:rPr>
              <w:t>第</w:t>
            </w:r>
            <w:r>
              <w:rPr>
                <w:rFonts w:ascii="宋体" w:hAnsi="宋体" w:cs="宋体"/>
                <w:spacing w:val="4"/>
                <w:sz w:val="24"/>
                <w:szCs w:val="24"/>
                <w:lang w:bidi="ar"/>
              </w:rPr>
              <w:t>2月</w:t>
            </w:r>
          </w:p>
        </w:tc>
        <w:tc>
          <w:tcPr>
            <w:tcW w:w="2140" w:type="dxa"/>
            <w:tcBorders>
              <w:top w:val="single" w:color="auto" w:sz="6" w:space="0"/>
              <w:left w:val="nil"/>
              <w:bottom w:val="single" w:color="auto" w:sz="6" w:space="0"/>
              <w:right w:val="single" w:color="auto" w:sz="6" w:space="0"/>
            </w:tcBorders>
            <w:vAlign w:val="center"/>
          </w:tcPr>
          <w:p>
            <w:pPr>
              <w:topLinePunct/>
              <w:adjustRightInd w:val="0"/>
              <w:snapToGrid w:val="0"/>
              <w:spacing w:line="360" w:lineRule="auto"/>
              <w:ind w:left="479"/>
              <w:jc w:val="center"/>
              <w:rPr>
                <w:rFonts w:ascii="宋体" w:cs="宋体"/>
                <w:spacing w:val="4"/>
                <w:sz w:val="24"/>
                <w:szCs w:val="24"/>
              </w:rPr>
            </w:pPr>
          </w:p>
        </w:tc>
        <w:tc>
          <w:tcPr>
            <w:tcW w:w="2140" w:type="dxa"/>
            <w:tcBorders>
              <w:top w:val="single" w:color="auto" w:sz="6" w:space="0"/>
              <w:left w:val="nil"/>
              <w:bottom w:val="single" w:color="auto" w:sz="6" w:space="0"/>
              <w:right w:val="single" w:color="auto" w:sz="6" w:space="0"/>
            </w:tcBorders>
            <w:vAlign w:val="center"/>
          </w:tcPr>
          <w:p>
            <w:pPr>
              <w:topLinePunct/>
              <w:adjustRightInd w:val="0"/>
              <w:snapToGrid w:val="0"/>
              <w:spacing w:line="360" w:lineRule="auto"/>
              <w:ind w:left="479"/>
              <w:jc w:val="center"/>
              <w:rPr>
                <w:rFonts w:ascii="宋体" w:cs="宋体"/>
                <w:spacing w:val="4"/>
                <w:sz w:val="24"/>
                <w:szCs w:val="24"/>
              </w:rPr>
            </w:pPr>
          </w:p>
        </w:tc>
        <w:tc>
          <w:tcPr>
            <w:tcW w:w="1971" w:type="dxa"/>
            <w:tcBorders>
              <w:top w:val="single" w:color="auto" w:sz="6" w:space="0"/>
              <w:left w:val="nil"/>
              <w:bottom w:val="single" w:color="auto" w:sz="6" w:space="0"/>
              <w:right w:val="single" w:color="auto" w:sz="4" w:space="0"/>
            </w:tcBorders>
            <w:vAlign w:val="center"/>
          </w:tcPr>
          <w:p>
            <w:pPr>
              <w:topLinePunct/>
              <w:adjustRightInd w:val="0"/>
              <w:snapToGrid w:val="0"/>
              <w:spacing w:line="360" w:lineRule="auto"/>
              <w:ind w:left="479"/>
              <w:jc w:val="center"/>
              <w:rPr>
                <w:rFonts w:ascii="宋体" w:cs="宋体"/>
                <w:spacing w:val="4"/>
                <w:sz w:val="24"/>
                <w:szCs w:val="24"/>
              </w:rPr>
            </w:pPr>
          </w:p>
        </w:tc>
      </w:tr>
      <w:tr>
        <w:tblPrEx>
          <w:tblCellMar>
            <w:top w:w="0" w:type="dxa"/>
            <w:left w:w="108" w:type="dxa"/>
            <w:bottom w:w="0" w:type="dxa"/>
            <w:right w:w="108" w:type="dxa"/>
          </w:tblCellMar>
        </w:tblPrEx>
        <w:trPr>
          <w:trHeight w:val="454" w:hRule="atLeast"/>
          <w:jc w:val="center"/>
        </w:trPr>
        <w:tc>
          <w:tcPr>
            <w:tcW w:w="2152" w:type="dxa"/>
            <w:tcBorders>
              <w:top w:val="single" w:color="auto" w:sz="6" w:space="0"/>
              <w:left w:val="single" w:color="auto" w:sz="4" w:space="0"/>
              <w:bottom w:val="single" w:color="auto" w:sz="6" w:space="0"/>
              <w:right w:val="single" w:color="auto" w:sz="6" w:space="0"/>
            </w:tcBorders>
            <w:vAlign w:val="center"/>
          </w:tcPr>
          <w:p>
            <w:pPr>
              <w:topLinePunct/>
              <w:adjustRightInd w:val="0"/>
              <w:snapToGrid w:val="0"/>
              <w:spacing w:line="360" w:lineRule="auto"/>
              <w:ind w:left="17" w:hanging="17" w:hangingChars="7"/>
              <w:jc w:val="center"/>
              <w:rPr>
                <w:rFonts w:ascii="宋体" w:cs="宋体"/>
                <w:spacing w:val="4"/>
                <w:sz w:val="24"/>
                <w:szCs w:val="24"/>
              </w:rPr>
            </w:pPr>
            <w:r>
              <w:rPr>
                <w:rFonts w:hint="eastAsia" w:ascii="宋体" w:hAnsi="宋体" w:cs="宋体"/>
                <w:spacing w:val="4"/>
                <w:sz w:val="24"/>
                <w:szCs w:val="24"/>
                <w:lang w:bidi="ar"/>
              </w:rPr>
              <w:t>第</w:t>
            </w:r>
            <w:r>
              <w:rPr>
                <w:rFonts w:ascii="宋体" w:hAnsi="宋体" w:cs="宋体"/>
                <w:spacing w:val="4"/>
                <w:sz w:val="24"/>
                <w:szCs w:val="24"/>
                <w:lang w:bidi="ar"/>
              </w:rPr>
              <w:t>3月</w:t>
            </w:r>
          </w:p>
        </w:tc>
        <w:tc>
          <w:tcPr>
            <w:tcW w:w="2140" w:type="dxa"/>
            <w:tcBorders>
              <w:top w:val="single" w:color="auto" w:sz="6" w:space="0"/>
              <w:left w:val="nil"/>
              <w:bottom w:val="single" w:color="auto" w:sz="6" w:space="0"/>
              <w:right w:val="single" w:color="auto" w:sz="6" w:space="0"/>
            </w:tcBorders>
            <w:vAlign w:val="center"/>
          </w:tcPr>
          <w:p>
            <w:pPr>
              <w:topLinePunct/>
              <w:adjustRightInd w:val="0"/>
              <w:snapToGrid w:val="0"/>
              <w:spacing w:line="360" w:lineRule="auto"/>
              <w:ind w:left="479"/>
              <w:jc w:val="center"/>
              <w:rPr>
                <w:rFonts w:ascii="宋体" w:cs="宋体"/>
                <w:spacing w:val="4"/>
                <w:sz w:val="24"/>
                <w:szCs w:val="24"/>
              </w:rPr>
            </w:pPr>
          </w:p>
        </w:tc>
        <w:tc>
          <w:tcPr>
            <w:tcW w:w="2140" w:type="dxa"/>
            <w:tcBorders>
              <w:top w:val="single" w:color="auto" w:sz="6" w:space="0"/>
              <w:left w:val="nil"/>
              <w:bottom w:val="single" w:color="auto" w:sz="6" w:space="0"/>
              <w:right w:val="single" w:color="auto" w:sz="6" w:space="0"/>
            </w:tcBorders>
            <w:vAlign w:val="center"/>
          </w:tcPr>
          <w:p>
            <w:pPr>
              <w:topLinePunct/>
              <w:adjustRightInd w:val="0"/>
              <w:snapToGrid w:val="0"/>
              <w:spacing w:line="360" w:lineRule="auto"/>
              <w:ind w:left="479"/>
              <w:jc w:val="center"/>
              <w:rPr>
                <w:rFonts w:ascii="宋体" w:cs="宋体"/>
                <w:spacing w:val="4"/>
                <w:sz w:val="24"/>
                <w:szCs w:val="24"/>
              </w:rPr>
            </w:pPr>
          </w:p>
        </w:tc>
        <w:tc>
          <w:tcPr>
            <w:tcW w:w="1971" w:type="dxa"/>
            <w:tcBorders>
              <w:top w:val="single" w:color="auto" w:sz="6" w:space="0"/>
              <w:left w:val="nil"/>
              <w:bottom w:val="single" w:color="auto" w:sz="6" w:space="0"/>
              <w:right w:val="single" w:color="auto" w:sz="4" w:space="0"/>
            </w:tcBorders>
            <w:vAlign w:val="center"/>
          </w:tcPr>
          <w:p>
            <w:pPr>
              <w:topLinePunct/>
              <w:adjustRightInd w:val="0"/>
              <w:snapToGrid w:val="0"/>
              <w:spacing w:line="360" w:lineRule="auto"/>
              <w:ind w:left="479"/>
              <w:jc w:val="center"/>
              <w:rPr>
                <w:rFonts w:ascii="宋体" w:cs="宋体"/>
                <w:spacing w:val="4"/>
                <w:sz w:val="24"/>
                <w:szCs w:val="24"/>
              </w:rPr>
            </w:pPr>
          </w:p>
        </w:tc>
      </w:tr>
      <w:tr>
        <w:tblPrEx>
          <w:tblCellMar>
            <w:top w:w="0" w:type="dxa"/>
            <w:left w:w="108" w:type="dxa"/>
            <w:bottom w:w="0" w:type="dxa"/>
            <w:right w:w="108" w:type="dxa"/>
          </w:tblCellMar>
        </w:tblPrEx>
        <w:trPr>
          <w:trHeight w:val="454" w:hRule="atLeast"/>
          <w:jc w:val="center"/>
        </w:trPr>
        <w:tc>
          <w:tcPr>
            <w:tcW w:w="2152" w:type="dxa"/>
            <w:tcBorders>
              <w:top w:val="single" w:color="auto" w:sz="6" w:space="0"/>
              <w:left w:val="single" w:color="auto" w:sz="4" w:space="0"/>
              <w:bottom w:val="single" w:color="auto" w:sz="6" w:space="0"/>
              <w:right w:val="single" w:color="auto" w:sz="6" w:space="0"/>
            </w:tcBorders>
            <w:vAlign w:val="center"/>
          </w:tcPr>
          <w:p>
            <w:pPr>
              <w:topLinePunct/>
              <w:adjustRightInd w:val="0"/>
              <w:snapToGrid w:val="0"/>
              <w:spacing w:line="360" w:lineRule="auto"/>
              <w:ind w:left="17" w:hanging="17" w:hangingChars="7"/>
              <w:jc w:val="center"/>
              <w:rPr>
                <w:rFonts w:ascii="宋体" w:cs="宋体"/>
                <w:spacing w:val="4"/>
                <w:sz w:val="24"/>
                <w:szCs w:val="24"/>
              </w:rPr>
            </w:pPr>
            <w:r>
              <w:rPr>
                <w:rFonts w:hint="eastAsia" w:ascii="宋体" w:hAnsi="宋体" w:cs="宋体"/>
                <w:spacing w:val="4"/>
                <w:sz w:val="24"/>
                <w:szCs w:val="24"/>
                <w:lang w:bidi="ar"/>
              </w:rPr>
              <w:t>第</w:t>
            </w:r>
            <w:r>
              <w:rPr>
                <w:rFonts w:ascii="宋体" w:hAnsi="宋体" w:cs="宋体"/>
                <w:spacing w:val="4"/>
                <w:sz w:val="24"/>
                <w:szCs w:val="24"/>
                <w:lang w:bidi="ar"/>
              </w:rPr>
              <w:t>4月</w:t>
            </w:r>
          </w:p>
        </w:tc>
        <w:tc>
          <w:tcPr>
            <w:tcW w:w="2140" w:type="dxa"/>
            <w:tcBorders>
              <w:top w:val="single" w:color="auto" w:sz="6" w:space="0"/>
              <w:left w:val="nil"/>
              <w:bottom w:val="single" w:color="auto" w:sz="6" w:space="0"/>
              <w:right w:val="single" w:color="auto" w:sz="6" w:space="0"/>
            </w:tcBorders>
            <w:vAlign w:val="center"/>
          </w:tcPr>
          <w:p>
            <w:pPr>
              <w:topLinePunct/>
              <w:adjustRightInd w:val="0"/>
              <w:snapToGrid w:val="0"/>
              <w:spacing w:line="360" w:lineRule="auto"/>
              <w:ind w:left="479"/>
              <w:jc w:val="center"/>
              <w:rPr>
                <w:rFonts w:ascii="宋体" w:cs="宋体"/>
                <w:spacing w:val="4"/>
                <w:sz w:val="24"/>
                <w:szCs w:val="24"/>
              </w:rPr>
            </w:pPr>
          </w:p>
        </w:tc>
        <w:tc>
          <w:tcPr>
            <w:tcW w:w="2140" w:type="dxa"/>
            <w:tcBorders>
              <w:top w:val="single" w:color="auto" w:sz="6" w:space="0"/>
              <w:left w:val="nil"/>
              <w:bottom w:val="single" w:color="auto" w:sz="6" w:space="0"/>
              <w:right w:val="single" w:color="auto" w:sz="6" w:space="0"/>
            </w:tcBorders>
            <w:vAlign w:val="center"/>
          </w:tcPr>
          <w:p>
            <w:pPr>
              <w:topLinePunct/>
              <w:adjustRightInd w:val="0"/>
              <w:snapToGrid w:val="0"/>
              <w:spacing w:line="360" w:lineRule="auto"/>
              <w:ind w:left="479"/>
              <w:jc w:val="center"/>
              <w:rPr>
                <w:rFonts w:ascii="宋体" w:cs="宋体"/>
                <w:spacing w:val="4"/>
                <w:sz w:val="24"/>
                <w:szCs w:val="24"/>
              </w:rPr>
            </w:pPr>
          </w:p>
        </w:tc>
        <w:tc>
          <w:tcPr>
            <w:tcW w:w="1971" w:type="dxa"/>
            <w:tcBorders>
              <w:top w:val="single" w:color="auto" w:sz="6" w:space="0"/>
              <w:left w:val="nil"/>
              <w:bottom w:val="single" w:color="auto" w:sz="6" w:space="0"/>
              <w:right w:val="single" w:color="auto" w:sz="4" w:space="0"/>
            </w:tcBorders>
            <w:vAlign w:val="center"/>
          </w:tcPr>
          <w:p>
            <w:pPr>
              <w:topLinePunct/>
              <w:adjustRightInd w:val="0"/>
              <w:snapToGrid w:val="0"/>
              <w:spacing w:line="360" w:lineRule="auto"/>
              <w:ind w:left="479"/>
              <w:jc w:val="center"/>
              <w:rPr>
                <w:rFonts w:ascii="宋体" w:cs="宋体"/>
                <w:spacing w:val="4"/>
                <w:sz w:val="24"/>
                <w:szCs w:val="24"/>
              </w:rPr>
            </w:pPr>
          </w:p>
        </w:tc>
      </w:tr>
      <w:tr>
        <w:tblPrEx>
          <w:tblCellMar>
            <w:top w:w="0" w:type="dxa"/>
            <w:left w:w="108" w:type="dxa"/>
            <w:bottom w:w="0" w:type="dxa"/>
            <w:right w:w="108" w:type="dxa"/>
          </w:tblCellMar>
        </w:tblPrEx>
        <w:trPr>
          <w:trHeight w:val="454" w:hRule="atLeast"/>
          <w:jc w:val="center"/>
        </w:trPr>
        <w:tc>
          <w:tcPr>
            <w:tcW w:w="2152" w:type="dxa"/>
            <w:tcBorders>
              <w:top w:val="single" w:color="auto" w:sz="6" w:space="0"/>
              <w:left w:val="single" w:color="auto" w:sz="4" w:space="0"/>
              <w:bottom w:val="single" w:color="auto" w:sz="6" w:space="0"/>
              <w:right w:val="single" w:color="auto" w:sz="6" w:space="0"/>
            </w:tcBorders>
            <w:vAlign w:val="center"/>
          </w:tcPr>
          <w:p>
            <w:pPr>
              <w:topLinePunct/>
              <w:adjustRightInd w:val="0"/>
              <w:snapToGrid w:val="0"/>
              <w:spacing w:line="360" w:lineRule="auto"/>
              <w:ind w:left="17" w:hanging="17" w:hangingChars="7"/>
              <w:jc w:val="center"/>
              <w:rPr>
                <w:rFonts w:ascii="宋体" w:cs="宋体"/>
                <w:spacing w:val="4"/>
                <w:sz w:val="24"/>
                <w:szCs w:val="24"/>
              </w:rPr>
            </w:pPr>
            <w:r>
              <w:rPr>
                <w:rFonts w:hint="eastAsia" w:ascii="宋体" w:hAnsi="宋体" w:cs="宋体"/>
                <w:spacing w:val="4"/>
                <w:sz w:val="24"/>
                <w:szCs w:val="24"/>
                <w:lang w:bidi="ar"/>
              </w:rPr>
              <w:t>……</w:t>
            </w:r>
          </w:p>
        </w:tc>
        <w:tc>
          <w:tcPr>
            <w:tcW w:w="2140" w:type="dxa"/>
            <w:tcBorders>
              <w:top w:val="single" w:color="auto" w:sz="6" w:space="0"/>
              <w:left w:val="nil"/>
              <w:bottom w:val="single" w:color="auto" w:sz="6" w:space="0"/>
              <w:right w:val="single" w:color="auto" w:sz="6" w:space="0"/>
            </w:tcBorders>
            <w:vAlign w:val="center"/>
          </w:tcPr>
          <w:p>
            <w:pPr>
              <w:topLinePunct/>
              <w:adjustRightInd w:val="0"/>
              <w:snapToGrid w:val="0"/>
              <w:spacing w:line="360" w:lineRule="auto"/>
              <w:ind w:left="479"/>
              <w:jc w:val="center"/>
              <w:rPr>
                <w:rFonts w:ascii="宋体" w:cs="宋体"/>
                <w:spacing w:val="4"/>
                <w:sz w:val="24"/>
                <w:szCs w:val="24"/>
              </w:rPr>
            </w:pPr>
          </w:p>
        </w:tc>
        <w:tc>
          <w:tcPr>
            <w:tcW w:w="2140" w:type="dxa"/>
            <w:tcBorders>
              <w:top w:val="single" w:color="auto" w:sz="6" w:space="0"/>
              <w:left w:val="nil"/>
              <w:bottom w:val="single" w:color="auto" w:sz="6" w:space="0"/>
              <w:right w:val="single" w:color="auto" w:sz="6" w:space="0"/>
            </w:tcBorders>
            <w:vAlign w:val="center"/>
          </w:tcPr>
          <w:p>
            <w:pPr>
              <w:topLinePunct/>
              <w:adjustRightInd w:val="0"/>
              <w:snapToGrid w:val="0"/>
              <w:spacing w:line="360" w:lineRule="auto"/>
              <w:ind w:left="479"/>
              <w:jc w:val="center"/>
              <w:rPr>
                <w:rFonts w:ascii="宋体" w:cs="宋体"/>
                <w:spacing w:val="4"/>
                <w:sz w:val="24"/>
                <w:szCs w:val="24"/>
              </w:rPr>
            </w:pPr>
          </w:p>
        </w:tc>
        <w:tc>
          <w:tcPr>
            <w:tcW w:w="1971" w:type="dxa"/>
            <w:tcBorders>
              <w:top w:val="single" w:color="auto" w:sz="6" w:space="0"/>
              <w:left w:val="nil"/>
              <w:bottom w:val="single" w:color="auto" w:sz="6" w:space="0"/>
              <w:right w:val="single" w:color="auto" w:sz="4" w:space="0"/>
            </w:tcBorders>
            <w:vAlign w:val="center"/>
          </w:tcPr>
          <w:p>
            <w:pPr>
              <w:topLinePunct/>
              <w:adjustRightInd w:val="0"/>
              <w:snapToGrid w:val="0"/>
              <w:spacing w:line="360" w:lineRule="auto"/>
              <w:ind w:left="479"/>
              <w:jc w:val="center"/>
              <w:rPr>
                <w:rFonts w:ascii="宋体" w:cs="宋体"/>
                <w:spacing w:val="4"/>
                <w:sz w:val="24"/>
                <w:szCs w:val="24"/>
              </w:rPr>
            </w:pPr>
          </w:p>
        </w:tc>
      </w:tr>
      <w:tr>
        <w:tblPrEx>
          <w:tblCellMar>
            <w:top w:w="0" w:type="dxa"/>
            <w:left w:w="108" w:type="dxa"/>
            <w:bottom w:w="0" w:type="dxa"/>
            <w:right w:w="108" w:type="dxa"/>
          </w:tblCellMar>
        </w:tblPrEx>
        <w:trPr>
          <w:trHeight w:val="454" w:hRule="atLeast"/>
          <w:jc w:val="center"/>
        </w:trPr>
        <w:tc>
          <w:tcPr>
            <w:tcW w:w="2152" w:type="dxa"/>
            <w:tcBorders>
              <w:top w:val="single" w:color="auto" w:sz="6" w:space="0"/>
              <w:left w:val="single" w:color="auto" w:sz="4" w:space="0"/>
              <w:bottom w:val="single" w:color="auto" w:sz="6" w:space="0"/>
              <w:right w:val="single" w:color="auto" w:sz="6" w:space="0"/>
            </w:tcBorders>
            <w:vAlign w:val="center"/>
          </w:tcPr>
          <w:p>
            <w:pPr>
              <w:topLinePunct/>
              <w:adjustRightInd w:val="0"/>
              <w:snapToGrid w:val="0"/>
              <w:spacing w:line="360" w:lineRule="auto"/>
              <w:ind w:left="479"/>
              <w:jc w:val="center"/>
              <w:rPr>
                <w:rFonts w:ascii="宋体" w:cs="宋体"/>
                <w:spacing w:val="4"/>
                <w:sz w:val="24"/>
                <w:szCs w:val="24"/>
              </w:rPr>
            </w:pPr>
          </w:p>
        </w:tc>
        <w:tc>
          <w:tcPr>
            <w:tcW w:w="2140" w:type="dxa"/>
            <w:tcBorders>
              <w:top w:val="single" w:color="auto" w:sz="6" w:space="0"/>
              <w:left w:val="nil"/>
              <w:bottom w:val="single" w:color="auto" w:sz="6" w:space="0"/>
              <w:right w:val="single" w:color="auto" w:sz="6" w:space="0"/>
            </w:tcBorders>
            <w:vAlign w:val="center"/>
          </w:tcPr>
          <w:p>
            <w:pPr>
              <w:topLinePunct/>
              <w:adjustRightInd w:val="0"/>
              <w:snapToGrid w:val="0"/>
              <w:spacing w:line="360" w:lineRule="auto"/>
              <w:ind w:left="479"/>
              <w:jc w:val="center"/>
              <w:rPr>
                <w:rFonts w:ascii="宋体" w:cs="宋体"/>
                <w:spacing w:val="4"/>
                <w:sz w:val="24"/>
                <w:szCs w:val="24"/>
              </w:rPr>
            </w:pPr>
          </w:p>
        </w:tc>
        <w:tc>
          <w:tcPr>
            <w:tcW w:w="2140" w:type="dxa"/>
            <w:tcBorders>
              <w:top w:val="single" w:color="auto" w:sz="6" w:space="0"/>
              <w:left w:val="nil"/>
              <w:bottom w:val="single" w:color="auto" w:sz="6" w:space="0"/>
              <w:right w:val="single" w:color="auto" w:sz="6" w:space="0"/>
            </w:tcBorders>
            <w:vAlign w:val="center"/>
          </w:tcPr>
          <w:p>
            <w:pPr>
              <w:topLinePunct/>
              <w:adjustRightInd w:val="0"/>
              <w:snapToGrid w:val="0"/>
              <w:spacing w:line="360" w:lineRule="auto"/>
              <w:ind w:left="479"/>
              <w:jc w:val="center"/>
              <w:rPr>
                <w:rFonts w:ascii="宋体" w:cs="宋体"/>
                <w:spacing w:val="4"/>
                <w:sz w:val="24"/>
                <w:szCs w:val="24"/>
              </w:rPr>
            </w:pPr>
          </w:p>
        </w:tc>
        <w:tc>
          <w:tcPr>
            <w:tcW w:w="1971" w:type="dxa"/>
            <w:tcBorders>
              <w:top w:val="single" w:color="auto" w:sz="6" w:space="0"/>
              <w:left w:val="nil"/>
              <w:bottom w:val="single" w:color="auto" w:sz="6" w:space="0"/>
              <w:right w:val="single" w:color="auto" w:sz="4" w:space="0"/>
            </w:tcBorders>
            <w:vAlign w:val="center"/>
          </w:tcPr>
          <w:p>
            <w:pPr>
              <w:topLinePunct/>
              <w:adjustRightInd w:val="0"/>
              <w:snapToGrid w:val="0"/>
              <w:spacing w:line="360" w:lineRule="auto"/>
              <w:ind w:left="479"/>
              <w:jc w:val="center"/>
              <w:rPr>
                <w:rFonts w:ascii="宋体" w:cs="宋体"/>
                <w:spacing w:val="4"/>
                <w:sz w:val="24"/>
                <w:szCs w:val="24"/>
              </w:rPr>
            </w:pPr>
          </w:p>
        </w:tc>
      </w:tr>
      <w:tr>
        <w:tblPrEx>
          <w:tblCellMar>
            <w:top w:w="0" w:type="dxa"/>
            <w:left w:w="108" w:type="dxa"/>
            <w:bottom w:w="0" w:type="dxa"/>
            <w:right w:w="108" w:type="dxa"/>
          </w:tblCellMar>
        </w:tblPrEx>
        <w:trPr>
          <w:trHeight w:val="454" w:hRule="atLeast"/>
          <w:jc w:val="center"/>
        </w:trPr>
        <w:tc>
          <w:tcPr>
            <w:tcW w:w="2152" w:type="dxa"/>
            <w:tcBorders>
              <w:top w:val="single" w:color="auto" w:sz="6" w:space="0"/>
              <w:left w:val="single" w:color="auto" w:sz="4" w:space="0"/>
              <w:bottom w:val="single" w:color="auto" w:sz="6" w:space="0"/>
              <w:right w:val="single" w:color="auto" w:sz="6" w:space="0"/>
            </w:tcBorders>
            <w:vAlign w:val="center"/>
          </w:tcPr>
          <w:p>
            <w:pPr>
              <w:topLinePunct/>
              <w:adjustRightInd w:val="0"/>
              <w:snapToGrid w:val="0"/>
              <w:spacing w:line="360" w:lineRule="auto"/>
              <w:ind w:left="479"/>
              <w:jc w:val="center"/>
              <w:rPr>
                <w:rFonts w:ascii="宋体" w:cs="宋体"/>
                <w:spacing w:val="4"/>
                <w:sz w:val="24"/>
                <w:szCs w:val="24"/>
              </w:rPr>
            </w:pPr>
          </w:p>
        </w:tc>
        <w:tc>
          <w:tcPr>
            <w:tcW w:w="2140" w:type="dxa"/>
            <w:tcBorders>
              <w:top w:val="single" w:color="auto" w:sz="6" w:space="0"/>
              <w:left w:val="nil"/>
              <w:bottom w:val="single" w:color="auto" w:sz="6" w:space="0"/>
              <w:right w:val="single" w:color="auto" w:sz="6" w:space="0"/>
            </w:tcBorders>
            <w:vAlign w:val="center"/>
          </w:tcPr>
          <w:p>
            <w:pPr>
              <w:topLinePunct/>
              <w:adjustRightInd w:val="0"/>
              <w:snapToGrid w:val="0"/>
              <w:spacing w:line="360" w:lineRule="auto"/>
              <w:ind w:left="479"/>
              <w:jc w:val="center"/>
              <w:rPr>
                <w:rFonts w:ascii="宋体" w:cs="宋体"/>
                <w:spacing w:val="4"/>
                <w:sz w:val="24"/>
                <w:szCs w:val="24"/>
              </w:rPr>
            </w:pPr>
          </w:p>
        </w:tc>
        <w:tc>
          <w:tcPr>
            <w:tcW w:w="2140" w:type="dxa"/>
            <w:tcBorders>
              <w:top w:val="single" w:color="auto" w:sz="6" w:space="0"/>
              <w:left w:val="nil"/>
              <w:bottom w:val="single" w:color="auto" w:sz="6" w:space="0"/>
              <w:right w:val="single" w:color="auto" w:sz="6" w:space="0"/>
            </w:tcBorders>
            <w:vAlign w:val="center"/>
          </w:tcPr>
          <w:p>
            <w:pPr>
              <w:topLinePunct/>
              <w:adjustRightInd w:val="0"/>
              <w:snapToGrid w:val="0"/>
              <w:spacing w:line="360" w:lineRule="auto"/>
              <w:ind w:left="479"/>
              <w:jc w:val="center"/>
              <w:rPr>
                <w:rFonts w:ascii="宋体" w:cs="宋体"/>
                <w:spacing w:val="4"/>
                <w:sz w:val="24"/>
                <w:szCs w:val="24"/>
              </w:rPr>
            </w:pPr>
          </w:p>
        </w:tc>
        <w:tc>
          <w:tcPr>
            <w:tcW w:w="1971" w:type="dxa"/>
            <w:tcBorders>
              <w:top w:val="single" w:color="auto" w:sz="6" w:space="0"/>
              <w:left w:val="nil"/>
              <w:bottom w:val="single" w:color="auto" w:sz="6" w:space="0"/>
              <w:right w:val="single" w:color="auto" w:sz="4" w:space="0"/>
            </w:tcBorders>
            <w:vAlign w:val="center"/>
          </w:tcPr>
          <w:p>
            <w:pPr>
              <w:topLinePunct/>
              <w:adjustRightInd w:val="0"/>
              <w:snapToGrid w:val="0"/>
              <w:spacing w:line="360" w:lineRule="auto"/>
              <w:ind w:left="479"/>
              <w:jc w:val="center"/>
              <w:rPr>
                <w:rFonts w:ascii="宋体" w:cs="宋体"/>
                <w:spacing w:val="4"/>
                <w:sz w:val="24"/>
                <w:szCs w:val="24"/>
              </w:rPr>
            </w:pPr>
          </w:p>
        </w:tc>
      </w:tr>
      <w:tr>
        <w:tblPrEx>
          <w:tblCellMar>
            <w:top w:w="0" w:type="dxa"/>
            <w:left w:w="108" w:type="dxa"/>
            <w:bottom w:w="0" w:type="dxa"/>
            <w:right w:w="108" w:type="dxa"/>
          </w:tblCellMar>
        </w:tblPrEx>
        <w:trPr>
          <w:trHeight w:val="454" w:hRule="atLeast"/>
          <w:jc w:val="center"/>
        </w:trPr>
        <w:tc>
          <w:tcPr>
            <w:tcW w:w="2152" w:type="dxa"/>
            <w:tcBorders>
              <w:top w:val="single" w:color="auto" w:sz="6" w:space="0"/>
              <w:left w:val="single" w:color="auto" w:sz="4" w:space="0"/>
              <w:bottom w:val="single" w:color="auto" w:sz="6" w:space="0"/>
              <w:right w:val="single" w:color="auto" w:sz="6" w:space="0"/>
            </w:tcBorders>
            <w:vAlign w:val="center"/>
          </w:tcPr>
          <w:p>
            <w:pPr>
              <w:topLinePunct/>
              <w:adjustRightInd w:val="0"/>
              <w:snapToGrid w:val="0"/>
              <w:spacing w:line="360" w:lineRule="auto"/>
              <w:ind w:left="479"/>
              <w:jc w:val="center"/>
              <w:rPr>
                <w:rFonts w:ascii="宋体" w:cs="宋体"/>
                <w:spacing w:val="4"/>
                <w:sz w:val="24"/>
                <w:szCs w:val="24"/>
              </w:rPr>
            </w:pPr>
          </w:p>
        </w:tc>
        <w:tc>
          <w:tcPr>
            <w:tcW w:w="2140" w:type="dxa"/>
            <w:tcBorders>
              <w:top w:val="single" w:color="auto" w:sz="6" w:space="0"/>
              <w:left w:val="nil"/>
              <w:bottom w:val="single" w:color="auto" w:sz="6" w:space="0"/>
              <w:right w:val="single" w:color="auto" w:sz="6" w:space="0"/>
            </w:tcBorders>
            <w:vAlign w:val="center"/>
          </w:tcPr>
          <w:p>
            <w:pPr>
              <w:topLinePunct/>
              <w:adjustRightInd w:val="0"/>
              <w:snapToGrid w:val="0"/>
              <w:spacing w:line="360" w:lineRule="auto"/>
              <w:ind w:left="479"/>
              <w:jc w:val="center"/>
              <w:rPr>
                <w:rFonts w:ascii="宋体" w:cs="宋体"/>
                <w:spacing w:val="4"/>
                <w:sz w:val="24"/>
                <w:szCs w:val="24"/>
              </w:rPr>
            </w:pPr>
          </w:p>
        </w:tc>
        <w:tc>
          <w:tcPr>
            <w:tcW w:w="2140" w:type="dxa"/>
            <w:tcBorders>
              <w:top w:val="single" w:color="auto" w:sz="6" w:space="0"/>
              <w:left w:val="nil"/>
              <w:bottom w:val="single" w:color="auto" w:sz="6" w:space="0"/>
              <w:right w:val="single" w:color="auto" w:sz="6" w:space="0"/>
            </w:tcBorders>
            <w:vAlign w:val="center"/>
          </w:tcPr>
          <w:p>
            <w:pPr>
              <w:topLinePunct/>
              <w:adjustRightInd w:val="0"/>
              <w:snapToGrid w:val="0"/>
              <w:spacing w:line="360" w:lineRule="auto"/>
              <w:ind w:left="479"/>
              <w:jc w:val="center"/>
              <w:rPr>
                <w:rFonts w:ascii="宋体" w:cs="宋体"/>
                <w:spacing w:val="4"/>
                <w:sz w:val="24"/>
                <w:szCs w:val="24"/>
              </w:rPr>
            </w:pPr>
          </w:p>
        </w:tc>
        <w:tc>
          <w:tcPr>
            <w:tcW w:w="1971" w:type="dxa"/>
            <w:tcBorders>
              <w:top w:val="single" w:color="auto" w:sz="6" w:space="0"/>
              <w:left w:val="nil"/>
              <w:bottom w:val="single" w:color="auto" w:sz="6" w:space="0"/>
              <w:right w:val="single" w:color="auto" w:sz="4" w:space="0"/>
            </w:tcBorders>
            <w:vAlign w:val="center"/>
          </w:tcPr>
          <w:p>
            <w:pPr>
              <w:topLinePunct/>
              <w:adjustRightInd w:val="0"/>
              <w:snapToGrid w:val="0"/>
              <w:spacing w:line="360" w:lineRule="auto"/>
              <w:ind w:left="479"/>
              <w:jc w:val="center"/>
              <w:rPr>
                <w:rFonts w:ascii="宋体" w:cs="宋体"/>
                <w:spacing w:val="4"/>
                <w:sz w:val="24"/>
                <w:szCs w:val="24"/>
              </w:rPr>
            </w:pPr>
          </w:p>
        </w:tc>
      </w:tr>
      <w:tr>
        <w:tblPrEx>
          <w:tblCellMar>
            <w:top w:w="0" w:type="dxa"/>
            <w:left w:w="108" w:type="dxa"/>
            <w:bottom w:w="0" w:type="dxa"/>
            <w:right w:w="108" w:type="dxa"/>
          </w:tblCellMar>
        </w:tblPrEx>
        <w:trPr>
          <w:trHeight w:val="454" w:hRule="atLeast"/>
          <w:jc w:val="center"/>
        </w:trPr>
        <w:tc>
          <w:tcPr>
            <w:tcW w:w="2152" w:type="dxa"/>
            <w:tcBorders>
              <w:top w:val="single" w:color="auto" w:sz="6" w:space="0"/>
              <w:left w:val="single" w:color="auto" w:sz="4" w:space="0"/>
              <w:bottom w:val="single" w:color="auto" w:sz="6" w:space="0"/>
              <w:right w:val="single" w:color="auto" w:sz="6" w:space="0"/>
            </w:tcBorders>
            <w:vAlign w:val="center"/>
          </w:tcPr>
          <w:p>
            <w:pPr>
              <w:topLinePunct/>
              <w:adjustRightInd w:val="0"/>
              <w:snapToGrid w:val="0"/>
              <w:spacing w:line="360" w:lineRule="auto"/>
              <w:ind w:left="479"/>
              <w:jc w:val="center"/>
              <w:rPr>
                <w:rFonts w:ascii="宋体" w:cs="宋体"/>
                <w:spacing w:val="4"/>
                <w:sz w:val="24"/>
                <w:szCs w:val="24"/>
              </w:rPr>
            </w:pPr>
          </w:p>
        </w:tc>
        <w:tc>
          <w:tcPr>
            <w:tcW w:w="2140" w:type="dxa"/>
            <w:tcBorders>
              <w:top w:val="single" w:color="auto" w:sz="6" w:space="0"/>
              <w:left w:val="nil"/>
              <w:bottom w:val="single" w:color="auto" w:sz="6" w:space="0"/>
              <w:right w:val="single" w:color="auto" w:sz="6" w:space="0"/>
            </w:tcBorders>
            <w:vAlign w:val="center"/>
          </w:tcPr>
          <w:p>
            <w:pPr>
              <w:topLinePunct/>
              <w:adjustRightInd w:val="0"/>
              <w:snapToGrid w:val="0"/>
              <w:spacing w:line="360" w:lineRule="auto"/>
              <w:ind w:left="479"/>
              <w:jc w:val="center"/>
              <w:rPr>
                <w:rFonts w:ascii="宋体" w:cs="宋体"/>
                <w:spacing w:val="4"/>
                <w:sz w:val="24"/>
                <w:szCs w:val="24"/>
              </w:rPr>
            </w:pPr>
          </w:p>
        </w:tc>
        <w:tc>
          <w:tcPr>
            <w:tcW w:w="2140" w:type="dxa"/>
            <w:tcBorders>
              <w:top w:val="single" w:color="auto" w:sz="6" w:space="0"/>
              <w:left w:val="nil"/>
              <w:bottom w:val="single" w:color="auto" w:sz="6" w:space="0"/>
              <w:right w:val="single" w:color="auto" w:sz="6" w:space="0"/>
            </w:tcBorders>
            <w:vAlign w:val="center"/>
          </w:tcPr>
          <w:p>
            <w:pPr>
              <w:topLinePunct/>
              <w:adjustRightInd w:val="0"/>
              <w:snapToGrid w:val="0"/>
              <w:spacing w:line="360" w:lineRule="auto"/>
              <w:ind w:left="479"/>
              <w:jc w:val="center"/>
              <w:rPr>
                <w:rFonts w:ascii="宋体" w:cs="宋体"/>
                <w:spacing w:val="4"/>
                <w:sz w:val="24"/>
                <w:szCs w:val="24"/>
              </w:rPr>
            </w:pPr>
          </w:p>
        </w:tc>
        <w:tc>
          <w:tcPr>
            <w:tcW w:w="1971" w:type="dxa"/>
            <w:tcBorders>
              <w:top w:val="single" w:color="auto" w:sz="6" w:space="0"/>
              <w:left w:val="nil"/>
              <w:bottom w:val="single" w:color="auto" w:sz="6" w:space="0"/>
              <w:right w:val="single" w:color="auto" w:sz="4" w:space="0"/>
            </w:tcBorders>
            <w:vAlign w:val="center"/>
          </w:tcPr>
          <w:p>
            <w:pPr>
              <w:topLinePunct/>
              <w:adjustRightInd w:val="0"/>
              <w:snapToGrid w:val="0"/>
              <w:spacing w:line="360" w:lineRule="auto"/>
              <w:ind w:left="479"/>
              <w:jc w:val="center"/>
              <w:rPr>
                <w:rFonts w:ascii="宋体" w:cs="宋体"/>
                <w:spacing w:val="4"/>
                <w:sz w:val="24"/>
                <w:szCs w:val="24"/>
              </w:rPr>
            </w:pPr>
          </w:p>
        </w:tc>
      </w:tr>
      <w:tr>
        <w:tblPrEx>
          <w:tblCellMar>
            <w:top w:w="0" w:type="dxa"/>
            <w:left w:w="108" w:type="dxa"/>
            <w:bottom w:w="0" w:type="dxa"/>
            <w:right w:w="108" w:type="dxa"/>
          </w:tblCellMar>
        </w:tblPrEx>
        <w:trPr>
          <w:trHeight w:val="454" w:hRule="atLeast"/>
          <w:jc w:val="center"/>
        </w:trPr>
        <w:tc>
          <w:tcPr>
            <w:tcW w:w="2152" w:type="dxa"/>
            <w:tcBorders>
              <w:top w:val="single" w:color="auto" w:sz="6" w:space="0"/>
              <w:left w:val="single" w:color="auto" w:sz="4" w:space="0"/>
              <w:bottom w:val="single" w:color="auto" w:sz="6" w:space="0"/>
              <w:right w:val="single" w:color="auto" w:sz="6" w:space="0"/>
            </w:tcBorders>
            <w:vAlign w:val="center"/>
          </w:tcPr>
          <w:p>
            <w:pPr>
              <w:topLinePunct/>
              <w:adjustRightInd w:val="0"/>
              <w:snapToGrid w:val="0"/>
              <w:spacing w:line="360" w:lineRule="auto"/>
              <w:ind w:left="479"/>
              <w:jc w:val="center"/>
              <w:rPr>
                <w:rFonts w:ascii="宋体" w:cs="宋体"/>
                <w:spacing w:val="4"/>
                <w:sz w:val="24"/>
                <w:szCs w:val="24"/>
              </w:rPr>
            </w:pPr>
          </w:p>
        </w:tc>
        <w:tc>
          <w:tcPr>
            <w:tcW w:w="2140" w:type="dxa"/>
            <w:tcBorders>
              <w:top w:val="single" w:color="auto" w:sz="6" w:space="0"/>
              <w:left w:val="nil"/>
              <w:bottom w:val="single" w:color="auto" w:sz="6" w:space="0"/>
              <w:right w:val="single" w:color="auto" w:sz="6" w:space="0"/>
            </w:tcBorders>
            <w:vAlign w:val="center"/>
          </w:tcPr>
          <w:p>
            <w:pPr>
              <w:topLinePunct/>
              <w:adjustRightInd w:val="0"/>
              <w:snapToGrid w:val="0"/>
              <w:spacing w:line="360" w:lineRule="auto"/>
              <w:ind w:left="479"/>
              <w:jc w:val="center"/>
              <w:rPr>
                <w:rFonts w:ascii="宋体" w:cs="宋体"/>
                <w:spacing w:val="4"/>
                <w:sz w:val="24"/>
                <w:szCs w:val="24"/>
              </w:rPr>
            </w:pPr>
          </w:p>
        </w:tc>
        <w:tc>
          <w:tcPr>
            <w:tcW w:w="2140" w:type="dxa"/>
            <w:tcBorders>
              <w:top w:val="single" w:color="auto" w:sz="6" w:space="0"/>
              <w:left w:val="nil"/>
              <w:bottom w:val="single" w:color="auto" w:sz="6" w:space="0"/>
              <w:right w:val="single" w:color="auto" w:sz="6" w:space="0"/>
            </w:tcBorders>
            <w:vAlign w:val="center"/>
          </w:tcPr>
          <w:p>
            <w:pPr>
              <w:topLinePunct/>
              <w:adjustRightInd w:val="0"/>
              <w:snapToGrid w:val="0"/>
              <w:spacing w:line="360" w:lineRule="auto"/>
              <w:ind w:left="479"/>
              <w:jc w:val="center"/>
              <w:rPr>
                <w:rFonts w:ascii="宋体" w:cs="宋体"/>
                <w:spacing w:val="4"/>
                <w:sz w:val="24"/>
                <w:szCs w:val="24"/>
              </w:rPr>
            </w:pPr>
          </w:p>
        </w:tc>
        <w:tc>
          <w:tcPr>
            <w:tcW w:w="1971" w:type="dxa"/>
            <w:tcBorders>
              <w:top w:val="single" w:color="auto" w:sz="6" w:space="0"/>
              <w:left w:val="nil"/>
              <w:bottom w:val="single" w:color="auto" w:sz="6" w:space="0"/>
              <w:right w:val="single" w:color="auto" w:sz="4" w:space="0"/>
            </w:tcBorders>
            <w:vAlign w:val="center"/>
          </w:tcPr>
          <w:p>
            <w:pPr>
              <w:topLinePunct/>
              <w:adjustRightInd w:val="0"/>
              <w:snapToGrid w:val="0"/>
              <w:spacing w:line="360" w:lineRule="auto"/>
              <w:ind w:left="479"/>
              <w:jc w:val="center"/>
              <w:rPr>
                <w:rFonts w:ascii="宋体" w:cs="宋体"/>
                <w:spacing w:val="4"/>
                <w:sz w:val="24"/>
                <w:szCs w:val="24"/>
              </w:rPr>
            </w:pPr>
          </w:p>
        </w:tc>
      </w:tr>
      <w:tr>
        <w:tblPrEx>
          <w:tblCellMar>
            <w:top w:w="0" w:type="dxa"/>
            <w:left w:w="108" w:type="dxa"/>
            <w:bottom w:w="0" w:type="dxa"/>
            <w:right w:w="108" w:type="dxa"/>
          </w:tblCellMar>
        </w:tblPrEx>
        <w:trPr>
          <w:trHeight w:val="454" w:hRule="atLeast"/>
          <w:jc w:val="center"/>
        </w:trPr>
        <w:tc>
          <w:tcPr>
            <w:tcW w:w="2152" w:type="dxa"/>
            <w:tcBorders>
              <w:top w:val="single" w:color="auto" w:sz="6" w:space="0"/>
              <w:left w:val="single" w:color="auto" w:sz="4" w:space="0"/>
              <w:bottom w:val="single" w:color="auto" w:sz="6" w:space="0"/>
              <w:right w:val="single" w:color="auto" w:sz="6" w:space="0"/>
            </w:tcBorders>
            <w:vAlign w:val="center"/>
          </w:tcPr>
          <w:p>
            <w:pPr>
              <w:topLinePunct/>
              <w:adjustRightInd w:val="0"/>
              <w:snapToGrid w:val="0"/>
              <w:spacing w:line="360" w:lineRule="auto"/>
              <w:ind w:left="479"/>
              <w:jc w:val="center"/>
              <w:rPr>
                <w:rFonts w:ascii="宋体" w:cs="宋体"/>
                <w:spacing w:val="4"/>
                <w:sz w:val="24"/>
                <w:szCs w:val="24"/>
              </w:rPr>
            </w:pPr>
          </w:p>
        </w:tc>
        <w:tc>
          <w:tcPr>
            <w:tcW w:w="2140" w:type="dxa"/>
            <w:tcBorders>
              <w:top w:val="single" w:color="auto" w:sz="6" w:space="0"/>
              <w:left w:val="nil"/>
              <w:bottom w:val="single" w:color="auto" w:sz="6" w:space="0"/>
              <w:right w:val="single" w:color="auto" w:sz="6" w:space="0"/>
            </w:tcBorders>
            <w:vAlign w:val="center"/>
          </w:tcPr>
          <w:p>
            <w:pPr>
              <w:topLinePunct/>
              <w:adjustRightInd w:val="0"/>
              <w:snapToGrid w:val="0"/>
              <w:spacing w:line="360" w:lineRule="auto"/>
              <w:ind w:left="479"/>
              <w:jc w:val="center"/>
              <w:rPr>
                <w:rFonts w:ascii="宋体" w:cs="宋体"/>
                <w:spacing w:val="4"/>
                <w:sz w:val="24"/>
                <w:szCs w:val="24"/>
              </w:rPr>
            </w:pPr>
          </w:p>
        </w:tc>
        <w:tc>
          <w:tcPr>
            <w:tcW w:w="2140" w:type="dxa"/>
            <w:tcBorders>
              <w:top w:val="single" w:color="auto" w:sz="6" w:space="0"/>
              <w:left w:val="nil"/>
              <w:bottom w:val="single" w:color="auto" w:sz="6" w:space="0"/>
              <w:right w:val="single" w:color="auto" w:sz="6" w:space="0"/>
            </w:tcBorders>
            <w:vAlign w:val="center"/>
          </w:tcPr>
          <w:p>
            <w:pPr>
              <w:topLinePunct/>
              <w:adjustRightInd w:val="0"/>
              <w:snapToGrid w:val="0"/>
              <w:spacing w:line="360" w:lineRule="auto"/>
              <w:ind w:left="479"/>
              <w:jc w:val="center"/>
              <w:rPr>
                <w:rFonts w:ascii="宋体" w:cs="宋体"/>
                <w:spacing w:val="4"/>
                <w:sz w:val="24"/>
                <w:szCs w:val="24"/>
              </w:rPr>
            </w:pPr>
          </w:p>
        </w:tc>
        <w:tc>
          <w:tcPr>
            <w:tcW w:w="1971" w:type="dxa"/>
            <w:tcBorders>
              <w:top w:val="single" w:color="auto" w:sz="6" w:space="0"/>
              <w:left w:val="nil"/>
              <w:bottom w:val="single" w:color="auto" w:sz="6" w:space="0"/>
              <w:right w:val="single" w:color="auto" w:sz="4" w:space="0"/>
            </w:tcBorders>
            <w:vAlign w:val="center"/>
          </w:tcPr>
          <w:p>
            <w:pPr>
              <w:topLinePunct/>
              <w:adjustRightInd w:val="0"/>
              <w:snapToGrid w:val="0"/>
              <w:spacing w:line="360" w:lineRule="auto"/>
              <w:ind w:left="479"/>
              <w:jc w:val="center"/>
              <w:rPr>
                <w:rFonts w:ascii="宋体" w:cs="宋体"/>
                <w:spacing w:val="4"/>
                <w:sz w:val="24"/>
                <w:szCs w:val="24"/>
              </w:rPr>
            </w:pPr>
          </w:p>
        </w:tc>
      </w:tr>
      <w:tr>
        <w:tblPrEx>
          <w:tblCellMar>
            <w:top w:w="0" w:type="dxa"/>
            <w:left w:w="108" w:type="dxa"/>
            <w:bottom w:w="0" w:type="dxa"/>
            <w:right w:w="108" w:type="dxa"/>
          </w:tblCellMar>
        </w:tblPrEx>
        <w:trPr>
          <w:trHeight w:val="454" w:hRule="atLeast"/>
          <w:jc w:val="center"/>
        </w:trPr>
        <w:tc>
          <w:tcPr>
            <w:tcW w:w="2152" w:type="dxa"/>
            <w:tcBorders>
              <w:top w:val="single" w:color="auto" w:sz="6" w:space="0"/>
              <w:left w:val="single" w:color="auto" w:sz="4" w:space="0"/>
              <w:bottom w:val="single" w:color="auto" w:sz="6" w:space="0"/>
              <w:right w:val="single" w:color="auto" w:sz="6" w:space="0"/>
            </w:tcBorders>
            <w:vAlign w:val="center"/>
          </w:tcPr>
          <w:p>
            <w:pPr>
              <w:topLinePunct/>
              <w:adjustRightInd w:val="0"/>
              <w:snapToGrid w:val="0"/>
              <w:spacing w:line="360" w:lineRule="auto"/>
              <w:ind w:left="479"/>
              <w:jc w:val="center"/>
              <w:rPr>
                <w:rFonts w:ascii="宋体" w:cs="宋体"/>
                <w:spacing w:val="4"/>
                <w:sz w:val="24"/>
                <w:szCs w:val="24"/>
              </w:rPr>
            </w:pPr>
          </w:p>
        </w:tc>
        <w:tc>
          <w:tcPr>
            <w:tcW w:w="2140" w:type="dxa"/>
            <w:tcBorders>
              <w:top w:val="single" w:color="auto" w:sz="6" w:space="0"/>
              <w:left w:val="nil"/>
              <w:bottom w:val="single" w:color="auto" w:sz="6" w:space="0"/>
              <w:right w:val="single" w:color="auto" w:sz="6" w:space="0"/>
            </w:tcBorders>
            <w:vAlign w:val="center"/>
          </w:tcPr>
          <w:p>
            <w:pPr>
              <w:topLinePunct/>
              <w:adjustRightInd w:val="0"/>
              <w:snapToGrid w:val="0"/>
              <w:spacing w:line="360" w:lineRule="auto"/>
              <w:ind w:left="479"/>
              <w:jc w:val="center"/>
              <w:rPr>
                <w:rFonts w:ascii="宋体" w:cs="宋体"/>
                <w:spacing w:val="4"/>
                <w:sz w:val="24"/>
                <w:szCs w:val="24"/>
              </w:rPr>
            </w:pPr>
          </w:p>
        </w:tc>
        <w:tc>
          <w:tcPr>
            <w:tcW w:w="2140" w:type="dxa"/>
            <w:tcBorders>
              <w:top w:val="single" w:color="auto" w:sz="6" w:space="0"/>
              <w:left w:val="nil"/>
              <w:bottom w:val="single" w:color="auto" w:sz="6" w:space="0"/>
              <w:right w:val="single" w:color="auto" w:sz="6" w:space="0"/>
            </w:tcBorders>
            <w:vAlign w:val="center"/>
          </w:tcPr>
          <w:p>
            <w:pPr>
              <w:topLinePunct/>
              <w:adjustRightInd w:val="0"/>
              <w:snapToGrid w:val="0"/>
              <w:spacing w:line="360" w:lineRule="auto"/>
              <w:ind w:left="479"/>
              <w:jc w:val="center"/>
              <w:rPr>
                <w:rFonts w:ascii="宋体" w:cs="宋体"/>
                <w:spacing w:val="4"/>
                <w:sz w:val="24"/>
                <w:szCs w:val="24"/>
              </w:rPr>
            </w:pPr>
          </w:p>
        </w:tc>
        <w:tc>
          <w:tcPr>
            <w:tcW w:w="1971" w:type="dxa"/>
            <w:tcBorders>
              <w:top w:val="single" w:color="auto" w:sz="6" w:space="0"/>
              <w:left w:val="nil"/>
              <w:bottom w:val="single" w:color="auto" w:sz="6" w:space="0"/>
              <w:right w:val="single" w:color="auto" w:sz="4" w:space="0"/>
            </w:tcBorders>
            <w:vAlign w:val="center"/>
          </w:tcPr>
          <w:p>
            <w:pPr>
              <w:topLinePunct/>
              <w:adjustRightInd w:val="0"/>
              <w:snapToGrid w:val="0"/>
              <w:spacing w:line="360" w:lineRule="auto"/>
              <w:ind w:left="479"/>
              <w:jc w:val="center"/>
              <w:rPr>
                <w:rFonts w:ascii="宋体" w:cs="宋体"/>
                <w:spacing w:val="4"/>
                <w:sz w:val="24"/>
                <w:szCs w:val="24"/>
              </w:rPr>
            </w:pPr>
          </w:p>
        </w:tc>
      </w:tr>
      <w:tr>
        <w:tblPrEx>
          <w:tblCellMar>
            <w:top w:w="0" w:type="dxa"/>
            <w:left w:w="108" w:type="dxa"/>
            <w:bottom w:w="0" w:type="dxa"/>
            <w:right w:w="108" w:type="dxa"/>
          </w:tblCellMar>
        </w:tblPrEx>
        <w:trPr>
          <w:trHeight w:val="454" w:hRule="atLeast"/>
          <w:jc w:val="center"/>
        </w:trPr>
        <w:tc>
          <w:tcPr>
            <w:tcW w:w="2152" w:type="dxa"/>
            <w:tcBorders>
              <w:top w:val="single" w:color="auto" w:sz="6" w:space="0"/>
              <w:left w:val="single" w:color="auto" w:sz="4" w:space="0"/>
              <w:bottom w:val="single" w:color="auto" w:sz="6" w:space="0"/>
              <w:right w:val="single" w:color="auto" w:sz="6" w:space="0"/>
            </w:tcBorders>
            <w:vAlign w:val="center"/>
          </w:tcPr>
          <w:p>
            <w:pPr>
              <w:topLinePunct/>
              <w:adjustRightInd w:val="0"/>
              <w:snapToGrid w:val="0"/>
              <w:spacing w:line="360" w:lineRule="auto"/>
              <w:ind w:left="479"/>
              <w:jc w:val="center"/>
              <w:rPr>
                <w:rFonts w:ascii="宋体" w:cs="宋体"/>
                <w:spacing w:val="4"/>
                <w:sz w:val="24"/>
                <w:szCs w:val="24"/>
              </w:rPr>
            </w:pPr>
          </w:p>
        </w:tc>
        <w:tc>
          <w:tcPr>
            <w:tcW w:w="2140" w:type="dxa"/>
            <w:tcBorders>
              <w:top w:val="single" w:color="auto" w:sz="6" w:space="0"/>
              <w:left w:val="nil"/>
              <w:bottom w:val="single" w:color="auto" w:sz="6" w:space="0"/>
              <w:right w:val="single" w:color="auto" w:sz="6" w:space="0"/>
            </w:tcBorders>
            <w:vAlign w:val="center"/>
          </w:tcPr>
          <w:p>
            <w:pPr>
              <w:topLinePunct/>
              <w:adjustRightInd w:val="0"/>
              <w:snapToGrid w:val="0"/>
              <w:spacing w:line="360" w:lineRule="auto"/>
              <w:ind w:left="479"/>
              <w:jc w:val="center"/>
              <w:rPr>
                <w:rFonts w:ascii="宋体" w:cs="宋体"/>
                <w:spacing w:val="4"/>
                <w:sz w:val="24"/>
                <w:szCs w:val="24"/>
              </w:rPr>
            </w:pPr>
          </w:p>
        </w:tc>
        <w:tc>
          <w:tcPr>
            <w:tcW w:w="2140" w:type="dxa"/>
            <w:tcBorders>
              <w:top w:val="single" w:color="auto" w:sz="6" w:space="0"/>
              <w:left w:val="nil"/>
              <w:bottom w:val="single" w:color="auto" w:sz="6" w:space="0"/>
              <w:right w:val="single" w:color="auto" w:sz="6" w:space="0"/>
            </w:tcBorders>
            <w:vAlign w:val="center"/>
          </w:tcPr>
          <w:p>
            <w:pPr>
              <w:topLinePunct/>
              <w:adjustRightInd w:val="0"/>
              <w:snapToGrid w:val="0"/>
              <w:spacing w:line="360" w:lineRule="auto"/>
              <w:ind w:left="479"/>
              <w:jc w:val="center"/>
              <w:rPr>
                <w:rFonts w:ascii="宋体" w:cs="宋体"/>
                <w:spacing w:val="4"/>
                <w:sz w:val="24"/>
                <w:szCs w:val="24"/>
              </w:rPr>
            </w:pPr>
          </w:p>
        </w:tc>
        <w:tc>
          <w:tcPr>
            <w:tcW w:w="1971" w:type="dxa"/>
            <w:tcBorders>
              <w:top w:val="single" w:color="auto" w:sz="6" w:space="0"/>
              <w:left w:val="nil"/>
              <w:bottom w:val="single" w:color="auto" w:sz="6" w:space="0"/>
              <w:right w:val="single" w:color="auto" w:sz="4" w:space="0"/>
            </w:tcBorders>
            <w:vAlign w:val="center"/>
          </w:tcPr>
          <w:p>
            <w:pPr>
              <w:topLinePunct/>
              <w:adjustRightInd w:val="0"/>
              <w:snapToGrid w:val="0"/>
              <w:spacing w:line="360" w:lineRule="auto"/>
              <w:ind w:left="479"/>
              <w:jc w:val="center"/>
              <w:rPr>
                <w:rFonts w:ascii="宋体" w:cs="宋体"/>
                <w:spacing w:val="4"/>
                <w:sz w:val="24"/>
                <w:szCs w:val="24"/>
              </w:rPr>
            </w:pPr>
          </w:p>
        </w:tc>
      </w:tr>
      <w:tr>
        <w:tblPrEx>
          <w:tblCellMar>
            <w:top w:w="0" w:type="dxa"/>
            <w:left w:w="108" w:type="dxa"/>
            <w:bottom w:w="0" w:type="dxa"/>
            <w:right w:w="108" w:type="dxa"/>
          </w:tblCellMar>
        </w:tblPrEx>
        <w:trPr>
          <w:trHeight w:val="454" w:hRule="atLeast"/>
          <w:jc w:val="center"/>
        </w:trPr>
        <w:tc>
          <w:tcPr>
            <w:tcW w:w="2152" w:type="dxa"/>
            <w:tcBorders>
              <w:top w:val="single" w:color="auto" w:sz="6" w:space="0"/>
              <w:left w:val="single" w:color="auto" w:sz="4" w:space="0"/>
              <w:bottom w:val="single" w:color="auto" w:sz="6" w:space="0"/>
              <w:right w:val="single" w:color="auto" w:sz="6" w:space="0"/>
            </w:tcBorders>
            <w:vAlign w:val="center"/>
          </w:tcPr>
          <w:p>
            <w:pPr>
              <w:topLinePunct/>
              <w:adjustRightInd w:val="0"/>
              <w:snapToGrid w:val="0"/>
              <w:spacing w:line="360" w:lineRule="auto"/>
              <w:jc w:val="center"/>
              <w:rPr>
                <w:rFonts w:ascii="宋体" w:cs="宋体"/>
                <w:spacing w:val="4"/>
                <w:sz w:val="24"/>
                <w:szCs w:val="24"/>
              </w:rPr>
            </w:pPr>
            <w:r>
              <w:rPr>
                <w:rFonts w:hint="eastAsia" w:ascii="宋体" w:hAnsi="宋体" w:cs="宋体"/>
                <w:spacing w:val="4"/>
                <w:sz w:val="24"/>
                <w:szCs w:val="24"/>
                <w:lang w:bidi="ar"/>
              </w:rPr>
              <w:t>保修期</w:t>
            </w:r>
          </w:p>
        </w:tc>
        <w:tc>
          <w:tcPr>
            <w:tcW w:w="2140" w:type="dxa"/>
            <w:tcBorders>
              <w:top w:val="single" w:color="auto" w:sz="6" w:space="0"/>
              <w:left w:val="nil"/>
              <w:bottom w:val="single" w:color="auto" w:sz="6" w:space="0"/>
              <w:right w:val="single" w:color="auto" w:sz="6" w:space="0"/>
            </w:tcBorders>
            <w:vAlign w:val="center"/>
          </w:tcPr>
          <w:p>
            <w:pPr>
              <w:topLinePunct/>
              <w:adjustRightInd w:val="0"/>
              <w:snapToGrid w:val="0"/>
              <w:spacing w:line="360" w:lineRule="auto"/>
              <w:ind w:left="479"/>
              <w:jc w:val="center"/>
              <w:rPr>
                <w:rFonts w:ascii="宋体" w:cs="宋体"/>
                <w:spacing w:val="4"/>
                <w:sz w:val="24"/>
                <w:szCs w:val="24"/>
              </w:rPr>
            </w:pPr>
          </w:p>
        </w:tc>
        <w:tc>
          <w:tcPr>
            <w:tcW w:w="2140" w:type="dxa"/>
            <w:tcBorders>
              <w:top w:val="single" w:color="auto" w:sz="6" w:space="0"/>
              <w:left w:val="nil"/>
              <w:bottom w:val="single" w:color="auto" w:sz="6" w:space="0"/>
              <w:right w:val="single" w:color="auto" w:sz="6" w:space="0"/>
            </w:tcBorders>
            <w:vAlign w:val="center"/>
          </w:tcPr>
          <w:p>
            <w:pPr>
              <w:topLinePunct/>
              <w:adjustRightInd w:val="0"/>
              <w:snapToGrid w:val="0"/>
              <w:spacing w:line="360" w:lineRule="auto"/>
              <w:ind w:left="479"/>
              <w:jc w:val="center"/>
              <w:rPr>
                <w:rFonts w:ascii="宋体" w:cs="宋体"/>
                <w:spacing w:val="4"/>
                <w:sz w:val="24"/>
                <w:szCs w:val="24"/>
              </w:rPr>
            </w:pPr>
          </w:p>
        </w:tc>
        <w:tc>
          <w:tcPr>
            <w:tcW w:w="1971" w:type="dxa"/>
            <w:tcBorders>
              <w:top w:val="single" w:color="auto" w:sz="6" w:space="0"/>
              <w:left w:val="nil"/>
              <w:bottom w:val="single" w:color="auto" w:sz="6" w:space="0"/>
              <w:right w:val="single" w:color="auto" w:sz="4" w:space="0"/>
            </w:tcBorders>
            <w:vAlign w:val="center"/>
          </w:tcPr>
          <w:p>
            <w:pPr>
              <w:topLinePunct/>
              <w:adjustRightInd w:val="0"/>
              <w:snapToGrid w:val="0"/>
              <w:spacing w:line="360" w:lineRule="auto"/>
              <w:ind w:left="479"/>
              <w:jc w:val="center"/>
              <w:rPr>
                <w:rFonts w:ascii="宋体" w:cs="宋体"/>
                <w:spacing w:val="4"/>
                <w:sz w:val="24"/>
                <w:szCs w:val="24"/>
              </w:rPr>
            </w:pPr>
          </w:p>
        </w:tc>
      </w:tr>
      <w:tr>
        <w:tblPrEx>
          <w:tblCellMar>
            <w:top w:w="0" w:type="dxa"/>
            <w:left w:w="108" w:type="dxa"/>
            <w:bottom w:w="0" w:type="dxa"/>
            <w:right w:w="108" w:type="dxa"/>
          </w:tblCellMar>
        </w:tblPrEx>
        <w:trPr>
          <w:trHeight w:val="454" w:hRule="atLeast"/>
          <w:jc w:val="center"/>
        </w:trPr>
        <w:tc>
          <w:tcPr>
            <w:tcW w:w="2152" w:type="dxa"/>
            <w:tcBorders>
              <w:top w:val="single" w:color="auto" w:sz="6" w:space="0"/>
              <w:left w:val="single" w:color="auto" w:sz="4" w:space="0"/>
              <w:bottom w:val="single" w:color="auto" w:sz="6" w:space="0"/>
              <w:right w:val="single" w:color="auto" w:sz="6" w:space="0"/>
            </w:tcBorders>
            <w:vAlign w:val="center"/>
          </w:tcPr>
          <w:p>
            <w:pPr>
              <w:topLinePunct/>
              <w:adjustRightInd w:val="0"/>
              <w:snapToGrid w:val="0"/>
              <w:spacing w:line="360" w:lineRule="auto"/>
              <w:jc w:val="center"/>
              <w:rPr>
                <w:rFonts w:ascii="宋体" w:cs="宋体"/>
                <w:spacing w:val="4"/>
                <w:sz w:val="24"/>
                <w:szCs w:val="24"/>
              </w:rPr>
            </w:pPr>
            <w:r>
              <w:rPr>
                <w:rFonts w:hint="eastAsia" w:ascii="宋体" w:hAnsi="宋体" w:cs="宋体"/>
                <w:spacing w:val="4"/>
                <w:sz w:val="24"/>
                <w:szCs w:val="24"/>
                <w:lang w:bidi="ar"/>
              </w:rPr>
              <w:t>合计</w:t>
            </w:r>
          </w:p>
        </w:tc>
        <w:tc>
          <w:tcPr>
            <w:tcW w:w="2140" w:type="dxa"/>
            <w:tcBorders>
              <w:top w:val="single" w:color="auto" w:sz="6" w:space="0"/>
              <w:left w:val="nil"/>
              <w:bottom w:val="single" w:color="auto" w:sz="6" w:space="0"/>
              <w:right w:val="single" w:color="auto" w:sz="6" w:space="0"/>
            </w:tcBorders>
            <w:vAlign w:val="center"/>
          </w:tcPr>
          <w:p>
            <w:pPr>
              <w:topLinePunct/>
              <w:adjustRightInd w:val="0"/>
              <w:snapToGrid w:val="0"/>
              <w:spacing w:line="360" w:lineRule="auto"/>
              <w:ind w:left="479"/>
              <w:jc w:val="center"/>
              <w:rPr>
                <w:rFonts w:ascii="宋体" w:cs="宋体"/>
                <w:spacing w:val="4"/>
                <w:sz w:val="24"/>
                <w:szCs w:val="24"/>
              </w:rPr>
            </w:pPr>
          </w:p>
        </w:tc>
        <w:tc>
          <w:tcPr>
            <w:tcW w:w="2140" w:type="dxa"/>
            <w:tcBorders>
              <w:top w:val="single" w:color="auto" w:sz="6" w:space="0"/>
              <w:left w:val="nil"/>
              <w:bottom w:val="single" w:color="auto" w:sz="6" w:space="0"/>
              <w:right w:val="single" w:color="auto" w:sz="6" w:space="0"/>
            </w:tcBorders>
            <w:vAlign w:val="center"/>
          </w:tcPr>
          <w:p>
            <w:pPr>
              <w:topLinePunct/>
              <w:adjustRightInd w:val="0"/>
              <w:snapToGrid w:val="0"/>
              <w:spacing w:line="360" w:lineRule="auto"/>
              <w:ind w:left="479"/>
              <w:jc w:val="center"/>
              <w:rPr>
                <w:rFonts w:ascii="宋体" w:cs="宋体"/>
                <w:spacing w:val="4"/>
                <w:sz w:val="24"/>
                <w:szCs w:val="24"/>
              </w:rPr>
            </w:pPr>
          </w:p>
        </w:tc>
        <w:tc>
          <w:tcPr>
            <w:tcW w:w="1971" w:type="dxa"/>
            <w:tcBorders>
              <w:top w:val="single" w:color="auto" w:sz="6" w:space="0"/>
              <w:left w:val="nil"/>
              <w:bottom w:val="single" w:color="auto" w:sz="6" w:space="0"/>
              <w:right w:val="single" w:color="auto" w:sz="4" w:space="0"/>
            </w:tcBorders>
            <w:vAlign w:val="center"/>
          </w:tcPr>
          <w:p>
            <w:pPr>
              <w:topLinePunct/>
              <w:adjustRightInd w:val="0"/>
              <w:snapToGrid w:val="0"/>
              <w:spacing w:line="360" w:lineRule="auto"/>
              <w:ind w:left="479"/>
              <w:jc w:val="center"/>
              <w:rPr>
                <w:rFonts w:ascii="宋体" w:cs="宋体"/>
                <w:spacing w:val="4"/>
                <w:sz w:val="24"/>
                <w:szCs w:val="24"/>
              </w:rPr>
            </w:pPr>
          </w:p>
        </w:tc>
      </w:tr>
      <w:tr>
        <w:tblPrEx>
          <w:tblCellMar>
            <w:top w:w="0" w:type="dxa"/>
            <w:left w:w="108" w:type="dxa"/>
            <w:bottom w:w="0" w:type="dxa"/>
            <w:right w:w="108" w:type="dxa"/>
          </w:tblCellMar>
        </w:tblPrEx>
        <w:trPr>
          <w:trHeight w:val="454" w:hRule="atLeast"/>
          <w:jc w:val="center"/>
        </w:trPr>
        <w:tc>
          <w:tcPr>
            <w:tcW w:w="2152" w:type="dxa"/>
            <w:tcBorders>
              <w:top w:val="single" w:color="auto" w:sz="6" w:space="0"/>
              <w:left w:val="single" w:color="auto" w:sz="4" w:space="0"/>
              <w:bottom w:val="single" w:color="auto" w:sz="4" w:space="0"/>
              <w:right w:val="single" w:color="auto" w:sz="6" w:space="0"/>
            </w:tcBorders>
            <w:vAlign w:val="center"/>
          </w:tcPr>
          <w:p>
            <w:pPr>
              <w:topLinePunct/>
              <w:adjustRightInd w:val="0"/>
              <w:snapToGrid w:val="0"/>
              <w:spacing w:line="360" w:lineRule="auto"/>
              <w:jc w:val="center"/>
              <w:rPr>
                <w:rFonts w:ascii="宋体" w:cs="宋体"/>
                <w:spacing w:val="4"/>
                <w:sz w:val="24"/>
                <w:szCs w:val="24"/>
              </w:rPr>
            </w:pPr>
            <w:r>
              <w:rPr>
                <w:rFonts w:hint="eastAsia" w:ascii="宋体" w:hAnsi="宋体" w:cs="宋体"/>
                <w:spacing w:val="4"/>
                <w:sz w:val="24"/>
                <w:szCs w:val="24"/>
                <w:lang w:bidi="ar"/>
              </w:rPr>
              <w:t>说明</w:t>
            </w:r>
          </w:p>
        </w:tc>
        <w:tc>
          <w:tcPr>
            <w:tcW w:w="6251" w:type="dxa"/>
            <w:gridSpan w:val="3"/>
            <w:tcBorders>
              <w:top w:val="single" w:color="auto" w:sz="6" w:space="0"/>
              <w:left w:val="nil"/>
              <w:bottom w:val="single" w:color="auto" w:sz="4" w:space="0"/>
              <w:right w:val="single" w:color="auto" w:sz="4" w:space="0"/>
            </w:tcBorders>
            <w:vAlign w:val="center"/>
          </w:tcPr>
          <w:p>
            <w:pPr>
              <w:topLinePunct/>
              <w:adjustRightInd w:val="0"/>
              <w:snapToGrid w:val="0"/>
              <w:spacing w:line="360" w:lineRule="auto"/>
              <w:ind w:left="479"/>
              <w:jc w:val="center"/>
              <w:rPr>
                <w:rFonts w:ascii="宋体" w:cs="宋体"/>
                <w:spacing w:val="4"/>
                <w:sz w:val="24"/>
                <w:szCs w:val="24"/>
              </w:rPr>
            </w:pPr>
          </w:p>
        </w:tc>
      </w:tr>
    </w:tbl>
    <w:p>
      <w:pPr>
        <w:topLinePunct/>
        <w:adjustRightInd w:val="0"/>
        <w:snapToGrid w:val="0"/>
        <w:spacing w:line="360" w:lineRule="auto"/>
        <w:rPr>
          <w:rFonts w:ascii="宋体" w:cs="宋体"/>
          <w:spacing w:val="4"/>
          <w:kern w:val="0"/>
          <w:sz w:val="24"/>
          <w:szCs w:val="24"/>
        </w:rPr>
      </w:pPr>
      <w:r>
        <w:rPr>
          <w:rFonts w:hint="eastAsia" w:ascii="宋体" w:hAnsi="宋体" w:cs="宋体"/>
          <w:spacing w:val="4"/>
          <w:kern w:val="0"/>
          <w:sz w:val="24"/>
          <w:szCs w:val="24"/>
          <w:lang w:bidi="ar"/>
        </w:rPr>
        <w:t>注：本表不得出现具体金额，仅以百分比表示。</w:t>
      </w:r>
    </w:p>
    <w:p>
      <w:pPr>
        <w:widowControl/>
        <w:spacing w:line="360" w:lineRule="auto"/>
        <w:jc w:val="left"/>
        <w:rPr>
          <w:rFonts w:hint="eastAsia" w:ascii="宋体" w:hAnsi="宋体" w:cs="宋体"/>
          <w:szCs w:val="21"/>
        </w:rPr>
      </w:pPr>
      <w:r>
        <w:rPr>
          <w:rFonts w:ascii="宋体" w:hAnsi="宋体" w:cs="宋体"/>
          <w:szCs w:val="21"/>
        </w:rPr>
        <w:br w:type="page"/>
      </w:r>
    </w:p>
    <w:bookmarkEnd w:id="73"/>
    <w:p>
      <w:pPr>
        <w:pStyle w:val="114"/>
        <w:ind w:right="496" w:firstLine="0" w:firstLineChars="0"/>
        <w:rPr>
          <w:rFonts w:hint="eastAsia" w:ascii="宋体" w:hAnsi="宋体" w:cs="宋体"/>
          <w:bCs/>
          <w:spacing w:val="0"/>
          <w:kern w:val="2"/>
          <w:szCs w:val="22"/>
        </w:rPr>
      </w:pPr>
      <w:r>
        <w:rPr>
          <w:rFonts w:hint="eastAsia" w:ascii="宋体" w:hAnsi="宋体" w:cs="宋体"/>
          <w:bCs/>
          <w:spacing w:val="0"/>
          <w:kern w:val="2"/>
          <w:szCs w:val="22"/>
        </w:rPr>
        <w:t>格式九：危险性较大的分部分项工程清单及超过一定规模的危险性较大的分部分项工程清单</w:t>
      </w:r>
    </w:p>
    <w:p>
      <w:pPr>
        <w:autoSpaceDE w:val="0"/>
        <w:autoSpaceDN w:val="0"/>
        <w:adjustRightInd w:val="0"/>
        <w:spacing w:before="312" w:beforeLines="100"/>
        <w:jc w:val="center"/>
        <w:rPr>
          <w:rFonts w:hint="eastAsia" w:ascii="宋体" w:hAnsi="宋体" w:eastAsia="宋体" w:cs="宋体"/>
          <w:b/>
          <w:bCs/>
          <w:sz w:val="36"/>
          <w:szCs w:val="36"/>
          <w:lang w:val="zh-CN"/>
        </w:rPr>
      </w:pPr>
      <w:r>
        <w:rPr>
          <w:rFonts w:hint="eastAsia" w:ascii="宋体" w:hAnsi="宋体" w:eastAsia="宋体" w:cs="宋体"/>
          <w:b/>
          <w:bCs/>
          <w:sz w:val="36"/>
          <w:szCs w:val="36"/>
          <w:lang w:val="zh-CN"/>
        </w:rPr>
        <w:t>危险性较大的分部分项工程清单及超过一定规模</w:t>
      </w:r>
    </w:p>
    <w:p>
      <w:pPr>
        <w:autoSpaceDE w:val="0"/>
        <w:autoSpaceDN w:val="0"/>
        <w:adjustRightInd w:val="0"/>
        <w:spacing w:after="312" w:afterLines="100"/>
        <w:jc w:val="center"/>
        <w:rPr>
          <w:rFonts w:hint="eastAsia" w:ascii="宋体" w:hAnsi="宋体" w:eastAsia="宋体" w:cs="宋体"/>
          <w:b/>
          <w:bCs/>
          <w:sz w:val="36"/>
          <w:szCs w:val="36"/>
          <w:lang w:val="zh-CN"/>
        </w:rPr>
      </w:pPr>
      <w:r>
        <w:rPr>
          <w:rFonts w:hint="eastAsia" w:ascii="宋体" w:hAnsi="宋体" w:eastAsia="宋体" w:cs="宋体"/>
          <w:b/>
          <w:bCs/>
          <w:sz w:val="36"/>
          <w:szCs w:val="36"/>
          <w:lang w:val="zh-CN"/>
        </w:rPr>
        <w:t>的危险性较大的分部分项工程清单</w:t>
      </w:r>
    </w:p>
    <w:p>
      <w:pPr>
        <w:pStyle w:val="115"/>
        <w:keepNext w:val="0"/>
        <w:keepLines w:val="0"/>
        <w:pageBreakBefore w:val="0"/>
        <w:widowControl/>
        <w:kinsoku/>
        <w:wordWrap/>
        <w:overflowPunct/>
        <w:topLinePunct w:val="0"/>
        <w:autoSpaceDE w:val="0"/>
        <w:autoSpaceDN w:val="0"/>
        <w:bidi w:val="0"/>
        <w:adjustRightInd w:val="0"/>
        <w:snapToGrid w:val="0"/>
        <w:spacing w:after="0" w:line="240" w:lineRule="auto"/>
        <w:ind w:firstLine="480"/>
        <w:textAlignment w:val="auto"/>
        <w:rPr>
          <w:rFonts w:hint="eastAsia" w:ascii="宋体" w:hAnsi="宋体" w:eastAsia="宋体" w:cs="仿宋"/>
          <w:sz w:val="24"/>
          <w:szCs w:val="28"/>
        </w:rPr>
      </w:pPr>
      <w:r>
        <w:rPr>
          <w:rFonts w:hint="eastAsia" w:ascii="宋体" w:hAnsi="宋体" w:eastAsia="宋体" w:cs="仿宋"/>
          <w:sz w:val="24"/>
          <w:szCs w:val="28"/>
        </w:rPr>
        <w:t>1、根据中华人民共和国住房和城乡建设部令第</w:t>
      </w:r>
      <w:r>
        <w:rPr>
          <w:rFonts w:hint="eastAsia" w:ascii="宋体" w:hAnsi="宋体" w:eastAsia="宋体" w:cs="仿宋"/>
          <w:sz w:val="24"/>
          <w:szCs w:val="28"/>
          <w:lang w:val="en-US" w:eastAsia="zh-CN"/>
        </w:rPr>
        <w:t>3</w:t>
      </w:r>
      <w:r>
        <w:rPr>
          <w:rFonts w:hint="eastAsia" w:ascii="宋体" w:hAnsi="宋体" w:eastAsia="宋体" w:cs="仿宋"/>
          <w:sz w:val="24"/>
          <w:szCs w:val="28"/>
        </w:rPr>
        <w:t>7号《危险性较大的分部分项工程安全管理规定》（以下简称“</w:t>
      </w:r>
      <w:r>
        <w:rPr>
          <w:rFonts w:hint="eastAsia" w:ascii="宋体" w:hAnsi="宋体" w:eastAsia="宋体" w:cs="仿宋"/>
          <w:sz w:val="24"/>
          <w:szCs w:val="28"/>
          <w:lang w:val="en-US" w:eastAsia="zh-CN"/>
        </w:rPr>
        <w:t>37</w:t>
      </w:r>
      <w:r>
        <w:rPr>
          <w:rFonts w:hint="eastAsia" w:ascii="宋体" w:hAnsi="宋体" w:eastAsia="宋体" w:cs="仿宋"/>
          <w:sz w:val="24"/>
          <w:szCs w:val="28"/>
        </w:rPr>
        <w:t>号文”），投标人在投标时须补充完善危大工程清单并明确相应的安全管理措施。</w:t>
      </w:r>
    </w:p>
    <w:p>
      <w:pPr>
        <w:pStyle w:val="115"/>
        <w:keepNext w:val="0"/>
        <w:keepLines w:val="0"/>
        <w:pageBreakBefore w:val="0"/>
        <w:widowControl/>
        <w:kinsoku/>
        <w:wordWrap/>
        <w:overflowPunct/>
        <w:topLinePunct w:val="0"/>
        <w:autoSpaceDE w:val="0"/>
        <w:autoSpaceDN w:val="0"/>
        <w:bidi w:val="0"/>
        <w:adjustRightInd w:val="0"/>
        <w:snapToGrid w:val="0"/>
        <w:spacing w:after="0" w:line="240" w:lineRule="auto"/>
        <w:ind w:firstLine="480"/>
        <w:textAlignment w:val="auto"/>
        <w:rPr>
          <w:rFonts w:hint="eastAsia" w:ascii="宋体" w:hAnsi="宋体" w:eastAsia="宋体" w:cs="仿宋"/>
          <w:sz w:val="24"/>
          <w:szCs w:val="28"/>
        </w:rPr>
      </w:pPr>
      <w:r>
        <w:rPr>
          <w:rFonts w:hint="eastAsia" w:ascii="宋体" w:hAnsi="宋体" w:eastAsia="宋体" w:cs="仿宋"/>
          <w:sz w:val="24"/>
          <w:szCs w:val="28"/>
        </w:rPr>
        <w:t>2、招标人根据设计文件的要求及</w:t>
      </w:r>
      <w:r>
        <w:rPr>
          <w:rFonts w:hint="eastAsia" w:ascii="宋体" w:hAnsi="宋体" w:eastAsia="宋体" w:cs="仿宋"/>
          <w:sz w:val="24"/>
          <w:szCs w:val="28"/>
          <w:lang w:val="en-US" w:eastAsia="zh-CN"/>
        </w:rPr>
        <w:t>3</w:t>
      </w:r>
      <w:r>
        <w:rPr>
          <w:rFonts w:hint="eastAsia" w:ascii="宋体" w:hAnsi="宋体" w:eastAsia="宋体" w:cs="仿宋"/>
          <w:sz w:val="24"/>
          <w:szCs w:val="28"/>
        </w:rPr>
        <w:t>7号文的规定列出“危险性较大的分部分项工程清单及超过一定规模的危险性较大的分部分项工程清单”中与本招标项目相关的清单项，具体详见第5点“打√”标识。</w:t>
      </w:r>
    </w:p>
    <w:p>
      <w:pPr>
        <w:pStyle w:val="115"/>
        <w:keepNext w:val="0"/>
        <w:keepLines w:val="0"/>
        <w:pageBreakBefore w:val="0"/>
        <w:widowControl/>
        <w:kinsoku/>
        <w:wordWrap/>
        <w:overflowPunct/>
        <w:topLinePunct w:val="0"/>
        <w:autoSpaceDE w:val="0"/>
        <w:autoSpaceDN w:val="0"/>
        <w:bidi w:val="0"/>
        <w:adjustRightInd w:val="0"/>
        <w:snapToGrid w:val="0"/>
        <w:spacing w:after="0" w:line="240" w:lineRule="auto"/>
        <w:ind w:firstLine="480"/>
        <w:textAlignment w:val="auto"/>
        <w:rPr>
          <w:rFonts w:hint="eastAsia" w:ascii="宋体" w:hAnsi="宋体" w:eastAsia="宋体" w:cs="仿宋"/>
          <w:sz w:val="24"/>
          <w:szCs w:val="28"/>
        </w:rPr>
      </w:pPr>
      <w:r>
        <w:rPr>
          <w:rFonts w:hint="eastAsia" w:ascii="宋体" w:hAnsi="宋体" w:eastAsia="宋体" w:cs="仿宋"/>
          <w:sz w:val="24"/>
          <w:szCs w:val="28"/>
        </w:rPr>
        <w:t>（1）投标单位同意建设单位在清单中标识的该项请在对应项打“√”标识，并于投标文件中提供相应的安全管理措施。</w:t>
      </w:r>
    </w:p>
    <w:p>
      <w:pPr>
        <w:pStyle w:val="115"/>
        <w:keepNext w:val="0"/>
        <w:keepLines w:val="0"/>
        <w:pageBreakBefore w:val="0"/>
        <w:widowControl/>
        <w:kinsoku/>
        <w:wordWrap/>
        <w:overflowPunct/>
        <w:topLinePunct w:val="0"/>
        <w:autoSpaceDE w:val="0"/>
        <w:autoSpaceDN w:val="0"/>
        <w:bidi w:val="0"/>
        <w:adjustRightInd w:val="0"/>
        <w:snapToGrid w:val="0"/>
        <w:spacing w:after="0" w:line="240" w:lineRule="auto"/>
        <w:ind w:firstLine="480"/>
        <w:textAlignment w:val="auto"/>
        <w:rPr>
          <w:rFonts w:hint="eastAsia" w:ascii="宋体" w:hAnsi="宋体" w:eastAsia="宋体" w:cs="仿宋"/>
          <w:sz w:val="24"/>
          <w:szCs w:val="28"/>
        </w:rPr>
      </w:pPr>
      <w:r>
        <w:rPr>
          <w:rFonts w:hint="eastAsia" w:ascii="宋体" w:hAnsi="宋体" w:eastAsia="宋体" w:cs="仿宋"/>
          <w:sz w:val="24"/>
          <w:szCs w:val="28"/>
        </w:rPr>
        <w:t>（2）投标单位对清单中认为需要补充的该项请在对应项打“√”标识，并于投标文件中提供相应的安全管理措施。</w:t>
      </w:r>
    </w:p>
    <w:p>
      <w:pPr>
        <w:pStyle w:val="115"/>
        <w:keepNext w:val="0"/>
        <w:keepLines w:val="0"/>
        <w:pageBreakBefore w:val="0"/>
        <w:widowControl/>
        <w:kinsoku/>
        <w:wordWrap/>
        <w:overflowPunct/>
        <w:topLinePunct w:val="0"/>
        <w:autoSpaceDE w:val="0"/>
        <w:autoSpaceDN w:val="0"/>
        <w:bidi w:val="0"/>
        <w:adjustRightInd w:val="0"/>
        <w:snapToGrid w:val="0"/>
        <w:spacing w:after="0" w:line="240" w:lineRule="auto"/>
        <w:ind w:firstLine="480"/>
        <w:textAlignment w:val="auto"/>
        <w:rPr>
          <w:rFonts w:hint="eastAsia" w:ascii="宋体" w:hAnsi="宋体" w:eastAsia="宋体" w:cs="仿宋"/>
          <w:sz w:val="24"/>
          <w:szCs w:val="28"/>
        </w:rPr>
      </w:pPr>
      <w:r>
        <w:rPr>
          <w:rFonts w:hint="eastAsia" w:ascii="宋体" w:hAnsi="宋体" w:eastAsia="宋体" w:cs="仿宋"/>
          <w:sz w:val="24"/>
          <w:szCs w:val="28"/>
        </w:rPr>
        <w:t>（3）投标单位不同意建设单位在清单中标识的该项请在对应项打“×”标识，并在备注栏填上相关说明。</w:t>
      </w:r>
    </w:p>
    <w:p>
      <w:pPr>
        <w:pStyle w:val="115"/>
        <w:keepNext w:val="0"/>
        <w:keepLines w:val="0"/>
        <w:pageBreakBefore w:val="0"/>
        <w:widowControl/>
        <w:kinsoku/>
        <w:wordWrap/>
        <w:overflowPunct/>
        <w:topLinePunct w:val="0"/>
        <w:autoSpaceDE w:val="0"/>
        <w:autoSpaceDN w:val="0"/>
        <w:bidi w:val="0"/>
        <w:adjustRightInd w:val="0"/>
        <w:snapToGrid w:val="0"/>
        <w:spacing w:after="0" w:line="240" w:lineRule="auto"/>
        <w:ind w:firstLine="480"/>
        <w:textAlignment w:val="auto"/>
        <w:rPr>
          <w:rFonts w:hint="eastAsia" w:ascii="宋体" w:hAnsi="宋体" w:eastAsia="宋体" w:cs="仿宋"/>
          <w:sz w:val="24"/>
          <w:szCs w:val="28"/>
        </w:rPr>
      </w:pPr>
      <w:r>
        <w:rPr>
          <w:rFonts w:hint="eastAsia" w:ascii="宋体" w:hAnsi="宋体" w:eastAsia="宋体" w:cs="仿宋"/>
          <w:sz w:val="24"/>
          <w:szCs w:val="28"/>
        </w:rPr>
        <w:t>3、投标单位应当在投标时根据招标人提供的下述第5点清单，在中标后提供的施工组织中编制专项施工方案。</w:t>
      </w:r>
    </w:p>
    <w:p>
      <w:pPr>
        <w:pStyle w:val="115"/>
        <w:keepNext w:val="0"/>
        <w:keepLines w:val="0"/>
        <w:pageBreakBefore w:val="0"/>
        <w:widowControl/>
        <w:kinsoku/>
        <w:wordWrap/>
        <w:overflowPunct/>
        <w:topLinePunct w:val="0"/>
        <w:autoSpaceDE w:val="0"/>
        <w:autoSpaceDN w:val="0"/>
        <w:bidi w:val="0"/>
        <w:adjustRightInd w:val="0"/>
        <w:snapToGrid w:val="0"/>
        <w:spacing w:after="0" w:line="240" w:lineRule="auto"/>
        <w:ind w:firstLine="480"/>
        <w:textAlignment w:val="auto"/>
        <w:rPr>
          <w:rFonts w:hint="eastAsia" w:ascii="宋体" w:hAnsi="宋体" w:eastAsia="宋体" w:cs="仿宋"/>
          <w:sz w:val="24"/>
          <w:szCs w:val="28"/>
        </w:rPr>
      </w:pPr>
      <w:r>
        <w:rPr>
          <w:rFonts w:hint="eastAsia" w:ascii="宋体" w:hAnsi="宋体" w:eastAsia="宋体" w:cs="仿宋"/>
          <w:sz w:val="24"/>
          <w:szCs w:val="28"/>
        </w:rPr>
        <w:t>4、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pPr>
        <w:pStyle w:val="115"/>
        <w:keepNext w:val="0"/>
        <w:keepLines w:val="0"/>
        <w:pageBreakBefore w:val="0"/>
        <w:widowControl/>
        <w:kinsoku/>
        <w:wordWrap/>
        <w:overflowPunct/>
        <w:topLinePunct w:val="0"/>
        <w:autoSpaceDE w:val="0"/>
        <w:autoSpaceDN w:val="0"/>
        <w:bidi w:val="0"/>
        <w:adjustRightInd w:val="0"/>
        <w:snapToGrid w:val="0"/>
        <w:spacing w:after="0" w:line="240" w:lineRule="auto"/>
        <w:ind w:firstLine="480"/>
        <w:textAlignment w:val="auto"/>
        <w:rPr>
          <w:rFonts w:hint="eastAsia" w:ascii="宋体" w:hAnsi="宋体" w:eastAsia="宋体" w:cs="仿宋"/>
          <w:sz w:val="24"/>
          <w:szCs w:val="28"/>
        </w:rPr>
      </w:pPr>
      <w:r>
        <w:rPr>
          <w:rFonts w:hint="eastAsia" w:ascii="宋体" w:hAnsi="宋体" w:eastAsia="宋体" w:cs="仿宋"/>
          <w:sz w:val="24"/>
          <w:szCs w:val="28"/>
        </w:rPr>
        <w:t>5、危险性较大的分部分项工程清单及超过一定规模的危险性较大的分部分项工程清单：</w:t>
      </w:r>
    </w:p>
    <w:tbl>
      <w:tblPr>
        <w:tblStyle w:val="36"/>
        <w:tblW w:w="85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0"/>
        <w:gridCol w:w="1177"/>
        <w:gridCol w:w="1361"/>
        <w:gridCol w:w="1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70" w:type="dxa"/>
            <w:tcBorders>
              <w:top w:val="single" w:color="auto" w:sz="4" w:space="0"/>
              <w:left w:val="single" w:color="auto" w:sz="4" w:space="0"/>
              <w:bottom w:val="single" w:color="auto" w:sz="4" w:space="0"/>
              <w:right w:val="single" w:color="auto" w:sz="4" w:space="0"/>
            </w:tcBorders>
            <w:vAlign w:val="center"/>
          </w:tcPr>
          <w:p>
            <w:pPr>
              <w:pStyle w:val="115"/>
              <w:autoSpaceDE w:val="0"/>
              <w:autoSpaceDN w:val="0"/>
              <w:spacing w:line="360" w:lineRule="auto"/>
              <w:ind w:firstLine="482"/>
              <w:rPr>
                <w:rFonts w:hint="eastAsia" w:ascii="宋体" w:hAnsi="宋体" w:eastAsia="宋体" w:cs="仿宋"/>
                <w:b/>
                <w:sz w:val="24"/>
              </w:rPr>
            </w:pPr>
            <w:r>
              <w:rPr>
                <w:rFonts w:hint="eastAsia" w:ascii="宋体" w:hAnsi="宋体" w:eastAsia="宋体" w:cs="仿宋"/>
                <w:b/>
                <w:sz w:val="24"/>
              </w:rPr>
              <w:t>一、危险性较大的分部分项工程清单</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sz w:val="24"/>
                <w:szCs w:val="36"/>
              </w:rPr>
            </w:pPr>
            <w:r>
              <w:rPr>
                <w:rFonts w:hint="eastAsia" w:ascii="宋体" w:hAnsi="宋体" w:cs="仿宋"/>
                <w:sz w:val="24"/>
                <w:szCs w:val="36"/>
              </w:rPr>
              <w:t>建设单位</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sz w:val="24"/>
                <w:szCs w:val="36"/>
              </w:rPr>
            </w:pPr>
            <w:r>
              <w:rPr>
                <w:rFonts w:hint="eastAsia" w:ascii="宋体" w:hAnsi="宋体" w:cs="仿宋"/>
                <w:sz w:val="24"/>
                <w:szCs w:val="36"/>
              </w:rPr>
              <w:t>投标单位</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sz w:val="24"/>
                <w:szCs w:val="36"/>
              </w:rPr>
            </w:pPr>
            <w:r>
              <w:rPr>
                <w:rFonts w:hint="eastAsia" w:ascii="宋体" w:hAnsi="宋体" w:cs="仿宋"/>
                <w:sz w:val="24"/>
                <w:szCs w:val="36"/>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jc w:val="left"/>
              <w:rPr>
                <w:rFonts w:hint="eastAsia" w:ascii="宋体" w:hAnsi="宋体" w:cs="仿宋"/>
                <w:sz w:val="24"/>
              </w:rPr>
            </w:pPr>
            <w:r>
              <w:rPr>
                <w:rFonts w:hint="eastAsia" w:ascii="宋体" w:hAnsi="宋体" w:cs="仿宋"/>
                <w:sz w:val="24"/>
              </w:rPr>
              <w:t>一、基坑支护</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w:t>
            </w:r>
            <w:r>
              <w:rPr>
                <w:rFonts w:ascii="宋体" w:hAnsi="宋体" w:cs="仿宋"/>
                <w:sz w:val="24"/>
                <w:szCs w:val="36"/>
              </w:rPr>
              <w:t xml:space="preserve"> </w:t>
            </w:r>
            <w:r>
              <w:rPr>
                <w:rFonts w:hint="eastAsia" w:ascii="宋体" w:hAnsi="宋体" w:cs="仿宋"/>
                <w:sz w:val="24"/>
                <w:szCs w:val="28"/>
              </w:rPr>
              <w:t xml:space="preserve">  </w:t>
            </w:r>
            <w:r>
              <w:rPr>
                <w:rFonts w:hint="eastAsia" w:ascii="宋体" w:hAnsi="宋体" w:cs="仿宋"/>
                <w:sz w:val="24"/>
                <w:szCs w:val="36"/>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jc w:val="left"/>
              <w:rPr>
                <w:rFonts w:hint="eastAsia" w:ascii="宋体" w:hAnsi="宋体" w:cs="仿宋"/>
                <w:sz w:val="24"/>
              </w:rPr>
            </w:pPr>
            <w:r>
              <w:rPr>
                <w:rFonts w:hint="eastAsia" w:ascii="宋体" w:hAnsi="宋体" w:cs="仿宋"/>
                <w:sz w:val="24"/>
              </w:rPr>
              <w:t>（一）开挖深度超过3m（含3m）的基坑（槽）的土方开挖、支护、降水工程。</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w:t>
            </w:r>
            <w:r>
              <w:rPr>
                <w:rFonts w:ascii="宋体" w:hAnsi="宋体" w:cs="仿宋"/>
                <w:sz w:val="24"/>
                <w:szCs w:val="36"/>
              </w:rPr>
              <w:t xml:space="preserve"> </w:t>
            </w:r>
            <w:r>
              <w:rPr>
                <w:rFonts w:hint="eastAsia" w:ascii="宋体" w:hAnsi="宋体" w:cs="仿宋"/>
                <w:sz w:val="24"/>
                <w:szCs w:val="28"/>
              </w:rPr>
              <w:t xml:space="preserve">  </w:t>
            </w:r>
            <w:r>
              <w:rPr>
                <w:rFonts w:hint="eastAsia" w:ascii="宋体" w:hAnsi="宋体" w:cs="仿宋"/>
                <w:sz w:val="24"/>
                <w:szCs w:val="36"/>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jc w:val="left"/>
              <w:rPr>
                <w:rFonts w:hint="eastAsia" w:ascii="宋体" w:hAnsi="宋体" w:cs="仿宋"/>
                <w:sz w:val="24"/>
              </w:rPr>
            </w:pPr>
            <w:r>
              <w:rPr>
                <w:rFonts w:hint="eastAsia" w:ascii="宋体" w:hAnsi="宋体" w:cs="仿宋"/>
                <w:sz w:val="24"/>
              </w:rPr>
              <w:t>（二）开挖深度虽未超过3m，但地质条件、周围环境和地下管线复杂，或影响毗邻建、构筑物安全的基坑（槽）的土方开挖、支护、降水工程。</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宋体" w:hAnsi="宋体" w:cs="仿宋"/>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jc w:val="left"/>
              <w:rPr>
                <w:rFonts w:hint="eastAsia" w:ascii="宋体" w:hAnsi="宋体" w:cs="仿宋"/>
                <w:sz w:val="24"/>
              </w:rPr>
            </w:pPr>
            <w:r>
              <w:rPr>
                <w:rFonts w:hint="eastAsia" w:ascii="宋体" w:hAnsi="宋体" w:cs="仿宋"/>
                <w:sz w:val="24"/>
              </w:rPr>
              <w:t>二、模板工程及支撑体系</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宋体" w:hAnsi="宋体" w:cs="仿宋"/>
                <w:sz w:val="24"/>
                <w:szCs w:val="36"/>
              </w:rPr>
              <w:t xml:space="preserve">( </w:t>
            </w:r>
            <w:r>
              <w:rPr>
                <w:rFonts w:hint="eastAsia" w:ascii="宋体" w:hAnsi="宋体" w:cs="仿宋"/>
                <w:sz w:val="24"/>
                <w:szCs w:val="28"/>
              </w:rPr>
              <w:t xml:space="preserve"> </w:t>
            </w:r>
            <w:r>
              <w:rPr>
                <w:rFonts w:hint="eastAsia" w:ascii="宋体" w:hAnsi="宋体" w:cs="仿宋"/>
                <w:sz w:val="24"/>
                <w:szCs w:val="36"/>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jc w:val="left"/>
              <w:rPr>
                <w:rFonts w:hint="eastAsia" w:ascii="宋体" w:hAnsi="宋体" w:cs="仿宋"/>
                <w:sz w:val="24"/>
              </w:rPr>
            </w:pPr>
            <w:r>
              <w:rPr>
                <w:rFonts w:hint="eastAsia" w:ascii="宋体" w:hAnsi="宋体" w:cs="仿宋"/>
                <w:sz w:val="24"/>
              </w:rPr>
              <w:t>（一）各类工具式模板工程：包括滑模、爬模、飞模、隧道模等工程。</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宋体" w:hAnsi="宋体" w:cs="仿宋"/>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jc w:val="left"/>
              <w:rPr>
                <w:rFonts w:hint="eastAsia" w:ascii="宋体" w:hAnsi="宋体" w:cs="仿宋"/>
                <w:sz w:val="24"/>
              </w:rPr>
            </w:pPr>
            <w:r>
              <w:rPr>
                <w:rFonts w:hint="eastAsia" w:ascii="宋体" w:hAnsi="宋体" w:cs="仿宋"/>
                <w:sz w:val="24"/>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w:t>
            </w:r>
            <w:r>
              <w:rPr>
                <w:rFonts w:ascii="宋体" w:hAnsi="宋体" w:cs="仿宋"/>
                <w:sz w:val="24"/>
                <w:szCs w:val="36"/>
              </w:rPr>
              <w:t xml:space="preserve"> </w:t>
            </w:r>
            <w:r>
              <w:rPr>
                <w:rFonts w:hint="eastAsia" w:ascii="宋体" w:hAnsi="宋体" w:cs="仿宋"/>
                <w:sz w:val="24"/>
                <w:szCs w:val="28"/>
              </w:rPr>
              <w:t xml:space="preserve">√ </w:t>
            </w:r>
            <w:r>
              <w:rPr>
                <w:rFonts w:hint="eastAsia" w:ascii="宋体" w:hAnsi="宋体" w:cs="仿宋"/>
                <w:sz w:val="24"/>
                <w:szCs w:val="36"/>
              </w:rPr>
              <w:t>)</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widowControl/>
              <w:spacing w:line="360" w:lineRule="atLeast"/>
              <w:jc w:val="left"/>
              <w:rPr>
                <w:rFonts w:hint="eastAsia" w:ascii="宋体" w:hAnsi="宋体" w:cs="仿宋"/>
                <w:sz w:val="24"/>
              </w:rPr>
            </w:pPr>
            <w:r>
              <w:rPr>
                <w:rFonts w:hint="eastAsia" w:ascii="宋体" w:hAnsi="宋体" w:cs="仿宋"/>
                <w:sz w:val="24"/>
              </w:rPr>
              <w:t>（三）承重支撑体系：用于钢结构安装等满堂支撑体系。</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宋体" w:hAnsi="宋体" w:cs="仿宋"/>
                <w:sz w:val="24"/>
                <w:szCs w:val="36"/>
              </w:rPr>
              <w:t xml:space="preserve">(  </w:t>
            </w:r>
            <w:r>
              <w:rPr>
                <w:rFonts w:hint="eastAsia" w:ascii="宋体" w:hAnsi="宋体" w:cs="仿宋"/>
                <w:sz w:val="24"/>
                <w:szCs w:val="36"/>
                <w:lang w:val="en-US" w:eastAsia="zh-CN"/>
              </w:rPr>
              <w:t xml:space="preserve"> </w:t>
            </w:r>
            <w:r>
              <w:rPr>
                <w:rFonts w:hint="eastAsia" w:ascii="宋体" w:hAnsi="宋体" w:cs="仿宋"/>
                <w:sz w:val="24"/>
                <w:szCs w:val="36"/>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widowControl/>
              <w:spacing w:line="360" w:lineRule="atLeast"/>
              <w:jc w:val="left"/>
              <w:rPr>
                <w:rFonts w:hint="eastAsia" w:ascii="宋体" w:hAnsi="宋体" w:cs="仿宋"/>
                <w:sz w:val="24"/>
              </w:rPr>
            </w:pPr>
            <w:r>
              <w:rPr>
                <w:rFonts w:hint="eastAsia" w:ascii="宋体" w:hAnsi="宋体" w:cs="仿宋"/>
                <w:sz w:val="24"/>
              </w:rPr>
              <w:t>三、起重吊装及起重机械安装拆卸工程</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宋体" w:hAnsi="宋体" w:cs="仿宋"/>
                <w:sz w:val="24"/>
                <w:szCs w:val="36"/>
              </w:rPr>
              <w:t>(</w:t>
            </w:r>
            <w:r>
              <w:rPr>
                <w:rFonts w:ascii="宋体" w:hAnsi="宋体" w:cs="仿宋"/>
                <w:sz w:val="24"/>
                <w:szCs w:val="36"/>
              </w:rPr>
              <w:t xml:space="preserve"> </w:t>
            </w:r>
            <w:r>
              <w:rPr>
                <w:rFonts w:hint="eastAsia" w:ascii="宋体" w:hAnsi="宋体" w:cs="仿宋"/>
                <w:sz w:val="24"/>
                <w:szCs w:val="28"/>
              </w:rPr>
              <w:t xml:space="preserve">  </w:t>
            </w:r>
            <w:r>
              <w:rPr>
                <w:rFonts w:hint="eastAsia" w:ascii="宋体" w:hAnsi="宋体" w:cs="仿宋"/>
                <w:sz w:val="24"/>
                <w:szCs w:val="36"/>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widowControl/>
              <w:spacing w:line="360" w:lineRule="atLeast"/>
              <w:jc w:val="left"/>
              <w:rPr>
                <w:rFonts w:hint="eastAsia" w:ascii="宋体" w:hAnsi="宋体" w:cs="仿宋"/>
                <w:sz w:val="24"/>
              </w:rPr>
            </w:pPr>
            <w:r>
              <w:rPr>
                <w:rFonts w:hint="eastAsia" w:ascii="宋体" w:hAnsi="宋体" w:cs="仿宋"/>
                <w:sz w:val="24"/>
              </w:rPr>
              <w:t>（一）采用非常规起重设备、方法，且单件起吊重量在10kN及以上的起重吊装工程。</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宋体" w:hAnsi="宋体" w:cs="仿宋"/>
                <w:sz w:val="24"/>
                <w:szCs w:val="36"/>
              </w:rPr>
              <w:t xml:space="preserve">( </w:t>
            </w:r>
            <w:r>
              <w:rPr>
                <w:rFonts w:hint="eastAsia" w:ascii="宋体" w:hAnsi="宋体" w:cs="仿宋"/>
                <w:sz w:val="24"/>
                <w:szCs w:val="28"/>
              </w:rPr>
              <w:t xml:space="preserve"> </w:t>
            </w:r>
            <w:r>
              <w:rPr>
                <w:rFonts w:hint="eastAsia" w:ascii="宋体" w:hAnsi="宋体" w:cs="仿宋"/>
                <w:sz w:val="24"/>
                <w:szCs w:val="36"/>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jc w:val="left"/>
              <w:rPr>
                <w:rFonts w:hint="eastAsia" w:ascii="宋体" w:hAnsi="宋体" w:cs="仿宋"/>
                <w:sz w:val="24"/>
              </w:rPr>
            </w:pPr>
            <w:r>
              <w:rPr>
                <w:rFonts w:hint="eastAsia" w:ascii="宋体" w:hAnsi="宋体" w:cs="仿宋"/>
                <w:sz w:val="24"/>
              </w:rPr>
              <w:t>（二）采用起重机械进行安装的工程。</w:t>
            </w:r>
          </w:p>
        </w:tc>
        <w:tc>
          <w:tcPr>
            <w:tcW w:w="1177" w:type="dxa"/>
            <w:tcBorders>
              <w:top w:val="single" w:color="auto" w:sz="4" w:space="0"/>
              <w:left w:val="single" w:color="auto" w:sz="4" w:space="0"/>
              <w:bottom w:val="single" w:color="auto" w:sz="4" w:space="0"/>
              <w:right w:val="single" w:color="auto" w:sz="4" w:space="0"/>
            </w:tcBorders>
          </w:tcPr>
          <w:p>
            <w:pPr>
              <w:jc w:val="center"/>
            </w:pPr>
            <w:r>
              <w:rPr>
                <w:rFonts w:hint="eastAsia" w:ascii="宋体" w:hAnsi="宋体" w:cs="仿宋"/>
                <w:sz w:val="24"/>
                <w:szCs w:val="36"/>
              </w:rPr>
              <w:t>(</w:t>
            </w:r>
            <w:r>
              <w:rPr>
                <w:rFonts w:hint="eastAsia" w:ascii="宋体" w:hAnsi="宋体" w:cs="仿宋"/>
                <w:sz w:val="24"/>
                <w:szCs w:val="28"/>
              </w:rPr>
              <w:t xml:space="preserve"> √</w:t>
            </w:r>
            <w:r>
              <w:rPr>
                <w:rFonts w:hint="eastAsia" w:ascii="宋体" w:hAnsi="宋体" w:cs="仿宋"/>
                <w:sz w:val="24"/>
                <w:szCs w:val="36"/>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jc w:val="left"/>
              <w:rPr>
                <w:rFonts w:hint="eastAsia" w:ascii="宋体" w:hAnsi="宋体" w:cs="仿宋"/>
                <w:sz w:val="24"/>
              </w:rPr>
            </w:pPr>
            <w:r>
              <w:rPr>
                <w:rFonts w:hint="eastAsia" w:ascii="宋体" w:hAnsi="宋体" w:cs="仿宋"/>
                <w:sz w:val="24"/>
              </w:rPr>
              <w:t>（三）起重机械安装和拆卸工程。</w:t>
            </w:r>
          </w:p>
        </w:tc>
        <w:tc>
          <w:tcPr>
            <w:tcW w:w="1177" w:type="dxa"/>
            <w:tcBorders>
              <w:top w:val="single" w:color="auto" w:sz="4" w:space="0"/>
              <w:left w:val="single" w:color="auto" w:sz="4" w:space="0"/>
              <w:bottom w:val="single" w:color="auto" w:sz="4" w:space="0"/>
              <w:right w:val="single" w:color="auto" w:sz="4" w:space="0"/>
            </w:tcBorders>
          </w:tcPr>
          <w:p>
            <w:pPr>
              <w:jc w:val="center"/>
            </w:pPr>
            <w:r>
              <w:rPr>
                <w:rFonts w:hint="eastAsia" w:ascii="宋体" w:hAnsi="宋体" w:cs="仿宋"/>
                <w:sz w:val="24"/>
                <w:szCs w:val="36"/>
              </w:rPr>
              <w:t>(</w:t>
            </w:r>
            <w:r>
              <w:rPr>
                <w:rFonts w:ascii="宋体" w:hAnsi="宋体" w:cs="仿宋"/>
                <w:sz w:val="24"/>
                <w:szCs w:val="36"/>
              </w:rPr>
              <w:t xml:space="preserve"> </w:t>
            </w:r>
            <w:r>
              <w:rPr>
                <w:rFonts w:hint="eastAsia" w:ascii="宋体" w:hAnsi="宋体" w:cs="仿宋"/>
                <w:sz w:val="24"/>
                <w:szCs w:val="28"/>
              </w:rPr>
              <w:t xml:space="preserve">√ </w:t>
            </w:r>
            <w:r>
              <w:rPr>
                <w:rFonts w:hint="eastAsia" w:ascii="宋体" w:hAnsi="宋体" w:cs="仿宋"/>
                <w:sz w:val="24"/>
                <w:szCs w:val="36"/>
              </w:rPr>
              <w:t>)</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jc w:val="left"/>
              <w:rPr>
                <w:rFonts w:hint="eastAsia" w:ascii="宋体" w:hAnsi="宋体" w:cs="仿宋"/>
                <w:sz w:val="24"/>
              </w:rPr>
            </w:pPr>
            <w:r>
              <w:rPr>
                <w:rFonts w:hint="eastAsia" w:ascii="宋体" w:hAnsi="宋体" w:cs="仿宋"/>
                <w:sz w:val="24"/>
              </w:rPr>
              <w:t>四、脚手架工程</w:t>
            </w:r>
          </w:p>
        </w:tc>
        <w:tc>
          <w:tcPr>
            <w:tcW w:w="1177" w:type="dxa"/>
            <w:tcBorders>
              <w:top w:val="single" w:color="auto" w:sz="4" w:space="0"/>
              <w:left w:val="single" w:color="auto" w:sz="4" w:space="0"/>
              <w:bottom w:val="single" w:color="auto" w:sz="4" w:space="0"/>
              <w:right w:val="single" w:color="auto" w:sz="4" w:space="0"/>
            </w:tcBorders>
          </w:tcPr>
          <w:p>
            <w:pPr>
              <w:jc w:val="center"/>
            </w:pPr>
            <w:r>
              <w:rPr>
                <w:rFonts w:hint="eastAsia" w:ascii="宋体" w:hAnsi="宋体" w:cs="仿宋"/>
                <w:sz w:val="24"/>
                <w:szCs w:val="36"/>
              </w:rPr>
              <w:t xml:space="preserve">( </w:t>
            </w:r>
            <w:r>
              <w:rPr>
                <w:rFonts w:hint="eastAsia" w:ascii="宋体" w:hAnsi="宋体" w:cs="仿宋"/>
                <w:sz w:val="24"/>
                <w:szCs w:val="28"/>
              </w:rPr>
              <w:t xml:space="preserve"> </w:t>
            </w:r>
            <w:r>
              <w:rPr>
                <w:rFonts w:hint="eastAsia" w:ascii="宋体" w:hAnsi="宋体" w:cs="仿宋"/>
                <w:sz w:val="24"/>
                <w:szCs w:val="36"/>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jc w:val="left"/>
              <w:rPr>
                <w:rFonts w:hint="eastAsia" w:ascii="宋体" w:hAnsi="宋体" w:cs="仿宋"/>
                <w:sz w:val="24"/>
              </w:rPr>
            </w:pPr>
            <w:r>
              <w:rPr>
                <w:rFonts w:hint="eastAsia" w:ascii="宋体" w:hAnsi="宋体" w:cs="仿宋"/>
                <w:sz w:val="24"/>
              </w:rPr>
              <w:t>（一）搭设高度24m及以上的落地式钢管脚手架工程（包括采光井、电梯井脚手架）。</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xml:space="preserve">( </w:t>
            </w:r>
            <w:r>
              <w:rPr>
                <w:rFonts w:hint="eastAsia" w:ascii="宋体" w:hAnsi="宋体" w:cs="仿宋"/>
                <w:sz w:val="24"/>
                <w:szCs w:val="28"/>
              </w:rPr>
              <w:t xml:space="preserve"> </w:t>
            </w:r>
            <w:r>
              <w:rPr>
                <w:rFonts w:ascii="宋体" w:hAnsi="宋体" w:cs="仿宋"/>
                <w:sz w:val="24"/>
                <w:szCs w:val="36"/>
              </w:rPr>
              <w:t xml:space="preserve"> </w:t>
            </w:r>
            <w:r>
              <w:rPr>
                <w:rFonts w:hint="eastAsia" w:ascii="宋体" w:hAnsi="宋体" w:cs="仿宋"/>
                <w:sz w:val="24"/>
                <w:szCs w:val="36"/>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jc w:val="left"/>
              <w:rPr>
                <w:rFonts w:hint="eastAsia" w:ascii="宋体" w:hAnsi="宋体" w:cs="仿宋"/>
                <w:sz w:val="24"/>
              </w:rPr>
            </w:pPr>
            <w:r>
              <w:rPr>
                <w:rFonts w:hint="eastAsia" w:ascii="宋体" w:hAnsi="宋体" w:cs="仿宋"/>
                <w:sz w:val="24"/>
              </w:rPr>
              <w:t>（二）附着式升降脚手架工程。</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w:t>
            </w:r>
            <w:r>
              <w:rPr>
                <w:rFonts w:ascii="宋体" w:hAnsi="宋体" w:cs="仿宋"/>
                <w:sz w:val="24"/>
                <w:szCs w:val="36"/>
              </w:rPr>
              <w:t xml:space="preserve"> </w:t>
            </w:r>
            <w:r>
              <w:rPr>
                <w:rFonts w:hint="eastAsia" w:ascii="宋体" w:hAnsi="宋体" w:cs="仿宋"/>
                <w:sz w:val="24"/>
                <w:szCs w:val="28"/>
              </w:rPr>
              <w:t xml:space="preserve">  </w:t>
            </w:r>
            <w:r>
              <w:rPr>
                <w:rFonts w:hint="eastAsia" w:ascii="宋体" w:hAnsi="宋体" w:cs="仿宋"/>
                <w:sz w:val="24"/>
                <w:szCs w:val="36"/>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jc w:val="left"/>
              <w:rPr>
                <w:rFonts w:hint="eastAsia" w:ascii="宋体" w:hAnsi="宋体" w:cs="仿宋"/>
                <w:sz w:val="24"/>
              </w:rPr>
            </w:pPr>
            <w:r>
              <w:rPr>
                <w:rFonts w:hint="eastAsia" w:ascii="宋体" w:hAnsi="宋体" w:cs="仿宋"/>
                <w:sz w:val="24"/>
              </w:rPr>
              <w:t>（三）悬挑式脚手架工程。</w:t>
            </w:r>
          </w:p>
        </w:tc>
        <w:tc>
          <w:tcPr>
            <w:tcW w:w="1177" w:type="dxa"/>
            <w:tcBorders>
              <w:top w:val="single" w:color="auto" w:sz="4" w:space="0"/>
              <w:left w:val="single" w:color="auto" w:sz="4" w:space="0"/>
              <w:bottom w:val="single" w:color="auto" w:sz="4" w:space="0"/>
              <w:right w:val="single" w:color="auto" w:sz="4" w:space="0"/>
            </w:tcBorders>
          </w:tcPr>
          <w:p>
            <w:pPr>
              <w:jc w:val="center"/>
            </w:pPr>
            <w:r>
              <w:rPr>
                <w:rFonts w:hint="eastAsia" w:ascii="宋体" w:hAnsi="宋体" w:cs="仿宋"/>
                <w:sz w:val="24"/>
                <w:szCs w:val="36"/>
              </w:rPr>
              <w:t xml:space="preserve">( </w:t>
            </w:r>
            <w:r>
              <w:rPr>
                <w:rFonts w:hint="eastAsia" w:ascii="宋体" w:hAnsi="宋体" w:cs="仿宋"/>
                <w:sz w:val="24"/>
                <w:szCs w:val="28"/>
              </w:rPr>
              <w:t xml:space="preserve"> </w:t>
            </w:r>
            <w:r>
              <w:rPr>
                <w:rFonts w:hint="eastAsia" w:ascii="宋体" w:hAnsi="宋体" w:cs="仿宋"/>
                <w:sz w:val="24"/>
                <w:szCs w:val="36"/>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jc w:val="left"/>
              <w:rPr>
                <w:rFonts w:hint="eastAsia" w:ascii="宋体" w:hAnsi="宋体" w:cs="仿宋"/>
                <w:sz w:val="24"/>
              </w:rPr>
            </w:pPr>
            <w:r>
              <w:rPr>
                <w:rFonts w:hint="eastAsia" w:ascii="宋体" w:hAnsi="宋体" w:cs="仿宋"/>
                <w:sz w:val="24"/>
              </w:rPr>
              <w:t>（四）高处作业吊篮。</w:t>
            </w:r>
          </w:p>
        </w:tc>
        <w:tc>
          <w:tcPr>
            <w:tcW w:w="1177" w:type="dxa"/>
            <w:tcBorders>
              <w:top w:val="single" w:color="auto" w:sz="4" w:space="0"/>
              <w:left w:val="single" w:color="auto" w:sz="4" w:space="0"/>
              <w:bottom w:val="single" w:color="auto" w:sz="4" w:space="0"/>
              <w:right w:val="single" w:color="auto" w:sz="4" w:space="0"/>
            </w:tcBorders>
          </w:tcPr>
          <w:p>
            <w:pPr>
              <w:jc w:val="center"/>
            </w:pPr>
            <w:r>
              <w:rPr>
                <w:rFonts w:hint="eastAsia" w:ascii="宋体" w:hAnsi="宋体" w:cs="仿宋"/>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4970" w:type="dxa"/>
            <w:tcBorders>
              <w:top w:val="single" w:color="auto" w:sz="4" w:space="0"/>
              <w:left w:val="single" w:color="auto" w:sz="4" w:space="0"/>
              <w:bottom w:val="single" w:color="auto" w:sz="4" w:space="0"/>
              <w:right w:val="single" w:color="auto" w:sz="4" w:space="0"/>
            </w:tcBorders>
          </w:tcPr>
          <w:p>
            <w:pPr>
              <w:jc w:val="left"/>
              <w:rPr>
                <w:rFonts w:hint="eastAsia" w:ascii="宋体" w:hAnsi="宋体" w:cs="仿宋"/>
                <w:sz w:val="24"/>
              </w:rPr>
            </w:pPr>
            <w:r>
              <w:rPr>
                <w:rFonts w:hint="eastAsia" w:ascii="宋体" w:hAnsi="宋体" w:cs="仿宋"/>
                <w:sz w:val="24"/>
              </w:rPr>
              <w:t>（五）卸料平台、操作平台工程。</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sz w:val="24"/>
                <w:szCs w:val="36"/>
              </w:rPr>
            </w:pPr>
            <w:r>
              <w:rPr>
                <w:rFonts w:hint="eastAsia" w:ascii="宋体" w:hAnsi="宋体" w:cs="仿宋"/>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jc w:val="left"/>
              <w:rPr>
                <w:rFonts w:hint="eastAsia" w:ascii="宋体" w:hAnsi="宋体" w:cs="仿宋"/>
                <w:sz w:val="24"/>
              </w:rPr>
            </w:pPr>
            <w:r>
              <w:rPr>
                <w:rFonts w:hint="eastAsia" w:ascii="宋体" w:hAnsi="宋体" w:cs="仿宋"/>
                <w:sz w:val="24"/>
              </w:rPr>
              <w:t>（六）异型脚手架工程。</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jc w:val="left"/>
              <w:rPr>
                <w:rFonts w:hint="eastAsia" w:ascii="宋体" w:hAnsi="宋体" w:cs="仿宋"/>
                <w:sz w:val="24"/>
              </w:rPr>
            </w:pPr>
            <w:r>
              <w:rPr>
                <w:rFonts w:hint="eastAsia" w:ascii="宋体" w:hAnsi="宋体" w:cs="仿宋"/>
                <w:sz w:val="24"/>
              </w:rPr>
              <w:t>五、拆除工程</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jc w:val="left"/>
              <w:rPr>
                <w:rFonts w:hint="eastAsia" w:ascii="宋体" w:hAnsi="宋体" w:cs="仿宋"/>
                <w:sz w:val="24"/>
              </w:rPr>
            </w:pPr>
            <w:r>
              <w:rPr>
                <w:rFonts w:hint="eastAsia" w:ascii="宋体" w:hAnsi="宋体" w:cs="仿宋"/>
                <w:sz w:val="24"/>
              </w:rPr>
              <w:t>可能影响行人、交通、电力设施、通讯设施或其它建、构筑物安全的拆除工程。</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xml:space="preserve">( </w:t>
            </w:r>
            <w:r>
              <w:rPr>
                <w:rFonts w:hint="eastAsia" w:ascii="宋体" w:hAnsi="宋体" w:cs="仿宋"/>
                <w:sz w:val="24"/>
                <w:szCs w:val="28"/>
              </w:rPr>
              <w:t xml:space="preserve">   </w:t>
            </w:r>
            <w:r>
              <w:rPr>
                <w:rFonts w:hint="eastAsia" w:ascii="宋体" w:hAnsi="宋体" w:cs="仿宋"/>
                <w:sz w:val="24"/>
                <w:szCs w:val="36"/>
              </w:rPr>
              <w:t>)</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jc w:val="left"/>
              <w:rPr>
                <w:rFonts w:hint="eastAsia" w:ascii="宋体" w:hAnsi="宋体" w:cs="仿宋"/>
                <w:sz w:val="24"/>
              </w:rPr>
            </w:pPr>
            <w:r>
              <w:rPr>
                <w:rFonts w:hint="eastAsia" w:ascii="宋体" w:hAnsi="宋体" w:cs="仿宋"/>
                <w:sz w:val="24"/>
              </w:rPr>
              <w:t>六、暗挖工程</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jc w:val="left"/>
              <w:rPr>
                <w:rFonts w:hint="eastAsia" w:ascii="宋体" w:hAnsi="宋体" w:cs="仿宋"/>
                <w:sz w:val="24"/>
              </w:rPr>
            </w:pPr>
            <w:r>
              <w:rPr>
                <w:rFonts w:hint="eastAsia" w:ascii="宋体" w:hAnsi="宋体" w:cs="仿宋"/>
                <w:sz w:val="24"/>
              </w:rPr>
              <w:t>采用矿山法、盾构法、顶管法施工的隧道、洞室工程。</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jc w:val="left"/>
              <w:rPr>
                <w:rFonts w:hint="eastAsia" w:ascii="宋体" w:hAnsi="宋体" w:cs="仿宋"/>
                <w:sz w:val="24"/>
              </w:rPr>
            </w:pPr>
            <w:r>
              <w:rPr>
                <w:rFonts w:hint="eastAsia" w:ascii="宋体" w:hAnsi="宋体" w:cs="仿宋"/>
                <w:sz w:val="24"/>
              </w:rPr>
              <w:t>七、其它</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jc w:val="left"/>
              <w:rPr>
                <w:rFonts w:hint="eastAsia" w:ascii="宋体" w:hAnsi="宋体" w:cs="仿宋"/>
                <w:sz w:val="24"/>
              </w:rPr>
            </w:pPr>
            <w:r>
              <w:rPr>
                <w:rFonts w:hint="eastAsia" w:ascii="宋体" w:hAnsi="宋体" w:cs="仿宋"/>
                <w:sz w:val="24"/>
              </w:rPr>
              <w:t>（一）建筑幕墙安装工程。</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w:t>
            </w:r>
            <w:r>
              <w:rPr>
                <w:rFonts w:ascii="宋体" w:hAnsi="宋体" w:cs="仿宋"/>
                <w:sz w:val="24"/>
                <w:szCs w:val="36"/>
              </w:rPr>
              <w:t xml:space="preserve"> </w:t>
            </w:r>
            <w:r>
              <w:rPr>
                <w:rFonts w:hint="eastAsia" w:ascii="宋体" w:hAnsi="宋体" w:cs="仿宋"/>
                <w:sz w:val="24"/>
                <w:szCs w:val="28"/>
              </w:rPr>
              <w:t xml:space="preserve">  </w:t>
            </w:r>
            <w:r>
              <w:rPr>
                <w:rFonts w:hint="eastAsia" w:ascii="宋体" w:hAnsi="宋体" w:cs="仿宋"/>
                <w:sz w:val="24"/>
                <w:szCs w:val="36"/>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jc w:val="left"/>
              <w:rPr>
                <w:rFonts w:hint="eastAsia" w:ascii="宋体" w:hAnsi="宋体" w:cs="仿宋"/>
                <w:sz w:val="24"/>
              </w:rPr>
            </w:pPr>
            <w:r>
              <w:rPr>
                <w:rFonts w:hint="eastAsia" w:ascii="宋体" w:hAnsi="宋体" w:cs="仿宋"/>
                <w:sz w:val="24"/>
              </w:rPr>
              <w:t>（二）钢结构、网架和索膜结构安装工程。</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w:t>
            </w:r>
            <w:r>
              <w:rPr>
                <w:rFonts w:ascii="宋体" w:hAnsi="宋体" w:cs="仿宋"/>
                <w:sz w:val="24"/>
                <w:szCs w:val="36"/>
              </w:rPr>
              <w:t xml:space="preserve"> </w:t>
            </w:r>
            <w:r>
              <w:rPr>
                <w:rFonts w:hint="eastAsia" w:ascii="宋体" w:hAnsi="宋体" w:cs="仿宋"/>
                <w:sz w:val="24"/>
                <w:szCs w:val="28"/>
              </w:rPr>
              <w:t xml:space="preserve">  </w:t>
            </w:r>
            <w:r>
              <w:rPr>
                <w:rFonts w:hint="eastAsia" w:ascii="宋体" w:hAnsi="宋体" w:cs="仿宋"/>
                <w:sz w:val="24"/>
                <w:szCs w:val="36"/>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jc w:val="left"/>
              <w:rPr>
                <w:rFonts w:hint="eastAsia" w:ascii="宋体" w:hAnsi="宋体" w:cs="仿宋"/>
                <w:sz w:val="24"/>
              </w:rPr>
            </w:pPr>
            <w:r>
              <w:rPr>
                <w:rFonts w:hint="eastAsia" w:ascii="宋体" w:hAnsi="宋体" w:cs="仿宋"/>
                <w:sz w:val="24"/>
              </w:rPr>
              <w:t>（三）人工挖孔桩工程。</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jc w:val="left"/>
              <w:rPr>
                <w:rFonts w:hint="eastAsia" w:ascii="宋体" w:hAnsi="宋体" w:cs="仿宋"/>
                <w:sz w:val="24"/>
              </w:rPr>
            </w:pPr>
            <w:r>
              <w:rPr>
                <w:rFonts w:hint="eastAsia" w:ascii="宋体" w:hAnsi="宋体" w:cs="仿宋"/>
                <w:sz w:val="24"/>
              </w:rPr>
              <w:t>（四）水下作业工程。</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jc w:val="left"/>
              <w:rPr>
                <w:rFonts w:hint="eastAsia" w:ascii="宋体" w:hAnsi="宋体" w:cs="仿宋"/>
                <w:sz w:val="24"/>
              </w:rPr>
            </w:pPr>
            <w:r>
              <w:rPr>
                <w:rFonts w:hint="eastAsia" w:ascii="宋体" w:hAnsi="宋体" w:cs="仿宋"/>
                <w:sz w:val="24"/>
              </w:rPr>
              <w:t>（五）装配式建筑混凝土预制构件安装工程。</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jc w:val="left"/>
              <w:rPr>
                <w:rFonts w:hint="eastAsia" w:ascii="宋体" w:hAnsi="宋体" w:cs="仿宋"/>
                <w:sz w:val="24"/>
              </w:rPr>
            </w:pPr>
            <w:r>
              <w:rPr>
                <w:rFonts w:hint="eastAsia" w:ascii="宋体" w:hAnsi="宋体" w:cs="仿宋"/>
                <w:sz w:val="24"/>
              </w:rPr>
              <w:t>（六）采用新技术、新工艺、新材料、新设备可能影响工程施工安全，尚无国家、行业及地方技术标准的分部分项工程。</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vAlign w:val="center"/>
          </w:tcPr>
          <w:p>
            <w:pPr>
              <w:widowControl/>
              <w:spacing w:line="360" w:lineRule="atLeast"/>
              <w:rPr>
                <w:rFonts w:hint="eastAsia" w:ascii="宋体" w:hAnsi="宋体" w:cs="仿宋"/>
                <w:b/>
                <w:sz w:val="24"/>
              </w:rPr>
            </w:pPr>
            <w:r>
              <w:rPr>
                <w:rFonts w:hint="eastAsia" w:ascii="宋体" w:hAnsi="宋体" w:cs="仿宋"/>
                <w:b/>
                <w:bCs/>
                <w:sz w:val="24"/>
              </w:rPr>
              <w:t>二、超过一定规模的危险性较大的分部分项工程清单</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jc w:val="left"/>
              <w:rPr>
                <w:rFonts w:hint="eastAsia" w:ascii="宋体" w:hAnsi="宋体" w:cs="仿宋"/>
                <w:sz w:val="24"/>
              </w:rPr>
            </w:pPr>
            <w:r>
              <w:rPr>
                <w:rFonts w:hint="eastAsia" w:ascii="宋体" w:hAnsi="宋体" w:cs="仿宋"/>
                <w:sz w:val="24"/>
              </w:rPr>
              <w:t>一、深基坑工程</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w:t>
            </w:r>
            <w:r>
              <w:rPr>
                <w:rFonts w:ascii="宋体" w:hAnsi="宋体" w:cs="仿宋"/>
                <w:sz w:val="24"/>
                <w:szCs w:val="36"/>
              </w:rPr>
              <w:t xml:space="preserve"> </w:t>
            </w:r>
            <w:r>
              <w:rPr>
                <w:rFonts w:hint="eastAsia" w:ascii="宋体" w:hAnsi="宋体" w:cs="仿宋"/>
                <w:sz w:val="24"/>
                <w:szCs w:val="28"/>
              </w:rPr>
              <w:t xml:space="preserve">  </w:t>
            </w:r>
            <w:r>
              <w:rPr>
                <w:rFonts w:hint="eastAsia" w:ascii="宋体" w:hAnsi="宋体" w:cs="仿宋"/>
                <w:sz w:val="24"/>
                <w:szCs w:val="36"/>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jc w:val="left"/>
              <w:rPr>
                <w:rFonts w:hint="eastAsia" w:ascii="宋体" w:hAnsi="宋体" w:cs="仿宋"/>
                <w:sz w:val="24"/>
              </w:rPr>
            </w:pPr>
            <w:r>
              <w:rPr>
                <w:rFonts w:hint="eastAsia" w:ascii="宋体" w:hAnsi="宋体" w:cs="仿宋"/>
                <w:sz w:val="24"/>
              </w:rPr>
              <w:t>开挖深度超过5m（含5m）的基坑（槽）的土方开挖、支护、降水工程。</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w:t>
            </w:r>
            <w:r>
              <w:rPr>
                <w:rFonts w:ascii="宋体" w:hAnsi="宋体" w:cs="仿宋"/>
                <w:sz w:val="24"/>
                <w:szCs w:val="36"/>
              </w:rPr>
              <w:t xml:space="preserve"> </w:t>
            </w:r>
            <w:r>
              <w:rPr>
                <w:rFonts w:hint="eastAsia" w:ascii="宋体" w:hAnsi="宋体" w:cs="仿宋"/>
                <w:sz w:val="24"/>
                <w:szCs w:val="28"/>
              </w:rPr>
              <w:t xml:space="preserve">  </w:t>
            </w:r>
            <w:r>
              <w:rPr>
                <w:rFonts w:hint="eastAsia" w:ascii="宋体" w:hAnsi="宋体" w:cs="仿宋"/>
                <w:sz w:val="24"/>
                <w:szCs w:val="36"/>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jc w:val="left"/>
              <w:rPr>
                <w:rFonts w:hint="eastAsia" w:ascii="宋体" w:hAnsi="宋体" w:cs="仿宋"/>
                <w:sz w:val="24"/>
              </w:rPr>
            </w:pPr>
            <w:r>
              <w:rPr>
                <w:rFonts w:hint="eastAsia" w:ascii="宋体" w:hAnsi="宋体" w:cs="仿宋"/>
                <w:sz w:val="24"/>
              </w:rPr>
              <w:t>二、模板工程及支撑体系</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w:t>
            </w:r>
            <w:r>
              <w:rPr>
                <w:rFonts w:ascii="宋体" w:hAnsi="宋体" w:cs="仿宋"/>
                <w:sz w:val="24"/>
                <w:szCs w:val="36"/>
              </w:rPr>
              <w:t xml:space="preserve"> </w:t>
            </w:r>
            <w:r>
              <w:rPr>
                <w:rFonts w:hint="eastAsia" w:ascii="宋体" w:hAnsi="宋体" w:cs="仿宋"/>
                <w:sz w:val="24"/>
                <w:szCs w:val="28"/>
              </w:rPr>
              <w:t xml:space="preserve"> </w:t>
            </w:r>
            <w:r>
              <w:rPr>
                <w:rFonts w:hint="eastAsia" w:ascii="宋体" w:hAnsi="宋体" w:cs="仿宋"/>
                <w:sz w:val="24"/>
                <w:szCs w:val="36"/>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jc w:val="left"/>
              <w:rPr>
                <w:rFonts w:hint="eastAsia" w:ascii="宋体" w:hAnsi="宋体" w:cs="仿宋"/>
                <w:sz w:val="24"/>
              </w:rPr>
            </w:pPr>
            <w:r>
              <w:rPr>
                <w:rFonts w:hint="eastAsia" w:ascii="宋体" w:hAnsi="宋体" w:cs="仿宋"/>
                <w:sz w:val="24"/>
              </w:rPr>
              <w:t>（一）各类工具式模板工程：包括滑模、爬模、飞模、隧道模等工程。</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jc w:val="left"/>
              <w:rPr>
                <w:rFonts w:hint="eastAsia" w:ascii="宋体" w:hAnsi="宋体" w:cs="仿宋"/>
                <w:sz w:val="24"/>
              </w:rPr>
            </w:pPr>
            <w:r>
              <w:rPr>
                <w:rFonts w:hint="eastAsia" w:ascii="宋体" w:hAnsi="宋体" w:cs="仿宋"/>
                <w:sz w:val="24"/>
              </w:rPr>
              <w:t>（二）混凝土模板支撑工程：搭设高度8m及以上，或搭设跨度18m及以上，或施工总荷载（设计值）15kN/m2及以上，或集中线荷载（设计值）20kN/m及以上。</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w:t>
            </w:r>
            <w:r>
              <w:rPr>
                <w:rFonts w:ascii="宋体" w:hAnsi="宋体" w:cs="仿宋"/>
                <w:sz w:val="24"/>
                <w:szCs w:val="36"/>
              </w:rPr>
              <w:t xml:space="preserve"> </w:t>
            </w:r>
            <w:r>
              <w:rPr>
                <w:rFonts w:hint="eastAsia" w:ascii="宋体" w:hAnsi="宋体" w:cs="仿宋"/>
                <w:sz w:val="24"/>
                <w:szCs w:val="28"/>
              </w:rPr>
              <w:t xml:space="preserve">  </w:t>
            </w:r>
            <w:r>
              <w:rPr>
                <w:rFonts w:hint="eastAsia" w:ascii="宋体" w:hAnsi="宋体" w:cs="仿宋"/>
                <w:sz w:val="24"/>
                <w:szCs w:val="36"/>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jc w:val="left"/>
              <w:rPr>
                <w:rFonts w:hint="eastAsia" w:ascii="宋体" w:hAnsi="宋体" w:cs="仿宋"/>
                <w:sz w:val="24"/>
              </w:rPr>
            </w:pPr>
            <w:r>
              <w:rPr>
                <w:rFonts w:hint="eastAsia" w:ascii="宋体" w:hAnsi="宋体" w:cs="仿宋"/>
                <w:sz w:val="24"/>
              </w:rPr>
              <w:t>（三）承重支撑体系：用于钢结构安装等满堂支撑体系，承受单点集中荷载7kN及以上。</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jc w:val="left"/>
              <w:rPr>
                <w:rFonts w:hint="eastAsia" w:ascii="宋体" w:hAnsi="宋体" w:cs="仿宋"/>
                <w:sz w:val="24"/>
              </w:rPr>
            </w:pPr>
            <w:r>
              <w:rPr>
                <w:rFonts w:hint="eastAsia" w:ascii="宋体" w:hAnsi="宋体" w:cs="仿宋"/>
                <w:sz w:val="24"/>
              </w:rPr>
              <w:t>三、起重吊装及起重机械安装拆卸工程</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jc w:val="left"/>
              <w:rPr>
                <w:rFonts w:hint="eastAsia" w:ascii="宋体" w:hAnsi="宋体" w:cs="仿宋"/>
                <w:sz w:val="24"/>
              </w:rPr>
            </w:pPr>
            <w:r>
              <w:rPr>
                <w:rFonts w:hint="eastAsia" w:ascii="宋体" w:hAnsi="宋体" w:cs="仿宋"/>
                <w:sz w:val="24"/>
              </w:rPr>
              <w:t>（一）采用非常规起重设备、方法，且单件起吊重量在100kN及以上的起重吊装工程。</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w:t>
            </w:r>
            <w:r>
              <w:rPr>
                <w:rFonts w:ascii="宋体" w:hAnsi="宋体" w:cs="仿宋"/>
                <w:sz w:val="24"/>
                <w:szCs w:val="36"/>
              </w:rPr>
              <w:t xml:space="preserve"> </w:t>
            </w:r>
            <w:r>
              <w:rPr>
                <w:rFonts w:hint="eastAsia" w:ascii="宋体" w:hAnsi="宋体" w:cs="仿宋"/>
                <w:sz w:val="24"/>
                <w:szCs w:val="28"/>
              </w:rPr>
              <w:t xml:space="preserve">  </w:t>
            </w:r>
            <w:r>
              <w:rPr>
                <w:rFonts w:hint="eastAsia" w:ascii="宋体" w:hAnsi="宋体" w:cs="仿宋"/>
                <w:sz w:val="24"/>
                <w:szCs w:val="36"/>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jc w:val="left"/>
              <w:rPr>
                <w:rFonts w:hint="eastAsia" w:ascii="宋体" w:hAnsi="宋体" w:cs="仿宋"/>
                <w:sz w:val="24"/>
              </w:rPr>
            </w:pPr>
            <w:r>
              <w:rPr>
                <w:rFonts w:hint="eastAsia" w:ascii="宋体" w:hAnsi="宋体" w:cs="仿宋"/>
                <w:sz w:val="24"/>
              </w:rPr>
              <w:t>（二）起重量300kN及以上，或搭设总高度200m及以上，或搭设基础标高在200m及以上的起重机械安装和拆卸工程。</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w:t>
            </w:r>
            <w:r>
              <w:rPr>
                <w:rFonts w:ascii="宋体" w:hAnsi="宋体" w:cs="仿宋"/>
                <w:sz w:val="24"/>
                <w:szCs w:val="36"/>
              </w:rPr>
              <w:t xml:space="preserve"> </w:t>
            </w:r>
            <w:r>
              <w:rPr>
                <w:rFonts w:hint="eastAsia" w:ascii="宋体" w:hAnsi="宋体" w:cs="仿宋"/>
                <w:sz w:val="24"/>
                <w:szCs w:val="28"/>
              </w:rPr>
              <w:t xml:space="preserve">  </w:t>
            </w:r>
            <w:r>
              <w:rPr>
                <w:rFonts w:hint="eastAsia" w:ascii="宋体" w:hAnsi="宋体" w:cs="仿宋"/>
                <w:sz w:val="24"/>
                <w:szCs w:val="36"/>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jc w:val="left"/>
              <w:rPr>
                <w:rFonts w:hint="eastAsia" w:ascii="宋体" w:hAnsi="宋体" w:cs="仿宋"/>
                <w:sz w:val="24"/>
              </w:rPr>
            </w:pPr>
            <w:r>
              <w:rPr>
                <w:rFonts w:hint="eastAsia" w:ascii="宋体" w:hAnsi="宋体" w:cs="仿宋"/>
                <w:sz w:val="24"/>
              </w:rPr>
              <w:t>四、脚手架工程</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jc w:val="left"/>
              <w:rPr>
                <w:rFonts w:hint="eastAsia" w:ascii="宋体" w:hAnsi="宋体" w:cs="仿宋"/>
                <w:sz w:val="24"/>
              </w:rPr>
            </w:pPr>
            <w:r>
              <w:rPr>
                <w:rFonts w:hint="eastAsia" w:ascii="宋体" w:hAnsi="宋体" w:cs="仿宋"/>
                <w:sz w:val="24"/>
              </w:rPr>
              <w:t>（一）搭设高度50m及以上的落地式钢管脚手架工程。</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jc w:val="left"/>
              <w:rPr>
                <w:rFonts w:hint="eastAsia" w:ascii="宋体" w:hAnsi="宋体" w:cs="仿宋"/>
                <w:sz w:val="24"/>
              </w:rPr>
            </w:pPr>
            <w:r>
              <w:rPr>
                <w:rFonts w:hint="eastAsia" w:ascii="宋体" w:hAnsi="宋体" w:cs="仿宋"/>
                <w:sz w:val="24"/>
              </w:rPr>
              <w:t>（二）提升高度在150m及以上的附着式升降脚手架工程或附着式升降操作平台工程。</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jc w:val="left"/>
              <w:rPr>
                <w:rFonts w:hint="eastAsia" w:ascii="宋体" w:hAnsi="宋体" w:cs="仿宋"/>
                <w:sz w:val="24"/>
              </w:rPr>
            </w:pPr>
            <w:r>
              <w:rPr>
                <w:rFonts w:hint="eastAsia" w:ascii="宋体" w:hAnsi="宋体" w:cs="仿宋"/>
                <w:sz w:val="24"/>
              </w:rPr>
              <w:t>（三）分段架体搭设高度20m及以上的悬挑式脚手架工程。</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jc w:val="left"/>
              <w:rPr>
                <w:rFonts w:hint="eastAsia" w:ascii="宋体" w:hAnsi="宋体" w:cs="仿宋"/>
                <w:sz w:val="24"/>
              </w:rPr>
            </w:pPr>
            <w:r>
              <w:rPr>
                <w:rFonts w:hint="eastAsia" w:ascii="宋体" w:hAnsi="宋体" w:cs="仿宋"/>
                <w:sz w:val="24"/>
              </w:rPr>
              <w:t>五、拆除工程</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sz w:val="24"/>
                <w:szCs w:val="36"/>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jc w:val="left"/>
              <w:rPr>
                <w:rFonts w:hint="eastAsia" w:ascii="宋体" w:hAnsi="宋体" w:cs="仿宋"/>
                <w:sz w:val="24"/>
              </w:rPr>
            </w:pPr>
            <w:r>
              <w:rPr>
                <w:rFonts w:hint="eastAsia" w:ascii="宋体" w:hAnsi="宋体" w:cs="仿宋"/>
                <w:sz w:val="24"/>
              </w:rPr>
              <w:t>（一）码头、桥梁、高架、烟囱、水塔或拆除中容易引起有毒有害气（液）体或粉尘扩散、易燃易爆事故发生的特殊建、构筑物的拆除工程。</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jc w:val="left"/>
              <w:rPr>
                <w:rFonts w:hint="eastAsia" w:ascii="宋体" w:hAnsi="宋体" w:cs="仿宋"/>
                <w:sz w:val="24"/>
              </w:rPr>
            </w:pPr>
            <w:r>
              <w:rPr>
                <w:rFonts w:hint="eastAsia" w:ascii="宋体" w:hAnsi="宋体" w:cs="仿宋"/>
                <w:sz w:val="24"/>
              </w:rPr>
              <w:t>（二）文物保护建筑、优秀历史建筑或历史文化风貌区影响范围内的拆除工程。</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sz w:val="24"/>
                <w:szCs w:val="36"/>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jc w:val="left"/>
              <w:rPr>
                <w:rFonts w:hint="eastAsia" w:ascii="宋体" w:hAnsi="宋体" w:cs="仿宋"/>
                <w:sz w:val="24"/>
              </w:rPr>
            </w:pPr>
            <w:r>
              <w:rPr>
                <w:rFonts w:hint="eastAsia" w:ascii="宋体" w:hAnsi="宋体" w:cs="仿宋"/>
                <w:sz w:val="24"/>
              </w:rPr>
              <w:t>六、暗挖工程</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jc w:val="left"/>
              <w:rPr>
                <w:rFonts w:hint="eastAsia" w:ascii="宋体" w:hAnsi="宋体" w:cs="仿宋"/>
                <w:sz w:val="24"/>
              </w:rPr>
            </w:pPr>
            <w:r>
              <w:rPr>
                <w:rFonts w:hint="eastAsia" w:ascii="宋体" w:hAnsi="宋体" w:cs="仿宋"/>
                <w:sz w:val="24"/>
              </w:rPr>
              <w:t>采用矿山法、盾构法、顶管法施工的隧道、洞室工程。</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jc w:val="left"/>
              <w:rPr>
                <w:rFonts w:hint="eastAsia" w:ascii="宋体" w:hAnsi="宋体" w:cs="仿宋"/>
                <w:sz w:val="24"/>
              </w:rPr>
            </w:pPr>
            <w:r>
              <w:rPr>
                <w:rFonts w:hint="eastAsia" w:ascii="宋体" w:hAnsi="宋体" w:cs="仿宋"/>
                <w:sz w:val="24"/>
              </w:rPr>
              <w:t>七、其它</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jc w:val="left"/>
              <w:rPr>
                <w:rFonts w:hint="eastAsia" w:ascii="宋体" w:hAnsi="宋体" w:cs="仿宋"/>
                <w:sz w:val="24"/>
              </w:rPr>
            </w:pPr>
            <w:r>
              <w:rPr>
                <w:rFonts w:hint="eastAsia" w:ascii="宋体" w:hAnsi="宋体" w:cs="仿宋"/>
                <w:sz w:val="24"/>
              </w:rPr>
              <w:t>（一）施工高度50m及以上的建筑幕墙安装工程。</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jc w:val="left"/>
              <w:rPr>
                <w:rFonts w:hint="eastAsia" w:ascii="宋体" w:hAnsi="宋体" w:cs="仿宋"/>
                <w:sz w:val="24"/>
              </w:rPr>
            </w:pPr>
            <w:r>
              <w:rPr>
                <w:rFonts w:hint="eastAsia" w:ascii="宋体" w:hAnsi="宋体" w:cs="仿宋"/>
                <w:sz w:val="24"/>
              </w:rPr>
              <w:t>（二）跨度36m及以上的钢结构安装工程，或跨度60m及以上的网架和索膜结构安装工程。</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4970" w:type="dxa"/>
            <w:tcBorders>
              <w:top w:val="single" w:color="auto" w:sz="4" w:space="0"/>
              <w:left w:val="single" w:color="auto" w:sz="4" w:space="0"/>
              <w:bottom w:val="single" w:color="auto" w:sz="4" w:space="0"/>
              <w:right w:val="single" w:color="auto" w:sz="4" w:space="0"/>
            </w:tcBorders>
          </w:tcPr>
          <w:p>
            <w:pPr>
              <w:jc w:val="left"/>
              <w:rPr>
                <w:rFonts w:hint="eastAsia" w:ascii="宋体" w:hAnsi="宋体" w:cs="仿宋"/>
                <w:sz w:val="24"/>
              </w:rPr>
            </w:pPr>
            <w:r>
              <w:rPr>
                <w:rFonts w:hint="eastAsia" w:ascii="宋体" w:hAnsi="宋体" w:cs="仿宋"/>
                <w:sz w:val="24"/>
              </w:rPr>
              <w:t>（三）开挖深度16m及以上的人工挖孔桩工程。</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4970" w:type="dxa"/>
            <w:tcBorders>
              <w:top w:val="single" w:color="auto" w:sz="4" w:space="0"/>
              <w:left w:val="single" w:color="auto" w:sz="4" w:space="0"/>
              <w:bottom w:val="single" w:color="auto" w:sz="4" w:space="0"/>
              <w:right w:val="single" w:color="auto" w:sz="4" w:space="0"/>
            </w:tcBorders>
          </w:tcPr>
          <w:p>
            <w:pPr>
              <w:jc w:val="left"/>
              <w:rPr>
                <w:rFonts w:hint="eastAsia" w:ascii="宋体" w:hAnsi="宋体" w:cs="仿宋"/>
                <w:sz w:val="24"/>
              </w:rPr>
            </w:pPr>
            <w:r>
              <w:rPr>
                <w:rFonts w:hint="eastAsia" w:ascii="宋体" w:hAnsi="宋体" w:cs="仿宋"/>
                <w:sz w:val="24"/>
              </w:rPr>
              <w:t>（四）水下作业工程。</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jc w:val="left"/>
              <w:rPr>
                <w:rFonts w:hint="eastAsia" w:ascii="宋体" w:hAnsi="宋体" w:cs="仿宋"/>
                <w:sz w:val="24"/>
              </w:rPr>
            </w:pPr>
            <w:r>
              <w:rPr>
                <w:rFonts w:hint="eastAsia" w:ascii="宋体" w:hAnsi="宋体" w:cs="仿宋"/>
                <w:sz w:val="24"/>
              </w:rPr>
              <w:t>（五）重量1000kN及以上的大型结构整体顶升、平移、转体等施工工艺。</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jc w:val="left"/>
              <w:rPr>
                <w:rFonts w:hint="eastAsia" w:ascii="宋体" w:hAnsi="宋体" w:cs="仿宋"/>
                <w:sz w:val="24"/>
              </w:rPr>
            </w:pPr>
            <w:r>
              <w:rPr>
                <w:rFonts w:hint="eastAsia" w:ascii="宋体" w:hAnsi="宋体" w:cs="仿宋"/>
                <w:sz w:val="24"/>
              </w:rPr>
              <w:t>（六）采用新技术、新工艺、新材料、新设备可能影响工程施工安全，尚无国家、行业及地方技术标准的分部分项工程。</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sz w:val="24"/>
                <w:szCs w:val="36"/>
              </w:rPr>
            </w:pPr>
          </w:p>
        </w:tc>
      </w:tr>
    </w:tbl>
    <w:p>
      <w:pPr>
        <w:pStyle w:val="115"/>
        <w:autoSpaceDE w:val="0"/>
        <w:autoSpaceDN w:val="0"/>
        <w:spacing w:line="360" w:lineRule="auto"/>
        <w:ind w:firstLine="480"/>
        <w:rPr>
          <w:rFonts w:hint="eastAsia" w:ascii="宋体" w:hAnsi="宋体" w:eastAsia="宋体" w:cs="仿宋"/>
          <w:sz w:val="24"/>
          <w:szCs w:val="28"/>
        </w:rPr>
      </w:pPr>
    </w:p>
    <w:p>
      <w:pPr>
        <w:spacing w:line="360" w:lineRule="auto"/>
        <w:ind w:firstLine="3000" w:firstLineChars="1250"/>
        <w:rPr>
          <w:rFonts w:hint="eastAsia" w:ascii="宋体" w:hAnsi="宋体" w:cs="仿宋"/>
          <w:sz w:val="24"/>
          <w:szCs w:val="20"/>
          <w:u w:val="single"/>
        </w:rPr>
      </w:pPr>
      <w:r>
        <w:rPr>
          <w:rFonts w:hint="eastAsia" w:ascii="宋体" w:hAnsi="宋体" w:cs="仿宋"/>
          <w:sz w:val="24"/>
          <w:szCs w:val="20"/>
        </w:rPr>
        <w:t>投标人名称（盖法人公章）：</w:t>
      </w:r>
    </w:p>
    <w:p>
      <w:pPr>
        <w:spacing w:line="360" w:lineRule="auto"/>
        <w:ind w:firstLine="3000" w:firstLineChars="1250"/>
        <w:rPr>
          <w:rFonts w:hint="eastAsia" w:ascii="宋体" w:hAnsi="宋体" w:cs="仿宋"/>
          <w:sz w:val="24"/>
          <w:szCs w:val="20"/>
          <w:u w:val="single"/>
        </w:rPr>
      </w:pPr>
      <w:r>
        <w:rPr>
          <w:rFonts w:hint="eastAsia" w:ascii="宋体" w:hAnsi="宋体" w:cs="仿宋"/>
          <w:sz w:val="24"/>
          <w:szCs w:val="20"/>
        </w:rPr>
        <w:t>法定代表人或被授权人（签名或盖章）：</w:t>
      </w:r>
    </w:p>
    <w:p>
      <w:pPr>
        <w:jc w:val="right"/>
        <w:rPr>
          <w:rStyle w:val="60"/>
          <w:color w:val="000000" w:themeColor="text1"/>
          <w14:textFill>
            <w14:solidFill>
              <w14:schemeClr w14:val="tx1"/>
            </w14:solidFill>
          </w14:textFill>
        </w:rPr>
      </w:pPr>
      <w:r>
        <w:rPr>
          <w:rFonts w:hint="eastAsia" w:ascii="宋体" w:hAnsi="宋体" w:cs="仿宋"/>
          <w:sz w:val="24"/>
          <w:szCs w:val="20"/>
        </w:rPr>
        <w:t>日期：   年  月  日</w:t>
      </w:r>
    </w:p>
    <w:p>
      <w:pPr>
        <w:tabs>
          <w:tab w:val="left" w:pos="720"/>
        </w:tabs>
        <w:snapToGrid w:val="0"/>
        <w:spacing w:line="360" w:lineRule="auto"/>
        <w:jc w:val="right"/>
        <w:rPr>
          <w:rStyle w:val="60"/>
          <w:color w:val="000000" w:themeColor="text1"/>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p>
    <w:p>
      <w:pPr>
        <w:autoSpaceDE w:val="0"/>
        <w:autoSpaceDN w:val="0"/>
        <w:adjustRightInd w:val="0"/>
        <w:jc w:val="left"/>
        <w:rPr>
          <w:rFonts w:hint="eastAsia" w:ascii="宋体" w:hAnsi="宋体" w:cs="宋体"/>
          <w:bCs/>
          <w:sz w:val="24"/>
        </w:rPr>
      </w:pPr>
      <w:r>
        <w:rPr>
          <w:rFonts w:hint="eastAsia" w:ascii="宋体" w:hAnsi="宋体" w:cs="宋体"/>
          <w:bCs/>
          <w:sz w:val="24"/>
        </w:rPr>
        <w:t>附件十：投标函</w:t>
      </w:r>
    </w:p>
    <w:p>
      <w:pPr>
        <w:widowControl/>
        <w:topLinePunct/>
        <w:adjustRightInd w:val="0"/>
        <w:snapToGrid w:val="0"/>
        <w:spacing w:line="360" w:lineRule="auto"/>
        <w:jc w:val="center"/>
        <w:rPr>
          <w:b/>
          <w:spacing w:val="4"/>
          <w:kern w:val="0"/>
          <w:sz w:val="36"/>
          <w:szCs w:val="36"/>
        </w:rPr>
      </w:pPr>
      <w:r>
        <w:rPr>
          <w:rFonts w:hint="eastAsia"/>
          <w:b/>
          <w:spacing w:val="4"/>
          <w:kern w:val="0"/>
          <w:sz w:val="36"/>
          <w:szCs w:val="36"/>
        </w:rPr>
        <w:t>投</w:t>
      </w:r>
      <w:r>
        <w:rPr>
          <w:b/>
          <w:spacing w:val="4"/>
          <w:kern w:val="0"/>
          <w:sz w:val="36"/>
          <w:szCs w:val="36"/>
        </w:rPr>
        <w:t xml:space="preserve"> </w:t>
      </w:r>
      <w:r>
        <w:rPr>
          <w:rFonts w:hint="eastAsia"/>
          <w:b/>
          <w:spacing w:val="4"/>
          <w:kern w:val="0"/>
          <w:sz w:val="36"/>
          <w:szCs w:val="36"/>
        </w:rPr>
        <w:t>标</w:t>
      </w:r>
      <w:r>
        <w:rPr>
          <w:b/>
          <w:spacing w:val="4"/>
          <w:kern w:val="0"/>
          <w:sz w:val="36"/>
          <w:szCs w:val="36"/>
        </w:rPr>
        <w:t xml:space="preserve"> </w:t>
      </w:r>
      <w:r>
        <w:rPr>
          <w:rFonts w:hint="eastAsia"/>
          <w:b/>
          <w:spacing w:val="4"/>
          <w:kern w:val="0"/>
          <w:sz w:val="36"/>
          <w:szCs w:val="36"/>
        </w:rPr>
        <w:t>函</w:t>
      </w:r>
    </w:p>
    <w:p>
      <w:pPr>
        <w:widowControl/>
        <w:topLinePunct/>
        <w:adjustRightInd w:val="0"/>
        <w:snapToGrid w:val="0"/>
        <w:spacing w:line="360" w:lineRule="auto"/>
        <w:jc w:val="left"/>
        <w:rPr>
          <w:spacing w:val="4"/>
          <w:kern w:val="0"/>
          <w:sz w:val="24"/>
          <w:szCs w:val="24"/>
        </w:rPr>
      </w:pPr>
      <w:r>
        <w:rPr>
          <w:rFonts w:hint="eastAsia"/>
          <w:spacing w:val="4"/>
          <w:kern w:val="0"/>
          <w:sz w:val="24"/>
          <w:szCs w:val="24"/>
        </w:rPr>
        <w:t>致：</w:t>
      </w:r>
      <w:r>
        <w:rPr>
          <w:spacing w:val="4"/>
          <w:kern w:val="0"/>
          <w:sz w:val="24"/>
          <w:szCs w:val="24"/>
          <w:u w:val="single"/>
        </w:rPr>
        <w:t xml:space="preserve"> </w:t>
      </w:r>
      <w:r>
        <w:rPr>
          <w:rFonts w:hint="eastAsia"/>
          <w:spacing w:val="4"/>
          <w:kern w:val="0"/>
          <w:sz w:val="24"/>
          <w:szCs w:val="24"/>
          <w:u w:val="single"/>
        </w:rPr>
        <w:t>（招标人名称）</w:t>
      </w:r>
      <w:r>
        <w:rPr>
          <w:spacing w:val="4"/>
          <w:kern w:val="0"/>
          <w:sz w:val="24"/>
          <w:szCs w:val="24"/>
          <w:u w:val="single"/>
        </w:rPr>
        <w:t xml:space="preserve"> </w:t>
      </w:r>
    </w:p>
    <w:p>
      <w:pPr>
        <w:widowControl/>
        <w:topLinePunct/>
        <w:adjustRightInd w:val="0"/>
        <w:snapToGrid w:val="0"/>
        <w:spacing w:line="360" w:lineRule="auto"/>
        <w:ind w:firstLine="496" w:firstLineChars="200"/>
        <w:jc w:val="left"/>
        <w:rPr>
          <w:rFonts w:hint="eastAsia" w:ascii="宋体" w:hAnsi="宋体" w:eastAsia="宋体" w:cs="宋体"/>
          <w:spacing w:val="4"/>
          <w:kern w:val="0"/>
          <w:sz w:val="24"/>
          <w:szCs w:val="24"/>
        </w:rPr>
      </w:pPr>
      <w:r>
        <w:rPr>
          <w:rFonts w:hint="eastAsia" w:ascii="宋体" w:hAnsi="宋体" w:eastAsia="宋体" w:cs="宋体"/>
          <w:spacing w:val="4"/>
          <w:kern w:val="0"/>
          <w:sz w:val="24"/>
          <w:szCs w:val="24"/>
        </w:rPr>
        <w:t>1.根据招标人</w:t>
      </w:r>
      <w:r>
        <w:rPr>
          <w:rFonts w:hint="eastAsia" w:ascii="宋体" w:hAnsi="宋体" w:eastAsia="宋体" w:cs="宋体"/>
          <w:spacing w:val="4"/>
          <w:kern w:val="0"/>
          <w:sz w:val="24"/>
          <w:szCs w:val="24"/>
          <w:u w:val="single"/>
        </w:rPr>
        <w:t xml:space="preserve"> （工程项目名称） </w:t>
      </w:r>
      <w:r>
        <w:rPr>
          <w:rFonts w:hint="eastAsia" w:ascii="宋体" w:hAnsi="宋体" w:eastAsia="宋体" w:cs="宋体"/>
          <w:spacing w:val="4"/>
          <w:kern w:val="0"/>
          <w:sz w:val="24"/>
          <w:szCs w:val="24"/>
        </w:rPr>
        <w:t>招标文件，遵照《中华人民共和国招标投标法》等有关规定，经踏勘项目现场和研究上述招标文件、相关招标资料及其他有关文件后，我方愿按我方投标总价并遵照上述文件要求承包上述工程的施工、竣工，并承担任何质量缺陷保修责任。</w:t>
      </w:r>
    </w:p>
    <w:p>
      <w:pPr>
        <w:widowControl/>
        <w:topLinePunct/>
        <w:adjustRightInd w:val="0"/>
        <w:snapToGrid w:val="0"/>
        <w:spacing w:line="360" w:lineRule="auto"/>
        <w:ind w:firstLine="496" w:firstLineChars="200"/>
        <w:jc w:val="left"/>
        <w:rPr>
          <w:rFonts w:hint="eastAsia" w:ascii="宋体" w:hAnsi="宋体" w:eastAsia="宋体" w:cs="宋体"/>
          <w:spacing w:val="4"/>
          <w:kern w:val="0"/>
          <w:sz w:val="24"/>
          <w:szCs w:val="24"/>
        </w:rPr>
      </w:pPr>
      <w:r>
        <w:rPr>
          <w:rFonts w:hint="eastAsia" w:ascii="宋体" w:hAnsi="宋体" w:eastAsia="宋体" w:cs="宋体"/>
          <w:spacing w:val="4"/>
          <w:kern w:val="0"/>
          <w:sz w:val="24"/>
          <w:szCs w:val="24"/>
        </w:rPr>
        <w:t>2.我方已详细审核全部招标文件，包括修改文件（如有时）及有关附件。</w:t>
      </w:r>
    </w:p>
    <w:p>
      <w:pPr>
        <w:widowControl/>
        <w:topLinePunct/>
        <w:adjustRightInd w:val="0"/>
        <w:snapToGrid w:val="0"/>
        <w:spacing w:line="360" w:lineRule="auto"/>
        <w:ind w:firstLine="496" w:firstLineChars="200"/>
        <w:jc w:val="left"/>
        <w:rPr>
          <w:rFonts w:hint="eastAsia" w:ascii="宋体" w:hAnsi="宋体" w:eastAsia="宋体" w:cs="宋体"/>
          <w:spacing w:val="4"/>
          <w:kern w:val="0"/>
          <w:sz w:val="24"/>
          <w:szCs w:val="24"/>
        </w:rPr>
      </w:pPr>
      <w:r>
        <w:rPr>
          <w:rFonts w:hint="eastAsia" w:ascii="宋体" w:hAnsi="宋体" w:eastAsia="宋体" w:cs="宋体"/>
          <w:spacing w:val="4"/>
          <w:kern w:val="0"/>
          <w:sz w:val="24"/>
          <w:szCs w:val="24"/>
        </w:rPr>
        <w:t>3.如果我方中标，我方保证按照合同文件中规定的开工日期开始施工，并按规定的预计竣工日期完成和交付全部工程。</w:t>
      </w:r>
    </w:p>
    <w:p>
      <w:pPr>
        <w:widowControl/>
        <w:topLinePunct/>
        <w:adjustRightInd w:val="0"/>
        <w:snapToGrid w:val="0"/>
        <w:spacing w:line="360" w:lineRule="auto"/>
        <w:ind w:firstLine="496" w:firstLineChars="200"/>
        <w:jc w:val="left"/>
        <w:rPr>
          <w:rFonts w:hint="eastAsia" w:ascii="宋体" w:hAnsi="宋体" w:eastAsia="宋体" w:cs="宋体"/>
          <w:spacing w:val="4"/>
          <w:kern w:val="0"/>
          <w:sz w:val="24"/>
          <w:szCs w:val="24"/>
        </w:rPr>
      </w:pPr>
      <w:r>
        <w:rPr>
          <w:rFonts w:hint="eastAsia" w:ascii="宋体" w:hAnsi="宋体" w:eastAsia="宋体" w:cs="宋体"/>
          <w:spacing w:val="4"/>
          <w:kern w:val="0"/>
          <w:sz w:val="24"/>
          <w:szCs w:val="24"/>
        </w:rPr>
        <w:t>4.如果我方中标，我方承诺在充分考虑场地环境变化及政策性调整等风险因素的前提下，继续补充完善施工组织设计，直至招标人满意为止并加以实施，由此产生的费用已包含在投标报价中。</w:t>
      </w:r>
    </w:p>
    <w:p>
      <w:pPr>
        <w:widowControl/>
        <w:topLinePunct/>
        <w:adjustRightInd w:val="0"/>
        <w:snapToGrid w:val="0"/>
        <w:spacing w:line="360" w:lineRule="auto"/>
        <w:ind w:firstLine="496" w:firstLineChars="200"/>
        <w:jc w:val="left"/>
        <w:rPr>
          <w:rFonts w:hint="eastAsia" w:ascii="宋体" w:hAnsi="宋体" w:eastAsia="宋体" w:cs="宋体"/>
          <w:spacing w:val="4"/>
          <w:kern w:val="0"/>
          <w:sz w:val="24"/>
          <w:szCs w:val="24"/>
          <w:u w:val="single"/>
        </w:rPr>
      </w:pPr>
      <w:r>
        <w:rPr>
          <w:rFonts w:hint="eastAsia" w:ascii="宋体" w:hAnsi="宋体" w:eastAsia="宋体" w:cs="宋体"/>
          <w:spacing w:val="4"/>
          <w:kern w:val="0"/>
          <w:sz w:val="24"/>
          <w:szCs w:val="24"/>
          <w:u w:val="single"/>
        </w:rPr>
        <w:t>5.如果我方中标，我方承诺按《建设工程质量管理条例》（中华人民共和国国务院令第279号）、《建设工程安全生产管理条例》（中华人民共和国国务院令第393号）的规定对承包工程的全部建设工程质量和施工现场的安全生产负责。</w:t>
      </w:r>
    </w:p>
    <w:p>
      <w:pPr>
        <w:widowControl/>
        <w:topLinePunct/>
        <w:adjustRightInd w:val="0"/>
        <w:snapToGrid w:val="0"/>
        <w:spacing w:line="360" w:lineRule="auto"/>
        <w:ind w:firstLine="496" w:firstLineChars="200"/>
        <w:jc w:val="left"/>
        <w:rPr>
          <w:rFonts w:hint="eastAsia" w:ascii="宋体" w:hAnsi="宋体" w:eastAsia="宋体" w:cs="宋体"/>
          <w:spacing w:val="4"/>
          <w:kern w:val="0"/>
          <w:sz w:val="24"/>
          <w:szCs w:val="24"/>
        </w:rPr>
      </w:pPr>
      <w:r>
        <w:rPr>
          <w:rFonts w:hint="eastAsia" w:ascii="宋体" w:hAnsi="宋体" w:eastAsia="宋体" w:cs="宋体"/>
          <w:spacing w:val="4"/>
          <w:kern w:val="0"/>
          <w:sz w:val="24"/>
          <w:szCs w:val="24"/>
        </w:rPr>
        <w:t>6.如果我方中标，我方将按照招标文件的规定，按时提交履约担保，以保障本项目优质、优价、按期、顺利完成。</w:t>
      </w:r>
    </w:p>
    <w:p>
      <w:pPr>
        <w:widowControl/>
        <w:topLinePunct/>
        <w:adjustRightInd w:val="0"/>
        <w:snapToGrid w:val="0"/>
        <w:spacing w:line="360" w:lineRule="auto"/>
        <w:ind w:firstLine="498" w:firstLineChars="200"/>
        <w:jc w:val="left"/>
        <w:rPr>
          <w:rFonts w:hint="eastAsia" w:ascii="宋体" w:hAnsi="宋体" w:eastAsia="宋体" w:cs="宋体"/>
          <w:b/>
          <w:bCs/>
          <w:spacing w:val="4"/>
          <w:kern w:val="0"/>
          <w:sz w:val="24"/>
          <w:szCs w:val="24"/>
          <w:u w:val="single"/>
        </w:rPr>
      </w:pPr>
      <w:r>
        <w:rPr>
          <w:rFonts w:hint="eastAsia" w:ascii="宋体" w:hAnsi="宋体" w:eastAsia="宋体" w:cs="宋体"/>
          <w:b/>
          <w:bCs/>
          <w:spacing w:val="4"/>
          <w:kern w:val="0"/>
          <w:sz w:val="24"/>
          <w:szCs w:val="24"/>
        </w:rPr>
        <w:t>7.</w:t>
      </w:r>
      <w:r>
        <w:rPr>
          <w:rFonts w:hint="eastAsia" w:ascii="宋体" w:hAnsi="宋体" w:eastAsia="宋体" w:cs="宋体"/>
          <w:b/>
          <w:bCs/>
        </w:rPr>
        <w:t xml:space="preserve"> </w:t>
      </w:r>
      <w:r>
        <w:rPr>
          <w:rFonts w:hint="eastAsia" w:ascii="宋体" w:hAnsi="宋体" w:eastAsia="宋体" w:cs="宋体"/>
          <w:b/>
          <w:bCs/>
          <w:spacing w:val="4"/>
          <w:kern w:val="0"/>
          <w:sz w:val="24"/>
          <w:szCs w:val="24"/>
          <w:u w:val="single"/>
        </w:rPr>
        <w:t>我公司承诺在招标人确认中标人前向招标人提交在电子税务局平台或税务局窗口开具的“无欠税证明”，若无法在收到通知后三天内提交“无欠税证明”，则招标人有权取消我方的中标资格，我方对此无异议。</w:t>
      </w:r>
    </w:p>
    <w:p>
      <w:pPr>
        <w:widowControl/>
        <w:topLinePunct/>
        <w:adjustRightInd w:val="0"/>
        <w:snapToGrid w:val="0"/>
        <w:spacing w:line="360" w:lineRule="auto"/>
        <w:ind w:firstLine="496" w:firstLineChars="200"/>
        <w:jc w:val="left"/>
        <w:rPr>
          <w:rFonts w:hint="eastAsia" w:ascii="宋体" w:hAnsi="宋体" w:eastAsia="宋体" w:cs="宋体"/>
          <w:spacing w:val="4"/>
          <w:kern w:val="0"/>
          <w:sz w:val="24"/>
          <w:szCs w:val="24"/>
          <w:u w:val="single"/>
        </w:rPr>
      </w:pPr>
      <w:r>
        <w:rPr>
          <w:rFonts w:hint="eastAsia" w:ascii="宋体" w:hAnsi="宋体" w:eastAsia="宋体" w:cs="宋体"/>
          <w:spacing w:val="4"/>
          <w:kern w:val="0"/>
          <w:sz w:val="24"/>
          <w:szCs w:val="24"/>
          <w:u w:val="single"/>
        </w:rPr>
        <w:t>8.我方完全知悉并响应招标文件第三章“合同条款”的所有要求。</w:t>
      </w:r>
    </w:p>
    <w:p>
      <w:pPr>
        <w:pStyle w:val="21"/>
        <w:spacing w:line="360" w:lineRule="auto"/>
        <w:ind w:firstLine="496" w:firstLineChars="200"/>
        <w:rPr>
          <w:rFonts w:hint="eastAsia" w:ascii="宋体" w:hAnsi="宋体" w:eastAsia="宋体" w:cs="宋体"/>
        </w:rPr>
      </w:pPr>
      <w:r>
        <w:rPr>
          <w:rFonts w:hint="eastAsia" w:ascii="宋体" w:hAnsi="宋体" w:eastAsia="宋体" w:cs="宋体"/>
          <w:spacing w:val="4"/>
          <w:kern w:val="0"/>
          <w:sz w:val="24"/>
          <w:szCs w:val="24"/>
        </w:rPr>
        <w:t>9.我方同意所提交的投标文件在招标文件</w:t>
      </w:r>
      <w:r>
        <w:rPr>
          <w:rFonts w:hint="eastAsia" w:ascii="宋体" w:hAnsi="宋体" w:eastAsia="宋体" w:cs="宋体"/>
          <w:sz w:val="24"/>
        </w:rPr>
        <w:t>投标须知前附表第13项</w:t>
      </w:r>
      <w:r>
        <w:rPr>
          <w:rFonts w:hint="eastAsia" w:ascii="宋体" w:hAnsi="宋体" w:eastAsia="宋体" w:cs="宋体"/>
          <w:spacing w:val="4"/>
          <w:kern w:val="0"/>
          <w:sz w:val="24"/>
          <w:szCs w:val="24"/>
        </w:rPr>
        <w:t>规定的投标有效期内有效，在此期限届满之前，本投标书始终将对我方具有约束力，并随时接受中标。</w:t>
      </w:r>
    </w:p>
    <w:p>
      <w:pPr>
        <w:widowControl/>
        <w:topLinePunct/>
        <w:adjustRightInd w:val="0"/>
        <w:snapToGrid w:val="0"/>
        <w:spacing w:line="360" w:lineRule="auto"/>
        <w:ind w:firstLine="496" w:firstLineChars="200"/>
        <w:jc w:val="left"/>
        <w:rPr>
          <w:rFonts w:hint="eastAsia" w:ascii="宋体" w:hAnsi="宋体" w:eastAsia="宋体" w:cs="宋体"/>
          <w:spacing w:val="4"/>
          <w:kern w:val="0"/>
          <w:sz w:val="24"/>
          <w:szCs w:val="24"/>
        </w:rPr>
      </w:pPr>
      <w:r>
        <w:rPr>
          <w:rFonts w:hint="eastAsia" w:ascii="宋体" w:hAnsi="宋体" w:eastAsia="宋体" w:cs="宋体"/>
          <w:spacing w:val="4"/>
          <w:kern w:val="0"/>
          <w:sz w:val="24"/>
          <w:szCs w:val="24"/>
        </w:rPr>
        <w:t>10.在合同协议书正式签署生效之前，本投标书连同你单位的中标通知书将构成我们双方之间共同遵守的文件，对双方具有约束力。</w:t>
      </w:r>
    </w:p>
    <w:p>
      <w:pPr>
        <w:widowControl/>
        <w:topLinePunct/>
        <w:adjustRightInd w:val="0"/>
        <w:snapToGrid w:val="0"/>
        <w:spacing w:line="360" w:lineRule="auto"/>
        <w:ind w:firstLine="496" w:firstLineChars="200"/>
        <w:jc w:val="left"/>
        <w:rPr>
          <w:rFonts w:hint="eastAsia" w:ascii="宋体" w:hAnsi="宋体" w:eastAsia="宋体" w:cs="宋体"/>
          <w:spacing w:val="4"/>
          <w:kern w:val="0"/>
          <w:sz w:val="24"/>
          <w:szCs w:val="24"/>
        </w:rPr>
      </w:pPr>
      <w:r>
        <w:rPr>
          <w:rFonts w:hint="eastAsia" w:ascii="宋体" w:hAnsi="宋体" w:eastAsia="宋体" w:cs="宋体"/>
          <w:spacing w:val="4"/>
          <w:kern w:val="0"/>
          <w:sz w:val="24"/>
          <w:szCs w:val="24"/>
        </w:rPr>
        <w:t>11.</w:t>
      </w:r>
      <w:bookmarkStart w:id="74" w:name="_Toc484958693"/>
      <w:r>
        <w:rPr>
          <w:rFonts w:hint="eastAsia" w:ascii="宋体" w:hAnsi="宋体" w:eastAsia="宋体" w:cs="宋体"/>
          <w:spacing w:val="4"/>
          <w:kern w:val="0"/>
          <w:sz w:val="24"/>
          <w:szCs w:val="24"/>
          <w:u w:val="single"/>
        </w:rPr>
        <w:t xml:space="preserve"> 随同本投标文件，如果我方在投标文件有效期内撤回投标文件；或在接到中标通知书后28天内未能或拒绝签订合同协议书；或未能按招标文件要求提交履约担保，你单位有权另选中标单位。</w:t>
      </w:r>
    </w:p>
    <w:p>
      <w:pPr>
        <w:widowControl/>
        <w:topLinePunct/>
        <w:adjustRightInd w:val="0"/>
        <w:snapToGrid w:val="0"/>
        <w:spacing w:line="360" w:lineRule="auto"/>
        <w:ind w:firstLine="496" w:firstLineChars="200"/>
        <w:jc w:val="left"/>
        <w:rPr>
          <w:rFonts w:hint="eastAsia" w:ascii="宋体" w:hAnsi="宋体" w:eastAsia="宋体" w:cs="宋体"/>
          <w:spacing w:val="4"/>
          <w:kern w:val="0"/>
          <w:sz w:val="24"/>
          <w:szCs w:val="24"/>
        </w:rPr>
      </w:pPr>
      <w:r>
        <w:rPr>
          <w:rFonts w:hint="eastAsia" w:ascii="宋体" w:hAnsi="宋体" w:eastAsia="宋体" w:cs="宋体"/>
          <w:spacing w:val="4"/>
          <w:kern w:val="0"/>
          <w:sz w:val="24"/>
          <w:szCs w:val="24"/>
        </w:rPr>
        <w:t>12.我方</w:t>
      </w:r>
      <w:bookmarkEnd w:id="74"/>
      <w:r>
        <w:rPr>
          <w:rFonts w:hint="eastAsia" w:ascii="宋体" w:hAnsi="宋体" w:eastAsia="宋体" w:cs="宋体"/>
          <w:spacing w:val="4"/>
          <w:kern w:val="0"/>
          <w:sz w:val="24"/>
          <w:szCs w:val="24"/>
        </w:rPr>
        <w:t>理解</w:t>
      </w:r>
      <w:bookmarkStart w:id="75" w:name="_Toc484958694"/>
      <w:r>
        <w:rPr>
          <w:rFonts w:hint="eastAsia" w:ascii="宋体" w:hAnsi="宋体" w:eastAsia="宋体" w:cs="宋体"/>
          <w:spacing w:val="4"/>
          <w:kern w:val="0"/>
          <w:sz w:val="24"/>
          <w:szCs w:val="24"/>
        </w:rPr>
        <w:t>，你单位不一</w:t>
      </w:r>
      <w:bookmarkEnd w:id="75"/>
      <w:r>
        <w:rPr>
          <w:rFonts w:hint="eastAsia" w:ascii="宋体" w:hAnsi="宋体" w:eastAsia="宋体" w:cs="宋体"/>
          <w:spacing w:val="4"/>
          <w:kern w:val="0"/>
          <w:sz w:val="24"/>
          <w:szCs w:val="24"/>
        </w:rPr>
        <w:t>定</w:t>
      </w:r>
      <w:bookmarkStart w:id="76" w:name="_Toc484958695"/>
      <w:r>
        <w:rPr>
          <w:rFonts w:hint="eastAsia" w:ascii="宋体" w:hAnsi="宋体" w:eastAsia="宋体" w:cs="宋体"/>
          <w:spacing w:val="4"/>
          <w:kern w:val="0"/>
          <w:sz w:val="24"/>
          <w:szCs w:val="24"/>
        </w:rPr>
        <w:t>接受最低</w:t>
      </w:r>
      <w:bookmarkEnd w:id="76"/>
      <w:r>
        <w:rPr>
          <w:rFonts w:hint="eastAsia" w:ascii="宋体" w:hAnsi="宋体" w:eastAsia="宋体" w:cs="宋体"/>
          <w:spacing w:val="4"/>
          <w:kern w:val="0"/>
          <w:sz w:val="24"/>
          <w:szCs w:val="24"/>
        </w:rPr>
        <w:t>标</w:t>
      </w:r>
      <w:bookmarkStart w:id="77" w:name="_Toc484958696"/>
      <w:r>
        <w:rPr>
          <w:rFonts w:hint="eastAsia" w:ascii="宋体" w:hAnsi="宋体" w:eastAsia="宋体" w:cs="宋体"/>
          <w:spacing w:val="4"/>
          <w:kern w:val="0"/>
          <w:sz w:val="24"/>
          <w:szCs w:val="24"/>
        </w:rPr>
        <w:t>价的</w:t>
      </w:r>
      <w:bookmarkEnd w:id="77"/>
      <w:r>
        <w:rPr>
          <w:rFonts w:hint="eastAsia" w:ascii="宋体" w:hAnsi="宋体" w:eastAsia="宋体" w:cs="宋体"/>
          <w:spacing w:val="4"/>
          <w:kern w:val="0"/>
          <w:sz w:val="24"/>
          <w:szCs w:val="24"/>
        </w:rPr>
        <w:t>投</w:t>
      </w:r>
      <w:bookmarkStart w:id="78" w:name="_Toc484958697"/>
      <w:r>
        <w:rPr>
          <w:rFonts w:hint="eastAsia" w:ascii="宋体" w:hAnsi="宋体" w:eastAsia="宋体" w:cs="宋体"/>
          <w:spacing w:val="4"/>
          <w:kern w:val="0"/>
          <w:sz w:val="24"/>
          <w:szCs w:val="24"/>
        </w:rPr>
        <w:t>标或你单位接到的其它任何投标。同</w:t>
      </w:r>
      <w:bookmarkEnd w:id="78"/>
      <w:r>
        <w:rPr>
          <w:rFonts w:hint="eastAsia" w:ascii="宋体" w:hAnsi="宋体" w:eastAsia="宋体" w:cs="宋体"/>
          <w:spacing w:val="4"/>
          <w:kern w:val="0"/>
          <w:sz w:val="24"/>
          <w:szCs w:val="24"/>
        </w:rPr>
        <w:t>时</w:t>
      </w:r>
      <w:bookmarkStart w:id="79" w:name="_Toc484958698"/>
      <w:r>
        <w:rPr>
          <w:rFonts w:hint="eastAsia" w:ascii="宋体" w:hAnsi="宋体" w:eastAsia="宋体" w:cs="宋体"/>
          <w:spacing w:val="4"/>
          <w:kern w:val="0"/>
          <w:sz w:val="24"/>
          <w:szCs w:val="24"/>
        </w:rPr>
        <w:t>也理解，你单位不负担我方的任何投</w:t>
      </w:r>
      <w:bookmarkEnd w:id="79"/>
      <w:r>
        <w:rPr>
          <w:rFonts w:hint="eastAsia" w:ascii="宋体" w:hAnsi="宋体" w:eastAsia="宋体" w:cs="宋体"/>
          <w:spacing w:val="4"/>
          <w:kern w:val="0"/>
          <w:sz w:val="24"/>
          <w:szCs w:val="24"/>
        </w:rPr>
        <w:t>标</w:t>
      </w:r>
      <w:bookmarkStart w:id="80" w:name="_Toc484958699"/>
      <w:r>
        <w:rPr>
          <w:rFonts w:hint="eastAsia" w:ascii="宋体" w:hAnsi="宋体" w:eastAsia="宋体" w:cs="宋体"/>
          <w:spacing w:val="4"/>
          <w:kern w:val="0"/>
          <w:sz w:val="24"/>
          <w:szCs w:val="24"/>
        </w:rPr>
        <w:t>费用</w:t>
      </w:r>
      <w:bookmarkEnd w:id="80"/>
      <w:bookmarkStart w:id="81" w:name="_Toc484958700"/>
      <w:r>
        <w:rPr>
          <w:rFonts w:hint="eastAsia" w:ascii="宋体" w:hAnsi="宋体" w:eastAsia="宋体" w:cs="宋体"/>
          <w:spacing w:val="4"/>
          <w:kern w:val="0"/>
          <w:sz w:val="24"/>
          <w:szCs w:val="24"/>
        </w:rPr>
        <w:t>。</w:t>
      </w:r>
    </w:p>
    <w:p>
      <w:pPr>
        <w:widowControl/>
        <w:topLinePunct/>
        <w:adjustRightInd w:val="0"/>
        <w:snapToGrid w:val="0"/>
        <w:spacing w:line="360" w:lineRule="auto"/>
        <w:ind w:right="1982" w:rightChars="944" w:firstLine="691" w:firstLineChars="279"/>
        <w:jc w:val="right"/>
        <w:rPr>
          <w:spacing w:val="4"/>
          <w:kern w:val="0"/>
          <w:sz w:val="24"/>
          <w:szCs w:val="24"/>
        </w:rPr>
      </w:pPr>
    </w:p>
    <w:p>
      <w:pPr>
        <w:widowControl/>
        <w:topLinePunct/>
        <w:adjustRightInd w:val="0"/>
        <w:snapToGrid w:val="0"/>
        <w:spacing w:line="360" w:lineRule="auto"/>
        <w:ind w:right="1982" w:rightChars="944" w:firstLine="691" w:firstLineChars="279"/>
        <w:jc w:val="right"/>
        <w:rPr>
          <w:spacing w:val="4"/>
          <w:kern w:val="0"/>
          <w:sz w:val="24"/>
          <w:szCs w:val="24"/>
        </w:rPr>
      </w:pPr>
    </w:p>
    <w:p>
      <w:pPr>
        <w:widowControl/>
        <w:topLinePunct/>
        <w:adjustRightInd w:val="0"/>
        <w:snapToGrid w:val="0"/>
        <w:spacing w:line="360" w:lineRule="auto"/>
        <w:ind w:right="1982" w:rightChars="944" w:firstLine="691" w:firstLineChars="279"/>
        <w:jc w:val="right"/>
        <w:rPr>
          <w:spacing w:val="4"/>
          <w:kern w:val="0"/>
          <w:sz w:val="24"/>
          <w:szCs w:val="24"/>
        </w:rPr>
      </w:pPr>
      <w:r>
        <w:rPr>
          <w:rFonts w:hint="eastAsia"/>
          <w:spacing w:val="4"/>
          <w:kern w:val="0"/>
          <w:sz w:val="24"/>
          <w:szCs w:val="24"/>
        </w:rPr>
        <w:t>投标人：</w:t>
      </w:r>
      <w:bookmarkEnd w:id="81"/>
    </w:p>
    <w:p>
      <w:pPr>
        <w:jc w:val="right"/>
        <w:rPr>
          <w:rFonts w:hint="eastAsia"/>
          <w:spacing w:val="4"/>
          <w:kern w:val="0"/>
          <w:sz w:val="24"/>
          <w:szCs w:val="24"/>
        </w:rPr>
      </w:pPr>
      <w:r>
        <w:rPr>
          <w:rFonts w:hint="eastAsia"/>
          <w:spacing w:val="4"/>
          <w:kern w:val="0"/>
          <w:sz w:val="24"/>
          <w:szCs w:val="24"/>
        </w:rPr>
        <w:t>日期：</w:t>
      </w:r>
      <w:r>
        <w:rPr>
          <w:spacing w:val="4"/>
          <w:kern w:val="0"/>
          <w:sz w:val="24"/>
          <w:szCs w:val="24"/>
        </w:rPr>
        <w:t xml:space="preserve">   </w:t>
      </w:r>
      <w:r>
        <w:rPr>
          <w:rFonts w:hint="eastAsia"/>
          <w:spacing w:val="4"/>
          <w:kern w:val="0"/>
          <w:sz w:val="24"/>
          <w:szCs w:val="24"/>
        </w:rPr>
        <w:t>年</w:t>
      </w:r>
      <w:r>
        <w:rPr>
          <w:spacing w:val="4"/>
          <w:kern w:val="0"/>
          <w:sz w:val="24"/>
          <w:szCs w:val="24"/>
        </w:rPr>
        <w:t xml:space="preserve">    </w:t>
      </w:r>
      <w:r>
        <w:rPr>
          <w:rFonts w:hint="eastAsia"/>
          <w:spacing w:val="4"/>
          <w:kern w:val="0"/>
          <w:sz w:val="24"/>
          <w:szCs w:val="24"/>
        </w:rPr>
        <w:t>月</w:t>
      </w:r>
      <w:r>
        <w:rPr>
          <w:spacing w:val="4"/>
          <w:kern w:val="0"/>
          <w:sz w:val="24"/>
          <w:szCs w:val="24"/>
        </w:rPr>
        <w:t xml:space="preserve">    </w:t>
      </w:r>
      <w:r>
        <w:rPr>
          <w:rFonts w:hint="eastAsia"/>
          <w:spacing w:val="4"/>
          <w:kern w:val="0"/>
          <w:sz w:val="24"/>
          <w:szCs w:val="24"/>
        </w:rPr>
        <w:t>日</w:t>
      </w:r>
    </w:p>
    <w:p>
      <w:pPr>
        <w:jc w:val="right"/>
        <w:rPr>
          <w:rFonts w:hint="eastAsia"/>
          <w:spacing w:val="4"/>
          <w:kern w:val="0"/>
          <w:sz w:val="24"/>
          <w:szCs w:val="24"/>
        </w:rPr>
      </w:pPr>
    </w:p>
    <w:p>
      <w:pPr>
        <w:jc w:val="left"/>
        <w:rPr>
          <w:rFonts w:hint="eastAsia" w:ascii="宋体" w:hAnsi="宋体" w:cs="宋体"/>
          <w:b/>
          <w:bCs/>
          <w:sz w:val="24"/>
          <w:szCs w:val="24"/>
        </w:rPr>
      </w:pPr>
      <w:r>
        <w:rPr>
          <w:rFonts w:hint="eastAsia" w:ascii="宋体" w:hAnsi="宋体" w:cs="宋体"/>
          <w:b/>
          <w:bCs/>
          <w:sz w:val="24"/>
          <w:szCs w:val="24"/>
        </w:rPr>
        <w:br w:type="page"/>
      </w:r>
    </w:p>
    <w:p>
      <w:pPr>
        <w:autoSpaceDE w:val="0"/>
        <w:autoSpaceDN w:val="0"/>
        <w:adjustRightInd w:val="0"/>
        <w:jc w:val="left"/>
        <w:rPr>
          <w:rFonts w:hint="eastAsia" w:ascii="宋体" w:hAnsi="宋体" w:cs="宋体"/>
          <w:bCs/>
          <w:sz w:val="24"/>
        </w:rPr>
      </w:pPr>
      <w:r>
        <w:rPr>
          <w:rFonts w:hint="eastAsia" w:ascii="宋体" w:hAnsi="宋体" w:cs="宋体"/>
          <w:bCs/>
          <w:sz w:val="24"/>
        </w:rPr>
        <w:t>格式十一：企业资信其他证明材料</w:t>
      </w:r>
    </w:p>
    <w:p>
      <w:pPr>
        <w:keepNext w:val="0"/>
        <w:keepLines w:val="0"/>
        <w:pageBreakBefore w:val="0"/>
        <w:widowControl w:val="0"/>
        <w:kinsoku/>
        <w:wordWrap/>
        <w:overflowPunct/>
        <w:topLinePunct w:val="0"/>
        <w:autoSpaceDE w:val="0"/>
        <w:autoSpaceDN w:val="0"/>
        <w:bidi w:val="0"/>
        <w:adjustRightInd w:val="0"/>
        <w:snapToGrid/>
        <w:spacing w:before="313" w:beforeLines="100" w:after="313" w:afterLines="100" w:line="360" w:lineRule="auto"/>
        <w:jc w:val="center"/>
        <w:textAlignment w:val="auto"/>
        <w:rPr>
          <w:rFonts w:hint="eastAsia" w:ascii="宋体" w:hAnsi="宋体" w:cs="宋体"/>
          <w:b/>
          <w:sz w:val="36"/>
          <w:szCs w:val="36"/>
        </w:rPr>
      </w:pPr>
      <w:r>
        <w:rPr>
          <w:rFonts w:hint="eastAsia" w:ascii="宋体" w:hAnsi="宋体" w:cs="宋体"/>
          <w:b/>
          <w:sz w:val="36"/>
          <w:szCs w:val="36"/>
        </w:rPr>
        <w:t>企业资信其他证明材料</w:t>
      </w:r>
    </w:p>
    <w:p>
      <w:pPr>
        <w:ind w:firstLine="630" w:firstLineChars="300"/>
        <w:jc w:val="left"/>
        <w:rPr>
          <w:rFonts w:hint="eastAsia" w:ascii="宋体" w:hAnsi="宋体" w:cs="宋体"/>
          <w:u w:val="single"/>
        </w:rPr>
      </w:pPr>
    </w:p>
    <w:p>
      <w:pPr>
        <w:rPr>
          <w:rFonts w:ascii="宋体" w:cs="宋体"/>
          <w:b/>
          <w:bCs/>
        </w:rPr>
      </w:pPr>
      <w:r>
        <w:rPr>
          <w:rFonts w:hint="eastAsia" w:ascii="宋体" w:cs="宋体"/>
          <w:b/>
          <w:bCs/>
        </w:rPr>
        <w:t>注：如工程获奖资料、研发能力及第三方评价资料等</w:t>
      </w:r>
      <w:r>
        <w:rPr>
          <w:rFonts w:hint="eastAsia" w:ascii="宋体" w:cs="宋体"/>
          <w:b/>
          <w:bCs/>
          <w:lang w:eastAsia="zh-CN"/>
        </w:rPr>
        <w:t>，</w:t>
      </w:r>
      <w:r>
        <w:rPr>
          <w:rFonts w:hint="eastAsia" w:ascii="宋体" w:cs="宋体"/>
          <w:b/>
          <w:bCs/>
          <w:lang w:val="en-US" w:eastAsia="zh-CN"/>
        </w:rPr>
        <w:t>投标人根据公司情况自行</w:t>
      </w:r>
      <w:r>
        <w:rPr>
          <w:rFonts w:hint="eastAsia" w:ascii="宋体" w:cs="宋体"/>
          <w:b/>
          <w:bCs/>
        </w:rPr>
        <w:t>提供。</w:t>
      </w:r>
    </w:p>
    <w:p>
      <w:pPr>
        <w:jc w:val="left"/>
        <w:rPr>
          <w:rStyle w:val="60"/>
          <w:color w:val="000000" w:themeColor="text1"/>
          <w14:textFill>
            <w14:solidFill>
              <w14:schemeClr w14:val="tx1"/>
            </w14:solidFill>
          </w14:textFill>
        </w:rPr>
      </w:pPr>
    </w:p>
    <w:p>
      <w:pPr>
        <w:jc w:val="left"/>
        <w:rPr>
          <w:rStyle w:val="60"/>
          <w:color w:val="000000" w:themeColor="text1"/>
          <w14:textFill>
            <w14:solidFill>
              <w14:schemeClr w14:val="tx1"/>
            </w14:solidFill>
          </w14:textFill>
        </w:rPr>
      </w:pPr>
      <w:r>
        <w:rPr>
          <w:rStyle w:val="60"/>
          <w:rFonts w:hint="eastAsia"/>
          <w:color w:val="000000" w:themeColor="text1"/>
          <w14:textFill>
            <w14:solidFill>
              <w14:schemeClr w14:val="tx1"/>
            </w14:solidFill>
          </w14:textFill>
        </w:rPr>
        <w:br w:type="page"/>
      </w:r>
    </w:p>
    <w:p>
      <w:pPr>
        <w:tabs>
          <w:tab w:val="left" w:pos="720"/>
        </w:tabs>
        <w:snapToGrid w:val="0"/>
        <w:spacing w:line="360" w:lineRule="auto"/>
        <w:jc w:val="center"/>
        <w:rPr>
          <w:rStyle w:val="60"/>
          <w:rFonts w:hint="eastAsia" w:ascii="黑体" w:hAnsi="黑体" w:eastAsia="黑体" w:cs="黑体"/>
          <w:color w:val="000000" w:themeColor="text1"/>
          <w:sz w:val="36"/>
          <w:szCs w:val="36"/>
          <w14:textFill>
            <w14:solidFill>
              <w14:schemeClr w14:val="tx1"/>
            </w14:solidFill>
          </w14:textFill>
        </w:rPr>
      </w:pPr>
      <w:bookmarkStart w:id="82" w:name="_Toc16626"/>
      <w:r>
        <w:rPr>
          <w:rStyle w:val="60"/>
          <w:rFonts w:hint="eastAsia" w:ascii="黑体" w:hAnsi="黑体" w:eastAsia="黑体" w:cs="黑体"/>
          <w:color w:val="000000" w:themeColor="text1"/>
          <w:sz w:val="36"/>
          <w:szCs w:val="36"/>
          <w14:textFill>
            <w14:solidFill>
              <w14:schemeClr w14:val="tx1"/>
            </w14:solidFill>
          </w14:textFill>
        </w:rPr>
        <w:t>第五章  技术条件（工程建设标准）</w:t>
      </w:r>
      <w:bookmarkEnd w:id="68"/>
      <w:bookmarkEnd w:id="69"/>
    </w:p>
    <w:bookmarkEnd w:id="82"/>
    <w:p>
      <w:pPr>
        <w:pStyle w:val="114"/>
        <w:ind w:firstLine="496"/>
        <w:rPr>
          <w:rFonts w:hint="eastAsia" w:ascii="宋体" w:hAnsi="宋体" w:cs="宋体"/>
        </w:rPr>
      </w:pPr>
    </w:p>
    <w:p>
      <w:pPr>
        <w:pStyle w:val="114"/>
        <w:ind w:firstLine="496"/>
        <w:rPr>
          <w:rFonts w:hint="eastAsia" w:ascii="宋体" w:hAnsi="宋体" w:cs="宋体"/>
        </w:rPr>
      </w:pPr>
      <w:r>
        <w:rPr>
          <w:rFonts w:hint="eastAsia" w:ascii="宋体" w:hAnsi="宋体" w:cs="宋体"/>
        </w:rPr>
        <w:t>下列文件应被认为是组成本章内容的一部分，并互为补充和解释，如各文件存在冲突之处，以如下排列次序在前者优先适用：</w:t>
      </w:r>
    </w:p>
    <w:p>
      <w:pPr>
        <w:pStyle w:val="114"/>
        <w:ind w:firstLine="496"/>
        <w:rPr>
          <w:rFonts w:hint="eastAsia" w:ascii="宋体" w:hAnsi="宋体" w:cs="宋体"/>
        </w:rPr>
      </w:pPr>
      <w:r>
        <w:rPr>
          <w:rFonts w:hint="eastAsia" w:ascii="宋体" w:hAnsi="宋体" w:cs="宋体"/>
        </w:rPr>
        <w:t>1、遵照发包人相关规定要求；</w:t>
      </w:r>
    </w:p>
    <w:p>
      <w:pPr>
        <w:pStyle w:val="114"/>
        <w:ind w:firstLine="496"/>
        <w:rPr>
          <w:rFonts w:hint="eastAsia" w:ascii="宋体" w:hAnsi="宋体" w:cs="宋体"/>
        </w:rPr>
      </w:pPr>
      <w:r>
        <w:rPr>
          <w:rFonts w:hint="eastAsia" w:ascii="宋体" w:hAnsi="宋体" w:cs="宋体"/>
        </w:rPr>
        <w:t>2、采用图纸中规定的其它技术和验收标准；</w:t>
      </w:r>
    </w:p>
    <w:p>
      <w:pPr>
        <w:pStyle w:val="114"/>
        <w:ind w:firstLine="496"/>
        <w:rPr>
          <w:rFonts w:hint="eastAsia" w:ascii="宋体" w:hAnsi="宋体" w:cs="宋体"/>
        </w:rPr>
      </w:pPr>
      <w:r>
        <w:rPr>
          <w:rFonts w:hint="eastAsia" w:ascii="宋体" w:hAnsi="宋体" w:cs="宋体"/>
        </w:rPr>
        <w:t>3、采用中华人民共和国现行技术和验收规范。</w:t>
      </w:r>
    </w:p>
    <w:p>
      <w:pPr>
        <w:pStyle w:val="114"/>
        <w:ind w:firstLine="496"/>
        <w:rPr>
          <w:rFonts w:hint="eastAsia" w:ascii="宋体" w:hAnsi="宋体" w:cs="宋体"/>
          <w:b/>
          <w:bCs/>
          <w:u w:val="single"/>
        </w:rPr>
      </w:pPr>
      <w:r>
        <w:rPr>
          <w:rFonts w:hint="eastAsia" w:ascii="宋体" w:hAnsi="宋体" w:cs="宋体"/>
        </w:rPr>
        <w:t>依据设计文件的要求，本招标工程项目的材料、设备、施工须达到中华人民共和国以及省、市或行业的工程建设标准、规范的要求。</w:t>
      </w:r>
    </w:p>
    <w:p>
      <w:pPr>
        <w:widowControl/>
        <w:numPr>
          <w:ilvl w:val="0"/>
          <w:numId w:val="0"/>
        </w:numPr>
        <w:shd w:val="clear" w:color="auto" w:fill="FFFFFF"/>
        <w:spacing w:line="360" w:lineRule="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一、项目概况</w:t>
      </w:r>
    </w:p>
    <w:p>
      <w:pPr>
        <w:widowControl/>
        <w:numPr>
          <w:ilvl w:val="0"/>
          <w:numId w:val="0"/>
        </w:numPr>
        <w:shd w:val="clear" w:color="auto" w:fill="FFFFFF"/>
        <w:spacing w:line="360" w:lineRule="auto"/>
        <w:ind w:firstLine="486" w:firstLineChars="196"/>
        <w:rPr>
          <w:rFonts w:hint="eastAsia" w:ascii="宋体" w:hAnsi="宋体" w:eastAsia="宋体" w:cs="宋体"/>
          <w:b w:val="0"/>
          <w:spacing w:val="4"/>
          <w:kern w:val="0"/>
          <w:sz w:val="24"/>
          <w:szCs w:val="24"/>
          <w:lang w:val="en-US" w:eastAsia="zh-CN"/>
        </w:rPr>
      </w:pPr>
      <w:r>
        <w:rPr>
          <w:rFonts w:hint="eastAsia" w:ascii="宋体" w:hAnsi="宋体" w:eastAsia="宋体" w:cs="宋体"/>
          <w:b w:val="0"/>
          <w:bCs w:val="0"/>
          <w:spacing w:val="4"/>
          <w:kern w:val="0"/>
          <w:sz w:val="24"/>
          <w:szCs w:val="24"/>
          <w:lang w:val="en-US" w:eastAsia="zh-CN"/>
        </w:rPr>
        <w:t>民营科技园公交站场项目选址于白云区科兴路北侧、草塘路西侧，项目总用地面积4500.16平方米，站务用房一栋总建筑面积784.58平方米（含电房、司机休息室、调度室、配套站务用房、便民服务设施、卫生间等），其中计容建设面积449.44平方米，为钢筋混凝土结构，地上两层。混凝土路面场地道路面积3690.65平方米，绿地总面积365.36平方米，共20个公交车泊位，其中2个上客泊位、2个落客泊位，待发车位16个泊位。</w:t>
      </w:r>
    </w:p>
    <w:p>
      <w:pPr>
        <w:topLinePunct/>
        <w:adjustRightInd w:val="0"/>
        <w:snapToGrid w:val="0"/>
        <w:spacing w:before="156" w:beforeLines="50" w:after="156" w:afterLines="50" w:line="360" w:lineRule="auto"/>
        <w:outlineLvl w:val="1"/>
        <w:rPr>
          <w:rFonts w:hint="eastAsia" w:ascii="宋体" w:hAnsi="宋体" w:eastAsia="宋体" w:cs="宋体"/>
          <w:b/>
          <w:snapToGrid w:val="0"/>
          <w:spacing w:val="4"/>
          <w:kern w:val="0"/>
          <w:sz w:val="24"/>
          <w:szCs w:val="24"/>
        </w:rPr>
      </w:pPr>
      <w:r>
        <w:rPr>
          <w:rFonts w:hint="eastAsia" w:ascii="宋体" w:hAnsi="宋体" w:eastAsia="宋体" w:cs="宋体"/>
          <w:b/>
          <w:sz w:val="24"/>
          <w:szCs w:val="24"/>
          <w:lang w:val="en-US" w:eastAsia="zh-CN"/>
        </w:rPr>
        <w:t>二</w:t>
      </w:r>
      <w:r>
        <w:rPr>
          <w:rFonts w:hint="eastAsia" w:ascii="宋体" w:hAnsi="宋体" w:eastAsia="宋体" w:cs="宋体"/>
          <w:b/>
          <w:sz w:val="24"/>
          <w:szCs w:val="24"/>
        </w:rPr>
        <w:t>、</w:t>
      </w:r>
      <w:bookmarkStart w:id="83" w:name="_Toc14697672"/>
      <w:r>
        <w:rPr>
          <w:rFonts w:hint="eastAsia" w:ascii="宋体" w:hAnsi="宋体" w:eastAsia="宋体" w:cs="宋体"/>
          <w:b/>
          <w:sz w:val="24"/>
          <w:szCs w:val="24"/>
        </w:rPr>
        <w:t>项目管理目标</w:t>
      </w:r>
      <w:bookmarkEnd w:id="83"/>
    </w:p>
    <w:p>
      <w:pPr>
        <w:topLinePunct/>
        <w:adjustRightInd w:val="0"/>
        <w:snapToGrid w:val="0"/>
        <w:spacing w:line="360" w:lineRule="auto"/>
        <w:ind w:firstLine="498" w:firstLineChars="200"/>
        <w:rPr>
          <w:rFonts w:hint="eastAsia" w:ascii="宋体" w:hAnsi="宋体" w:eastAsia="宋体" w:cs="宋体"/>
          <w:b/>
          <w:spacing w:val="4"/>
          <w:kern w:val="0"/>
          <w:sz w:val="24"/>
          <w:szCs w:val="24"/>
        </w:rPr>
      </w:pPr>
      <w:r>
        <w:rPr>
          <w:rFonts w:hint="eastAsia" w:ascii="宋体" w:hAnsi="宋体" w:eastAsia="宋体" w:cs="宋体"/>
          <w:b/>
          <w:spacing w:val="4"/>
          <w:kern w:val="0"/>
          <w:sz w:val="24"/>
          <w:szCs w:val="24"/>
        </w:rPr>
        <w:t>（一）工期进度目标</w:t>
      </w:r>
    </w:p>
    <w:p>
      <w:pPr>
        <w:topLinePunct/>
        <w:adjustRightInd w:val="0"/>
        <w:snapToGrid w:val="0"/>
        <w:spacing w:line="360" w:lineRule="auto"/>
        <w:ind w:firstLine="496" w:firstLineChars="200"/>
        <w:rPr>
          <w:rFonts w:hint="eastAsia" w:ascii="宋体" w:hAnsi="宋体" w:eastAsia="宋体" w:cs="宋体"/>
          <w:snapToGrid w:val="0"/>
          <w:spacing w:val="4"/>
          <w:kern w:val="0"/>
          <w:sz w:val="24"/>
          <w:szCs w:val="24"/>
          <w:u w:val="none"/>
        </w:rPr>
      </w:pPr>
      <w:r>
        <w:rPr>
          <w:rFonts w:hint="eastAsia" w:ascii="宋体" w:hAnsi="宋体" w:eastAsia="宋体" w:cs="宋体"/>
          <w:snapToGrid w:val="0"/>
          <w:spacing w:val="4"/>
          <w:kern w:val="0"/>
          <w:sz w:val="24"/>
          <w:szCs w:val="24"/>
        </w:rPr>
        <w:t>本项目的总工期目标暂定：总工期</w:t>
      </w:r>
      <w:r>
        <w:rPr>
          <w:rFonts w:hint="eastAsia" w:ascii="宋体" w:hAnsi="宋体" w:eastAsia="宋体" w:cs="宋体"/>
          <w:snapToGrid w:val="0"/>
          <w:spacing w:val="4"/>
          <w:kern w:val="0"/>
          <w:sz w:val="24"/>
          <w:szCs w:val="24"/>
          <w:highlight w:val="none"/>
          <w:lang w:val="en-US" w:eastAsia="zh-CN"/>
        </w:rPr>
        <w:t>240</w:t>
      </w:r>
      <w:r>
        <w:rPr>
          <w:rFonts w:hint="eastAsia" w:ascii="宋体" w:hAnsi="宋体" w:eastAsia="宋体" w:cs="宋体"/>
          <w:snapToGrid w:val="0"/>
          <w:spacing w:val="4"/>
          <w:kern w:val="0"/>
          <w:sz w:val="24"/>
          <w:szCs w:val="24"/>
          <w:highlight w:val="none"/>
        </w:rPr>
        <w:t>日历</w:t>
      </w:r>
      <w:r>
        <w:rPr>
          <w:rFonts w:hint="eastAsia" w:ascii="宋体" w:hAnsi="宋体" w:eastAsia="宋体" w:cs="宋体"/>
          <w:snapToGrid w:val="0"/>
          <w:spacing w:val="4"/>
          <w:kern w:val="0"/>
          <w:sz w:val="24"/>
          <w:szCs w:val="24"/>
        </w:rPr>
        <w:t>天，</w:t>
      </w:r>
      <w:r>
        <w:rPr>
          <w:rFonts w:hint="eastAsia" w:ascii="宋体" w:hAnsi="宋体" w:eastAsia="宋体" w:cs="宋体"/>
          <w:snapToGrid w:val="0"/>
          <w:spacing w:val="4"/>
          <w:kern w:val="0"/>
          <w:sz w:val="24"/>
          <w:szCs w:val="24"/>
          <w:u w:val="none"/>
        </w:rPr>
        <w:t>具体开工时间以总监理工程师签署的开工令为准。</w:t>
      </w:r>
    </w:p>
    <w:p>
      <w:pPr>
        <w:topLinePunct/>
        <w:adjustRightInd w:val="0"/>
        <w:snapToGrid w:val="0"/>
        <w:spacing w:line="360" w:lineRule="auto"/>
        <w:ind w:firstLine="498" w:firstLineChars="200"/>
        <w:rPr>
          <w:rFonts w:hint="eastAsia" w:ascii="宋体" w:hAnsi="宋体" w:eastAsia="宋体" w:cs="宋体"/>
          <w:b/>
          <w:spacing w:val="4"/>
          <w:kern w:val="0"/>
          <w:sz w:val="24"/>
          <w:szCs w:val="24"/>
        </w:rPr>
      </w:pPr>
      <w:r>
        <w:rPr>
          <w:rFonts w:hint="eastAsia" w:ascii="宋体" w:hAnsi="宋体" w:eastAsia="宋体" w:cs="宋体"/>
          <w:b/>
          <w:spacing w:val="4"/>
          <w:kern w:val="0"/>
          <w:sz w:val="24"/>
          <w:szCs w:val="24"/>
        </w:rPr>
        <w:t>（二）质量目标</w:t>
      </w:r>
    </w:p>
    <w:p>
      <w:pPr>
        <w:widowControl/>
        <w:shd w:val="clear" w:color="auto" w:fill="FFFFFF"/>
        <w:topLinePunct w:val="0"/>
        <w:adjustRightInd/>
        <w:snapToGrid/>
        <w:spacing w:line="360" w:lineRule="auto"/>
        <w:ind w:firstLine="496" w:firstLineChars="200"/>
        <w:rPr>
          <w:rFonts w:hint="eastAsia" w:ascii="宋体" w:hAnsi="宋体" w:eastAsia="宋体" w:cs="宋体"/>
          <w:spacing w:val="4"/>
          <w:kern w:val="0"/>
          <w:sz w:val="24"/>
          <w:szCs w:val="24"/>
        </w:rPr>
      </w:pPr>
      <w:r>
        <w:rPr>
          <w:rFonts w:hint="eastAsia" w:ascii="宋体" w:hAnsi="宋体" w:eastAsia="宋体" w:cs="宋体"/>
          <w:b w:val="0"/>
          <w:spacing w:val="4"/>
          <w:kern w:val="0"/>
          <w:sz w:val="24"/>
          <w:szCs w:val="24"/>
        </w:rPr>
        <w:t>本项目施工、验收</w:t>
      </w:r>
      <w:r>
        <w:rPr>
          <w:rFonts w:hint="eastAsia" w:ascii="宋体" w:hAnsi="宋体" w:eastAsia="宋体" w:cs="宋体"/>
          <w:b w:val="0"/>
          <w:spacing w:val="4"/>
          <w:kern w:val="0"/>
          <w:sz w:val="24"/>
          <w:szCs w:val="24"/>
          <w:lang w:eastAsia="zh-CN"/>
        </w:rPr>
        <w:t>、</w:t>
      </w:r>
      <w:r>
        <w:rPr>
          <w:rFonts w:hint="eastAsia" w:ascii="宋体" w:hAnsi="宋体" w:eastAsia="宋体" w:cs="宋体"/>
          <w:b w:val="0"/>
          <w:spacing w:val="4"/>
          <w:kern w:val="0"/>
          <w:sz w:val="24"/>
          <w:szCs w:val="24"/>
          <w:lang w:val="en-US" w:eastAsia="zh-CN"/>
        </w:rPr>
        <w:t>结算全过程</w:t>
      </w:r>
      <w:r>
        <w:rPr>
          <w:rFonts w:hint="eastAsia" w:ascii="宋体" w:hAnsi="宋体" w:eastAsia="宋体" w:cs="宋体"/>
          <w:b w:val="0"/>
          <w:spacing w:val="4"/>
          <w:kern w:val="0"/>
          <w:sz w:val="24"/>
          <w:szCs w:val="24"/>
          <w:lang w:eastAsia="zh-CN"/>
        </w:rPr>
        <w:t>，</w:t>
      </w:r>
      <w:r>
        <w:rPr>
          <w:rFonts w:hint="eastAsia" w:ascii="宋体" w:hAnsi="宋体" w:eastAsia="宋体" w:cs="宋体"/>
          <w:b w:val="0"/>
          <w:spacing w:val="4"/>
          <w:kern w:val="0"/>
          <w:sz w:val="24"/>
          <w:szCs w:val="24"/>
        </w:rPr>
        <w:t>必须遵守现行中华人民共和国以及广东省、广州市或行业最新的工程建设标准及规范，且必须满足设计文件的相关要求；本工程实施中采用的材料、设备与工艺，都必须符合上述标准、规范及设计文件的相应要求。</w:t>
      </w:r>
    </w:p>
    <w:p>
      <w:pPr>
        <w:topLinePunct/>
        <w:adjustRightInd w:val="0"/>
        <w:snapToGrid w:val="0"/>
        <w:spacing w:line="360" w:lineRule="auto"/>
        <w:ind w:firstLine="498" w:firstLineChars="200"/>
        <w:rPr>
          <w:rFonts w:hint="eastAsia" w:ascii="宋体" w:hAnsi="宋体" w:eastAsia="宋体" w:cs="宋体"/>
          <w:b/>
          <w:bCs/>
          <w:spacing w:val="4"/>
          <w:kern w:val="0"/>
          <w:sz w:val="24"/>
          <w:szCs w:val="24"/>
        </w:rPr>
      </w:pPr>
      <w:r>
        <w:rPr>
          <w:rFonts w:hint="eastAsia" w:ascii="宋体" w:hAnsi="宋体" w:eastAsia="宋体" w:cs="宋体"/>
          <w:b/>
          <w:bCs/>
          <w:spacing w:val="4"/>
          <w:kern w:val="0"/>
          <w:sz w:val="24"/>
          <w:szCs w:val="24"/>
        </w:rPr>
        <w:t>（三）职业健康安全管理目标</w:t>
      </w:r>
    </w:p>
    <w:p>
      <w:pPr>
        <w:adjustRightInd w:val="0"/>
        <w:snapToGrid w:val="0"/>
        <w:spacing w:line="360" w:lineRule="auto"/>
        <w:ind w:right="11" w:firstLine="496" w:firstLineChars="200"/>
        <w:rPr>
          <w:rFonts w:hint="eastAsia" w:ascii="宋体" w:hAnsi="宋体" w:eastAsia="宋体" w:cs="宋体"/>
          <w:snapToGrid w:val="0"/>
          <w:spacing w:val="4"/>
          <w:kern w:val="0"/>
          <w:sz w:val="24"/>
          <w:szCs w:val="24"/>
        </w:rPr>
      </w:pPr>
      <w:r>
        <w:rPr>
          <w:rFonts w:hint="eastAsia" w:ascii="宋体" w:hAnsi="宋体" w:eastAsia="宋体" w:cs="宋体"/>
          <w:snapToGrid w:val="0"/>
          <w:spacing w:val="4"/>
          <w:kern w:val="0"/>
          <w:sz w:val="24"/>
          <w:szCs w:val="24"/>
        </w:rPr>
        <w:t>杜绝一般事故等级以上的伤亡事故且工伤责任事故死亡人数为零。</w:t>
      </w:r>
    </w:p>
    <w:p>
      <w:pPr>
        <w:adjustRightInd w:val="0"/>
        <w:snapToGrid w:val="0"/>
        <w:spacing w:line="360" w:lineRule="auto"/>
        <w:ind w:right="11" w:firstLine="498" w:firstLineChars="200"/>
        <w:rPr>
          <w:rFonts w:hint="eastAsia" w:ascii="宋体" w:hAnsi="宋体" w:eastAsia="宋体" w:cs="宋体"/>
          <w:b/>
          <w:bCs/>
          <w:spacing w:val="4"/>
          <w:kern w:val="0"/>
          <w:sz w:val="24"/>
          <w:szCs w:val="24"/>
        </w:rPr>
      </w:pPr>
      <w:r>
        <w:rPr>
          <w:rFonts w:hint="eastAsia" w:ascii="宋体" w:hAnsi="宋体" w:eastAsia="宋体" w:cs="宋体"/>
          <w:b/>
          <w:bCs/>
          <w:spacing w:val="4"/>
          <w:kern w:val="0"/>
          <w:sz w:val="24"/>
          <w:szCs w:val="24"/>
        </w:rPr>
        <w:t>（四）环境管理目标：</w:t>
      </w:r>
    </w:p>
    <w:p>
      <w:pPr>
        <w:adjustRightInd w:val="0"/>
        <w:snapToGrid w:val="0"/>
        <w:spacing w:line="360" w:lineRule="auto"/>
        <w:ind w:right="11" w:firstLine="496" w:firstLineChars="200"/>
        <w:rPr>
          <w:rFonts w:hint="eastAsia" w:ascii="宋体" w:hAnsi="宋体" w:eastAsia="宋体" w:cs="宋体"/>
          <w:bCs/>
          <w:snapToGrid w:val="0"/>
          <w:kern w:val="0"/>
          <w:sz w:val="24"/>
          <w:szCs w:val="24"/>
        </w:rPr>
      </w:pPr>
      <w:r>
        <w:rPr>
          <w:rFonts w:hint="eastAsia" w:ascii="宋体" w:hAnsi="宋体" w:eastAsia="宋体" w:cs="宋体"/>
          <w:snapToGrid w:val="0"/>
          <w:spacing w:val="4"/>
          <w:kern w:val="0"/>
          <w:sz w:val="24"/>
          <w:szCs w:val="24"/>
        </w:rPr>
        <w:t>严格执行</w:t>
      </w:r>
      <w:r>
        <w:rPr>
          <w:rFonts w:hint="eastAsia" w:ascii="宋体" w:hAnsi="宋体" w:eastAsia="宋体" w:cs="宋体"/>
          <w:bCs/>
          <w:snapToGrid w:val="0"/>
          <w:kern w:val="0"/>
          <w:sz w:val="24"/>
          <w:szCs w:val="24"/>
        </w:rPr>
        <w:t>国家、省、市现行工程施工环境管理的相关标准、规定和</w:t>
      </w:r>
      <w:r>
        <w:rPr>
          <w:rFonts w:hint="eastAsia" w:ascii="宋体" w:hAnsi="宋体" w:eastAsia="宋体" w:cs="宋体"/>
          <w:snapToGrid w:val="0"/>
          <w:spacing w:val="4"/>
          <w:kern w:val="0"/>
          <w:sz w:val="24"/>
          <w:szCs w:val="24"/>
        </w:rPr>
        <w:t>文件要求，确保噪声污染、扬尘污染等环境污染问题零投诉</w:t>
      </w:r>
      <w:r>
        <w:rPr>
          <w:rFonts w:hint="eastAsia" w:ascii="宋体" w:hAnsi="宋体" w:eastAsia="宋体" w:cs="宋体"/>
          <w:bCs/>
          <w:snapToGrid w:val="0"/>
          <w:kern w:val="0"/>
          <w:sz w:val="24"/>
          <w:szCs w:val="24"/>
        </w:rPr>
        <w:t>。</w:t>
      </w:r>
    </w:p>
    <w:p>
      <w:pPr>
        <w:adjustRightInd w:val="0"/>
        <w:snapToGrid w:val="0"/>
        <w:spacing w:line="360" w:lineRule="auto"/>
        <w:ind w:right="11" w:firstLine="498" w:firstLineChars="200"/>
        <w:rPr>
          <w:rFonts w:hint="eastAsia" w:ascii="宋体" w:hAnsi="宋体" w:eastAsia="宋体" w:cs="宋体"/>
          <w:b/>
          <w:bCs/>
          <w:snapToGrid w:val="0"/>
          <w:spacing w:val="4"/>
          <w:kern w:val="0"/>
          <w:sz w:val="24"/>
          <w:szCs w:val="24"/>
        </w:rPr>
      </w:pPr>
      <w:r>
        <w:rPr>
          <w:rFonts w:hint="eastAsia" w:ascii="宋体" w:hAnsi="宋体" w:eastAsia="宋体" w:cs="宋体"/>
          <w:b/>
          <w:bCs/>
          <w:snapToGrid w:val="0"/>
          <w:spacing w:val="4"/>
          <w:kern w:val="0"/>
          <w:sz w:val="24"/>
          <w:szCs w:val="24"/>
        </w:rPr>
        <w:t>（五）投资控制（结算）目标</w:t>
      </w:r>
    </w:p>
    <w:p>
      <w:pPr>
        <w:topLinePunct/>
        <w:adjustRightInd w:val="0"/>
        <w:snapToGrid w:val="0"/>
        <w:spacing w:line="360" w:lineRule="auto"/>
        <w:ind w:firstLine="496" w:firstLineChars="200"/>
        <w:rPr>
          <w:rFonts w:hint="eastAsia" w:ascii="宋体" w:hAnsi="宋体" w:eastAsia="宋体" w:cs="宋体"/>
          <w:spacing w:val="4"/>
          <w:kern w:val="0"/>
          <w:sz w:val="24"/>
          <w:szCs w:val="24"/>
        </w:rPr>
      </w:pPr>
      <w:r>
        <w:rPr>
          <w:rFonts w:hint="eastAsia" w:ascii="宋体" w:hAnsi="宋体" w:eastAsia="宋体" w:cs="宋体"/>
          <w:spacing w:val="4"/>
          <w:kern w:val="0"/>
          <w:sz w:val="24"/>
          <w:szCs w:val="24"/>
        </w:rPr>
        <w:t>投资控制目标：结算金额控制在合同价以内。</w:t>
      </w:r>
    </w:p>
    <w:p>
      <w:pPr>
        <w:topLinePunct/>
        <w:adjustRightInd w:val="0"/>
        <w:snapToGrid w:val="0"/>
        <w:spacing w:before="156" w:beforeLines="50" w:after="156" w:afterLines="50" w:line="360" w:lineRule="auto"/>
        <w:outlineLvl w:val="1"/>
        <w:rPr>
          <w:rFonts w:hint="eastAsia" w:ascii="宋体" w:hAnsi="宋体" w:eastAsia="宋体" w:cs="宋体"/>
          <w:b/>
          <w:sz w:val="24"/>
          <w:szCs w:val="24"/>
        </w:rPr>
      </w:pPr>
      <w:bookmarkStart w:id="84" w:name="_Toc14697674"/>
      <w:r>
        <w:rPr>
          <w:rFonts w:hint="eastAsia" w:ascii="宋体" w:hAnsi="宋体" w:eastAsia="宋体" w:cs="宋体"/>
          <w:b/>
          <w:sz w:val="24"/>
          <w:szCs w:val="24"/>
          <w:lang w:val="en-US" w:eastAsia="zh-CN"/>
        </w:rPr>
        <w:t>三</w:t>
      </w:r>
      <w:r>
        <w:rPr>
          <w:rFonts w:hint="eastAsia" w:ascii="宋体" w:hAnsi="宋体" w:eastAsia="宋体" w:cs="宋体"/>
          <w:b/>
          <w:sz w:val="24"/>
          <w:szCs w:val="24"/>
        </w:rPr>
        <w:t>、项目管理要求</w:t>
      </w:r>
      <w:bookmarkEnd w:id="84"/>
    </w:p>
    <w:p>
      <w:pPr>
        <w:adjustRightInd w:val="0"/>
        <w:snapToGrid w:val="0"/>
        <w:spacing w:line="360" w:lineRule="auto"/>
        <w:ind w:right="11" w:firstLine="498" w:firstLineChars="200"/>
        <w:rPr>
          <w:rFonts w:hint="eastAsia" w:ascii="宋体" w:hAnsi="宋体" w:eastAsia="宋体" w:cs="宋体"/>
          <w:b/>
          <w:bCs/>
          <w:snapToGrid w:val="0"/>
          <w:spacing w:val="4"/>
          <w:kern w:val="0"/>
          <w:sz w:val="24"/>
          <w:szCs w:val="24"/>
        </w:rPr>
      </w:pPr>
      <w:bookmarkStart w:id="85" w:name="_Toc14697675"/>
      <w:r>
        <w:rPr>
          <w:rFonts w:hint="eastAsia" w:ascii="宋体" w:hAnsi="宋体" w:eastAsia="宋体" w:cs="宋体"/>
          <w:b/>
          <w:bCs/>
          <w:snapToGrid w:val="0"/>
          <w:spacing w:val="4"/>
          <w:kern w:val="0"/>
          <w:sz w:val="24"/>
          <w:szCs w:val="24"/>
        </w:rPr>
        <w:t>（一）专业工程实施能力要求</w:t>
      </w:r>
      <w:bookmarkEnd w:id="85"/>
    </w:p>
    <w:p>
      <w:pPr>
        <w:topLinePunct/>
        <w:adjustRightInd w:val="0"/>
        <w:snapToGrid w:val="0"/>
        <w:spacing w:line="360" w:lineRule="auto"/>
        <w:ind w:firstLine="567" w:firstLineChars="229"/>
        <w:jc w:val="left"/>
        <w:rPr>
          <w:rFonts w:hint="eastAsia" w:ascii="宋体" w:hAnsi="宋体" w:eastAsia="宋体" w:cs="宋体"/>
          <w:spacing w:val="4"/>
          <w:kern w:val="0"/>
          <w:sz w:val="24"/>
          <w:szCs w:val="24"/>
        </w:rPr>
      </w:pPr>
      <w:r>
        <w:rPr>
          <w:rFonts w:hint="eastAsia" w:ascii="宋体" w:hAnsi="宋体" w:eastAsia="宋体" w:cs="宋体"/>
          <w:spacing w:val="4"/>
          <w:kern w:val="0"/>
          <w:sz w:val="24"/>
          <w:szCs w:val="24"/>
        </w:rPr>
        <w:t>本项目包含地基与基础分部工程、主体结构分部工程、建筑装饰装修工程、建筑屋面工程、机电安装分部工程、</w:t>
      </w:r>
      <w:r>
        <w:rPr>
          <w:rFonts w:hint="eastAsia" w:ascii="宋体" w:hAnsi="宋体" w:eastAsia="宋体" w:cs="宋体"/>
          <w:spacing w:val="4"/>
          <w:kern w:val="0"/>
          <w:sz w:val="24"/>
          <w:szCs w:val="24"/>
          <w:lang w:val="en-US" w:eastAsia="zh-CN"/>
        </w:rPr>
        <w:t>给排水分部</w:t>
      </w:r>
      <w:r>
        <w:rPr>
          <w:rFonts w:hint="eastAsia" w:ascii="宋体" w:hAnsi="宋体" w:eastAsia="宋体" w:cs="宋体"/>
          <w:spacing w:val="4"/>
          <w:kern w:val="0"/>
          <w:sz w:val="24"/>
          <w:szCs w:val="24"/>
        </w:rPr>
        <w:t>工程</w:t>
      </w:r>
      <w:r>
        <w:rPr>
          <w:rFonts w:hint="eastAsia" w:ascii="宋体" w:hAnsi="宋体" w:eastAsia="宋体" w:cs="宋体"/>
          <w:spacing w:val="4"/>
          <w:kern w:val="0"/>
          <w:sz w:val="24"/>
          <w:szCs w:val="24"/>
          <w:lang w:eastAsia="zh-CN"/>
        </w:rPr>
        <w:t>、</w:t>
      </w:r>
      <w:r>
        <w:rPr>
          <w:rFonts w:hint="eastAsia" w:ascii="宋体" w:hAnsi="宋体" w:eastAsia="宋体" w:cs="宋体"/>
          <w:spacing w:val="4"/>
          <w:kern w:val="0"/>
          <w:sz w:val="24"/>
          <w:szCs w:val="24"/>
          <w:lang w:val="en-US" w:eastAsia="zh-CN"/>
        </w:rPr>
        <w:t>道路园建绿化工程</w:t>
      </w:r>
      <w:r>
        <w:rPr>
          <w:rFonts w:hint="eastAsia" w:ascii="宋体" w:hAnsi="宋体" w:eastAsia="宋体" w:cs="宋体"/>
          <w:spacing w:val="4"/>
          <w:kern w:val="0"/>
          <w:sz w:val="24"/>
          <w:szCs w:val="24"/>
        </w:rPr>
        <w:t>等</w:t>
      </w:r>
      <w:r>
        <w:rPr>
          <w:rFonts w:hint="eastAsia" w:ascii="宋体" w:hAnsi="宋体" w:eastAsia="宋体" w:cs="宋体"/>
          <w:spacing w:val="4"/>
          <w:kern w:val="0"/>
          <w:sz w:val="24"/>
          <w:szCs w:val="24"/>
          <w:lang w:eastAsia="zh-CN"/>
        </w:rPr>
        <w:t>，</w:t>
      </w:r>
      <w:r>
        <w:rPr>
          <w:rFonts w:hint="eastAsia" w:ascii="宋体" w:hAnsi="宋体" w:eastAsia="宋体" w:cs="宋体"/>
          <w:spacing w:val="4"/>
          <w:kern w:val="0"/>
          <w:sz w:val="24"/>
          <w:szCs w:val="24"/>
        </w:rPr>
        <w:t>中标人须具备完成上述专业工程的能力。否则，中标人须根据国家、住房和城乡建设部和省市相关规定委托给具备相应专业承包能力且经发包人、监理人共同认可的专业承包单位实施（主体结构分部工程除外），中标单位在选定专业分包单位时，应择优选择至少三家具有资质的专业分包单位供发包人、监理人考察和评审。</w:t>
      </w:r>
    </w:p>
    <w:p>
      <w:pPr>
        <w:adjustRightInd w:val="0"/>
        <w:snapToGrid w:val="0"/>
        <w:spacing w:line="360" w:lineRule="auto"/>
        <w:ind w:right="11" w:firstLine="498" w:firstLineChars="200"/>
        <w:rPr>
          <w:rFonts w:hint="eastAsia" w:ascii="宋体" w:hAnsi="宋体" w:eastAsia="宋体" w:cs="宋体"/>
          <w:b/>
          <w:bCs/>
          <w:snapToGrid w:val="0"/>
          <w:spacing w:val="4"/>
          <w:kern w:val="0"/>
          <w:sz w:val="24"/>
          <w:szCs w:val="24"/>
        </w:rPr>
      </w:pPr>
      <w:bookmarkStart w:id="86" w:name="_Toc14697676"/>
      <w:r>
        <w:rPr>
          <w:rFonts w:hint="eastAsia" w:ascii="宋体" w:hAnsi="宋体" w:eastAsia="宋体" w:cs="宋体"/>
          <w:b/>
          <w:bCs/>
          <w:snapToGrid w:val="0"/>
          <w:spacing w:val="4"/>
          <w:kern w:val="0"/>
          <w:sz w:val="24"/>
          <w:szCs w:val="24"/>
          <w:lang w:eastAsia="zh-CN"/>
        </w:rPr>
        <w:t>（</w:t>
      </w:r>
      <w:r>
        <w:rPr>
          <w:rFonts w:hint="eastAsia" w:ascii="宋体" w:hAnsi="宋体" w:eastAsia="宋体" w:cs="宋体"/>
          <w:b/>
          <w:bCs/>
          <w:snapToGrid w:val="0"/>
          <w:spacing w:val="4"/>
          <w:kern w:val="0"/>
          <w:sz w:val="24"/>
          <w:szCs w:val="24"/>
          <w:lang w:val="en-US" w:eastAsia="zh-CN"/>
        </w:rPr>
        <w:t>二</w:t>
      </w:r>
      <w:r>
        <w:rPr>
          <w:rFonts w:hint="eastAsia" w:ascii="宋体" w:hAnsi="宋体" w:eastAsia="宋体" w:cs="宋体"/>
          <w:b/>
          <w:bCs/>
          <w:snapToGrid w:val="0"/>
          <w:spacing w:val="4"/>
          <w:kern w:val="0"/>
          <w:sz w:val="24"/>
          <w:szCs w:val="24"/>
          <w:lang w:eastAsia="zh-CN"/>
        </w:rPr>
        <w:t>）</w:t>
      </w:r>
      <w:r>
        <w:rPr>
          <w:rFonts w:hint="eastAsia" w:ascii="宋体" w:hAnsi="宋体" w:eastAsia="宋体" w:cs="宋体"/>
          <w:b/>
          <w:bCs/>
          <w:snapToGrid w:val="0"/>
          <w:spacing w:val="4"/>
          <w:kern w:val="0"/>
          <w:sz w:val="24"/>
          <w:szCs w:val="24"/>
        </w:rPr>
        <w:t>深化设计管理要求</w:t>
      </w:r>
      <w:bookmarkEnd w:id="86"/>
    </w:p>
    <w:p>
      <w:pPr>
        <w:topLinePunct/>
        <w:adjustRightInd w:val="0"/>
        <w:snapToGrid w:val="0"/>
        <w:spacing w:line="360" w:lineRule="auto"/>
        <w:ind w:firstLine="567" w:firstLineChars="229"/>
        <w:jc w:val="left"/>
        <w:rPr>
          <w:rFonts w:hint="eastAsia" w:ascii="宋体" w:hAnsi="宋体" w:eastAsia="宋体" w:cs="宋体"/>
          <w:spacing w:val="4"/>
          <w:kern w:val="0"/>
          <w:sz w:val="24"/>
          <w:szCs w:val="24"/>
        </w:rPr>
      </w:pPr>
      <w:r>
        <w:rPr>
          <w:rFonts w:hint="eastAsia" w:ascii="宋体" w:hAnsi="宋体" w:eastAsia="宋体" w:cs="宋体"/>
          <w:spacing w:val="4"/>
          <w:kern w:val="0"/>
          <w:sz w:val="24"/>
          <w:szCs w:val="24"/>
        </w:rPr>
        <w:t>（1）深化设计内容。根据项目实际情况需进行深化设计的专业工程，具体以发包人、监理人要求为准。</w:t>
      </w:r>
    </w:p>
    <w:p>
      <w:pPr>
        <w:topLinePunct/>
        <w:adjustRightInd w:val="0"/>
        <w:snapToGrid w:val="0"/>
        <w:spacing w:line="360" w:lineRule="auto"/>
        <w:ind w:firstLine="567" w:firstLineChars="229"/>
        <w:jc w:val="left"/>
        <w:rPr>
          <w:rFonts w:hint="eastAsia" w:ascii="宋体" w:hAnsi="宋体" w:eastAsia="宋体" w:cs="宋体"/>
          <w:spacing w:val="4"/>
          <w:kern w:val="0"/>
          <w:sz w:val="24"/>
          <w:szCs w:val="24"/>
        </w:rPr>
      </w:pPr>
      <w:r>
        <w:rPr>
          <w:rFonts w:hint="eastAsia" w:ascii="宋体" w:hAnsi="宋体" w:eastAsia="宋体" w:cs="宋体"/>
          <w:spacing w:val="4"/>
          <w:kern w:val="0"/>
          <w:sz w:val="24"/>
          <w:szCs w:val="24"/>
        </w:rPr>
        <w:t>（2）深化设计能力要求。承包人应具备相应的专业工程深化设计能力及深化设计业绩，如承包人不具备，则应经发包人同意依法委托给具有相应能力的单位实施。</w:t>
      </w:r>
    </w:p>
    <w:p>
      <w:pPr>
        <w:topLinePunct/>
        <w:adjustRightInd w:val="0"/>
        <w:snapToGrid w:val="0"/>
        <w:spacing w:line="360" w:lineRule="auto"/>
        <w:ind w:firstLine="567" w:firstLineChars="229"/>
        <w:jc w:val="left"/>
        <w:rPr>
          <w:rFonts w:hint="eastAsia" w:ascii="宋体" w:hAnsi="宋体" w:eastAsia="宋体" w:cs="宋体"/>
          <w:spacing w:val="4"/>
          <w:kern w:val="0"/>
          <w:sz w:val="24"/>
          <w:szCs w:val="24"/>
        </w:rPr>
      </w:pPr>
      <w:r>
        <w:rPr>
          <w:rFonts w:hint="eastAsia" w:ascii="宋体" w:hAnsi="宋体" w:eastAsia="宋体" w:cs="宋体"/>
          <w:spacing w:val="4"/>
          <w:kern w:val="0"/>
          <w:sz w:val="24"/>
          <w:szCs w:val="24"/>
        </w:rPr>
        <w:t>（3）深化设计工作要点</w:t>
      </w:r>
    </w:p>
    <w:p>
      <w:pPr>
        <w:topLinePunct/>
        <w:adjustRightInd w:val="0"/>
        <w:snapToGrid w:val="0"/>
        <w:spacing w:line="360" w:lineRule="auto"/>
        <w:ind w:firstLine="567" w:firstLineChars="229"/>
        <w:jc w:val="left"/>
        <w:rPr>
          <w:rFonts w:hint="eastAsia" w:ascii="宋体" w:hAnsi="宋体" w:eastAsia="宋体" w:cs="宋体"/>
          <w:spacing w:val="4"/>
          <w:kern w:val="0"/>
          <w:sz w:val="24"/>
          <w:szCs w:val="24"/>
        </w:rPr>
      </w:pPr>
      <w:r>
        <w:rPr>
          <w:rFonts w:hint="eastAsia" w:ascii="宋体" w:hAnsi="宋体" w:eastAsia="宋体" w:cs="宋体"/>
          <w:spacing w:val="4"/>
          <w:kern w:val="0"/>
          <w:sz w:val="24"/>
          <w:szCs w:val="24"/>
        </w:rPr>
        <w:t>①深化设计是在不改变原施工图设计功能、结构体系和设计意图的前提下，以提高施工图的可操作性和便于施工为目的，对施工图进行深化、优化和完善、力求节约投资的技术工作。有关费用已包含在合同总价中。</w:t>
      </w:r>
    </w:p>
    <w:p>
      <w:pPr>
        <w:topLinePunct/>
        <w:adjustRightInd w:val="0"/>
        <w:snapToGrid w:val="0"/>
        <w:spacing w:line="360" w:lineRule="auto"/>
        <w:ind w:firstLine="567" w:firstLineChars="229"/>
        <w:jc w:val="left"/>
        <w:rPr>
          <w:rFonts w:hint="eastAsia" w:ascii="宋体" w:hAnsi="宋体" w:eastAsia="宋体" w:cs="宋体"/>
          <w:spacing w:val="4"/>
          <w:kern w:val="0"/>
          <w:sz w:val="24"/>
          <w:szCs w:val="24"/>
        </w:rPr>
      </w:pPr>
      <w:r>
        <w:rPr>
          <w:rFonts w:hint="eastAsia" w:ascii="宋体" w:hAnsi="宋体" w:eastAsia="宋体" w:cs="宋体"/>
          <w:spacing w:val="4"/>
          <w:kern w:val="0"/>
          <w:sz w:val="24"/>
          <w:szCs w:val="24"/>
        </w:rPr>
        <w:t>②承包人进行深化设计时，应以设计院出的设计图纸为依据，如没有合理的原因，不能进行改动；深化设计图纸报经监理人和发包人同意批准后，报经设计单位进行审核同意后方可实施，没有以上设计单位盖章，所出深化设计图纸不能作为施工图纸。如承包人的深化设计图纸达不到要求，发包人有权要求承包人对深化设计人员进行调整更换或另委托深化设计单位。</w:t>
      </w:r>
    </w:p>
    <w:p>
      <w:pPr>
        <w:topLinePunct/>
        <w:adjustRightInd w:val="0"/>
        <w:snapToGrid w:val="0"/>
        <w:spacing w:line="360" w:lineRule="auto"/>
        <w:ind w:firstLine="567" w:firstLineChars="229"/>
        <w:jc w:val="left"/>
        <w:rPr>
          <w:rFonts w:hint="eastAsia" w:ascii="宋体" w:hAnsi="宋体" w:eastAsia="宋体" w:cs="宋体"/>
          <w:spacing w:val="4"/>
          <w:kern w:val="0"/>
          <w:sz w:val="24"/>
          <w:szCs w:val="24"/>
        </w:rPr>
      </w:pPr>
      <w:r>
        <w:rPr>
          <w:rFonts w:hint="eastAsia" w:ascii="宋体" w:hAnsi="宋体" w:eastAsia="宋体" w:cs="宋体"/>
          <w:spacing w:val="4"/>
          <w:kern w:val="0"/>
          <w:sz w:val="24"/>
          <w:szCs w:val="24"/>
        </w:rPr>
        <w:t>③深化设计选用的材料厂家及品牌应是承包人参考招标文件《主要设备材料品牌/生产厂家推荐表》列明的材料厂家及品牌。在工程实施过程中，如经发包人考察，投标人选用的材料不满足工程需要，发包人有权在《主要设备材料品牌/生产厂家推荐表》中选择满足规定的材料厂家及品牌，合同价款不作调整。</w:t>
      </w:r>
    </w:p>
    <w:p>
      <w:pPr>
        <w:topLinePunct/>
        <w:adjustRightInd w:val="0"/>
        <w:snapToGrid w:val="0"/>
        <w:spacing w:line="360" w:lineRule="auto"/>
        <w:ind w:firstLine="567" w:firstLineChars="229"/>
        <w:jc w:val="left"/>
        <w:rPr>
          <w:rFonts w:hint="eastAsia" w:ascii="宋体" w:hAnsi="宋体" w:eastAsia="宋体" w:cs="宋体"/>
          <w:spacing w:val="4"/>
          <w:kern w:val="0"/>
          <w:sz w:val="24"/>
          <w:szCs w:val="24"/>
        </w:rPr>
      </w:pPr>
      <w:r>
        <w:rPr>
          <w:rFonts w:hint="eastAsia" w:ascii="宋体" w:hAnsi="宋体" w:eastAsia="宋体" w:cs="宋体"/>
          <w:spacing w:val="4"/>
          <w:kern w:val="0"/>
          <w:sz w:val="24"/>
          <w:szCs w:val="24"/>
        </w:rPr>
        <w:t>④深化设计须结合施工工艺要求，与各相关专业工程充分沟通，不得影响其他专业或系统的结构体系和使用功能等。</w:t>
      </w:r>
    </w:p>
    <w:p>
      <w:pPr>
        <w:topLinePunct/>
        <w:adjustRightInd w:val="0"/>
        <w:snapToGrid w:val="0"/>
        <w:spacing w:line="360" w:lineRule="auto"/>
        <w:ind w:firstLine="567" w:firstLineChars="229"/>
        <w:jc w:val="left"/>
        <w:rPr>
          <w:rFonts w:hint="eastAsia" w:ascii="宋体" w:hAnsi="宋体" w:eastAsia="宋体" w:cs="宋体"/>
          <w:spacing w:val="4"/>
          <w:kern w:val="0"/>
          <w:sz w:val="24"/>
          <w:szCs w:val="24"/>
        </w:rPr>
      </w:pPr>
      <w:r>
        <w:rPr>
          <w:rFonts w:hint="eastAsia" w:ascii="宋体" w:hAnsi="宋体" w:eastAsia="宋体" w:cs="宋体"/>
          <w:spacing w:val="4"/>
          <w:kern w:val="0"/>
          <w:sz w:val="24"/>
          <w:szCs w:val="24"/>
        </w:rPr>
        <w:t>⑤除节点设计和装配损耗之外，任何影响主要材料用量的设计变更或深化设计，承包人只有建议权，承包人有责任提出包括安全性、稳定性、合理性的设计调整方案，报设计单位审核，最后报发包人批准后由设计单位出具正式的优化设计图纸和设计变更，否则由此引起的增加造价由承包人承担。为方便施工的节点设计和装配损耗等导致的材料用量增加等由承包人承担，发包人不另行增加费用。</w:t>
      </w:r>
    </w:p>
    <w:p>
      <w:pPr>
        <w:topLinePunct/>
        <w:adjustRightInd w:val="0"/>
        <w:snapToGrid w:val="0"/>
        <w:spacing w:line="360" w:lineRule="auto"/>
        <w:ind w:firstLine="567" w:firstLineChars="229"/>
        <w:jc w:val="left"/>
        <w:rPr>
          <w:rFonts w:hint="eastAsia" w:ascii="宋体" w:hAnsi="宋体" w:eastAsia="宋体" w:cs="宋体"/>
          <w:spacing w:val="4"/>
          <w:kern w:val="0"/>
          <w:sz w:val="24"/>
          <w:szCs w:val="24"/>
        </w:rPr>
      </w:pPr>
      <w:r>
        <w:rPr>
          <w:rFonts w:hint="eastAsia" w:ascii="宋体" w:hAnsi="宋体" w:eastAsia="宋体" w:cs="宋体"/>
          <w:spacing w:val="4"/>
          <w:kern w:val="0"/>
          <w:sz w:val="24"/>
          <w:szCs w:val="24"/>
        </w:rPr>
        <w:t>⑥深化设计的计量计价原则：在满足招标技术要求的前提下，深化设计引起的材质、参数（含规格、型号等)的调整均不作为调价的依据。</w:t>
      </w:r>
    </w:p>
    <w:p>
      <w:pPr>
        <w:topLinePunct/>
        <w:adjustRightInd w:val="0"/>
        <w:snapToGrid w:val="0"/>
        <w:spacing w:line="360" w:lineRule="auto"/>
        <w:ind w:firstLine="567" w:firstLineChars="229"/>
        <w:jc w:val="left"/>
        <w:rPr>
          <w:rFonts w:hint="eastAsia" w:ascii="宋体" w:hAnsi="宋体" w:eastAsia="宋体" w:cs="宋体"/>
          <w:spacing w:val="4"/>
          <w:kern w:val="0"/>
          <w:sz w:val="24"/>
          <w:szCs w:val="24"/>
        </w:rPr>
      </w:pPr>
      <w:r>
        <w:rPr>
          <w:rFonts w:hint="eastAsia" w:ascii="宋体" w:hAnsi="宋体" w:eastAsia="宋体" w:cs="宋体"/>
          <w:spacing w:val="4"/>
          <w:kern w:val="0"/>
          <w:sz w:val="24"/>
          <w:szCs w:val="24"/>
        </w:rPr>
        <w:t>⑦根据本项目的特点，承包人需对深化设计进度、质量作出明确承诺，如承包人未能按进度计划或质量完成深化设计，影响到工程质量或工期时将承担合同相应的违约责任。</w:t>
      </w:r>
    </w:p>
    <w:p>
      <w:pPr>
        <w:topLinePunct/>
        <w:adjustRightInd w:val="0"/>
        <w:snapToGrid w:val="0"/>
        <w:spacing w:line="360" w:lineRule="auto"/>
        <w:ind w:firstLine="567" w:firstLineChars="229"/>
        <w:jc w:val="left"/>
        <w:rPr>
          <w:rFonts w:hint="eastAsia" w:ascii="宋体" w:hAnsi="宋体" w:eastAsia="宋体" w:cs="宋体"/>
          <w:spacing w:val="4"/>
          <w:kern w:val="0"/>
          <w:sz w:val="24"/>
          <w:szCs w:val="24"/>
        </w:rPr>
      </w:pPr>
      <w:r>
        <w:rPr>
          <w:rFonts w:hint="eastAsia" w:ascii="宋体" w:hAnsi="宋体" w:eastAsia="宋体" w:cs="宋体"/>
          <w:spacing w:val="4"/>
          <w:kern w:val="0"/>
          <w:sz w:val="24"/>
          <w:szCs w:val="24"/>
        </w:rPr>
        <w:t>（4）深化设计工作流程</w:t>
      </w:r>
    </w:p>
    <w:p>
      <w:pPr>
        <w:topLinePunct/>
        <w:adjustRightInd w:val="0"/>
        <w:snapToGrid w:val="0"/>
        <w:spacing w:line="360" w:lineRule="auto"/>
        <w:ind w:firstLine="567" w:firstLineChars="229"/>
        <w:jc w:val="left"/>
        <w:rPr>
          <w:rFonts w:hint="eastAsia" w:ascii="宋体" w:hAnsi="宋体" w:eastAsia="宋体" w:cs="宋体"/>
          <w:spacing w:val="4"/>
          <w:kern w:val="0"/>
          <w:sz w:val="24"/>
          <w:szCs w:val="24"/>
        </w:rPr>
      </w:pPr>
      <w:r>
        <w:rPr>
          <w:rFonts w:hint="eastAsia" w:ascii="宋体" w:hAnsi="宋体" w:eastAsia="宋体" w:cs="宋体"/>
          <w:spacing w:val="4"/>
          <w:kern w:val="0"/>
          <w:sz w:val="24"/>
          <w:szCs w:val="24"/>
        </w:rPr>
        <w:t>①深化设计工作方案报审：中标后，深化设计工作开展前，承包人须报深化设计工作方案给监理单位、发包人审核，审核通过后方可正式开展深化设计工作。深化设计工作方案包括但不限于深化设计人员（含驻场设计人员）、深化设计的工作计划及具体的深化设计管理实施方案、工作流程。</w:t>
      </w:r>
    </w:p>
    <w:p>
      <w:pPr>
        <w:topLinePunct/>
        <w:adjustRightInd w:val="0"/>
        <w:snapToGrid w:val="0"/>
        <w:spacing w:line="360" w:lineRule="auto"/>
        <w:ind w:firstLine="567" w:firstLineChars="229"/>
        <w:jc w:val="left"/>
        <w:rPr>
          <w:rFonts w:hint="eastAsia" w:ascii="宋体" w:hAnsi="宋体" w:eastAsia="宋体" w:cs="宋体"/>
          <w:spacing w:val="4"/>
          <w:kern w:val="0"/>
          <w:sz w:val="24"/>
          <w:szCs w:val="24"/>
        </w:rPr>
      </w:pPr>
      <w:r>
        <w:rPr>
          <w:rFonts w:hint="eastAsia" w:ascii="宋体" w:hAnsi="宋体" w:eastAsia="宋体" w:cs="宋体"/>
          <w:spacing w:val="4"/>
          <w:kern w:val="0"/>
          <w:sz w:val="24"/>
          <w:szCs w:val="24"/>
        </w:rPr>
        <w:t>②深化设计工作开展：深化设计须由承包人深化设计负责人统筹安排各项工作，并随时接受监理单位、发包人及设计单位的监督检查。</w:t>
      </w:r>
    </w:p>
    <w:p>
      <w:pPr>
        <w:topLinePunct/>
        <w:adjustRightInd w:val="0"/>
        <w:snapToGrid w:val="0"/>
        <w:spacing w:line="360" w:lineRule="auto"/>
        <w:ind w:firstLine="567" w:firstLineChars="229"/>
        <w:jc w:val="left"/>
        <w:rPr>
          <w:rFonts w:hint="eastAsia" w:ascii="宋体" w:hAnsi="宋体" w:eastAsia="宋体" w:cs="宋体"/>
          <w:spacing w:val="4"/>
          <w:kern w:val="0"/>
          <w:sz w:val="24"/>
          <w:szCs w:val="24"/>
        </w:rPr>
      </w:pPr>
      <w:r>
        <w:rPr>
          <w:rFonts w:hint="eastAsia" w:ascii="宋体" w:hAnsi="宋体" w:eastAsia="宋体" w:cs="宋体"/>
          <w:spacing w:val="4"/>
          <w:kern w:val="0"/>
          <w:sz w:val="24"/>
          <w:szCs w:val="24"/>
        </w:rPr>
        <w:t>③深化设计文件审核：深化设计图纸（含造价文件）完成后，报主体设计单位(原设计单位)、监理单位、发包人审核，并根据修改意见相应调整深化设计图纸。</w:t>
      </w:r>
    </w:p>
    <w:p>
      <w:pPr>
        <w:topLinePunct/>
        <w:adjustRightInd w:val="0"/>
        <w:snapToGrid w:val="0"/>
        <w:spacing w:line="360" w:lineRule="auto"/>
        <w:ind w:firstLine="567" w:firstLineChars="229"/>
        <w:jc w:val="left"/>
        <w:rPr>
          <w:rFonts w:hint="eastAsia" w:ascii="宋体" w:hAnsi="宋体" w:eastAsia="宋体" w:cs="宋体"/>
          <w:spacing w:val="4"/>
          <w:kern w:val="0"/>
          <w:sz w:val="24"/>
          <w:szCs w:val="24"/>
        </w:rPr>
      </w:pPr>
      <w:r>
        <w:rPr>
          <w:rFonts w:hint="eastAsia" w:ascii="宋体" w:hAnsi="宋体" w:eastAsia="宋体" w:cs="宋体"/>
          <w:spacing w:val="4"/>
          <w:kern w:val="0"/>
          <w:sz w:val="24"/>
          <w:szCs w:val="24"/>
        </w:rPr>
        <w:t>④深化设计图纸审批：施工图审查合格并经发包人及项目业主审批同意后，作为施工图实施。深化设计图纸份数根据监理工程师要求，原则上不少于10份。</w:t>
      </w:r>
    </w:p>
    <w:p>
      <w:pPr>
        <w:topLinePunct/>
        <w:adjustRightInd w:val="0"/>
        <w:snapToGrid w:val="0"/>
        <w:spacing w:line="360" w:lineRule="auto"/>
        <w:ind w:firstLine="567" w:firstLineChars="229"/>
        <w:jc w:val="left"/>
        <w:rPr>
          <w:rFonts w:hint="eastAsia" w:ascii="宋体" w:hAnsi="宋体" w:eastAsia="宋体" w:cs="宋体"/>
          <w:spacing w:val="4"/>
          <w:kern w:val="0"/>
          <w:sz w:val="24"/>
          <w:szCs w:val="24"/>
        </w:rPr>
      </w:pPr>
      <w:r>
        <w:rPr>
          <w:rFonts w:hint="eastAsia" w:ascii="宋体" w:hAnsi="宋体" w:eastAsia="宋体" w:cs="宋体"/>
          <w:spacing w:val="4"/>
          <w:kern w:val="0"/>
          <w:sz w:val="24"/>
          <w:szCs w:val="24"/>
        </w:rPr>
        <w:t>⑤技术交底及图纸会审：深化设计图纸和文件经过审核确认后，应进行相应技术交底及图纸会审。</w:t>
      </w:r>
    </w:p>
    <w:p>
      <w:pPr>
        <w:adjustRightInd w:val="0"/>
        <w:snapToGrid w:val="0"/>
        <w:spacing w:line="360" w:lineRule="auto"/>
        <w:ind w:right="11" w:firstLine="498" w:firstLineChars="200"/>
        <w:rPr>
          <w:rFonts w:hint="eastAsia" w:ascii="宋体" w:hAnsi="宋体" w:eastAsia="宋体" w:cs="宋体"/>
          <w:b/>
          <w:bCs/>
          <w:snapToGrid w:val="0"/>
          <w:spacing w:val="4"/>
          <w:kern w:val="0"/>
          <w:sz w:val="24"/>
          <w:szCs w:val="24"/>
          <w:lang w:eastAsia="zh-CN"/>
        </w:rPr>
      </w:pPr>
      <w:bookmarkStart w:id="87" w:name="_Toc14697677"/>
      <w:r>
        <w:rPr>
          <w:rFonts w:hint="eastAsia" w:ascii="宋体" w:hAnsi="宋体" w:eastAsia="宋体" w:cs="宋体"/>
          <w:b/>
          <w:bCs/>
          <w:snapToGrid w:val="0"/>
          <w:spacing w:val="4"/>
          <w:kern w:val="0"/>
          <w:sz w:val="24"/>
          <w:szCs w:val="24"/>
          <w:lang w:eastAsia="zh-CN"/>
        </w:rPr>
        <w:t>（三）质量管理要求</w:t>
      </w:r>
      <w:bookmarkEnd w:id="87"/>
    </w:p>
    <w:p>
      <w:pPr>
        <w:topLinePunct/>
        <w:adjustRightInd w:val="0"/>
        <w:snapToGrid w:val="0"/>
        <w:spacing w:line="360" w:lineRule="auto"/>
        <w:ind w:firstLine="567" w:firstLineChars="229"/>
        <w:rPr>
          <w:rFonts w:hint="eastAsia" w:ascii="宋体" w:hAnsi="宋体" w:eastAsia="宋体" w:cs="宋体"/>
          <w:spacing w:val="4"/>
          <w:kern w:val="0"/>
          <w:sz w:val="24"/>
          <w:szCs w:val="24"/>
        </w:rPr>
      </w:pPr>
      <w:r>
        <w:rPr>
          <w:rFonts w:hint="eastAsia" w:ascii="宋体" w:hAnsi="宋体" w:eastAsia="宋体" w:cs="宋体"/>
          <w:spacing w:val="4"/>
          <w:kern w:val="0"/>
          <w:sz w:val="24"/>
          <w:szCs w:val="24"/>
          <w:lang w:eastAsia="zh-CN"/>
        </w:rPr>
        <w:t>（</w:t>
      </w:r>
      <w:r>
        <w:rPr>
          <w:rFonts w:hint="eastAsia" w:ascii="宋体" w:hAnsi="宋体" w:eastAsia="宋体" w:cs="宋体"/>
          <w:spacing w:val="4"/>
          <w:kern w:val="0"/>
          <w:sz w:val="24"/>
          <w:szCs w:val="24"/>
          <w:lang w:val="en-US" w:eastAsia="zh-CN"/>
        </w:rPr>
        <w:t>1</w:t>
      </w:r>
      <w:r>
        <w:rPr>
          <w:rFonts w:hint="eastAsia" w:ascii="宋体" w:hAnsi="宋体" w:eastAsia="宋体" w:cs="宋体"/>
          <w:spacing w:val="4"/>
          <w:kern w:val="0"/>
          <w:sz w:val="24"/>
          <w:szCs w:val="24"/>
          <w:lang w:eastAsia="zh-CN"/>
        </w:rPr>
        <w:t>）</w:t>
      </w:r>
      <w:r>
        <w:rPr>
          <w:rFonts w:hint="eastAsia" w:ascii="宋体" w:hAnsi="宋体" w:eastAsia="宋体" w:cs="宋体"/>
          <w:spacing w:val="4"/>
          <w:kern w:val="0"/>
          <w:sz w:val="24"/>
          <w:szCs w:val="24"/>
        </w:rPr>
        <w:t>质量目标</w:t>
      </w:r>
    </w:p>
    <w:p>
      <w:pPr>
        <w:topLinePunct/>
        <w:adjustRightInd w:val="0"/>
        <w:snapToGrid w:val="0"/>
        <w:spacing w:line="360" w:lineRule="auto"/>
        <w:ind w:firstLine="567" w:firstLineChars="229"/>
        <w:rPr>
          <w:rFonts w:hint="eastAsia" w:ascii="宋体" w:hAnsi="宋体" w:eastAsia="宋体" w:cs="宋体"/>
          <w:spacing w:val="4"/>
          <w:kern w:val="0"/>
          <w:sz w:val="24"/>
          <w:szCs w:val="24"/>
        </w:rPr>
      </w:pPr>
      <w:r>
        <w:rPr>
          <w:rFonts w:hint="eastAsia" w:ascii="宋体" w:hAnsi="宋体" w:eastAsia="宋体" w:cs="宋体"/>
          <w:spacing w:val="4"/>
          <w:kern w:val="0"/>
          <w:sz w:val="24"/>
          <w:szCs w:val="24"/>
        </w:rPr>
        <w:t>一次竣工验收合格。</w:t>
      </w:r>
    </w:p>
    <w:p>
      <w:pPr>
        <w:topLinePunct/>
        <w:adjustRightInd w:val="0"/>
        <w:snapToGrid w:val="0"/>
        <w:spacing w:line="360" w:lineRule="auto"/>
        <w:ind w:firstLine="567" w:firstLineChars="229"/>
        <w:rPr>
          <w:rFonts w:hint="eastAsia" w:ascii="宋体" w:hAnsi="宋体" w:eastAsia="宋体" w:cs="宋体"/>
          <w:spacing w:val="4"/>
          <w:kern w:val="0"/>
          <w:sz w:val="24"/>
          <w:szCs w:val="24"/>
        </w:rPr>
      </w:pPr>
      <w:r>
        <w:rPr>
          <w:rFonts w:hint="eastAsia" w:ascii="宋体" w:hAnsi="宋体" w:eastAsia="宋体" w:cs="宋体"/>
          <w:spacing w:val="4"/>
          <w:kern w:val="0"/>
          <w:sz w:val="24"/>
          <w:szCs w:val="24"/>
          <w:lang w:val="en-US" w:eastAsia="zh-CN"/>
        </w:rPr>
        <w:t>（2）</w:t>
      </w:r>
      <w:r>
        <w:rPr>
          <w:rFonts w:hint="eastAsia" w:ascii="宋体" w:hAnsi="宋体" w:eastAsia="宋体" w:cs="宋体"/>
          <w:spacing w:val="4"/>
          <w:kern w:val="0"/>
          <w:sz w:val="24"/>
          <w:szCs w:val="24"/>
        </w:rPr>
        <w:t>质量管理体系</w:t>
      </w:r>
    </w:p>
    <w:p>
      <w:pPr>
        <w:topLinePunct/>
        <w:adjustRightInd w:val="0"/>
        <w:snapToGrid w:val="0"/>
        <w:spacing w:line="360" w:lineRule="auto"/>
        <w:ind w:firstLine="567" w:firstLineChars="229"/>
        <w:rPr>
          <w:rFonts w:hint="eastAsia" w:ascii="宋体" w:hAnsi="宋体" w:eastAsia="宋体" w:cs="宋体"/>
          <w:spacing w:val="4"/>
          <w:kern w:val="0"/>
          <w:sz w:val="24"/>
          <w:szCs w:val="24"/>
        </w:rPr>
      </w:pPr>
      <w:r>
        <w:rPr>
          <w:rFonts w:hint="eastAsia" w:ascii="宋体" w:hAnsi="宋体" w:eastAsia="宋体" w:cs="宋体"/>
          <w:spacing w:val="4"/>
          <w:kern w:val="0"/>
          <w:sz w:val="24"/>
          <w:szCs w:val="24"/>
        </w:rPr>
        <w:t>承包人应当完善质量管理制度，建立质量控制流程，进行全面质量管理（TQC），以《质量管理体系标准要求》（GB/T19000-2008）为标准，建立并保持一个有效的工程质量管理体系。为此，承包人必须做到（不限于）：</w:t>
      </w:r>
    </w:p>
    <w:p>
      <w:pPr>
        <w:topLinePunct/>
        <w:adjustRightInd w:val="0"/>
        <w:snapToGrid w:val="0"/>
        <w:spacing w:line="360" w:lineRule="auto"/>
        <w:ind w:firstLine="567" w:firstLineChars="229"/>
        <w:rPr>
          <w:rFonts w:hint="eastAsia" w:ascii="宋体" w:hAnsi="宋体" w:eastAsia="宋体" w:cs="宋体"/>
          <w:spacing w:val="4"/>
          <w:kern w:val="0"/>
          <w:sz w:val="24"/>
          <w:szCs w:val="24"/>
        </w:rPr>
      </w:pPr>
      <w:r>
        <w:rPr>
          <w:rFonts w:hint="eastAsia" w:ascii="宋体" w:hAnsi="宋体" w:eastAsia="宋体" w:cs="宋体"/>
          <w:spacing w:val="4"/>
          <w:kern w:val="0"/>
          <w:sz w:val="24"/>
          <w:szCs w:val="24"/>
          <w:lang w:val="en-US" w:eastAsia="zh-CN"/>
        </w:rPr>
        <w:t>①</w:t>
      </w:r>
      <w:r>
        <w:rPr>
          <w:rFonts w:hint="eastAsia" w:ascii="宋体" w:hAnsi="宋体" w:eastAsia="宋体" w:cs="宋体"/>
          <w:spacing w:val="4"/>
          <w:kern w:val="0"/>
          <w:sz w:val="24"/>
          <w:szCs w:val="24"/>
        </w:rPr>
        <w:t>建立完整的质量保证体系，建立并完善各项目质量管理检查制度及企业质量管理文件等；</w:t>
      </w:r>
    </w:p>
    <w:p>
      <w:pPr>
        <w:topLinePunct/>
        <w:adjustRightInd w:val="0"/>
        <w:snapToGrid w:val="0"/>
        <w:spacing w:line="360" w:lineRule="auto"/>
        <w:ind w:firstLine="567" w:firstLineChars="229"/>
        <w:rPr>
          <w:rFonts w:hint="eastAsia" w:ascii="宋体" w:hAnsi="宋体" w:eastAsia="宋体" w:cs="宋体"/>
          <w:spacing w:val="4"/>
          <w:kern w:val="0"/>
          <w:sz w:val="24"/>
          <w:szCs w:val="24"/>
        </w:rPr>
      </w:pPr>
      <w:r>
        <w:rPr>
          <w:rFonts w:hint="eastAsia" w:ascii="宋体" w:hAnsi="宋体" w:eastAsia="宋体" w:cs="宋体"/>
          <w:spacing w:val="4"/>
          <w:kern w:val="0"/>
          <w:sz w:val="24"/>
          <w:szCs w:val="24"/>
          <w:lang w:val="en-US" w:eastAsia="zh-CN"/>
        </w:rPr>
        <w:t>②</w:t>
      </w:r>
      <w:r>
        <w:rPr>
          <w:rFonts w:hint="eastAsia" w:ascii="宋体" w:hAnsi="宋体" w:eastAsia="宋体" w:cs="宋体"/>
          <w:spacing w:val="4"/>
          <w:kern w:val="0"/>
          <w:sz w:val="24"/>
          <w:szCs w:val="24"/>
        </w:rPr>
        <w:t>承包人提交监理工程师批准的施工组织设计或者施工方案必须附有完备的工程质量保证措施；</w:t>
      </w:r>
    </w:p>
    <w:p>
      <w:pPr>
        <w:topLinePunct/>
        <w:adjustRightInd w:val="0"/>
        <w:snapToGrid w:val="0"/>
        <w:spacing w:line="360" w:lineRule="auto"/>
        <w:ind w:firstLine="567" w:firstLineChars="229"/>
        <w:rPr>
          <w:rFonts w:hint="eastAsia" w:ascii="宋体" w:hAnsi="宋体" w:eastAsia="宋体" w:cs="宋体"/>
          <w:spacing w:val="4"/>
          <w:kern w:val="0"/>
          <w:sz w:val="24"/>
          <w:szCs w:val="24"/>
        </w:rPr>
      </w:pPr>
      <w:r>
        <w:rPr>
          <w:rFonts w:hint="eastAsia" w:ascii="宋体" w:hAnsi="宋体" w:eastAsia="宋体" w:cs="宋体"/>
          <w:spacing w:val="4"/>
          <w:kern w:val="0"/>
          <w:sz w:val="24"/>
          <w:szCs w:val="24"/>
          <w:lang w:val="en-US" w:eastAsia="zh-CN"/>
        </w:rPr>
        <w:t>③</w:t>
      </w:r>
      <w:r>
        <w:rPr>
          <w:rFonts w:hint="eastAsia" w:ascii="宋体" w:hAnsi="宋体" w:eastAsia="宋体" w:cs="宋体"/>
          <w:spacing w:val="4"/>
          <w:kern w:val="0"/>
          <w:sz w:val="24"/>
          <w:szCs w:val="24"/>
        </w:rPr>
        <w:t>单项工程开工前，承包人必须按要求进行三级技术交底，组织学习有关规程、标准、规范和工艺要求，在施工中必须按规程及工艺进行操作，并邀请监理人参加。承包人应将交底过程资料报监理人备案。</w:t>
      </w:r>
    </w:p>
    <w:p>
      <w:pPr>
        <w:topLinePunct/>
        <w:adjustRightInd w:val="0"/>
        <w:snapToGrid w:val="0"/>
        <w:spacing w:line="360" w:lineRule="auto"/>
        <w:ind w:firstLine="567" w:firstLineChars="229"/>
        <w:rPr>
          <w:rFonts w:hint="eastAsia" w:ascii="宋体" w:hAnsi="宋体" w:eastAsia="宋体" w:cs="宋体"/>
          <w:spacing w:val="4"/>
          <w:kern w:val="0"/>
          <w:sz w:val="24"/>
          <w:szCs w:val="24"/>
        </w:rPr>
      </w:pPr>
      <w:r>
        <w:rPr>
          <w:rFonts w:hint="eastAsia" w:ascii="宋体" w:hAnsi="宋体" w:eastAsia="宋体" w:cs="宋体"/>
          <w:spacing w:val="4"/>
          <w:kern w:val="0"/>
          <w:sz w:val="24"/>
          <w:szCs w:val="24"/>
          <w:lang w:val="en-US" w:eastAsia="zh-CN"/>
        </w:rPr>
        <w:t>④</w:t>
      </w:r>
      <w:r>
        <w:rPr>
          <w:rFonts w:hint="eastAsia" w:ascii="宋体" w:hAnsi="宋体" w:eastAsia="宋体" w:cs="宋体"/>
          <w:kern w:val="0"/>
          <w:sz w:val="24"/>
          <w:szCs w:val="24"/>
        </w:rPr>
        <w:t>承包人须承担对招标人独立发包的专业承包单位的总承包协调管理责任、工作面移交和协调管理责任、成品保护责任，质量、安全、进度、技术资料管理的管理责任，并按规定安排总承包管理费用，承包人应提供水电、施工机具及临建等相关设备机具的配合。</w:t>
      </w:r>
    </w:p>
    <w:p>
      <w:pPr>
        <w:topLinePunct/>
        <w:adjustRightInd w:val="0"/>
        <w:snapToGrid w:val="0"/>
        <w:spacing w:line="360" w:lineRule="auto"/>
        <w:ind w:firstLine="567" w:firstLineChars="229"/>
        <w:rPr>
          <w:rFonts w:hint="eastAsia" w:ascii="宋体" w:hAnsi="宋体" w:eastAsia="宋体" w:cs="宋体"/>
          <w:spacing w:val="4"/>
          <w:kern w:val="0"/>
          <w:sz w:val="24"/>
          <w:szCs w:val="24"/>
        </w:rPr>
      </w:pPr>
      <w:r>
        <w:rPr>
          <w:rFonts w:hint="eastAsia" w:ascii="宋体" w:hAnsi="宋体" w:eastAsia="宋体" w:cs="宋体"/>
          <w:spacing w:val="4"/>
          <w:kern w:val="0"/>
          <w:sz w:val="24"/>
          <w:szCs w:val="24"/>
          <w:lang w:eastAsia="zh-CN"/>
        </w:rPr>
        <w:t>（</w:t>
      </w:r>
      <w:r>
        <w:rPr>
          <w:rFonts w:hint="eastAsia" w:ascii="宋体" w:hAnsi="宋体" w:eastAsia="宋体" w:cs="宋体"/>
          <w:spacing w:val="4"/>
          <w:kern w:val="0"/>
          <w:sz w:val="24"/>
          <w:szCs w:val="24"/>
          <w:lang w:val="en-US" w:eastAsia="zh-CN"/>
        </w:rPr>
        <w:t>3</w:t>
      </w:r>
      <w:r>
        <w:rPr>
          <w:rFonts w:hint="eastAsia" w:ascii="宋体" w:hAnsi="宋体" w:eastAsia="宋体" w:cs="宋体"/>
          <w:spacing w:val="4"/>
          <w:kern w:val="0"/>
          <w:sz w:val="24"/>
          <w:szCs w:val="24"/>
          <w:lang w:eastAsia="zh-CN"/>
        </w:rPr>
        <w:t>）</w:t>
      </w:r>
      <w:r>
        <w:rPr>
          <w:rFonts w:hint="eastAsia" w:ascii="宋体" w:hAnsi="宋体" w:eastAsia="宋体" w:cs="宋体"/>
          <w:spacing w:val="4"/>
          <w:kern w:val="0"/>
          <w:sz w:val="24"/>
          <w:szCs w:val="24"/>
        </w:rPr>
        <w:t>质量通病防治</w:t>
      </w:r>
    </w:p>
    <w:p>
      <w:pPr>
        <w:topLinePunct/>
        <w:adjustRightInd w:val="0"/>
        <w:snapToGrid w:val="0"/>
        <w:spacing w:line="360" w:lineRule="auto"/>
        <w:ind w:firstLine="567" w:firstLineChars="229"/>
        <w:rPr>
          <w:rFonts w:hint="eastAsia" w:ascii="宋体" w:hAnsi="宋体" w:eastAsia="宋体" w:cs="宋体"/>
          <w:spacing w:val="4"/>
          <w:kern w:val="0"/>
          <w:sz w:val="24"/>
          <w:szCs w:val="24"/>
        </w:rPr>
      </w:pPr>
      <w:r>
        <w:rPr>
          <w:rFonts w:hint="eastAsia" w:ascii="宋体" w:hAnsi="宋体" w:eastAsia="宋体" w:cs="宋体"/>
          <w:spacing w:val="4"/>
          <w:kern w:val="0"/>
          <w:sz w:val="24"/>
          <w:szCs w:val="24"/>
        </w:rPr>
        <w:t>承包人必须严格执行有关质量通病治理措施、工程建设强制性标准和有关节能、环境保护、绿色施工的规定。承包人须针对本项目制定工程质量通病防治措施方案。</w:t>
      </w:r>
    </w:p>
    <w:p>
      <w:pPr>
        <w:topLinePunct/>
        <w:adjustRightInd w:val="0"/>
        <w:snapToGrid w:val="0"/>
        <w:spacing w:line="360" w:lineRule="auto"/>
        <w:ind w:firstLine="567" w:firstLineChars="229"/>
        <w:rPr>
          <w:rFonts w:hint="eastAsia" w:ascii="宋体" w:hAnsi="宋体" w:eastAsia="宋体" w:cs="宋体"/>
          <w:spacing w:val="4"/>
          <w:kern w:val="0"/>
          <w:sz w:val="24"/>
          <w:szCs w:val="24"/>
        </w:rPr>
      </w:pPr>
      <w:r>
        <w:rPr>
          <w:rFonts w:hint="eastAsia" w:ascii="宋体" w:hAnsi="宋体" w:eastAsia="宋体" w:cs="宋体"/>
          <w:spacing w:val="4"/>
          <w:kern w:val="0"/>
          <w:sz w:val="24"/>
          <w:szCs w:val="24"/>
          <w:lang w:eastAsia="zh-CN"/>
        </w:rPr>
        <w:t>（</w:t>
      </w:r>
      <w:r>
        <w:rPr>
          <w:rFonts w:hint="eastAsia" w:ascii="宋体" w:hAnsi="宋体" w:eastAsia="宋体" w:cs="宋体"/>
          <w:spacing w:val="4"/>
          <w:kern w:val="0"/>
          <w:sz w:val="24"/>
          <w:szCs w:val="24"/>
          <w:lang w:val="en-US" w:eastAsia="zh-CN"/>
        </w:rPr>
        <w:t>4</w:t>
      </w:r>
      <w:r>
        <w:rPr>
          <w:rFonts w:hint="eastAsia" w:ascii="宋体" w:hAnsi="宋体" w:eastAsia="宋体" w:cs="宋体"/>
          <w:spacing w:val="4"/>
          <w:kern w:val="0"/>
          <w:sz w:val="24"/>
          <w:szCs w:val="24"/>
          <w:lang w:eastAsia="zh-CN"/>
        </w:rPr>
        <w:t>）</w:t>
      </w:r>
      <w:r>
        <w:rPr>
          <w:rFonts w:hint="eastAsia" w:ascii="宋体" w:hAnsi="宋体" w:eastAsia="宋体" w:cs="宋体"/>
          <w:spacing w:val="4"/>
          <w:kern w:val="0"/>
          <w:sz w:val="24"/>
          <w:szCs w:val="24"/>
        </w:rPr>
        <w:t>材料、设备质量保证</w:t>
      </w:r>
    </w:p>
    <w:p>
      <w:pPr>
        <w:topLinePunct/>
        <w:adjustRightInd w:val="0"/>
        <w:snapToGrid w:val="0"/>
        <w:spacing w:line="360" w:lineRule="auto"/>
        <w:ind w:firstLine="567" w:firstLineChars="229"/>
        <w:rPr>
          <w:rFonts w:hint="eastAsia" w:ascii="宋体" w:hAnsi="宋体" w:eastAsia="宋体" w:cs="宋体"/>
          <w:spacing w:val="4"/>
          <w:kern w:val="0"/>
          <w:sz w:val="24"/>
          <w:szCs w:val="24"/>
        </w:rPr>
      </w:pPr>
      <w:r>
        <w:rPr>
          <w:rFonts w:hint="eastAsia" w:ascii="宋体" w:hAnsi="宋体" w:eastAsia="宋体" w:cs="宋体"/>
          <w:spacing w:val="4"/>
          <w:kern w:val="0"/>
          <w:sz w:val="24"/>
          <w:szCs w:val="24"/>
        </w:rPr>
        <w:t>工程所用材料设备必须符合设计要求和国家有关规范与规定。承包人须确保使用的材料设备是合格的、全新的、未使用过的，凡材料设备质量不符合要求，承包人须停工和返工，返工费用由承包人承担，工期不予顺延。</w:t>
      </w:r>
    </w:p>
    <w:p>
      <w:pPr>
        <w:topLinePunct/>
        <w:adjustRightInd w:val="0"/>
        <w:snapToGrid w:val="0"/>
        <w:spacing w:line="360" w:lineRule="auto"/>
        <w:ind w:firstLine="567" w:firstLineChars="229"/>
        <w:rPr>
          <w:rFonts w:hint="eastAsia" w:ascii="宋体" w:hAnsi="宋体" w:eastAsia="宋体" w:cs="宋体"/>
          <w:spacing w:val="4"/>
          <w:kern w:val="0"/>
          <w:sz w:val="24"/>
          <w:szCs w:val="24"/>
        </w:rPr>
      </w:pPr>
      <w:r>
        <w:rPr>
          <w:rFonts w:hint="eastAsia" w:ascii="宋体" w:hAnsi="宋体" w:eastAsia="宋体" w:cs="宋体"/>
          <w:spacing w:val="4"/>
          <w:kern w:val="0"/>
          <w:sz w:val="24"/>
          <w:szCs w:val="24"/>
          <w:lang w:eastAsia="zh-CN"/>
        </w:rPr>
        <w:t>（</w:t>
      </w:r>
      <w:r>
        <w:rPr>
          <w:rFonts w:hint="eastAsia" w:ascii="宋体" w:hAnsi="宋体" w:eastAsia="宋体" w:cs="宋体"/>
          <w:spacing w:val="4"/>
          <w:kern w:val="0"/>
          <w:sz w:val="24"/>
          <w:szCs w:val="24"/>
          <w:lang w:val="en-US" w:eastAsia="zh-CN"/>
        </w:rPr>
        <w:t>5</w:t>
      </w:r>
      <w:r>
        <w:rPr>
          <w:rFonts w:hint="eastAsia" w:ascii="宋体" w:hAnsi="宋体" w:eastAsia="宋体" w:cs="宋体"/>
          <w:spacing w:val="4"/>
          <w:kern w:val="0"/>
          <w:sz w:val="24"/>
          <w:szCs w:val="24"/>
          <w:lang w:eastAsia="zh-CN"/>
        </w:rPr>
        <w:t>）</w:t>
      </w:r>
      <w:r>
        <w:rPr>
          <w:rFonts w:hint="eastAsia" w:ascii="宋体" w:hAnsi="宋体" w:eastAsia="宋体" w:cs="宋体"/>
          <w:spacing w:val="4"/>
          <w:kern w:val="0"/>
          <w:sz w:val="24"/>
          <w:szCs w:val="24"/>
        </w:rPr>
        <w:t>人员持证上岗</w:t>
      </w:r>
    </w:p>
    <w:p>
      <w:pPr>
        <w:topLinePunct/>
        <w:adjustRightInd w:val="0"/>
        <w:snapToGrid w:val="0"/>
        <w:spacing w:line="360" w:lineRule="auto"/>
        <w:ind w:firstLine="567" w:firstLineChars="229"/>
        <w:rPr>
          <w:rFonts w:hint="eastAsia" w:ascii="宋体" w:hAnsi="宋体" w:eastAsia="宋体" w:cs="宋体"/>
          <w:spacing w:val="4"/>
          <w:kern w:val="0"/>
          <w:sz w:val="24"/>
          <w:szCs w:val="24"/>
        </w:rPr>
      </w:pPr>
      <w:r>
        <w:rPr>
          <w:rFonts w:hint="eastAsia" w:ascii="宋体" w:hAnsi="宋体" w:eastAsia="宋体" w:cs="宋体"/>
          <w:spacing w:val="4"/>
          <w:kern w:val="0"/>
          <w:sz w:val="24"/>
          <w:szCs w:val="24"/>
        </w:rPr>
        <w:t>承包人投入的施工作业人员必须具备相应的上岗证，如特种人员，还须具备特种人员作业证书，以确保施工质量。所有人员必须带证上岗，随时接受发包人、监理人检查，否则按合同约定承担违约责任。</w:t>
      </w:r>
    </w:p>
    <w:p>
      <w:pPr>
        <w:topLinePunct/>
        <w:adjustRightInd w:val="0"/>
        <w:snapToGrid w:val="0"/>
        <w:spacing w:line="360" w:lineRule="auto"/>
        <w:ind w:firstLine="567" w:firstLineChars="229"/>
        <w:rPr>
          <w:rFonts w:hint="eastAsia" w:ascii="宋体" w:hAnsi="宋体" w:eastAsia="宋体" w:cs="宋体"/>
          <w:spacing w:val="4"/>
          <w:kern w:val="0"/>
          <w:sz w:val="24"/>
          <w:szCs w:val="24"/>
        </w:rPr>
      </w:pPr>
      <w:r>
        <w:rPr>
          <w:rFonts w:hint="eastAsia" w:ascii="宋体" w:hAnsi="宋体" w:eastAsia="宋体" w:cs="宋体"/>
          <w:spacing w:val="4"/>
          <w:kern w:val="0"/>
          <w:sz w:val="24"/>
          <w:szCs w:val="24"/>
          <w:lang w:eastAsia="zh-CN"/>
        </w:rPr>
        <w:t>（</w:t>
      </w:r>
      <w:r>
        <w:rPr>
          <w:rFonts w:hint="eastAsia" w:ascii="宋体" w:hAnsi="宋体" w:eastAsia="宋体" w:cs="宋体"/>
          <w:spacing w:val="4"/>
          <w:kern w:val="0"/>
          <w:sz w:val="24"/>
          <w:szCs w:val="24"/>
          <w:lang w:val="en-US" w:eastAsia="zh-CN"/>
        </w:rPr>
        <w:t>6</w:t>
      </w:r>
      <w:r>
        <w:rPr>
          <w:rFonts w:hint="eastAsia" w:ascii="宋体" w:hAnsi="宋体" w:eastAsia="宋体" w:cs="宋体"/>
          <w:spacing w:val="4"/>
          <w:kern w:val="0"/>
          <w:sz w:val="24"/>
          <w:szCs w:val="24"/>
          <w:lang w:eastAsia="zh-CN"/>
        </w:rPr>
        <w:t>）</w:t>
      </w:r>
      <w:r>
        <w:rPr>
          <w:rFonts w:hint="eastAsia" w:ascii="宋体" w:hAnsi="宋体" w:eastAsia="宋体" w:cs="宋体"/>
          <w:spacing w:val="4"/>
          <w:kern w:val="0"/>
          <w:sz w:val="24"/>
          <w:szCs w:val="24"/>
        </w:rPr>
        <w:t>按图施工</w:t>
      </w:r>
    </w:p>
    <w:p>
      <w:pPr>
        <w:topLinePunct/>
        <w:adjustRightInd w:val="0"/>
        <w:snapToGrid w:val="0"/>
        <w:spacing w:line="360" w:lineRule="auto"/>
        <w:ind w:firstLine="567" w:firstLineChars="229"/>
        <w:rPr>
          <w:rFonts w:hint="eastAsia" w:ascii="宋体" w:hAnsi="宋体" w:eastAsia="宋体" w:cs="宋体"/>
          <w:spacing w:val="4"/>
          <w:kern w:val="0"/>
          <w:sz w:val="24"/>
          <w:szCs w:val="24"/>
        </w:rPr>
      </w:pPr>
      <w:r>
        <w:rPr>
          <w:rFonts w:hint="eastAsia" w:ascii="宋体" w:hAnsi="宋体" w:eastAsia="宋体" w:cs="宋体"/>
          <w:spacing w:val="4"/>
          <w:kern w:val="0"/>
          <w:sz w:val="24"/>
          <w:szCs w:val="24"/>
        </w:rPr>
        <w:t>承包人必须严格按审查批准的施工方案和设计图纸施工，不得擅自修改施工方案及设计图纸。</w:t>
      </w:r>
    </w:p>
    <w:p>
      <w:pPr>
        <w:topLinePunct/>
        <w:adjustRightInd w:val="0"/>
        <w:snapToGrid w:val="0"/>
        <w:spacing w:line="360" w:lineRule="auto"/>
        <w:ind w:firstLine="567" w:firstLineChars="229"/>
        <w:rPr>
          <w:rFonts w:hint="eastAsia" w:ascii="宋体" w:hAnsi="宋体" w:eastAsia="宋体" w:cs="宋体"/>
          <w:spacing w:val="4"/>
          <w:kern w:val="0"/>
          <w:sz w:val="24"/>
          <w:szCs w:val="24"/>
        </w:rPr>
      </w:pPr>
      <w:r>
        <w:rPr>
          <w:rFonts w:hint="eastAsia" w:ascii="宋体" w:hAnsi="宋体" w:eastAsia="宋体" w:cs="宋体"/>
          <w:spacing w:val="4"/>
          <w:kern w:val="0"/>
          <w:sz w:val="24"/>
          <w:szCs w:val="24"/>
          <w:lang w:eastAsia="zh-CN"/>
        </w:rPr>
        <w:t>（</w:t>
      </w:r>
      <w:r>
        <w:rPr>
          <w:rFonts w:hint="eastAsia" w:ascii="宋体" w:hAnsi="宋体" w:eastAsia="宋体" w:cs="宋体"/>
          <w:spacing w:val="4"/>
          <w:kern w:val="0"/>
          <w:sz w:val="24"/>
          <w:szCs w:val="24"/>
          <w:lang w:val="en-US" w:eastAsia="zh-CN"/>
        </w:rPr>
        <w:t>7</w:t>
      </w:r>
      <w:r>
        <w:rPr>
          <w:rFonts w:hint="eastAsia" w:ascii="宋体" w:hAnsi="宋体" w:eastAsia="宋体" w:cs="宋体"/>
          <w:spacing w:val="4"/>
          <w:kern w:val="0"/>
          <w:sz w:val="24"/>
          <w:szCs w:val="24"/>
          <w:lang w:eastAsia="zh-CN"/>
        </w:rPr>
        <w:t>）</w:t>
      </w:r>
      <w:r>
        <w:rPr>
          <w:rFonts w:hint="eastAsia" w:ascii="宋体" w:hAnsi="宋体" w:eastAsia="宋体" w:cs="宋体"/>
          <w:spacing w:val="4"/>
          <w:kern w:val="0"/>
          <w:sz w:val="24"/>
          <w:szCs w:val="24"/>
        </w:rPr>
        <w:t>检验与检查</w:t>
      </w:r>
    </w:p>
    <w:p>
      <w:pPr>
        <w:topLinePunct/>
        <w:adjustRightInd w:val="0"/>
        <w:snapToGrid w:val="0"/>
        <w:spacing w:line="360" w:lineRule="auto"/>
        <w:ind w:firstLine="567" w:firstLineChars="229"/>
        <w:rPr>
          <w:rFonts w:hint="eastAsia" w:ascii="宋体" w:hAnsi="宋体" w:eastAsia="宋体" w:cs="宋体"/>
          <w:spacing w:val="4"/>
          <w:kern w:val="0"/>
          <w:sz w:val="24"/>
          <w:szCs w:val="24"/>
        </w:rPr>
      </w:pPr>
      <w:r>
        <w:rPr>
          <w:rFonts w:hint="eastAsia" w:ascii="宋体" w:hAnsi="宋体" w:eastAsia="宋体" w:cs="宋体"/>
          <w:spacing w:val="4"/>
          <w:kern w:val="0"/>
          <w:sz w:val="24"/>
          <w:szCs w:val="24"/>
        </w:rPr>
        <w:t>承包人必须加强质量自检，做好施工过程数据记录及隐蔽工程验收等工作。监理人、发包人、行政主管部门将严格按相关规范和规定对工程质量进行检查验收，未经验收的工程不得进入下一道工序。监理人、发包人、行政主管部门检查或检验不能免除或减轻承包人按照合同约定应当承担的责任。</w:t>
      </w:r>
    </w:p>
    <w:p>
      <w:pPr>
        <w:topLinePunct/>
        <w:adjustRightInd w:val="0"/>
        <w:snapToGrid w:val="0"/>
        <w:spacing w:line="360" w:lineRule="auto"/>
        <w:ind w:firstLine="567" w:firstLineChars="229"/>
        <w:rPr>
          <w:rFonts w:hint="eastAsia" w:ascii="宋体" w:hAnsi="宋体" w:eastAsia="宋体" w:cs="宋体"/>
          <w:spacing w:val="4"/>
          <w:kern w:val="0"/>
          <w:sz w:val="24"/>
          <w:szCs w:val="24"/>
        </w:rPr>
      </w:pPr>
      <w:r>
        <w:rPr>
          <w:rFonts w:hint="eastAsia" w:ascii="宋体" w:hAnsi="宋体" w:eastAsia="宋体" w:cs="宋体"/>
          <w:spacing w:val="4"/>
          <w:kern w:val="0"/>
          <w:sz w:val="24"/>
          <w:szCs w:val="24"/>
          <w:lang w:eastAsia="zh-CN"/>
        </w:rPr>
        <w:t>（</w:t>
      </w:r>
      <w:r>
        <w:rPr>
          <w:rFonts w:hint="eastAsia" w:ascii="宋体" w:hAnsi="宋体" w:eastAsia="宋体" w:cs="宋体"/>
          <w:spacing w:val="4"/>
          <w:kern w:val="0"/>
          <w:sz w:val="24"/>
          <w:szCs w:val="24"/>
          <w:lang w:val="en-US" w:eastAsia="zh-CN"/>
        </w:rPr>
        <w:t>8</w:t>
      </w:r>
      <w:r>
        <w:rPr>
          <w:rFonts w:hint="eastAsia" w:ascii="宋体" w:hAnsi="宋体" w:eastAsia="宋体" w:cs="宋体"/>
          <w:spacing w:val="4"/>
          <w:kern w:val="0"/>
          <w:sz w:val="24"/>
          <w:szCs w:val="24"/>
          <w:lang w:eastAsia="zh-CN"/>
        </w:rPr>
        <w:t>）</w:t>
      </w:r>
      <w:r>
        <w:rPr>
          <w:rFonts w:hint="eastAsia" w:ascii="宋体" w:hAnsi="宋体" w:eastAsia="宋体" w:cs="宋体"/>
          <w:spacing w:val="4"/>
          <w:kern w:val="0"/>
          <w:sz w:val="24"/>
          <w:szCs w:val="24"/>
        </w:rPr>
        <w:t>现场保护</w:t>
      </w:r>
    </w:p>
    <w:p>
      <w:pPr>
        <w:topLinePunct/>
        <w:adjustRightInd w:val="0"/>
        <w:snapToGrid w:val="0"/>
        <w:spacing w:line="360" w:lineRule="auto"/>
        <w:ind w:firstLine="567" w:firstLineChars="229"/>
        <w:rPr>
          <w:rFonts w:hint="eastAsia" w:ascii="宋体" w:hAnsi="宋体" w:eastAsia="宋体" w:cs="宋体"/>
          <w:spacing w:val="4"/>
          <w:kern w:val="0"/>
          <w:sz w:val="24"/>
          <w:szCs w:val="24"/>
        </w:rPr>
      </w:pPr>
      <w:r>
        <w:rPr>
          <w:rFonts w:hint="eastAsia" w:ascii="宋体" w:hAnsi="宋体" w:eastAsia="宋体" w:cs="宋体"/>
          <w:spacing w:val="4"/>
          <w:kern w:val="0"/>
          <w:sz w:val="24"/>
          <w:szCs w:val="24"/>
        </w:rPr>
        <w:t>承包人应加强工程材料、设备、半成品、成品的现场保护工作，项目移交之前造成的遗失或损坏由中标单位自行承担。</w:t>
      </w:r>
    </w:p>
    <w:p>
      <w:pPr>
        <w:topLinePunct/>
        <w:adjustRightInd w:val="0"/>
        <w:snapToGrid w:val="0"/>
        <w:spacing w:line="360" w:lineRule="auto"/>
        <w:ind w:firstLine="567" w:firstLineChars="229"/>
        <w:rPr>
          <w:rFonts w:hint="eastAsia" w:ascii="宋体" w:hAnsi="宋体" w:eastAsia="宋体" w:cs="宋体"/>
          <w:spacing w:val="4"/>
          <w:kern w:val="0"/>
          <w:sz w:val="24"/>
          <w:szCs w:val="24"/>
        </w:rPr>
      </w:pPr>
      <w:r>
        <w:rPr>
          <w:rFonts w:hint="eastAsia" w:ascii="宋体" w:hAnsi="宋体" w:eastAsia="宋体" w:cs="宋体"/>
          <w:spacing w:val="4"/>
          <w:kern w:val="0"/>
          <w:sz w:val="24"/>
          <w:szCs w:val="24"/>
          <w:lang w:eastAsia="zh-CN"/>
        </w:rPr>
        <w:t>（</w:t>
      </w:r>
      <w:r>
        <w:rPr>
          <w:rFonts w:hint="eastAsia" w:ascii="宋体" w:hAnsi="宋体" w:eastAsia="宋体" w:cs="宋体"/>
          <w:spacing w:val="4"/>
          <w:kern w:val="0"/>
          <w:sz w:val="24"/>
          <w:szCs w:val="24"/>
          <w:lang w:val="en-US" w:eastAsia="zh-CN"/>
        </w:rPr>
        <w:t>9</w:t>
      </w:r>
      <w:r>
        <w:rPr>
          <w:rFonts w:hint="eastAsia" w:ascii="宋体" w:hAnsi="宋体" w:eastAsia="宋体" w:cs="宋体"/>
          <w:spacing w:val="4"/>
          <w:kern w:val="0"/>
          <w:sz w:val="24"/>
          <w:szCs w:val="24"/>
          <w:lang w:eastAsia="zh-CN"/>
        </w:rPr>
        <w:t>）</w:t>
      </w:r>
      <w:r>
        <w:rPr>
          <w:rFonts w:hint="eastAsia" w:ascii="宋体" w:hAnsi="宋体" w:eastAsia="宋体" w:cs="宋体"/>
          <w:spacing w:val="4"/>
          <w:kern w:val="0"/>
          <w:sz w:val="24"/>
          <w:szCs w:val="24"/>
        </w:rPr>
        <w:t>工程技术档案管理</w:t>
      </w:r>
    </w:p>
    <w:p>
      <w:pPr>
        <w:topLinePunct/>
        <w:adjustRightInd w:val="0"/>
        <w:snapToGrid w:val="0"/>
        <w:spacing w:line="360" w:lineRule="auto"/>
        <w:ind w:firstLine="567" w:firstLineChars="229"/>
        <w:rPr>
          <w:rFonts w:hint="eastAsia" w:ascii="宋体" w:hAnsi="宋体" w:eastAsia="宋体" w:cs="宋体"/>
          <w:spacing w:val="4"/>
          <w:kern w:val="0"/>
          <w:sz w:val="24"/>
          <w:szCs w:val="24"/>
        </w:rPr>
      </w:pPr>
      <w:r>
        <w:rPr>
          <w:rFonts w:hint="eastAsia" w:ascii="宋体" w:hAnsi="宋体" w:eastAsia="宋体" w:cs="宋体"/>
          <w:spacing w:val="4"/>
          <w:kern w:val="0"/>
          <w:sz w:val="24"/>
          <w:szCs w:val="24"/>
        </w:rPr>
        <w:t>承包人应保证按照国家、地方、行业的有关规定，准确、及时做好日常工程技术资料的记录、整理和归档工作，保证记录中原始数据的真实性和及时性，监理单位或发包人有权抽查承包人日常工程技术资料的整理工作，若发现未按照规定及时做好资料整理工作或发现原始记录数据不存在、不真实、不完整，经监理单位确认，发包人有权拒绝相应部分工程的工程量计量与支付，并视情节轻重，由承包人按照合同专用条款的约定承担违约责任。</w:t>
      </w:r>
    </w:p>
    <w:p>
      <w:pPr>
        <w:topLinePunct/>
        <w:adjustRightInd w:val="0"/>
        <w:snapToGrid w:val="0"/>
        <w:spacing w:line="360" w:lineRule="auto"/>
        <w:ind w:firstLine="567" w:firstLineChars="229"/>
        <w:rPr>
          <w:rFonts w:hint="eastAsia" w:ascii="宋体" w:hAnsi="宋体" w:eastAsia="宋体" w:cs="宋体"/>
          <w:spacing w:val="4"/>
          <w:kern w:val="0"/>
          <w:sz w:val="24"/>
          <w:szCs w:val="24"/>
        </w:rPr>
      </w:pPr>
      <w:r>
        <w:rPr>
          <w:rFonts w:hint="eastAsia" w:ascii="宋体" w:hAnsi="宋体" w:eastAsia="宋体" w:cs="宋体"/>
          <w:spacing w:val="4"/>
          <w:kern w:val="0"/>
          <w:sz w:val="24"/>
          <w:szCs w:val="24"/>
          <w:lang w:eastAsia="zh-CN"/>
        </w:rPr>
        <w:t>（</w:t>
      </w:r>
      <w:r>
        <w:rPr>
          <w:rFonts w:hint="eastAsia" w:ascii="宋体" w:hAnsi="宋体" w:eastAsia="宋体" w:cs="宋体"/>
          <w:spacing w:val="4"/>
          <w:kern w:val="0"/>
          <w:sz w:val="24"/>
          <w:szCs w:val="24"/>
          <w:lang w:val="en-US" w:eastAsia="zh-CN"/>
        </w:rPr>
        <w:t>10</w:t>
      </w:r>
      <w:r>
        <w:rPr>
          <w:rFonts w:hint="eastAsia" w:ascii="宋体" w:hAnsi="宋体" w:eastAsia="宋体" w:cs="宋体"/>
          <w:spacing w:val="4"/>
          <w:kern w:val="0"/>
          <w:sz w:val="24"/>
          <w:szCs w:val="24"/>
          <w:lang w:eastAsia="zh-CN"/>
        </w:rPr>
        <w:t>）</w:t>
      </w:r>
      <w:r>
        <w:rPr>
          <w:rFonts w:hint="eastAsia" w:ascii="宋体" w:hAnsi="宋体" w:eastAsia="宋体" w:cs="宋体"/>
          <w:spacing w:val="4"/>
          <w:kern w:val="0"/>
          <w:sz w:val="24"/>
          <w:szCs w:val="24"/>
        </w:rPr>
        <w:t>特殊管理措施</w:t>
      </w:r>
    </w:p>
    <w:p>
      <w:pPr>
        <w:topLinePunct/>
        <w:adjustRightInd w:val="0"/>
        <w:snapToGrid w:val="0"/>
        <w:spacing w:line="360" w:lineRule="auto"/>
        <w:ind w:firstLine="567" w:firstLineChars="229"/>
        <w:rPr>
          <w:rFonts w:hint="eastAsia" w:ascii="宋体" w:hAnsi="宋体" w:eastAsia="宋体" w:cs="宋体"/>
          <w:spacing w:val="4"/>
          <w:kern w:val="0"/>
          <w:sz w:val="24"/>
          <w:szCs w:val="24"/>
        </w:rPr>
      </w:pPr>
      <w:r>
        <w:rPr>
          <w:rFonts w:hint="eastAsia" w:ascii="宋体" w:hAnsi="宋体" w:eastAsia="宋体" w:cs="宋体"/>
          <w:spacing w:val="4"/>
          <w:kern w:val="0"/>
          <w:sz w:val="24"/>
          <w:szCs w:val="24"/>
        </w:rPr>
        <w:t>为了确保工程质量，本工程实行工程质量样板引路，承包人应按发包人的要求无条件执行，相关费用已包含在合同总价中，发包人不另行补偿。</w:t>
      </w:r>
    </w:p>
    <w:p>
      <w:pPr>
        <w:adjustRightInd w:val="0"/>
        <w:snapToGrid w:val="0"/>
        <w:spacing w:line="360" w:lineRule="auto"/>
        <w:ind w:right="11" w:firstLine="498" w:firstLineChars="200"/>
        <w:rPr>
          <w:rFonts w:hint="eastAsia" w:ascii="宋体" w:hAnsi="宋体" w:eastAsia="宋体" w:cs="宋体"/>
          <w:b/>
          <w:bCs/>
          <w:snapToGrid w:val="0"/>
          <w:spacing w:val="4"/>
          <w:kern w:val="0"/>
          <w:sz w:val="24"/>
          <w:szCs w:val="24"/>
          <w:lang w:eastAsia="zh-CN"/>
        </w:rPr>
      </w:pPr>
      <w:bookmarkStart w:id="88" w:name="_Toc14697678"/>
      <w:r>
        <w:rPr>
          <w:rFonts w:hint="eastAsia" w:ascii="宋体" w:hAnsi="宋体" w:eastAsia="宋体" w:cs="宋体"/>
          <w:b/>
          <w:bCs/>
          <w:snapToGrid w:val="0"/>
          <w:spacing w:val="4"/>
          <w:kern w:val="0"/>
          <w:sz w:val="24"/>
          <w:szCs w:val="24"/>
          <w:lang w:eastAsia="zh-CN"/>
        </w:rPr>
        <w:t>（四）工人工资及预付款支付管理要求</w:t>
      </w:r>
      <w:bookmarkEnd w:id="88"/>
    </w:p>
    <w:p>
      <w:pPr>
        <w:topLinePunct/>
        <w:adjustRightInd w:val="0"/>
        <w:snapToGrid w:val="0"/>
        <w:spacing w:line="360" w:lineRule="auto"/>
        <w:ind w:firstLine="567" w:firstLineChars="229"/>
        <w:rPr>
          <w:rFonts w:hint="eastAsia" w:ascii="宋体" w:hAnsi="宋体" w:eastAsia="宋体" w:cs="宋体"/>
          <w:spacing w:val="4"/>
          <w:kern w:val="0"/>
          <w:sz w:val="24"/>
          <w:szCs w:val="24"/>
        </w:rPr>
      </w:pPr>
      <w:r>
        <w:rPr>
          <w:rFonts w:hint="eastAsia" w:ascii="宋体" w:hAnsi="宋体" w:eastAsia="宋体" w:cs="宋体"/>
          <w:spacing w:val="4"/>
          <w:kern w:val="0"/>
          <w:sz w:val="24"/>
          <w:szCs w:val="24"/>
          <w:lang w:eastAsia="zh-CN"/>
        </w:rPr>
        <w:t>（</w:t>
      </w:r>
      <w:r>
        <w:rPr>
          <w:rFonts w:hint="eastAsia" w:ascii="宋体" w:hAnsi="宋体" w:eastAsia="宋体" w:cs="宋体"/>
          <w:spacing w:val="4"/>
          <w:kern w:val="0"/>
          <w:sz w:val="24"/>
          <w:szCs w:val="24"/>
          <w:lang w:val="en-US" w:eastAsia="zh-CN"/>
        </w:rPr>
        <w:t>1</w:t>
      </w:r>
      <w:r>
        <w:rPr>
          <w:rFonts w:hint="eastAsia" w:ascii="宋体" w:hAnsi="宋体" w:eastAsia="宋体" w:cs="宋体"/>
          <w:spacing w:val="4"/>
          <w:kern w:val="0"/>
          <w:sz w:val="24"/>
          <w:szCs w:val="24"/>
          <w:lang w:eastAsia="zh-CN"/>
        </w:rPr>
        <w:t>）</w:t>
      </w:r>
      <w:r>
        <w:rPr>
          <w:rFonts w:hint="eastAsia" w:ascii="宋体" w:hAnsi="宋体" w:eastAsia="宋体" w:cs="宋体"/>
          <w:spacing w:val="4"/>
          <w:kern w:val="0"/>
          <w:sz w:val="24"/>
          <w:szCs w:val="24"/>
        </w:rPr>
        <w:t>中标后，承包人必须按建设主管部门要求设立工人工资支付专用账户，通过工人工资支付专用账户，依法按时足额将工人工资直接支付到工人的工资个人账户，并按月将工人工资支付明细表报发包人备案，作为次月工程进度款的支付条件之一。承包人应当建立用工管理台账，真实、准确记录工人名册、劳动合同、劳务合同、工程进度、工时、劳务承包款和工人工资支付情况等信息，并保存两年以上备查。</w:t>
      </w:r>
    </w:p>
    <w:p>
      <w:pPr>
        <w:topLinePunct/>
        <w:adjustRightInd w:val="0"/>
        <w:snapToGrid w:val="0"/>
        <w:spacing w:line="360" w:lineRule="auto"/>
        <w:ind w:firstLine="567" w:firstLineChars="229"/>
        <w:rPr>
          <w:rFonts w:hint="eastAsia" w:ascii="宋体" w:hAnsi="宋体" w:eastAsia="宋体" w:cs="宋体"/>
          <w:spacing w:val="4"/>
          <w:kern w:val="0"/>
          <w:sz w:val="24"/>
          <w:szCs w:val="24"/>
        </w:rPr>
      </w:pPr>
      <w:r>
        <w:rPr>
          <w:rFonts w:hint="eastAsia" w:ascii="宋体" w:hAnsi="宋体" w:eastAsia="宋体" w:cs="宋体"/>
          <w:spacing w:val="4"/>
          <w:kern w:val="0"/>
          <w:sz w:val="24"/>
          <w:szCs w:val="24"/>
          <w:lang w:eastAsia="zh-CN"/>
        </w:rPr>
        <w:t>（</w:t>
      </w:r>
      <w:r>
        <w:rPr>
          <w:rFonts w:hint="eastAsia" w:ascii="宋体" w:hAnsi="宋体" w:eastAsia="宋体" w:cs="宋体"/>
          <w:spacing w:val="4"/>
          <w:kern w:val="0"/>
          <w:sz w:val="24"/>
          <w:szCs w:val="24"/>
          <w:lang w:val="en-US" w:eastAsia="zh-CN"/>
        </w:rPr>
        <w:t>2</w:t>
      </w:r>
      <w:r>
        <w:rPr>
          <w:rFonts w:hint="eastAsia" w:ascii="宋体" w:hAnsi="宋体" w:eastAsia="宋体" w:cs="宋体"/>
          <w:spacing w:val="4"/>
          <w:kern w:val="0"/>
          <w:sz w:val="24"/>
          <w:szCs w:val="24"/>
          <w:lang w:eastAsia="zh-CN"/>
        </w:rPr>
        <w:t>）</w:t>
      </w:r>
      <w:r>
        <w:rPr>
          <w:rFonts w:hint="eastAsia" w:ascii="宋体" w:hAnsi="宋体" w:eastAsia="宋体" w:cs="宋体"/>
          <w:spacing w:val="4"/>
          <w:kern w:val="0"/>
          <w:sz w:val="24"/>
          <w:szCs w:val="24"/>
        </w:rPr>
        <w:t>本工程资金部分为广州市财政资金，涉及财政资金支付部分的金额以有权审批部门审批金额为准。</w:t>
      </w:r>
    </w:p>
    <w:p>
      <w:pPr>
        <w:topLinePunct/>
        <w:adjustRightInd w:val="0"/>
        <w:snapToGrid w:val="0"/>
        <w:spacing w:line="360" w:lineRule="auto"/>
        <w:ind w:firstLine="567" w:firstLineChars="229"/>
        <w:rPr>
          <w:rFonts w:hint="eastAsia" w:ascii="宋体" w:hAnsi="宋体" w:eastAsia="宋体" w:cs="宋体"/>
          <w:spacing w:val="4"/>
          <w:kern w:val="0"/>
          <w:sz w:val="24"/>
          <w:szCs w:val="24"/>
        </w:rPr>
      </w:pPr>
      <w:r>
        <w:rPr>
          <w:rFonts w:hint="eastAsia" w:ascii="宋体" w:hAnsi="宋体" w:eastAsia="宋体" w:cs="宋体"/>
          <w:spacing w:val="4"/>
          <w:kern w:val="0"/>
          <w:sz w:val="24"/>
          <w:szCs w:val="24"/>
          <w:lang w:eastAsia="zh-CN"/>
        </w:rPr>
        <w:t>（</w:t>
      </w:r>
      <w:r>
        <w:rPr>
          <w:rFonts w:hint="eastAsia" w:ascii="宋体" w:hAnsi="宋体" w:eastAsia="宋体" w:cs="宋体"/>
          <w:spacing w:val="4"/>
          <w:kern w:val="0"/>
          <w:sz w:val="24"/>
          <w:szCs w:val="24"/>
          <w:lang w:val="en-US" w:eastAsia="zh-CN"/>
        </w:rPr>
        <w:t>3</w:t>
      </w:r>
      <w:r>
        <w:rPr>
          <w:rFonts w:hint="eastAsia" w:ascii="宋体" w:hAnsi="宋体" w:eastAsia="宋体" w:cs="宋体"/>
          <w:spacing w:val="4"/>
          <w:kern w:val="0"/>
          <w:sz w:val="24"/>
          <w:szCs w:val="24"/>
          <w:lang w:eastAsia="zh-CN"/>
        </w:rPr>
        <w:t>）</w:t>
      </w:r>
      <w:r>
        <w:rPr>
          <w:rFonts w:hint="eastAsia" w:ascii="宋体" w:hAnsi="宋体" w:eastAsia="宋体" w:cs="宋体"/>
          <w:spacing w:val="4"/>
          <w:kern w:val="0"/>
          <w:sz w:val="24"/>
          <w:szCs w:val="24"/>
        </w:rPr>
        <w:t>承包人在收到发包人工程预付款后，应及时向作业班组、分包单位、供应商支付备料款等相关费用。承包人如挪用预付款，或未及时向作业班组、分包单位、供应商支付备料款导致工期延误的，发包人一经查实，将对承包人按合同约定处严重违约责任。</w:t>
      </w:r>
    </w:p>
    <w:p>
      <w:pPr>
        <w:adjustRightInd w:val="0"/>
        <w:snapToGrid w:val="0"/>
        <w:spacing w:line="360" w:lineRule="auto"/>
        <w:ind w:right="11" w:firstLine="498" w:firstLineChars="200"/>
        <w:rPr>
          <w:rFonts w:hint="eastAsia" w:ascii="宋体" w:hAnsi="宋体" w:eastAsia="宋体" w:cs="宋体"/>
          <w:b/>
          <w:bCs/>
          <w:snapToGrid w:val="0"/>
          <w:spacing w:val="4"/>
          <w:kern w:val="0"/>
          <w:sz w:val="24"/>
          <w:szCs w:val="24"/>
          <w:lang w:eastAsia="zh-CN"/>
        </w:rPr>
      </w:pPr>
      <w:bookmarkStart w:id="89" w:name="_Toc14697679"/>
      <w:r>
        <w:rPr>
          <w:rFonts w:hint="eastAsia" w:ascii="宋体" w:hAnsi="宋体" w:eastAsia="宋体" w:cs="宋体"/>
          <w:b/>
          <w:bCs/>
          <w:snapToGrid w:val="0"/>
          <w:spacing w:val="4"/>
          <w:kern w:val="0"/>
          <w:sz w:val="24"/>
          <w:szCs w:val="24"/>
          <w:lang w:eastAsia="zh-CN"/>
        </w:rPr>
        <w:t>（五）进度管理要求</w:t>
      </w:r>
      <w:bookmarkEnd w:id="89"/>
    </w:p>
    <w:p>
      <w:pPr>
        <w:numPr>
          <w:ilvl w:val="0"/>
          <w:numId w:val="0"/>
        </w:numPr>
        <w:tabs>
          <w:tab w:val="left" w:pos="900"/>
          <w:tab w:val="left" w:pos="1288"/>
          <w:tab w:val="left" w:pos="1429"/>
          <w:tab w:val="left" w:pos="1478"/>
          <w:tab w:val="left" w:pos="1980"/>
        </w:tabs>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进场前核实现场条件</w:t>
      </w:r>
    </w:p>
    <w:p>
      <w:pPr>
        <w:tabs>
          <w:tab w:val="left" w:pos="900"/>
          <w:tab w:val="left" w:pos="1288"/>
          <w:tab w:val="left" w:pos="1429"/>
          <w:tab w:val="left" w:pos="1980"/>
        </w:tabs>
        <w:adjustRightInd w:val="0"/>
        <w:snapToGrid w:val="0"/>
        <w:spacing w:line="360" w:lineRule="auto"/>
        <w:ind w:left="19" w:firstLine="619" w:firstLineChars="258"/>
        <w:rPr>
          <w:rFonts w:hint="eastAsia" w:ascii="宋体" w:hAnsi="宋体" w:eastAsia="宋体" w:cs="宋体"/>
          <w:sz w:val="24"/>
          <w:szCs w:val="24"/>
        </w:rPr>
      </w:pPr>
      <w:r>
        <w:rPr>
          <w:rFonts w:hint="eastAsia" w:ascii="宋体" w:hAnsi="宋体" w:eastAsia="宋体" w:cs="宋体"/>
          <w:sz w:val="24"/>
          <w:szCs w:val="24"/>
        </w:rPr>
        <w:t>承包人必须在收到发包人进场通知后，对开工条件进行全面摸查、分析，作出全面开工、或局部开工、或不具备开工条件的判断，并书面向监理人、发包人报告。如工程具备开工条件，承包人应就全面开工或局部开工的实际条件，合理安排相匹配的人员、材料、机械设备进场，对于大型机械设备还须报监理人、发包人批准进场方案后方能进场；如工程不具备开工条件，承包人应在收到发包人进场通知后5天内以书面形式向发包人提出延期进场的要求并说明理由，报监理单位和发包人批准后方可延期进场，否则发包人不承担由此造成承包人的损失。</w:t>
      </w:r>
    </w:p>
    <w:p>
      <w:pPr>
        <w:numPr>
          <w:ilvl w:val="0"/>
          <w:numId w:val="0"/>
        </w:numPr>
        <w:tabs>
          <w:tab w:val="left" w:pos="900"/>
          <w:tab w:val="left" w:pos="1288"/>
          <w:tab w:val="left" w:pos="1429"/>
          <w:tab w:val="left" w:pos="1478"/>
          <w:tab w:val="left" w:pos="1980"/>
        </w:tabs>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进度计划编制和资源投入</w:t>
      </w:r>
    </w:p>
    <w:p>
      <w:pPr>
        <w:tabs>
          <w:tab w:val="left" w:pos="900"/>
          <w:tab w:val="left" w:pos="1288"/>
          <w:tab w:val="left" w:pos="1429"/>
          <w:tab w:val="left" w:pos="1980"/>
        </w:tabs>
        <w:adjustRightInd w:val="0"/>
        <w:snapToGrid w:val="0"/>
        <w:spacing w:line="360" w:lineRule="auto"/>
        <w:ind w:left="19" w:firstLine="518" w:firstLineChars="216"/>
        <w:rPr>
          <w:rFonts w:hint="eastAsia" w:ascii="宋体" w:hAnsi="宋体" w:eastAsia="宋体" w:cs="宋体"/>
          <w:sz w:val="24"/>
          <w:szCs w:val="24"/>
        </w:rPr>
      </w:pPr>
      <w:r>
        <w:rPr>
          <w:rFonts w:hint="eastAsia" w:ascii="宋体" w:hAnsi="宋体" w:eastAsia="宋体" w:cs="宋体"/>
          <w:sz w:val="24"/>
          <w:szCs w:val="24"/>
        </w:rPr>
        <w:t>承包人进场后须根据项目实施总控计划、施工图纸和现场实际情况编制切实可行的实施进度计划，并按照监理工程师、甲方的要求随时修订和调整，采取一切可能的措施，确保按批准的进度计划实施工程。承包人作为总承包单位，应合理安排施工工作，统筹各专业单位的工作界面，不得影响施工进度。承包人应根据工作面的变化情况及工程进度要求，合理调配人员及施工机械设备。承包人如不根据工作面变化情况合理调整人员、施工机械设备，造成的人员、设备窝工费用发包人不予支付。</w:t>
      </w:r>
    </w:p>
    <w:p>
      <w:pPr>
        <w:tabs>
          <w:tab w:val="left" w:pos="900"/>
          <w:tab w:val="left" w:pos="1288"/>
          <w:tab w:val="left" w:pos="1429"/>
          <w:tab w:val="left" w:pos="1980"/>
        </w:tabs>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工期计划</w:t>
      </w:r>
    </w:p>
    <w:p>
      <w:pPr>
        <w:numPr>
          <w:ilvl w:val="0"/>
          <w:numId w:val="0"/>
        </w:numPr>
        <w:tabs>
          <w:tab w:val="left" w:pos="900"/>
          <w:tab w:val="left" w:pos="1288"/>
          <w:tab w:val="left" w:pos="1429"/>
          <w:tab w:val="left" w:pos="1980"/>
        </w:tabs>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①</w:t>
      </w:r>
      <w:r>
        <w:rPr>
          <w:rFonts w:hint="eastAsia" w:ascii="宋体" w:hAnsi="宋体" w:eastAsia="宋体" w:cs="宋体"/>
          <w:sz w:val="24"/>
          <w:szCs w:val="24"/>
        </w:rPr>
        <w:t>根据节点工期要求编制各节点机械设备、劳动力、材料投入计划并进行考核，对材料、机械设备、劳动力投入不足等情况追究施工方的违约责任。</w:t>
      </w:r>
    </w:p>
    <w:p>
      <w:pPr>
        <w:numPr>
          <w:ilvl w:val="0"/>
          <w:numId w:val="0"/>
        </w:numPr>
        <w:tabs>
          <w:tab w:val="left" w:pos="900"/>
          <w:tab w:val="left" w:pos="1288"/>
          <w:tab w:val="left" w:pos="1429"/>
          <w:tab w:val="left" w:pos="1980"/>
        </w:tabs>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②</w:t>
      </w:r>
      <w:r>
        <w:rPr>
          <w:rFonts w:hint="eastAsia" w:ascii="宋体" w:hAnsi="宋体" w:eastAsia="宋体" w:cs="宋体"/>
          <w:sz w:val="24"/>
          <w:szCs w:val="24"/>
        </w:rPr>
        <w:t>承包人在施工过程中需要为政府部门、建设单位、监理单位、检测单位的检查、检测预留足够的时间，其时间相应计入总工期中，不作为工期调整的依据。</w:t>
      </w:r>
    </w:p>
    <w:p>
      <w:pPr>
        <w:numPr>
          <w:ilvl w:val="0"/>
          <w:numId w:val="0"/>
        </w:numPr>
        <w:tabs>
          <w:tab w:val="left" w:pos="900"/>
          <w:tab w:val="left" w:pos="1288"/>
          <w:tab w:val="left" w:pos="1429"/>
          <w:tab w:val="left" w:pos="1980"/>
        </w:tabs>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③</w:t>
      </w:r>
      <w:r>
        <w:rPr>
          <w:rFonts w:hint="eastAsia" w:ascii="宋体" w:hAnsi="宋体" w:eastAsia="宋体" w:cs="宋体"/>
          <w:sz w:val="24"/>
          <w:szCs w:val="24"/>
        </w:rPr>
        <w:t>承包人在施工过程中需要给各专业分包单位的施工及调试和成品保护预留足够的时间，其时间相应计入总工期中，不作为工期调整地依据。</w:t>
      </w:r>
    </w:p>
    <w:p>
      <w:pPr>
        <w:numPr>
          <w:ilvl w:val="0"/>
          <w:numId w:val="0"/>
        </w:numPr>
        <w:tabs>
          <w:tab w:val="left" w:pos="900"/>
          <w:tab w:val="left" w:pos="1288"/>
          <w:tab w:val="left" w:pos="1429"/>
          <w:tab w:val="left" w:pos="1980"/>
        </w:tabs>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④</w:t>
      </w:r>
      <w:r>
        <w:rPr>
          <w:rFonts w:hint="eastAsia" w:ascii="宋体" w:hAnsi="宋体" w:eastAsia="宋体" w:cs="宋体"/>
          <w:sz w:val="24"/>
          <w:szCs w:val="24"/>
        </w:rPr>
        <w:t>招标图纸与施工图纸的局部差异、地质条件变化、地下障碍物等不作为工期调整的依据，对地质条件变化、地下障碍物的处理及排除风险作为施工风险由施工方承担。</w:t>
      </w:r>
    </w:p>
    <w:p>
      <w:pPr>
        <w:tabs>
          <w:tab w:val="left" w:pos="900"/>
          <w:tab w:val="left" w:pos="1288"/>
          <w:tab w:val="left" w:pos="1429"/>
          <w:tab w:val="left" w:pos="1980"/>
        </w:tabs>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进度计划修订与调整</w:t>
      </w:r>
    </w:p>
    <w:p>
      <w:pPr>
        <w:tabs>
          <w:tab w:val="left" w:pos="900"/>
          <w:tab w:val="left" w:pos="1288"/>
          <w:tab w:val="left" w:pos="1429"/>
          <w:tab w:val="left" w:pos="1980"/>
        </w:tabs>
        <w:adjustRightInd w:val="0"/>
        <w:snapToGrid w:val="0"/>
        <w:spacing w:line="360" w:lineRule="auto"/>
        <w:ind w:left="19" w:firstLine="518" w:firstLineChars="216"/>
        <w:rPr>
          <w:rFonts w:hint="eastAsia" w:ascii="宋体" w:hAnsi="宋体" w:eastAsia="宋体" w:cs="宋体"/>
          <w:sz w:val="24"/>
          <w:szCs w:val="24"/>
        </w:rPr>
      </w:pPr>
      <w:r>
        <w:rPr>
          <w:rFonts w:hint="eastAsia" w:ascii="宋体" w:hAnsi="宋体" w:eastAsia="宋体" w:cs="宋体"/>
          <w:sz w:val="24"/>
          <w:szCs w:val="24"/>
        </w:rPr>
        <w:t>在工程实施过程中，如因不可抗力、工程设计有重大变更等非承包人原因导致工期确需调整的，承包人应及时向监理单位和发包人提出工期调整及人员、机械设备投入调整的报告，经监理单位和发包人批准后方可执行，且承包人不得因此向发包人提出人员、机械设备等窝工费用的索赔。</w:t>
      </w:r>
    </w:p>
    <w:p>
      <w:pPr>
        <w:tabs>
          <w:tab w:val="left" w:pos="900"/>
          <w:tab w:val="left" w:pos="1288"/>
          <w:tab w:val="left" w:pos="1429"/>
          <w:tab w:val="left" w:pos="1980"/>
        </w:tabs>
        <w:adjustRightInd w:val="0"/>
        <w:snapToGrid w:val="0"/>
        <w:spacing w:line="360" w:lineRule="auto"/>
        <w:ind w:left="53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rPr>
        <w:t>进度月报</w:t>
      </w:r>
    </w:p>
    <w:p>
      <w:pPr>
        <w:tabs>
          <w:tab w:val="left" w:pos="900"/>
          <w:tab w:val="left" w:pos="1288"/>
          <w:tab w:val="left" w:pos="1429"/>
          <w:tab w:val="left" w:pos="1980"/>
        </w:tabs>
        <w:adjustRightInd w:val="0"/>
        <w:snapToGrid w:val="0"/>
        <w:spacing w:line="360" w:lineRule="auto"/>
        <w:ind w:left="19" w:firstLine="518" w:firstLineChars="216"/>
        <w:rPr>
          <w:rFonts w:hint="eastAsia" w:ascii="宋体" w:hAnsi="宋体" w:eastAsia="宋体" w:cs="宋体"/>
          <w:sz w:val="24"/>
          <w:szCs w:val="24"/>
        </w:rPr>
      </w:pPr>
      <w:r>
        <w:rPr>
          <w:rFonts w:hint="eastAsia" w:ascii="宋体" w:hAnsi="宋体" w:eastAsia="宋体" w:cs="宋体"/>
          <w:sz w:val="24"/>
          <w:szCs w:val="24"/>
        </w:rPr>
        <w:t xml:space="preserve">承包人须于每月最后一日前向总监理工程师提供综合报表（内容包括但不限于如下计划、报表或报告），经总监理工程师审核，并报发包人批准后实施： </w:t>
      </w:r>
    </w:p>
    <w:p>
      <w:pPr>
        <w:tabs>
          <w:tab w:val="left" w:pos="900"/>
          <w:tab w:val="left" w:pos="1288"/>
          <w:tab w:val="left" w:pos="1429"/>
          <w:tab w:val="left" w:pos="1980"/>
        </w:tabs>
        <w:adjustRightInd w:val="0"/>
        <w:snapToGrid w:val="0"/>
        <w:spacing w:line="360" w:lineRule="auto"/>
        <w:ind w:left="53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①施工、安装、试验以及其他发包人工作等进展情况的图表和说明；</w:t>
      </w:r>
    </w:p>
    <w:p>
      <w:pPr>
        <w:tabs>
          <w:tab w:val="left" w:pos="900"/>
          <w:tab w:val="left" w:pos="1288"/>
          <w:tab w:val="left" w:pos="1429"/>
          <w:tab w:val="left" w:pos="1980"/>
        </w:tabs>
        <w:adjustRightInd w:val="0"/>
        <w:snapToGrid w:val="0"/>
        <w:spacing w:line="360" w:lineRule="auto"/>
        <w:ind w:left="53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②材料、设备、货物的采购和制造商名称、地点以及进入现场情况；</w:t>
      </w:r>
    </w:p>
    <w:p>
      <w:pPr>
        <w:tabs>
          <w:tab w:val="left" w:pos="900"/>
          <w:tab w:val="left" w:pos="1288"/>
          <w:tab w:val="left" w:pos="1429"/>
          <w:tab w:val="left" w:pos="1980"/>
        </w:tabs>
        <w:adjustRightInd w:val="0"/>
        <w:snapToGrid w:val="0"/>
        <w:spacing w:line="360" w:lineRule="auto"/>
        <w:ind w:left="53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③合同变更费用统计和安全统计；</w:t>
      </w:r>
    </w:p>
    <w:p>
      <w:pPr>
        <w:tabs>
          <w:tab w:val="left" w:pos="900"/>
          <w:tab w:val="left" w:pos="1288"/>
          <w:tab w:val="left" w:pos="1429"/>
          <w:tab w:val="left" w:pos="1980"/>
        </w:tabs>
        <w:adjustRightInd w:val="0"/>
        <w:snapToGrid w:val="0"/>
        <w:spacing w:line="360" w:lineRule="auto"/>
        <w:ind w:left="539"/>
        <w:rPr>
          <w:rFonts w:hint="eastAsia" w:ascii="宋体" w:hAnsi="宋体" w:eastAsia="宋体" w:cs="宋体"/>
          <w:sz w:val="24"/>
          <w:szCs w:val="24"/>
        </w:rPr>
      </w:pPr>
      <w:r>
        <w:rPr>
          <w:rFonts w:hint="eastAsia" w:ascii="宋体" w:hAnsi="宋体" w:eastAsia="宋体" w:cs="宋体"/>
          <w:sz w:val="24"/>
          <w:szCs w:val="24"/>
          <w:lang w:val="en-US" w:eastAsia="zh-CN"/>
        </w:rPr>
        <w:t>④实际进度与计划进度的对比，以及</w:t>
      </w:r>
      <w:r>
        <w:rPr>
          <w:rFonts w:hint="eastAsia" w:ascii="宋体" w:hAnsi="宋体" w:eastAsia="宋体" w:cs="宋体"/>
          <w:sz w:val="24"/>
          <w:szCs w:val="24"/>
        </w:rPr>
        <w:t>为消除延误正在或准备采取的措施。</w:t>
      </w:r>
    </w:p>
    <w:p>
      <w:pPr>
        <w:tabs>
          <w:tab w:val="left" w:pos="900"/>
          <w:tab w:val="left" w:pos="1288"/>
          <w:tab w:val="left" w:pos="1429"/>
          <w:tab w:val="left" w:pos="1980"/>
        </w:tabs>
        <w:adjustRightInd w:val="0"/>
        <w:snapToGrid w:val="0"/>
        <w:spacing w:line="360" w:lineRule="auto"/>
        <w:ind w:left="53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w:t>
      </w:r>
      <w:r>
        <w:rPr>
          <w:rFonts w:hint="eastAsia" w:ascii="宋体" w:hAnsi="宋体" w:eastAsia="宋体" w:cs="宋体"/>
          <w:sz w:val="24"/>
          <w:szCs w:val="24"/>
        </w:rPr>
        <w:t>非发包人原因工期延误的处理</w:t>
      </w:r>
    </w:p>
    <w:p>
      <w:pPr>
        <w:tabs>
          <w:tab w:val="left" w:pos="420"/>
          <w:tab w:val="left" w:pos="900"/>
          <w:tab w:val="left" w:pos="1288"/>
          <w:tab w:val="left" w:pos="1429"/>
          <w:tab w:val="left" w:pos="1980"/>
        </w:tabs>
        <w:adjustRightInd w:val="0"/>
        <w:snapToGrid w:val="0"/>
        <w:spacing w:line="360" w:lineRule="auto"/>
        <w:ind w:left="19" w:firstLine="518" w:firstLineChars="216"/>
        <w:rPr>
          <w:rFonts w:hint="eastAsia" w:ascii="宋体" w:hAnsi="宋体" w:eastAsia="宋体" w:cs="宋体"/>
          <w:sz w:val="24"/>
          <w:szCs w:val="24"/>
        </w:rPr>
      </w:pPr>
      <w:r>
        <w:rPr>
          <w:rFonts w:hint="eastAsia" w:ascii="宋体" w:hAnsi="宋体" w:eastAsia="宋体" w:cs="宋体"/>
          <w:sz w:val="24"/>
          <w:szCs w:val="24"/>
        </w:rPr>
        <w:t>在非发包人延误工期的情况下，如果监理人或发包人书面指出承包人实施合同工程或其任何部分的进度过慢，迟于进度计划或不能按期竣工，则承包人应按照采取一切改进措施，加快工程进度。如果承包人在接到监理工程师或发包人通知后的14 天内，未能采取加快工程进度的措施，致使实际进度进一步延迟；或承包人虽然采取了改进措施，仍无法按期竣工，监理人应立即报告发包人，并抄送承包人。发包人可按照合同规定解除合同，也可将合同工程中的一部分工作交由第三方完成，由此增加的一切费用由承包人承担。即使承包人承担增加的费用，也不能免除其按照合同约定应承担的任何责任和应履行的任何义务。</w:t>
      </w:r>
    </w:p>
    <w:p>
      <w:pPr>
        <w:adjustRightInd w:val="0"/>
        <w:snapToGrid w:val="0"/>
        <w:spacing w:line="360" w:lineRule="auto"/>
        <w:ind w:right="11" w:firstLine="498" w:firstLineChars="200"/>
        <w:rPr>
          <w:rFonts w:hint="eastAsia" w:ascii="宋体" w:hAnsi="宋体" w:eastAsia="宋体" w:cs="宋体"/>
          <w:b/>
          <w:bCs/>
          <w:snapToGrid w:val="0"/>
          <w:spacing w:val="4"/>
          <w:kern w:val="0"/>
          <w:sz w:val="24"/>
          <w:szCs w:val="24"/>
          <w:lang w:eastAsia="zh-CN"/>
        </w:rPr>
      </w:pPr>
      <w:bookmarkStart w:id="90" w:name="_Toc14697680"/>
      <w:r>
        <w:rPr>
          <w:rFonts w:hint="eastAsia" w:ascii="宋体" w:hAnsi="宋体" w:eastAsia="宋体" w:cs="宋体"/>
          <w:b/>
          <w:bCs/>
          <w:snapToGrid w:val="0"/>
          <w:spacing w:val="4"/>
          <w:kern w:val="0"/>
          <w:sz w:val="24"/>
          <w:szCs w:val="24"/>
          <w:lang w:eastAsia="zh-CN"/>
        </w:rPr>
        <w:t>（六）安全文明、职业健康与环境管理施工要求</w:t>
      </w:r>
      <w:bookmarkEnd w:id="90"/>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安全文明施工一般规定</w:t>
      </w:r>
    </w:p>
    <w:p>
      <w:pPr>
        <w:adjustRightInd w:val="0"/>
        <w:snapToGrid w:val="0"/>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w:t>
      </w:r>
      <w:r>
        <w:rPr>
          <w:rFonts w:hint="eastAsia" w:ascii="宋体" w:hAnsi="宋体" w:eastAsia="宋体" w:cs="宋体"/>
          <w:sz w:val="24"/>
          <w:szCs w:val="24"/>
        </w:rPr>
        <w:t>根据</w:t>
      </w:r>
      <w:r>
        <w:rPr>
          <w:rFonts w:hint="eastAsia" w:ascii="宋体" w:hAnsi="宋体" w:eastAsia="宋体" w:cs="宋体"/>
          <w:sz w:val="24"/>
          <w:szCs w:val="24"/>
          <w:lang w:val="en-US" w:eastAsia="zh-CN"/>
        </w:rPr>
        <w:t>广东省、广州市住建部门相关文件关于绿色施工围蔽、</w:t>
      </w:r>
      <w:r>
        <w:rPr>
          <w:rFonts w:hint="eastAsia" w:ascii="宋体" w:hAnsi="宋体" w:eastAsia="宋体" w:cs="宋体"/>
          <w:sz w:val="24"/>
          <w:szCs w:val="24"/>
        </w:rPr>
        <w:t>建设工程扬尘防治“6 个100%”</w:t>
      </w:r>
      <w:r>
        <w:rPr>
          <w:rFonts w:hint="eastAsia" w:ascii="宋体" w:hAnsi="宋体" w:eastAsia="宋体" w:cs="宋体"/>
          <w:sz w:val="24"/>
          <w:szCs w:val="24"/>
          <w:lang w:val="en-US" w:eastAsia="zh-CN"/>
        </w:rPr>
        <w:t>等相关安全文明施工的相关规定执行。</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②符合质量安全监督战部门关于绿色安全文明施工的相关要求执行。</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③</w:t>
      </w:r>
      <w:r>
        <w:rPr>
          <w:rFonts w:hint="eastAsia" w:ascii="宋体" w:hAnsi="宋体" w:eastAsia="宋体" w:cs="宋体"/>
          <w:sz w:val="24"/>
          <w:szCs w:val="24"/>
        </w:rPr>
        <w:t>符合发包人关于安全文明施工管理的相关规定。</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环境保护一般规定</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承包人应在进入现场前向监理单位提交施工期间的环境保护方案，经监理工程师批准后实施。在实施过程中所采用的材料、设备等应符合国家、省、市有关环境保护的相关规定。</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职业健康一般规定</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承包人应依法为其履行合同所雇用的人员办理必要的证件、许可、保险和注册等，按照法律规定保障现场施工人员的劳动安全，提供劳动保护,采取有效的防止粉尘、降低噪声、控制有害气体和保障高温、高寒、高空作业安全等劳动保护措施。承包人雇佣人员在施工中受到伤害的，承包人应立即采取有效措施进行抢救和治疗。承包人应为其履行合同所雇用的人员提供必要的膳宿条件和生活环境，采取有效措施预防传染病，保证施工人员的健康。</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安全保证措施要求</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安全文明施工保证措施必须包括人员投入，安全措施费投入，安全教育培训，应急救援演练，安全检查及隐患排查整改，专项施工方案的编制、审批和实施措施，预防施工坍塌事故的措施，预防建筑起重机械伤害事故的措施等重点内容。措施项目的实施要求须</w:t>
      </w:r>
      <w:r>
        <w:rPr>
          <w:rFonts w:hint="eastAsia" w:ascii="宋体" w:hAnsi="宋体" w:eastAsia="宋体" w:cs="宋体"/>
          <w:sz w:val="24"/>
          <w:szCs w:val="24"/>
          <w:lang w:val="en-US" w:eastAsia="zh-CN"/>
        </w:rPr>
        <w:t>广东省、广州市住建管理部门</w:t>
      </w:r>
      <w:r>
        <w:rPr>
          <w:rFonts w:hint="eastAsia" w:ascii="宋体" w:hAnsi="宋体" w:eastAsia="宋体" w:cs="宋体"/>
          <w:sz w:val="24"/>
          <w:szCs w:val="24"/>
        </w:rPr>
        <w:t>及发包人制定的相关规定的要求。</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rPr>
        <w:t>安全生产管理人员投入要求</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承包人必须严格按照省市相关规定和发包人要求，足额投入安全生产管理人员，其中：专职安全员必须持证上岗，特殊工种的人员也应受过专门的培训并已取得政府有关管理机构颁发的上岗证书。</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承包人必须明确划分各人员的责任，使其在施工过程中履行自己的责任和义务。项目经理是安全第一责任人，负责安全生产的直接责任。</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承包人必须制定严格的安全技术操作规程，并定期对安全生产管理人员进行考核。</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w:t>
      </w:r>
      <w:r>
        <w:rPr>
          <w:rFonts w:hint="eastAsia" w:ascii="宋体" w:hAnsi="宋体" w:eastAsia="宋体" w:cs="宋体"/>
          <w:sz w:val="24"/>
          <w:szCs w:val="24"/>
        </w:rPr>
        <w:t>承包人对现场安全负全责</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在工程实施期间，承包人对经发包人移交的施工场地负有全过程、全面的管理责任，必须对施工场地范围内的治安秩序、安全保卫、环境卫生以及周围房屋、市政设施等全面负责，对施工场地范围内的交通道路、用水、用电、场地内的施工协调负责，确保不对周边环境、道路、行人和相邻施工现场造成不利影响，不得干扰周围居民的正常生活。承包人应加强现场治安防卫工作。在工程开工后7天内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w:t>
      </w:r>
      <w:r>
        <w:rPr>
          <w:rFonts w:hint="eastAsia" w:ascii="宋体" w:hAnsi="宋体" w:eastAsia="宋体" w:cs="宋体"/>
          <w:sz w:val="24"/>
          <w:szCs w:val="24"/>
        </w:rPr>
        <w:t>危险性较大工程的安全管理</w:t>
      </w:r>
    </w:p>
    <w:p>
      <w:pPr>
        <w:spacing w:line="360" w:lineRule="auto"/>
        <w:ind w:firstLine="523" w:firstLineChars="218"/>
        <w:jc w:val="left"/>
        <w:rPr>
          <w:rFonts w:hint="eastAsia" w:ascii="宋体" w:hAnsi="宋体" w:eastAsia="宋体" w:cs="宋体"/>
          <w:kern w:val="0"/>
          <w:sz w:val="24"/>
          <w:szCs w:val="24"/>
        </w:rPr>
      </w:pPr>
      <w:r>
        <w:rPr>
          <w:rFonts w:hint="eastAsia" w:ascii="宋体" w:hAnsi="宋体" w:eastAsia="宋体" w:cs="宋体"/>
          <w:kern w:val="0"/>
          <w:sz w:val="24"/>
          <w:szCs w:val="24"/>
        </w:rPr>
        <w:t>危险性较大的分部分项工程</w:t>
      </w:r>
      <w:r>
        <w:rPr>
          <w:rFonts w:hint="eastAsia" w:ascii="宋体" w:hAnsi="宋体" w:eastAsia="宋体" w:cs="宋体"/>
          <w:bCs/>
          <w:snapToGrid w:val="0"/>
          <w:kern w:val="0"/>
          <w:sz w:val="24"/>
          <w:szCs w:val="24"/>
        </w:rPr>
        <w:t>《危险性较大的分部分项工程安全管理规定》(中华人民共和国住房和城乡建设部令第37号)等</w:t>
      </w:r>
      <w:r>
        <w:rPr>
          <w:rFonts w:hint="eastAsia" w:ascii="宋体" w:hAnsi="宋体" w:eastAsia="宋体" w:cs="宋体"/>
          <w:kern w:val="0"/>
          <w:sz w:val="24"/>
          <w:szCs w:val="24"/>
        </w:rPr>
        <w:t xml:space="preserve">文规定执行。需单独编制危险性较大分部分项专项工程施工方案的，及要求进行专家论证的超过一定规模的危险性较大的分部分项工程，承包人应及时编制和组织论证。承包人在动力设备、输电线路、地下管道、密封防震车间、易燃易爆地段以及临街交通要道附近施工时，施工开始前应向发包人和监理人提出安全防护措施，经发包人认可后实施。 </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实施爆破作业，在放射、毒害性环境中施工（含储存、运输、使用）及使用毒害性、腐蚀性物品施工时，承包人应在施工前7天以书面通知发包人和监理人，并报送相应的安全防护措施，经发包人认可后实施。</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8</w:t>
      </w:r>
      <w:r>
        <w:rPr>
          <w:rFonts w:hint="eastAsia" w:ascii="宋体" w:hAnsi="宋体" w:eastAsia="宋体" w:cs="宋体"/>
          <w:sz w:val="24"/>
          <w:szCs w:val="24"/>
          <w:lang w:eastAsia="zh-CN"/>
        </w:rPr>
        <w:t>）</w:t>
      </w:r>
      <w:r>
        <w:rPr>
          <w:rFonts w:hint="eastAsia" w:ascii="宋体" w:hAnsi="宋体" w:eastAsia="宋体" w:cs="宋体"/>
          <w:sz w:val="24"/>
          <w:szCs w:val="24"/>
        </w:rPr>
        <w:t>安全问题应急措施及上报制度</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在工程实施期间，如遇到突发的地质变动、事先未知的地下施工障碍等影响施工安全的紧急情况，承包人应及时报告监理人和发包人，发包人应当及时下令停工并报政府有关行政管理部门采取应急措施。</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9</w:t>
      </w:r>
      <w:r>
        <w:rPr>
          <w:rFonts w:hint="eastAsia" w:ascii="宋体" w:hAnsi="宋体" w:eastAsia="宋体" w:cs="宋体"/>
          <w:sz w:val="24"/>
          <w:szCs w:val="24"/>
          <w:lang w:eastAsia="zh-CN"/>
        </w:rPr>
        <w:t>）</w:t>
      </w:r>
      <w:r>
        <w:rPr>
          <w:rFonts w:hint="eastAsia" w:ascii="宋体" w:hAnsi="宋体" w:eastAsia="宋体" w:cs="宋体"/>
          <w:sz w:val="24"/>
          <w:szCs w:val="24"/>
        </w:rPr>
        <w:t>安全文明施工费用专款专用</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承包人在施工过程中必须严格执行安全文明施工方案，安全防护、文明施工的内容按承包人向发包人提交且经发包人批准的详细的施工组织设计实施，所有施工的安全设施、机具以及围网、护栏、临边防护、施工通道等全部按发包人的要求统一标准、统一标识。所需安全防护、文明施工措施费必须专款专用，严禁挪用。</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w:t>
      </w:r>
      <w:r>
        <w:rPr>
          <w:rFonts w:hint="eastAsia" w:ascii="宋体" w:hAnsi="宋体" w:eastAsia="宋体" w:cs="宋体"/>
          <w:sz w:val="24"/>
          <w:szCs w:val="24"/>
        </w:rPr>
        <w:t>承包人不按要求实施安全生产、文明施工时的特殊处理措施</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在工程实施期间，监理单位、发包人或监督部门在安全文明施工检查过程中，如发现施工现场不满足国家、省、市关于安全文明生产的相关规定和发包人对本工程安全文明施工的相关要求，且不按监理单位要求在限定时间内整改完毕的，发包人可以自行或委托其他单位实施整改，所发生的费用从安全防护、文明施工措施费款项中扣除，不足部分从承包人的合同价款中扣除。</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在工程实施期间或缺陷责任期内发生危及工程安全的事件，监理人通知承包人进行抢救，承包人声明无能力或不愿立即执行的，发包人有权自行或委托其他单位进行抢救。此类抢救按合同约定属于承包人义务的，由此增加的费用和（或）延误的工期由承包人承担。</w:t>
      </w:r>
    </w:p>
    <w:p>
      <w:pPr>
        <w:adjustRightInd w:val="0"/>
        <w:snapToGrid w:val="0"/>
        <w:spacing w:line="360" w:lineRule="auto"/>
        <w:ind w:right="11" w:firstLine="498" w:firstLineChars="200"/>
        <w:rPr>
          <w:rFonts w:hint="eastAsia" w:ascii="宋体" w:hAnsi="宋体" w:eastAsia="宋体" w:cs="宋体"/>
          <w:b/>
          <w:bCs/>
          <w:snapToGrid w:val="0"/>
          <w:spacing w:val="4"/>
          <w:kern w:val="0"/>
          <w:sz w:val="24"/>
          <w:szCs w:val="24"/>
          <w:lang w:eastAsia="zh-CN"/>
        </w:rPr>
      </w:pPr>
      <w:bookmarkStart w:id="91" w:name="_Toc14697681"/>
      <w:r>
        <w:rPr>
          <w:rFonts w:hint="eastAsia" w:ascii="宋体" w:hAnsi="宋体" w:eastAsia="宋体" w:cs="宋体"/>
          <w:b/>
          <w:bCs/>
          <w:snapToGrid w:val="0"/>
          <w:spacing w:val="4"/>
          <w:kern w:val="0"/>
          <w:sz w:val="24"/>
          <w:szCs w:val="24"/>
          <w:lang w:eastAsia="zh-CN"/>
        </w:rPr>
        <w:t>（七）投资控制要求</w:t>
      </w:r>
      <w:bookmarkEnd w:id="91"/>
    </w:p>
    <w:p>
      <w:pPr>
        <w:tabs>
          <w:tab w:val="left" w:pos="1320"/>
        </w:tabs>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承包人复核清单</w:t>
      </w:r>
    </w:p>
    <w:p>
      <w:pPr>
        <w:tabs>
          <w:tab w:val="left" w:pos="1320"/>
        </w:tabs>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①</w:t>
      </w:r>
      <w:r>
        <w:rPr>
          <w:rFonts w:hint="eastAsia" w:ascii="宋体" w:hAnsi="宋体" w:eastAsia="宋体" w:cs="宋体"/>
          <w:kern w:val="0"/>
          <w:sz w:val="24"/>
          <w:szCs w:val="24"/>
        </w:rPr>
        <w:t>投标单位应在招标阶段核对招标清单及图纸，在招标答疑中提出问题。</w:t>
      </w:r>
    </w:p>
    <w:p>
      <w:pPr>
        <w:tabs>
          <w:tab w:val="left" w:pos="1320"/>
        </w:tabs>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②</w:t>
      </w:r>
      <w:r>
        <w:rPr>
          <w:rFonts w:hint="eastAsia" w:ascii="宋体" w:hAnsi="宋体" w:eastAsia="宋体" w:cs="宋体"/>
          <w:kern w:val="0"/>
          <w:sz w:val="24"/>
          <w:szCs w:val="24"/>
        </w:rPr>
        <w:t>承包人须</w:t>
      </w:r>
      <w:r>
        <w:rPr>
          <w:rFonts w:hint="eastAsia" w:ascii="宋体" w:hAnsi="宋体" w:eastAsia="宋体" w:cs="宋体"/>
          <w:kern w:val="0"/>
          <w:sz w:val="24"/>
          <w:szCs w:val="24"/>
          <w:lang w:val="en-US" w:eastAsia="zh-CN"/>
        </w:rPr>
        <w:t>根据</w:t>
      </w:r>
      <w:r>
        <w:rPr>
          <w:rFonts w:hint="eastAsia" w:ascii="宋体" w:hAnsi="宋体" w:eastAsia="宋体" w:cs="宋体"/>
          <w:kern w:val="0"/>
          <w:sz w:val="24"/>
          <w:szCs w:val="24"/>
        </w:rPr>
        <w:t>施工图纸</w:t>
      </w:r>
      <w:r>
        <w:rPr>
          <w:rFonts w:hint="eastAsia" w:ascii="宋体" w:hAnsi="宋体" w:eastAsia="宋体" w:cs="宋体"/>
          <w:kern w:val="0"/>
          <w:sz w:val="24"/>
          <w:szCs w:val="24"/>
          <w:lang w:val="en-US" w:eastAsia="zh-CN"/>
        </w:rPr>
        <w:t>对照中标清单，存在差异及时报</w:t>
      </w:r>
      <w:r>
        <w:rPr>
          <w:rFonts w:hint="eastAsia" w:ascii="宋体" w:hAnsi="宋体" w:eastAsia="宋体" w:cs="宋体"/>
          <w:kern w:val="0"/>
          <w:sz w:val="24"/>
          <w:szCs w:val="24"/>
        </w:rPr>
        <w:t>监理单位和发包人审核备案，但不得因此而影响工程进度。</w:t>
      </w:r>
    </w:p>
    <w:p>
      <w:pPr>
        <w:tabs>
          <w:tab w:val="left" w:pos="1320"/>
        </w:tabs>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③</w:t>
      </w:r>
      <w:r>
        <w:rPr>
          <w:rFonts w:hint="eastAsia" w:ascii="宋体" w:hAnsi="宋体" w:eastAsia="宋体" w:cs="宋体"/>
          <w:kern w:val="0"/>
          <w:sz w:val="24"/>
          <w:szCs w:val="24"/>
        </w:rPr>
        <w:t>承包人在施工过程中必须严格执行发包人有关变更和签证的管理规定，遵循先审批后执行的原则</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w:t>
      </w:r>
    </w:p>
    <w:p>
      <w:pPr>
        <w:tabs>
          <w:tab w:val="left" w:pos="1320"/>
        </w:tabs>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④</w:t>
      </w:r>
      <w:r>
        <w:rPr>
          <w:rFonts w:hint="eastAsia" w:ascii="宋体" w:hAnsi="宋体" w:eastAsia="宋体" w:cs="宋体"/>
          <w:kern w:val="0"/>
          <w:sz w:val="24"/>
          <w:szCs w:val="24"/>
        </w:rPr>
        <w:t>对承包范围内需要深化设计图纸的，要求中标单位委托有相关资质的设计单位进行深化设计，图纸需经过主体设计单位确认，深化设计费已包含在投标报价中；</w:t>
      </w:r>
    </w:p>
    <w:p>
      <w:pPr>
        <w:tabs>
          <w:tab w:val="left" w:pos="1320"/>
        </w:tabs>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⑤</w:t>
      </w:r>
      <w:r>
        <w:rPr>
          <w:rFonts w:hint="eastAsia" w:ascii="宋体" w:hAnsi="宋体" w:eastAsia="宋体" w:cs="宋体"/>
          <w:kern w:val="0"/>
          <w:sz w:val="24"/>
          <w:szCs w:val="24"/>
        </w:rPr>
        <w:t>承包人需承担对于仿古建筑等的设计、选材、模型等方面的费用风险，有可能引起的特殊机具使用或重复施工等费用也包含在投标报价中；</w:t>
      </w:r>
    </w:p>
    <w:p>
      <w:pPr>
        <w:tabs>
          <w:tab w:val="left" w:pos="1320"/>
        </w:tabs>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⑥</w:t>
      </w:r>
      <w:r>
        <w:rPr>
          <w:rFonts w:hint="eastAsia" w:ascii="宋体" w:hAnsi="宋体" w:eastAsia="宋体" w:cs="宋体"/>
          <w:kern w:val="0"/>
          <w:sz w:val="24"/>
          <w:szCs w:val="24"/>
        </w:rPr>
        <w:t>对地质条件变化、地下障碍物的处理及排除风险作为施工风险由中标方承担。</w:t>
      </w:r>
    </w:p>
    <w:p>
      <w:pPr>
        <w:tabs>
          <w:tab w:val="left" w:pos="1320"/>
        </w:tabs>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⑦</w:t>
      </w:r>
      <w:r>
        <w:rPr>
          <w:rFonts w:hint="eastAsia" w:ascii="宋体" w:hAnsi="宋体" w:eastAsia="宋体" w:cs="宋体"/>
          <w:kern w:val="0"/>
          <w:sz w:val="24"/>
          <w:szCs w:val="24"/>
        </w:rPr>
        <w:t>投标单位需自行勘察现场，对施工现场与施工图纸的差异引起的工程量及施工技术措施承担风险。</w:t>
      </w:r>
    </w:p>
    <w:p>
      <w:pPr>
        <w:tabs>
          <w:tab w:val="left" w:pos="1320"/>
        </w:tabs>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进度款支付申请准确性要求</w:t>
      </w:r>
    </w:p>
    <w:p>
      <w:pPr>
        <w:tabs>
          <w:tab w:val="left" w:pos="1320"/>
        </w:tabs>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承包人须协助发包人加强投资控制，每期申请进度款的计量计价应准确，进度款的申请应与主要材料设备采购计划相匹配，严禁虚报计量（承包人申报的进度款金额超出经监理人、发包人核实金额的10%，视为承包人虚报计量）或超前计量，否则严格按合同约定承担违约责任。</w:t>
      </w:r>
    </w:p>
    <w:p>
      <w:pPr>
        <w:tabs>
          <w:tab w:val="left" w:pos="1320"/>
        </w:tabs>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合同价款调整报告的时效性要求</w:t>
      </w:r>
    </w:p>
    <w:p>
      <w:pPr>
        <w:tabs>
          <w:tab w:val="left" w:pos="1320"/>
        </w:tabs>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在施工过程中发生的工程变更、工程签证等引起合同价款调整事件后的14 天内，承包人应向监理单位和发包人提交合同价款调整报告，并附上相关资料。如承包人在出现合同价款调整事件后的14 天内未提交合同价款调增报告的，则发包人有权根据实际情况决定是否调整合同价款以及调整的金额；如原合同追加金额超出原合同价10%的，则承包人无权获得超出部分或仅限于获得发包人审核确认的部分。</w:t>
      </w:r>
    </w:p>
    <w:p>
      <w:pPr>
        <w:tabs>
          <w:tab w:val="left" w:pos="1320"/>
        </w:tabs>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对承包人劳务工资、分包工程款、材料设备款支付的审核及限制</w:t>
      </w:r>
    </w:p>
    <w:p>
      <w:pPr>
        <w:tabs>
          <w:tab w:val="left" w:pos="1320"/>
        </w:tabs>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如果发包人有要求，承包人应向发包人提供其对雇员劳务工资、分包人已完工程款以及材料和工程设备供应商贷款的支付凭证。如果承包人未能提供上述凭证，视为承包人未向雇员、分包人、供应商支付相关款项。</w:t>
      </w:r>
    </w:p>
    <w:p>
      <w:pPr>
        <w:tabs>
          <w:tab w:val="left" w:pos="1320"/>
        </w:tabs>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如果承包人未按照雇员劳务合同和政府有关规定支付雇员劳务工资，或未按照分包合同支付分包人工程款，或未按照购销合同支付材料和工程设备供应商货款，均视为承包人违约。若在发包人或监理人书面通知改正后的7 天内，承包人仍未采取措施补救的，发包人可实施下列工作：</w:t>
      </w:r>
    </w:p>
    <w:p>
      <w:pPr>
        <w:tabs>
          <w:tab w:val="left" w:pos="1320"/>
        </w:tabs>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①</w:t>
      </w:r>
      <w:r>
        <w:rPr>
          <w:rFonts w:hint="eastAsia" w:ascii="宋体" w:hAnsi="宋体" w:eastAsia="宋体" w:cs="宋体"/>
          <w:kern w:val="0"/>
          <w:sz w:val="24"/>
          <w:szCs w:val="24"/>
        </w:rPr>
        <w:t>立即停止向承包人支付应付的款项；</w:t>
      </w:r>
    </w:p>
    <w:p>
      <w:pPr>
        <w:tabs>
          <w:tab w:val="left" w:pos="1320"/>
        </w:tabs>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②</w:t>
      </w:r>
      <w:r>
        <w:rPr>
          <w:rFonts w:hint="eastAsia" w:ascii="宋体" w:hAnsi="宋体" w:eastAsia="宋体" w:cs="宋体"/>
          <w:kern w:val="0"/>
          <w:sz w:val="24"/>
          <w:szCs w:val="24"/>
        </w:rPr>
        <w:t>在相应支付期应付的工程款范围内，直接向雇员、分包人和材料设备供应商支付承包人应付的款项。发包人在实施上述工作后的 14 天内应以书面形式通知承包人，抄送监理人。监理人在签发下期进度款支付证书时，应扣除已由发包人直接支付的款项。由于上述工作原因发生的费用由承包人承担；给发包人造成损失的，承包人应予赔偿。</w:t>
      </w:r>
    </w:p>
    <w:p>
      <w:pPr>
        <w:adjustRightInd w:val="0"/>
        <w:snapToGrid w:val="0"/>
        <w:spacing w:line="360" w:lineRule="auto"/>
        <w:ind w:right="11" w:firstLine="498" w:firstLineChars="200"/>
        <w:rPr>
          <w:rFonts w:hint="eastAsia" w:ascii="宋体" w:hAnsi="宋体" w:eastAsia="宋体" w:cs="宋体"/>
          <w:b/>
          <w:bCs/>
          <w:snapToGrid w:val="0"/>
          <w:spacing w:val="4"/>
          <w:kern w:val="0"/>
          <w:sz w:val="24"/>
          <w:szCs w:val="24"/>
          <w:lang w:eastAsia="zh-CN"/>
        </w:rPr>
      </w:pPr>
      <w:bookmarkStart w:id="92" w:name="_Toc14697682"/>
      <w:r>
        <w:rPr>
          <w:rFonts w:hint="eastAsia" w:ascii="宋体" w:hAnsi="宋体" w:eastAsia="宋体" w:cs="宋体"/>
          <w:b/>
          <w:bCs/>
          <w:snapToGrid w:val="0"/>
          <w:spacing w:val="4"/>
          <w:kern w:val="0"/>
          <w:sz w:val="24"/>
          <w:szCs w:val="24"/>
          <w:lang w:eastAsia="zh-CN"/>
        </w:rPr>
        <w:t>（八）材料设备管理要求</w:t>
      </w:r>
      <w:bookmarkEnd w:id="92"/>
    </w:p>
    <w:p>
      <w:pPr>
        <w:tabs>
          <w:tab w:val="left" w:pos="1320"/>
        </w:tabs>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材料设备采购计划管理</w:t>
      </w:r>
    </w:p>
    <w:p>
      <w:pPr>
        <w:tabs>
          <w:tab w:val="left" w:pos="1320"/>
        </w:tabs>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承包人进场后应根据设计图纸及施工进度计划制定主要材料设备采购计划，及时签订采购合同，影响工程造价较大的大批量材料设备，承包人必须提前定制或锁定价格，否则由此引起的工期调整或价格调整，发包人有权不予批准。其中：</w:t>
      </w:r>
    </w:p>
    <w:p>
      <w:pPr>
        <w:tabs>
          <w:tab w:val="left" w:pos="1320"/>
        </w:tabs>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①</w:t>
      </w:r>
      <w:r>
        <w:rPr>
          <w:rFonts w:hint="eastAsia" w:ascii="宋体" w:hAnsi="宋体" w:eastAsia="宋体" w:cs="宋体"/>
          <w:kern w:val="0"/>
          <w:sz w:val="24"/>
          <w:szCs w:val="24"/>
        </w:rPr>
        <w:t>主要材料设备采购计划需报监理单位审核，审核合格后报发包人备案，并作为第一期工程进度款的支付条件之一；</w:t>
      </w:r>
    </w:p>
    <w:p>
      <w:pPr>
        <w:tabs>
          <w:tab w:val="left" w:pos="1320"/>
        </w:tabs>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②</w:t>
      </w:r>
      <w:r>
        <w:rPr>
          <w:rFonts w:hint="eastAsia" w:ascii="宋体" w:hAnsi="宋体" w:eastAsia="宋体" w:cs="宋体"/>
          <w:kern w:val="0"/>
          <w:sz w:val="24"/>
          <w:szCs w:val="24"/>
        </w:rPr>
        <w:t>主要材料设备的采购合同必须报发包人备案（具体需要备案的材料设备采购合同种类由发包人根据项目实际需要确定），作为涉及相应材料设备的中间计量进度款的支付条件之一。</w:t>
      </w:r>
    </w:p>
    <w:p>
      <w:pPr>
        <w:tabs>
          <w:tab w:val="left" w:pos="1320"/>
        </w:tabs>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材料设备采购管理</w:t>
      </w:r>
    </w:p>
    <w:p>
      <w:pPr>
        <w:tabs>
          <w:tab w:val="left" w:pos="1320"/>
        </w:tabs>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承包人必须确保在满足或优于招标文件（包括招标文件各专业主要设备材料技术参数）、招标图纸和相关规范要求的条件下采购主要材料设备。其中：</w:t>
      </w:r>
    </w:p>
    <w:p>
      <w:pPr>
        <w:tabs>
          <w:tab w:val="left" w:pos="1320"/>
        </w:tabs>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①</w:t>
      </w:r>
      <w:r>
        <w:rPr>
          <w:rFonts w:hint="eastAsia" w:ascii="宋体" w:hAnsi="宋体" w:eastAsia="宋体" w:cs="宋体"/>
          <w:kern w:val="0"/>
          <w:sz w:val="24"/>
          <w:szCs w:val="24"/>
        </w:rPr>
        <w:t>推荐使用材料厂家及品牌（具体见《主要材料设备品牌/生产厂家推荐表》）。</w:t>
      </w:r>
    </w:p>
    <w:p>
      <w:pPr>
        <w:tabs>
          <w:tab w:val="left" w:pos="1320"/>
        </w:tabs>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②</w:t>
      </w:r>
      <w:r>
        <w:rPr>
          <w:rFonts w:hint="eastAsia" w:ascii="宋体" w:hAnsi="宋体" w:eastAsia="宋体" w:cs="宋体"/>
          <w:kern w:val="0"/>
          <w:sz w:val="24"/>
          <w:szCs w:val="24"/>
        </w:rPr>
        <w:t>若承包人选用同等或优于推荐品牌的，在采购前必须经发包人审批同意，否则，视为承包人自行更换品牌，按招标文件和合同规定承担违约责任。</w:t>
      </w:r>
    </w:p>
    <w:p>
      <w:pPr>
        <w:tabs>
          <w:tab w:val="left" w:pos="1320"/>
        </w:tabs>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③</w:t>
      </w:r>
      <w:r>
        <w:rPr>
          <w:rFonts w:hint="eastAsia" w:ascii="宋体" w:hAnsi="宋体" w:eastAsia="宋体" w:cs="宋体"/>
          <w:kern w:val="0"/>
          <w:sz w:val="24"/>
          <w:szCs w:val="24"/>
        </w:rPr>
        <w:t>不在推荐品牌范围的主要材料设备，承包人按中国名牌、国家免检产品、省知名品牌的顺序选定，同时须严格按照发包人看样定板的相关规定执行。</w:t>
      </w:r>
    </w:p>
    <w:p>
      <w:pPr>
        <w:widowControl/>
        <w:adjustRightInd w:val="0"/>
        <w:snapToGrid w:val="0"/>
        <w:spacing w:line="360" w:lineRule="auto"/>
        <w:ind w:firstLine="48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④</w:t>
      </w:r>
      <w:r>
        <w:rPr>
          <w:rFonts w:hint="eastAsia" w:ascii="宋体" w:hAnsi="宋体" w:eastAsia="宋体" w:cs="宋体"/>
          <w:kern w:val="0"/>
          <w:sz w:val="24"/>
          <w:szCs w:val="24"/>
        </w:rPr>
        <w:t>本项目主要设备材料品牌/生产厂家推荐表，见下表：</w:t>
      </w:r>
    </w:p>
    <w:tbl>
      <w:tblPr>
        <w:tblStyle w:val="36"/>
        <w:tblW w:w="8561" w:type="dxa"/>
        <w:tblInd w:w="108" w:type="dxa"/>
        <w:tblLayout w:type="fixed"/>
        <w:tblCellMar>
          <w:top w:w="0" w:type="dxa"/>
          <w:left w:w="108" w:type="dxa"/>
          <w:bottom w:w="0" w:type="dxa"/>
          <w:right w:w="108" w:type="dxa"/>
        </w:tblCellMar>
      </w:tblPr>
      <w:tblGrid>
        <w:gridCol w:w="567"/>
        <w:gridCol w:w="1963"/>
        <w:gridCol w:w="4051"/>
        <w:gridCol w:w="1980"/>
      </w:tblGrid>
      <w:tr>
        <w:tblPrEx>
          <w:tblCellMar>
            <w:top w:w="0" w:type="dxa"/>
            <w:left w:w="108" w:type="dxa"/>
            <w:bottom w:w="0" w:type="dxa"/>
            <w:right w:w="108" w:type="dxa"/>
          </w:tblCellMar>
        </w:tblPrEx>
        <w:trPr>
          <w:trHeight w:val="645" w:hRule="atLeast"/>
        </w:trPr>
        <w:tc>
          <w:tcPr>
            <w:tcW w:w="8561" w:type="dxa"/>
            <w:gridSpan w:val="4"/>
            <w:tcBorders>
              <w:top w:val="nil"/>
              <w:left w:val="nil"/>
              <w:bottom w:val="nil"/>
              <w:right w:val="nil"/>
            </w:tcBorders>
            <w:shd w:val="clear" w:color="000000" w:fill="FFFFFF"/>
            <w:noWrap w:val="0"/>
            <w:vAlign w:val="center"/>
          </w:tcPr>
          <w:p>
            <w:pPr>
              <w:widowControl/>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主要主材设备品牌/生产厂家推荐表 （参考品牌）</w:t>
            </w:r>
          </w:p>
        </w:tc>
      </w:tr>
      <w:tr>
        <w:tblPrEx>
          <w:tblCellMar>
            <w:top w:w="0" w:type="dxa"/>
            <w:left w:w="108" w:type="dxa"/>
            <w:bottom w:w="0" w:type="dxa"/>
            <w:right w:w="108" w:type="dxa"/>
          </w:tblCellMar>
        </w:tblPrEx>
        <w:trPr>
          <w:trHeight w:val="600" w:hRule="atLeast"/>
        </w:trPr>
        <w:tc>
          <w:tcPr>
            <w:tcW w:w="567"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序号</w:t>
            </w:r>
          </w:p>
        </w:tc>
        <w:tc>
          <w:tcPr>
            <w:tcW w:w="1963" w:type="dxa"/>
            <w:tcBorders>
              <w:top w:val="single" w:color="auto" w:sz="4" w:space="0"/>
              <w:left w:val="nil"/>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主材（建筑、结构专业）</w:t>
            </w: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品牌或厂家（或相当于）</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备注</w:t>
            </w:r>
          </w:p>
        </w:tc>
      </w:tr>
      <w:tr>
        <w:tblPrEx>
          <w:tblCellMar>
            <w:top w:w="0" w:type="dxa"/>
            <w:left w:w="108" w:type="dxa"/>
            <w:bottom w:w="0" w:type="dxa"/>
            <w:right w:w="108" w:type="dxa"/>
          </w:tblCellMar>
        </w:tblPrEx>
        <w:trPr>
          <w:trHeight w:val="465" w:hRule="atLeast"/>
        </w:trPr>
        <w:tc>
          <w:tcPr>
            <w:tcW w:w="567" w:type="dxa"/>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1</w:t>
            </w:r>
          </w:p>
        </w:tc>
        <w:tc>
          <w:tcPr>
            <w:tcW w:w="1963"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钢筋、钢材</w:t>
            </w: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宝武钢</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465"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韶钢</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465"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鞍钢</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465"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广钢</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40" w:hRule="atLeast"/>
        </w:trPr>
        <w:tc>
          <w:tcPr>
            <w:tcW w:w="567" w:type="dxa"/>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2</w:t>
            </w:r>
          </w:p>
        </w:tc>
        <w:tc>
          <w:tcPr>
            <w:tcW w:w="1963"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防火涂料</w:t>
            </w: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深圳天宁消防材料有限公司（天宁）</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40"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广州市泰堡防火材料有限公司（泰堡）</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40"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广州市景捷消防设备有限公司（景捷）</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40" w:hRule="atLeast"/>
        </w:trPr>
        <w:tc>
          <w:tcPr>
            <w:tcW w:w="567" w:type="dxa"/>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3</w:t>
            </w:r>
          </w:p>
        </w:tc>
        <w:tc>
          <w:tcPr>
            <w:tcW w:w="1963"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玻璃</w:t>
            </w: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南玻工程玻璃有限公司（南玻）</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40"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信义玻璃工程（东莞）有限公司</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40"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中国玻璃控股有限公司（中玻）</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40"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广东洛玻加工玻璃有限公司</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40" w:hRule="atLeast"/>
        </w:trPr>
        <w:tc>
          <w:tcPr>
            <w:tcW w:w="567" w:type="dxa"/>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4</w:t>
            </w:r>
          </w:p>
        </w:tc>
        <w:tc>
          <w:tcPr>
            <w:tcW w:w="1963"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铝合金型材、铝合金门窗、百叶窗、铝合金格栅</w:t>
            </w: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广东凤铝铝业有限公司</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40"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广东兴发铝业有限公司</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40"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广州铝业有限公司</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40"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广东坚美铝型材厂有限公司</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40" w:hRule="atLeast"/>
        </w:trPr>
        <w:tc>
          <w:tcPr>
            <w:tcW w:w="567" w:type="dxa"/>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5</w:t>
            </w:r>
          </w:p>
        </w:tc>
        <w:tc>
          <w:tcPr>
            <w:tcW w:w="1963"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铝板</w:t>
            </w: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广州金霸建材有限公司（金霸GKS）</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40"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广州帝森建材有限公司（拓普泰德）</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40"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广州铝业有限公司</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70"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HYPERLINK "https://gys.zjtcn.com/CCF0068024"</w:instrText>
            </w:r>
            <w:r>
              <w:rPr>
                <w:rFonts w:hint="eastAsia" w:ascii="宋体" w:hAnsi="宋体" w:eastAsia="宋体" w:cs="宋体"/>
                <w:sz w:val="24"/>
                <w:szCs w:val="24"/>
              </w:rPr>
              <w:fldChar w:fldCharType="separate"/>
            </w:r>
            <w:r>
              <w:rPr>
                <w:rFonts w:hint="eastAsia" w:ascii="宋体" w:hAnsi="宋体" w:eastAsia="宋体" w:cs="宋体"/>
                <w:sz w:val="24"/>
                <w:szCs w:val="24"/>
              </w:rPr>
              <w:t>广东兴发铝业有限公司</w:t>
            </w:r>
            <w:r>
              <w:rPr>
                <w:rFonts w:hint="eastAsia" w:ascii="宋体" w:hAnsi="宋体" w:eastAsia="宋体" w:cs="宋体"/>
                <w:sz w:val="24"/>
                <w:szCs w:val="24"/>
              </w:rPr>
              <w:fldChar w:fldCharType="end"/>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40" w:hRule="atLeast"/>
        </w:trPr>
        <w:tc>
          <w:tcPr>
            <w:tcW w:w="567" w:type="dxa"/>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6</w:t>
            </w:r>
          </w:p>
        </w:tc>
        <w:tc>
          <w:tcPr>
            <w:tcW w:w="1963"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防火门、普通门</w:t>
            </w: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广东蓝盾门业有限公司</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40"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佛山市宇宙金门有限公司</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40"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广州白云南粤防火门有限公司</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40"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广东平安消防实业有限公司（桂安）</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10" w:hRule="atLeast"/>
        </w:trPr>
        <w:tc>
          <w:tcPr>
            <w:tcW w:w="567" w:type="dxa"/>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lang w:eastAsia="zh-CN"/>
              </w:rPr>
            </w:pPr>
            <w:r>
              <w:rPr>
                <w:rFonts w:hint="eastAsia" w:ascii="宋体" w:hAnsi="宋体" w:eastAsia="宋体" w:cs="宋体"/>
                <w:sz w:val="24"/>
                <w:szCs w:val="24"/>
                <w:lang w:val="en-US" w:eastAsia="zh-CN"/>
              </w:rPr>
              <w:t>7</w:t>
            </w:r>
          </w:p>
        </w:tc>
        <w:tc>
          <w:tcPr>
            <w:tcW w:w="1963"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防水涂料、防水卷材</w:t>
            </w: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东方雨虹</w:t>
            </w:r>
          </w:p>
        </w:tc>
        <w:tc>
          <w:tcPr>
            <w:tcW w:w="1980" w:type="dxa"/>
            <w:vMerge w:val="restart"/>
            <w:tcBorders>
              <w:top w:val="single" w:color="auto" w:sz="4" w:space="0"/>
              <w:left w:val="nil"/>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10"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广东科顺化工实业有限公司（科顺）</w:t>
            </w:r>
          </w:p>
        </w:tc>
        <w:tc>
          <w:tcPr>
            <w:tcW w:w="1980" w:type="dxa"/>
            <w:vMerge w:val="continue"/>
            <w:tcBorders>
              <w:left w:val="nil"/>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10"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大禹</w:t>
            </w:r>
          </w:p>
        </w:tc>
        <w:tc>
          <w:tcPr>
            <w:tcW w:w="1980" w:type="dxa"/>
            <w:vMerge w:val="continue"/>
            <w:tcBorders>
              <w:left w:val="nil"/>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10"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德高</w:t>
            </w:r>
          </w:p>
        </w:tc>
        <w:tc>
          <w:tcPr>
            <w:tcW w:w="1980" w:type="dxa"/>
            <w:vMerge w:val="continue"/>
            <w:tcBorders>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10"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西卡</w:t>
            </w:r>
          </w:p>
        </w:tc>
        <w:tc>
          <w:tcPr>
            <w:tcW w:w="1980" w:type="dxa"/>
            <w:vMerge w:val="continue"/>
            <w:tcBorders>
              <w:left w:val="nil"/>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10"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大禹神工</w:t>
            </w:r>
          </w:p>
        </w:tc>
        <w:tc>
          <w:tcPr>
            <w:tcW w:w="1980" w:type="dxa"/>
            <w:vMerge w:val="continue"/>
            <w:tcBorders>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10" w:hRule="atLeast"/>
        </w:trPr>
        <w:tc>
          <w:tcPr>
            <w:tcW w:w="567" w:type="dxa"/>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lang w:eastAsia="zh-CN"/>
              </w:rPr>
            </w:pPr>
            <w:r>
              <w:rPr>
                <w:rFonts w:hint="eastAsia" w:ascii="宋体" w:hAnsi="宋体" w:eastAsia="宋体" w:cs="宋体"/>
                <w:sz w:val="24"/>
                <w:szCs w:val="24"/>
                <w:lang w:val="en-US" w:eastAsia="zh-CN"/>
              </w:rPr>
              <w:t>8</w:t>
            </w:r>
          </w:p>
        </w:tc>
        <w:tc>
          <w:tcPr>
            <w:tcW w:w="1963"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乳胶漆</w:t>
            </w: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华润</w:t>
            </w:r>
          </w:p>
        </w:tc>
        <w:tc>
          <w:tcPr>
            <w:tcW w:w="1980" w:type="dxa"/>
            <w:vMerge w:val="restart"/>
            <w:tcBorders>
              <w:top w:val="single" w:color="auto" w:sz="4" w:space="0"/>
              <w:left w:val="nil"/>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10"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多乐士</w:t>
            </w:r>
          </w:p>
        </w:tc>
        <w:tc>
          <w:tcPr>
            <w:tcW w:w="1980" w:type="dxa"/>
            <w:vMerge w:val="continue"/>
            <w:tcBorders>
              <w:left w:val="nil"/>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10"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三棵树</w:t>
            </w:r>
          </w:p>
        </w:tc>
        <w:tc>
          <w:tcPr>
            <w:tcW w:w="1980" w:type="dxa"/>
            <w:vMerge w:val="continue"/>
            <w:tcBorders>
              <w:left w:val="nil"/>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10"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立邦</w:t>
            </w:r>
          </w:p>
        </w:tc>
        <w:tc>
          <w:tcPr>
            <w:tcW w:w="1980" w:type="dxa"/>
            <w:vMerge w:val="continue"/>
            <w:tcBorders>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10" w:hRule="atLeast"/>
        </w:trPr>
        <w:tc>
          <w:tcPr>
            <w:tcW w:w="56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sz w:val="24"/>
                <w:szCs w:val="24"/>
                <w:lang w:eastAsia="zh-CN"/>
              </w:rPr>
            </w:pPr>
            <w:r>
              <w:rPr>
                <w:rFonts w:hint="eastAsia" w:ascii="宋体" w:hAnsi="宋体" w:eastAsia="宋体" w:cs="宋体"/>
                <w:sz w:val="24"/>
                <w:szCs w:val="24"/>
                <w:lang w:val="en-US" w:eastAsia="zh-CN"/>
              </w:rPr>
              <w:t>9</w:t>
            </w:r>
          </w:p>
        </w:tc>
        <w:tc>
          <w:tcPr>
            <w:tcW w:w="1963" w:type="dxa"/>
            <w:tcBorders>
              <w:top w:val="single" w:color="auto" w:sz="4" w:space="0"/>
              <w:left w:val="nil"/>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瓷砖类</w:t>
            </w: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lang w:eastAsia="zh-CN"/>
              </w:rPr>
              <w:t>马可波罗</w:t>
            </w:r>
            <w:r>
              <w:rPr>
                <w:rFonts w:hint="eastAsia" w:ascii="宋体" w:hAnsi="宋体" w:eastAsia="宋体" w:cs="宋体"/>
                <w:sz w:val="24"/>
                <w:szCs w:val="24"/>
              </w:rPr>
              <w:t>、东鹏、鹰牌</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40" w:hRule="atLeast"/>
        </w:trPr>
        <w:tc>
          <w:tcPr>
            <w:tcW w:w="567" w:type="dxa"/>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1963"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配电箱、控制箱、电表箱（箱体）、双电源自动切换箱、母线插接箱</w:t>
            </w: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广东奇胜电气有限公司（广东奇胜）</w:t>
            </w:r>
          </w:p>
        </w:tc>
        <w:tc>
          <w:tcPr>
            <w:tcW w:w="1980" w:type="dxa"/>
            <w:vMerge w:val="restart"/>
            <w:tcBorders>
              <w:top w:val="single" w:color="auto" w:sz="4" w:space="0"/>
              <w:left w:val="nil"/>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40"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广东珠江开关有限公司（珠江利维）</w:t>
            </w:r>
          </w:p>
        </w:tc>
        <w:tc>
          <w:tcPr>
            <w:tcW w:w="1980" w:type="dxa"/>
            <w:vMerge w:val="continue"/>
            <w:tcBorders>
              <w:left w:val="nil"/>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450"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广东基业</w:t>
            </w:r>
          </w:p>
        </w:tc>
        <w:tc>
          <w:tcPr>
            <w:tcW w:w="1980" w:type="dxa"/>
            <w:vMerge w:val="continue"/>
            <w:tcBorders>
              <w:left w:val="nil"/>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450"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广州白云</w:t>
            </w:r>
          </w:p>
        </w:tc>
        <w:tc>
          <w:tcPr>
            <w:tcW w:w="1980" w:type="dxa"/>
            <w:vMerge w:val="continue"/>
            <w:tcBorders>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40" w:hRule="atLeast"/>
        </w:trPr>
        <w:tc>
          <w:tcPr>
            <w:tcW w:w="567" w:type="dxa"/>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1963"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配电箱元器件</w:t>
            </w: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ABB（中国）有限公司（ABB）</w:t>
            </w:r>
          </w:p>
        </w:tc>
        <w:tc>
          <w:tcPr>
            <w:tcW w:w="1980" w:type="dxa"/>
            <w:vMerge w:val="restart"/>
            <w:tcBorders>
              <w:top w:val="single" w:color="auto" w:sz="4" w:space="0"/>
              <w:left w:val="nil"/>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810"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施耐德（中国）投资有限公司（Schneider）</w:t>
            </w:r>
          </w:p>
        </w:tc>
        <w:tc>
          <w:tcPr>
            <w:tcW w:w="1980" w:type="dxa"/>
            <w:vMerge w:val="continue"/>
            <w:tcBorders>
              <w:left w:val="nil"/>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40"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西门子（中国）有限公司（siemens）</w:t>
            </w:r>
          </w:p>
        </w:tc>
        <w:tc>
          <w:tcPr>
            <w:tcW w:w="1980" w:type="dxa"/>
            <w:vMerge w:val="continue"/>
            <w:tcBorders>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40" w:hRule="atLeast"/>
        </w:trPr>
        <w:tc>
          <w:tcPr>
            <w:tcW w:w="567" w:type="dxa"/>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w:t>
            </w:r>
          </w:p>
        </w:tc>
        <w:tc>
          <w:tcPr>
            <w:tcW w:w="1963"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电力电缆、矿物绝缘电缆、铜芯电线、控制电缆</w:t>
            </w: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广东电缆厂有限公司【AAA】</w:t>
            </w:r>
          </w:p>
        </w:tc>
        <w:tc>
          <w:tcPr>
            <w:tcW w:w="1980" w:type="dxa"/>
            <w:vMerge w:val="restart"/>
            <w:tcBorders>
              <w:top w:val="single" w:color="auto" w:sz="4" w:space="0"/>
              <w:left w:val="nil"/>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40"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广州南洋电缆有限公司（NAN 牌）</w:t>
            </w:r>
          </w:p>
        </w:tc>
        <w:tc>
          <w:tcPr>
            <w:tcW w:w="1980" w:type="dxa"/>
            <w:vMerge w:val="continue"/>
            <w:tcBorders>
              <w:left w:val="nil"/>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40"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番禺电缆集团有限公司（番禺电缆）</w:t>
            </w:r>
          </w:p>
        </w:tc>
        <w:tc>
          <w:tcPr>
            <w:tcW w:w="1980" w:type="dxa"/>
            <w:vMerge w:val="continue"/>
            <w:tcBorders>
              <w:left w:val="nil"/>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40"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广州电缆厂</w:t>
            </w:r>
          </w:p>
        </w:tc>
        <w:tc>
          <w:tcPr>
            <w:tcW w:w="1980" w:type="dxa"/>
            <w:vMerge w:val="continue"/>
            <w:tcBorders>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40" w:hRule="atLeast"/>
        </w:trPr>
        <w:tc>
          <w:tcPr>
            <w:tcW w:w="567" w:type="dxa"/>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w:t>
            </w:r>
          </w:p>
        </w:tc>
        <w:tc>
          <w:tcPr>
            <w:tcW w:w="1963"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电缆桥架</w:t>
            </w:r>
            <w:r>
              <w:rPr>
                <w:rFonts w:hint="eastAsia" w:ascii="宋体" w:hAnsi="宋体" w:eastAsia="宋体" w:cs="宋体"/>
                <w:sz w:val="24"/>
                <w:szCs w:val="24"/>
              </w:rPr>
              <w:br w:type="textWrapping"/>
            </w: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广州市番禺电缆桥架厂有限公司</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40"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广州中兴五金线槽桥架厂</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40"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文兴电气科技有限公司</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435"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广东桥鑫实业有限公司</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450" w:hRule="atLeast"/>
        </w:trPr>
        <w:tc>
          <w:tcPr>
            <w:tcW w:w="567" w:type="dxa"/>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w:t>
            </w:r>
          </w:p>
        </w:tc>
        <w:tc>
          <w:tcPr>
            <w:tcW w:w="1963"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镀锌线管、钢管</w:t>
            </w: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广东华捷钢管实业有限公司（华捷）</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40"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广州市珠江管业科技有限公司（珠江）</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40"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广州钢管厂有限公司（穗生）</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40" w:hRule="atLeast"/>
        </w:trPr>
        <w:tc>
          <w:tcPr>
            <w:tcW w:w="567" w:type="dxa"/>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1963"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PVC塑料电线管</w:t>
            </w: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顾地科技股份有限公司（顾地）</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40"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广东联塑科技实业有限公司（联塑）</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40"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深圳市永高塑业发展有限公司（永高）</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450" w:hRule="atLeast"/>
        </w:trPr>
        <w:tc>
          <w:tcPr>
            <w:tcW w:w="567" w:type="dxa"/>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w:t>
            </w:r>
          </w:p>
        </w:tc>
        <w:tc>
          <w:tcPr>
            <w:tcW w:w="1963"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灯具</w:t>
            </w: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雷士照明</w:t>
            </w:r>
          </w:p>
        </w:tc>
        <w:tc>
          <w:tcPr>
            <w:tcW w:w="1980" w:type="dxa"/>
            <w:vMerge w:val="restart"/>
            <w:tcBorders>
              <w:top w:val="single" w:color="auto" w:sz="4" w:space="0"/>
              <w:left w:val="nil"/>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450"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佛山照明</w:t>
            </w:r>
          </w:p>
        </w:tc>
        <w:tc>
          <w:tcPr>
            <w:tcW w:w="1980" w:type="dxa"/>
            <w:vMerge w:val="continue"/>
            <w:tcBorders>
              <w:left w:val="nil"/>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440"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欧普照明</w:t>
            </w:r>
          </w:p>
        </w:tc>
        <w:tc>
          <w:tcPr>
            <w:tcW w:w="1980" w:type="dxa"/>
            <w:vMerge w:val="continue"/>
            <w:tcBorders>
              <w:left w:val="nil"/>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645" w:hRule="atLeast"/>
        </w:trPr>
        <w:tc>
          <w:tcPr>
            <w:tcW w:w="567"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w:t>
            </w:r>
          </w:p>
        </w:tc>
        <w:tc>
          <w:tcPr>
            <w:tcW w:w="196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开关、插座</w:t>
            </w: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公牛、西门子、松本</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645" w:hRule="atLeast"/>
        </w:trPr>
        <w:tc>
          <w:tcPr>
            <w:tcW w:w="567"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w:t>
            </w:r>
          </w:p>
        </w:tc>
        <w:tc>
          <w:tcPr>
            <w:tcW w:w="196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排气扇</w:t>
            </w: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kern w:val="2"/>
                <w:sz w:val="24"/>
                <w:szCs w:val="24"/>
              </w:rPr>
              <w:t>正野、金羚、松下</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645" w:hRule="atLeast"/>
        </w:trPr>
        <w:tc>
          <w:tcPr>
            <w:tcW w:w="567"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w:t>
            </w:r>
          </w:p>
        </w:tc>
        <w:tc>
          <w:tcPr>
            <w:tcW w:w="196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应急电源</w:t>
            </w: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kern w:val="2"/>
                <w:sz w:val="24"/>
                <w:szCs w:val="24"/>
              </w:rPr>
              <w:t>广州光为照明、西蒙电气（中国）、佛山国星光电</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645" w:hRule="atLeast"/>
        </w:trPr>
        <w:tc>
          <w:tcPr>
            <w:tcW w:w="567" w:type="dxa"/>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w:t>
            </w:r>
          </w:p>
        </w:tc>
        <w:tc>
          <w:tcPr>
            <w:tcW w:w="1963"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应急照明</w:t>
            </w: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三雄极光</w:t>
            </w:r>
          </w:p>
        </w:tc>
        <w:tc>
          <w:tcPr>
            <w:tcW w:w="1980" w:type="dxa"/>
            <w:vMerge w:val="restart"/>
            <w:tcBorders>
              <w:top w:val="single" w:color="auto" w:sz="4" w:space="0"/>
              <w:left w:val="nil"/>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450"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深圳恒生</w:t>
            </w:r>
          </w:p>
        </w:tc>
        <w:tc>
          <w:tcPr>
            <w:tcW w:w="1980" w:type="dxa"/>
            <w:vMerge w:val="continue"/>
            <w:tcBorders>
              <w:left w:val="nil"/>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450"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振辉</w:t>
            </w:r>
          </w:p>
        </w:tc>
        <w:tc>
          <w:tcPr>
            <w:tcW w:w="1980" w:type="dxa"/>
            <w:vMerge w:val="continue"/>
            <w:tcBorders>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40" w:hRule="atLeast"/>
        </w:trPr>
        <w:tc>
          <w:tcPr>
            <w:tcW w:w="567" w:type="dxa"/>
            <w:vMerge w:val="restart"/>
            <w:tcBorders>
              <w:top w:val="nil"/>
              <w:left w:val="single" w:color="auto" w:sz="4" w:space="0"/>
              <w:bottom w:val="single" w:color="000000"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w:t>
            </w:r>
          </w:p>
        </w:tc>
        <w:tc>
          <w:tcPr>
            <w:tcW w:w="1963" w:type="dxa"/>
            <w:vMerge w:val="restart"/>
            <w:tcBorders>
              <w:top w:val="single" w:color="auto" w:sz="4" w:space="0"/>
              <w:left w:val="single" w:color="auto" w:sz="4" w:space="0"/>
              <w:bottom w:val="single" w:color="000000" w:sz="4" w:space="0"/>
              <w:right w:val="single" w:color="000000"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碟阀、闸阀、Y型过滤器、球阀、止回阀、截止阀、橡胶软接头、弹簧减震器</w:t>
            </w:r>
          </w:p>
        </w:tc>
        <w:tc>
          <w:tcPr>
            <w:tcW w:w="4051" w:type="dxa"/>
            <w:tcBorders>
              <w:top w:val="single" w:color="auto" w:sz="4" w:space="0"/>
              <w:left w:val="nil"/>
              <w:bottom w:val="single" w:color="auto" w:sz="4" w:space="0"/>
              <w:right w:val="single" w:color="000000"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天津塘沽津滨阀门有限公司</w:t>
            </w:r>
          </w:p>
        </w:tc>
        <w:tc>
          <w:tcPr>
            <w:tcW w:w="1980" w:type="dxa"/>
            <w:tcBorders>
              <w:top w:val="single" w:color="auto" w:sz="4" w:space="0"/>
              <w:left w:val="nil"/>
              <w:bottom w:val="single" w:color="auto" w:sz="4" w:space="0"/>
              <w:right w:val="single" w:color="000000"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40" w:hRule="atLeast"/>
        </w:trPr>
        <w:tc>
          <w:tcPr>
            <w:tcW w:w="567"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000000"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上海良精阀门有限公司</w:t>
            </w:r>
          </w:p>
        </w:tc>
        <w:tc>
          <w:tcPr>
            <w:tcW w:w="1980" w:type="dxa"/>
            <w:tcBorders>
              <w:top w:val="single" w:color="auto" w:sz="4" w:space="0"/>
              <w:left w:val="nil"/>
              <w:bottom w:val="single" w:color="auto" w:sz="4" w:space="0"/>
              <w:right w:val="single" w:color="000000"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40" w:hRule="atLeast"/>
        </w:trPr>
        <w:tc>
          <w:tcPr>
            <w:tcW w:w="567"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000000"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南海永泉</w:t>
            </w:r>
          </w:p>
        </w:tc>
        <w:tc>
          <w:tcPr>
            <w:tcW w:w="1980" w:type="dxa"/>
            <w:tcBorders>
              <w:top w:val="single" w:color="auto" w:sz="4" w:space="0"/>
              <w:left w:val="nil"/>
              <w:bottom w:val="single" w:color="auto" w:sz="4" w:space="0"/>
              <w:right w:val="single" w:color="000000"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40" w:hRule="atLeast"/>
        </w:trPr>
        <w:tc>
          <w:tcPr>
            <w:tcW w:w="567"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000000"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上海冠龙</w:t>
            </w:r>
          </w:p>
        </w:tc>
        <w:tc>
          <w:tcPr>
            <w:tcW w:w="1980" w:type="dxa"/>
            <w:tcBorders>
              <w:top w:val="single" w:color="auto" w:sz="4" w:space="0"/>
              <w:left w:val="nil"/>
              <w:bottom w:val="single" w:color="auto" w:sz="4" w:space="0"/>
              <w:right w:val="single" w:color="000000"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40" w:hRule="atLeast"/>
        </w:trPr>
        <w:tc>
          <w:tcPr>
            <w:tcW w:w="567" w:type="dxa"/>
            <w:vMerge w:val="restart"/>
            <w:tcBorders>
              <w:top w:val="nil"/>
              <w:left w:val="single" w:color="auto" w:sz="4" w:space="0"/>
              <w:bottom w:val="nil"/>
              <w:right w:val="single" w:color="auto" w:sz="4" w:space="0"/>
            </w:tcBorders>
            <w:shd w:val="clear" w:color="000000" w:fill="FFFFFF"/>
            <w:noWrap/>
            <w:vAlign w:val="center"/>
          </w:tcPr>
          <w:p>
            <w:pPr>
              <w:widowControl/>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w:t>
            </w:r>
          </w:p>
        </w:tc>
        <w:tc>
          <w:tcPr>
            <w:tcW w:w="1963" w:type="dxa"/>
            <w:vMerge w:val="restart"/>
            <w:tcBorders>
              <w:top w:val="single" w:color="auto" w:sz="4" w:space="0"/>
              <w:left w:val="single" w:color="auto" w:sz="4" w:space="0"/>
              <w:bottom w:val="nil"/>
              <w:right w:val="single" w:color="000000"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保温材料橡塑</w:t>
            </w:r>
          </w:p>
        </w:tc>
        <w:tc>
          <w:tcPr>
            <w:tcW w:w="4051" w:type="dxa"/>
            <w:tcBorders>
              <w:top w:val="single" w:color="auto" w:sz="4" w:space="0"/>
              <w:left w:val="nil"/>
              <w:bottom w:val="single" w:color="auto" w:sz="4" w:space="0"/>
              <w:right w:val="single" w:color="000000"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亚罗弗</w:t>
            </w:r>
          </w:p>
        </w:tc>
        <w:tc>
          <w:tcPr>
            <w:tcW w:w="1980" w:type="dxa"/>
            <w:tcBorders>
              <w:top w:val="single" w:color="auto" w:sz="4" w:space="0"/>
              <w:left w:val="nil"/>
              <w:bottom w:val="single" w:color="auto" w:sz="4" w:space="0"/>
              <w:right w:val="single" w:color="000000"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40" w:hRule="atLeast"/>
        </w:trPr>
        <w:tc>
          <w:tcPr>
            <w:tcW w:w="567" w:type="dxa"/>
            <w:vMerge w:val="continue"/>
            <w:tcBorders>
              <w:top w:val="nil"/>
              <w:left w:val="single" w:color="auto" w:sz="4" w:space="0"/>
              <w:bottom w:val="nil"/>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nil"/>
              <w:right w:val="single" w:color="000000"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000000"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阿乐斯</w:t>
            </w:r>
          </w:p>
        </w:tc>
        <w:tc>
          <w:tcPr>
            <w:tcW w:w="1980" w:type="dxa"/>
            <w:tcBorders>
              <w:top w:val="single" w:color="auto" w:sz="4" w:space="0"/>
              <w:left w:val="nil"/>
              <w:bottom w:val="single" w:color="auto" w:sz="4" w:space="0"/>
              <w:right w:val="single" w:color="000000"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40" w:hRule="atLeast"/>
        </w:trPr>
        <w:tc>
          <w:tcPr>
            <w:tcW w:w="567" w:type="dxa"/>
            <w:vMerge w:val="continue"/>
            <w:tcBorders>
              <w:top w:val="nil"/>
              <w:left w:val="single" w:color="auto" w:sz="4" w:space="0"/>
              <w:bottom w:val="nil"/>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nil"/>
              <w:right w:val="single" w:color="000000"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000000"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凯门富乐斯</w:t>
            </w:r>
          </w:p>
        </w:tc>
        <w:tc>
          <w:tcPr>
            <w:tcW w:w="1980" w:type="dxa"/>
            <w:tcBorders>
              <w:top w:val="single" w:color="auto" w:sz="4" w:space="0"/>
              <w:left w:val="nil"/>
              <w:bottom w:val="single" w:color="auto" w:sz="4" w:space="0"/>
              <w:right w:val="single" w:color="000000"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40" w:hRule="atLeast"/>
        </w:trPr>
        <w:tc>
          <w:tcPr>
            <w:tcW w:w="567" w:type="dxa"/>
            <w:vMerge w:val="restart"/>
            <w:tcBorders>
              <w:top w:val="single" w:color="auto" w:sz="4" w:space="0"/>
              <w:left w:val="single" w:color="auto" w:sz="4" w:space="0"/>
              <w:bottom w:val="nil"/>
              <w:right w:val="single" w:color="auto" w:sz="4" w:space="0"/>
            </w:tcBorders>
            <w:shd w:val="clear" w:color="000000" w:fill="FFFFFF"/>
            <w:noWrap/>
            <w:vAlign w:val="center"/>
          </w:tcPr>
          <w:p>
            <w:pPr>
              <w:widowControl/>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w:t>
            </w:r>
          </w:p>
        </w:tc>
        <w:tc>
          <w:tcPr>
            <w:tcW w:w="1963" w:type="dxa"/>
            <w:vMerge w:val="restart"/>
            <w:tcBorders>
              <w:top w:val="single" w:color="auto" w:sz="4" w:space="0"/>
              <w:left w:val="single" w:color="auto" w:sz="4" w:space="0"/>
              <w:bottom w:val="nil"/>
              <w:right w:val="single" w:color="000000"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高强度铝箔贴面玻璃棉毡</w:t>
            </w: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欧文斯</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40" w:hRule="atLeast"/>
        </w:trPr>
        <w:tc>
          <w:tcPr>
            <w:tcW w:w="567" w:type="dxa"/>
            <w:vMerge w:val="continue"/>
            <w:tcBorders>
              <w:top w:val="single" w:color="auto" w:sz="4" w:space="0"/>
              <w:left w:val="single" w:color="auto" w:sz="4" w:space="0"/>
              <w:bottom w:val="nil"/>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nil"/>
              <w:right w:val="single" w:color="000000"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亚罗弗</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10" w:hRule="atLeast"/>
        </w:trPr>
        <w:tc>
          <w:tcPr>
            <w:tcW w:w="567" w:type="dxa"/>
            <w:vMerge w:val="continue"/>
            <w:tcBorders>
              <w:top w:val="single" w:color="auto" w:sz="4" w:space="0"/>
              <w:left w:val="single" w:color="auto" w:sz="4" w:space="0"/>
              <w:bottom w:val="nil"/>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nil"/>
              <w:right w:val="single" w:color="000000"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阿乐斯</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450" w:hRule="atLeast"/>
        </w:trPr>
        <w:tc>
          <w:tcPr>
            <w:tcW w:w="567" w:type="dxa"/>
            <w:vMerge w:val="restar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w:t>
            </w:r>
          </w:p>
        </w:tc>
        <w:tc>
          <w:tcPr>
            <w:tcW w:w="1963"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rPr>
              <w:t>无缝钢管、螺旋电焊管、涂塑镀锌钢管、内涂塑镀锌钢管</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不锈钢管</w:t>
            </w: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珠江钢管有限公司（珠江）</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450" w:hRule="atLeast"/>
        </w:trPr>
        <w:tc>
          <w:tcPr>
            <w:tcW w:w="567"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金德管业集团有限公司（金德）</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450" w:hRule="atLeast"/>
        </w:trPr>
        <w:tc>
          <w:tcPr>
            <w:tcW w:w="567"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广州华粤管业有限公司（新华粤）</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450" w:hRule="atLeast"/>
        </w:trPr>
        <w:tc>
          <w:tcPr>
            <w:tcW w:w="567"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广东华捷钢管实业有限公司（华捷）</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450" w:hRule="atLeast"/>
        </w:trPr>
        <w:tc>
          <w:tcPr>
            <w:tcW w:w="567"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中山华通钢塑管有限公司（华通）</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630" w:hRule="atLeast"/>
        </w:trPr>
        <w:tc>
          <w:tcPr>
            <w:tcW w:w="567"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w:t>
            </w:r>
          </w:p>
        </w:tc>
        <w:tc>
          <w:tcPr>
            <w:tcW w:w="196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洁具</w:t>
            </w: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东鹏、</w:t>
            </w:r>
            <w:r>
              <w:rPr>
                <w:rFonts w:hint="eastAsia" w:ascii="宋体" w:hAnsi="宋体" w:eastAsia="宋体" w:cs="宋体"/>
                <w:sz w:val="24"/>
                <w:szCs w:val="24"/>
                <w:lang w:eastAsia="zh-CN"/>
              </w:rPr>
              <w:t>箭牌</w:t>
            </w:r>
            <w:r>
              <w:rPr>
                <w:rFonts w:hint="eastAsia" w:ascii="宋体" w:hAnsi="宋体" w:eastAsia="宋体" w:cs="宋体"/>
                <w:sz w:val="24"/>
                <w:szCs w:val="24"/>
              </w:rPr>
              <w:t>、鹰牌</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630" w:hRule="atLeast"/>
        </w:trPr>
        <w:tc>
          <w:tcPr>
            <w:tcW w:w="567" w:type="dxa"/>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w:t>
            </w:r>
          </w:p>
        </w:tc>
        <w:tc>
          <w:tcPr>
            <w:tcW w:w="1963"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不锈钢水箱 </w:t>
            </w: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广州市思泊隆供水设备有限公司（思泊隆）                                    </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40"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广州广益不锈钢制品有限公司</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70"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HYPERLINK "http://www.baidu.com/link?url=AklA3ydaL5jpgP04fN8dvIAGy0wSVkbiOmvP-VNX_YIAdPnN6F65lhl6lrjKdCgO"</w:instrText>
            </w:r>
            <w:r>
              <w:rPr>
                <w:rFonts w:hint="eastAsia" w:ascii="宋体" w:hAnsi="宋体" w:eastAsia="宋体" w:cs="宋体"/>
                <w:sz w:val="24"/>
                <w:szCs w:val="24"/>
              </w:rPr>
              <w:fldChar w:fldCharType="separate"/>
            </w:r>
            <w:r>
              <w:rPr>
                <w:rFonts w:hint="eastAsia" w:ascii="宋体" w:hAnsi="宋体" w:eastAsia="宋体" w:cs="宋体"/>
                <w:sz w:val="24"/>
                <w:szCs w:val="24"/>
              </w:rPr>
              <w:t>广州火田环保设备工程有限公司</w:t>
            </w:r>
            <w:r>
              <w:rPr>
                <w:rFonts w:hint="eastAsia" w:ascii="宋体" w:hAnsi="宋体" w:eastAsia="宋体" w:cs="宋体"/>
                <w:sz w:val="24"/>
                <w:szCs w:val="24"/>
              </w:rPr>
              <w:fldChar w:fldCharType="end"/>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480"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胜捷</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480"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恒德环保</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40" w:hRule="atLeast"/>
        </w:trPr>
        <w:tc>
          <w:tcPr>
            <w:tcW w:w="567" w:type="dxa"/>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27</w:t>
            </w:r>
          </w:p>
        </w:tc>
        <w:tc>
          <w:tcPr>
            <w:tcW w:w="1963"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水表、压力表</w:t>
            </w: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广州兆基仪表仪器制造有限公司                  </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390"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广州水表厂</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390"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广州仪表厂</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750" w:hRule="atLeast"/>
        </w:trPr>
        <w:tc>
          <w:tcPr>
            <w:tcW w:w="567" w:type="dxa"/>
            <w:vMerge w:val="restart"/>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w:t>
            </w:r>
          </w:p>
        </w:tc>
        <w:tc>
          <w:tcPr>
            <w:tcW w:w="1963"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水管（PP-R、PE、UPVC、PVC-U、HDPE双壁波纹管、钢丝网骨架塑料复合管等）、塑料地漏</w:t>
            </w: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广东联塑科技实业有限公司</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40"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顾地科技股份有限公司（顾地）</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40"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深圳市永高塑业发展有限公司（永高）</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450" w:hRule="atLeast"/>
        </w:trPr>
        <w:tc>
          <w:tcPr>
            <w:tcW w:w="567" w:type="dxa"/>
            <w:vMerge w:val="restart"/>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29</w:t>
            </w:r>
          </w:p>
        </w:tc>
        <w:tc>
          <w:tcPr>
            <w:tcW w:w="1963"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球墨铸铁水管</w:t>
            </w: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恒通</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450"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新兴</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450"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新光</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600" w:hRule="atLeast"/>
        </w:trPr>
        <w:tc>
          <w:tcPr>
            <w:tcW w:w="567" w:type="dxa"/>
            <w:vMerge w:val="restart"/>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30</w:t>
            </w:r>
          </w:p>
        </w:tc>
        <w:tc>
          <w:tcPr>
            <w:tcW w:w="1963"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消防栓、消防箱、灭火器</w:t>
            </w: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天广消防股份有限公司（天广）</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600"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广东胜捷消防设备有限公司（胜捷）</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40"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广州市消防器材厂有限公司</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40"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恒安</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40" w:hRule="atLeast"/>
        </w:trPr>
        <w:tc>
          <w:tcPr>
            <w:tcW w:w="567" w:type="dxa"/>
            <w:vMerge w:val="restart"/>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w:t>
            </w:r>
          </w:p>
        </w:tc>
        <w:tc>
          <w:tcPr>
            <w:tcW w:w="1963"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七氟丙烷气体灭火系统</w:t>
            </w: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广州高旺消防设备有限公司（广州高旺）</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40"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上海金盾消防安全设备有限公司（金盾）</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40"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kern w:val="2"/>
                <w:sz w:val="24"/>
                <w:szCs w:val="24"/>
              </w:rPr>
              <w:t>三鲸</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40"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胜捷</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810"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天广</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40" w:hRule="atLeast"/>
        </w:trPr>
        <w:tc>
          <w:tcPr>
            <w:tcW w:w="567" w:type="dxa"/>
            <w:vMerge w:val="restart"/>
            <w:tcBorders>
              <w:top w:val="nil"/>
              <w:left w:val="single" w:color="auto" w:sz="4" w:space="0"/>
              <w:bottom w:val="nil"/>
              <w:right w:val="single" w:color="auto" w:sz="4" w:space="0"/>
            </w:tcBorders>
            <w:shd w:val="clear" w:color="000000" w:fill="FFFFFF"/>
            <w:noWrap/>
            <w:vAlign w:val="center"/>
          </w:tcPr>
          <w:p>
            <w:pPr>
              <w:widowControl/>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w:t>
            </w:r>
          </w:p>
        </w:tc>
        <w:tc>
          <w:tcPr>
            <w:tcW w:w="1963" w:type="dxa"/>
            <w:vMerge w:val="restart"/>
            <w:tcBorders>
              <w:top w:val="single" w:color="auto" w:sz="4" w:space="0"/>
              <w:left w:val="single" w:color="auto" w:sz="4" w:space="0"/>
              <w:bottom w:val="nil"/>
              <w:right w:val="single" w:color="000000"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火灾自动报警系统</w:t>
            </w: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kern w:val="2"/>
                <w:sz w:val="24"/>
                <w:szCs w:val="24"/>
              </w:rPr>
              <w:t>泰和安</w:t>
            </w:r>
          </w:p>
        </w:tc>
        <w:tc>
          <w:tcPr>
            <w:tcW w:w="1980" w:type="dxa"/>
            <w:vMerge w:val="restart"/>
            <w:tcBorders>
              <w:top w:val="single" w:color="auto" w:sz="4" w:space="0"/>
              <w:left w:val="single" w:color="auto" w:sz="4" w:space="0"/>
              <w:right w:val="nil"/>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40" w:hRule="atLeast"/>
        </w:trPr>
        <w:tc>
          <w:tcPr>
            <w:tcW w:w="567" w:type="dxa"/>
            <w:vMerge w:val="continue"/>
            <w:tcBorders>
              <w:top w:val="nil"/>
              <w:left w:val="single" w:color="auto" w:sz="4" w:space="0"/>
              <w:bottom w:val="nil"/>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nil"/>
              <w:right w:val="single" w:color="000000"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kern w:val="2"/>
                <w:sz w:val="24"/>
                <w:szCs w:val="24"/>
              </w:rPr>
              <w:t>海湾</w:t>
            </w:r>
          </w:p>
        </w:tc>
        <w:tc>
          <w:tcPr>
            <w:tcW w:w="1980" w:type="dxa"/>
            <w:vMerge w:val="continue"/>
            <w:tcBorders>
              <w:left w:val="single" w:color="auto" w:sz="4" w:space="0"/>
              <w:right w:val="nil"/>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40" w:hRule="atLeast"/>
        </w:trPr>
        <w:tc>
          <w:tcPr>
            <w:tcW w:w="567" w:type="dxa"/>
            <w:vMerge w:val="continue"/>
            <w:tcBorders>
              <w:top w:val="nil"/>
              <w:left w:val="single" w:color="auto" w:sz="4" w:space="0"/>
              <w:bottom w:val="nil"/>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nil"/>
              <w:right w:val="single" w:color="000000"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kern w:val="2"/>
                <w:sz w:val="24"/>
                <w:szCs w:val="24"/>
              </w:rPr>
              <w:t>赋安</w:t>
            </w:r>
          </w:p>
        </w:tc>
        <w:tc>
          <w:tcPr>
            <w:tcW w:w="1980" w:type="dxa"/>
            <w:vMerge w:val="continue"/>
            <w:tcBorders>
              <w:left w:val="single" w:color="auto" w:sz="4" w:space="0"/>
              <w:bottom w:val="single" w:color="auto" w:sz="4" w:space="0"/>
              <w:right w:val="nil"/>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40" w:hRule="atLeast"/>
        </w:trPr>
        <w:tc>
          <w:tcPr>
            <w:tcW w:w="567" w:type="dxa"/>
            <w:vMerge w:val="restar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w:t>
            </w:r>
          </w:p>
        </w:tc>
        <w:tc>
          <w:tcPr>
            <w:tcW w:w="1963"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镀锌配管</w:t>
            </w: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广东华捷钢管实业有限公司（华捷）</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40" w:hRule="atLeast"/>
        </w:trPr>
        <w:tc>
          <w:tcPr>
            <w:tcW w:w="567"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广州市珠江管业科技有限公司（珠江）</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40" w:hRule="atLeast"/>
        </w:trPr>
        <w:tc>
          <w:tcPr>
            <w:tcW w:w="567"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广州市番禺天虹工业开发有限公司</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40" w:hRule="atLeast"/>
        </w:trPr>
        <w:tc>
          <w:tcPr>
            <w:tcW w:w="567"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广州钢管厂有限公司（穗生）</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40" w:hRule="atLeast"/>
        </w:trPr>
        <w:tc>
          <w:tcPr>
            <w:tcW w:w="567"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广东泰丰侨金属制品有限公司（泰丰侨）</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375" w:hRule="atLeast"/>
        </w:trPr>
        <w:tc>
          <w:tcPr>
            <w:tcW w:w="567" w:type="dxa"/>
            <w:vMerge w:val="restart"/>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34</w:t>
            </w:r>
          </w:p>
        </w:tc>
        <w:tc>
          <w:tcPr>
            <w:tcW w:w="1963"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弱电机柜</w:t>
            </w: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威宝</w:t>
            </w:r>
          </w:p>
        </w:tc>
        <w:tc>
          <w:tcPr>
            <w:tcW w:w="1980" w:type="dxa"/>
            <w:vMerge w:val="restart"/>
            <w:tcBorders>
              <w:left w:val="nil"/>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375"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金盾</w:t>
            </w:r>
          </w:p>
        </w:tc>
        <w:tc>
          <w:tcPr>
            <w:tcW w:w="1980" w:type="dxa"/>
            <w:vMerge w:val="continue"/>
            <w:tcBorders>
              <w:left w:val="nil"/>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375"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图腾</w:t>
            </w:r>
          </w:p>
        </w:tc>
        <w:tc>
          <w:tcPr>
            <w:tcW w:w="1980" w:type="dxa"/>
            <w:vMerge w:val="continue"/>
            <w:tcBorders>
              <w:left w:val="nil"/>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375" w:hRule="atLeast"/>
        </w:trPr>
        <w:tc>
          <w:tcPr>
            <w:tcW w:w="567" w:type="dxa"/>
            <w:vMerge w:val="restart"/>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35</w:t>
            </w:r>
          </w:p>
        </w:tc>
        <w:tc>
          <w:tcPr>
            <w:tcW w:w="1963"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rPr>
              <w:t>视频监控系统、安防系统</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道闸系统</w:t>
            </w: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海康威视</w:t>
            </w:r>
          </w:p>
        </w:tc>
        <w:tc>
          <w:tcPr>
            <w:tcW w:w="1980" w:type="dxa"/>
            <w:vMerge w:val="continue"/>
            <w:tcBorders>
              <w:left w:val="nil"/>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375"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ABB（中国）有限公司</w:t>
            </w:r>
          </w:p>
        </w:tc>
        <w:tc>
          <w:tcPr>
            <w:tcW w:w="1980" w:type="dxa"/>
            <w:vMerge w:val="continue"/>
            <w:tcBorders>
              <w:left w:val="nil"/>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375"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西门子</w:t>
            </w:r>
          </w:p>
        </w:tc>
        <w:tc>
          <w:tcPr>
            <w:tcW w:w="1980" w:type="dxa"/>
            <w:vMerge w:val="continue"/>
            <w:tcBorders>
              <w:left w:val="nil"/>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375"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华为</w:t>
            </w:r>
          </w:p>
        </w:tc>
        <w:tc>
          <w:tcPr>
            <w:tcW w:w="1980" w:type="dxa"/>
            <w:vMerge w:val="continue"/>
            <w:tcBorders>
              <w:left w:val="nil"/>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375"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36</w:t>
            </w:r>
          </w:p>
        </w:tc>
        <w:tc>
          <w:tcPr>
            <w:tcW w:w="19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空调</w:t>
            </w: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格力、大金、三菱</w:t>
            </w:r>
          </w:p>
        </w:tc>
        <w:tc>
          <w:tcPr>
            <w:tcW w:w="1980" w:type="dxa"/>
            <w:tcBorders>
              <w:left w:val="nil"/>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375"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37</w:t>
            </w:r>
          </w:p>
        </w:tc>
        <w:tc>
          <w:tcPr>
            <w:tcW w:w="19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水泵</w:t>
            </w: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广一</w:t>
            </w:r>
          </w:p>
        </w:tc>
        <w:tc>
          <w:tcPr>
            <w:tcW w:w="1980" w:type="dxa"/>
            <w:tcBorders>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bl>
    <w:p>
      <w:pPr>
        <w:widowControl/>
        <w:adjustRightInd w:val="0"/>
        <w:spacing w:line="360" w:lineRule="auto"/>
        <w:ind w:firstLine="440"/>
        <w:jc w:val="left"/>
        <w:rPr>
          <w:rFonts w:hint="eastAsia" w:ascii="宋体" w:hAnsi="宋体" w:eastAsia="宋体" w:cs="宋体"/>
          <w:sz w:val="22"/>
          <w:szCs w:val="22"/>
        </w:rPr>
      </w:pPr>
      <w:r>
        <w:rPr>
          <w:rFonts w:hint="eastAsia" w:ascii="宋体" w:hAnsi="宋体" w:eastAsia="宋体" w:cs="宋体"/>
          <w:kern w:val="0"/>
          <w:sz w:val="22"/>
          <w:szCs w:val="22"/>
          <w:u w:val="none"/>
        </w:rPr>
        <w:t>注：</w:t>
      </w:r>
      <w:r>
        <w:rPr>
          <w:rFonts w:hint="eastAsia" w:ascii="宋体" w:hAnsi="宋体" w:eastAsia="宋体" w:cs="宋体"/>
          <w:kern w:val="0"/>
          <w:sz w:val="22"/>
          <w:szCs w:val="22"/>
          <w:u w:val="none"/>
          <w:lang w:val="en-US" w:eastAsia="zh-CN"/>
        </w:rPr>
        <w:t>1.</w:t>
      </w:r>
      <w:r>
        <w:rPr>
          <w:rFonts w:hint="eastAsia" w:ascii="宋体" w:hAnsi="宋体" w:eastAsia="宋体" w:cs="宋体"/>
          <w:kern w:val="0"/>
          <w:sz w:val="22"/>
          <w:szCs w:val="22"/>
          <w:u w:val="none"/>
        </w:rPr>
        <w:t>投标人在投标时须参照上述表格推荐的品牌厂家（或相当于）不低于中档水平产品进行报价；</w:t>
      </w:r>
    </w:p>
    <w:p>
      <w:pPr>
        <w:widowControl/>
        <w:adjustRightInd w:val="0"/>
        <w:spacing w:line="360" w:lineRule="auto"/>
        <w:ind w:firstLine="420"/>
        <w:jc w:val="left"/>
        <w:rPr>
          <w:rFonts w:hint="eastAsia" w:ascii="宋体" w:hAnsi="宋体" w:eastAsia="宋体" w:cs="宋体"/>
          <w:kern w:val="0"/>
          <w:sz w:val="22"/>
          <w:szCs w:val="22"/>
          <w:u w:val="none"/>
        </w:rPr>
      </w:pPr>
      <w:r>
        <w:rPr>
          <w:rFonts w:hint="eastAsia" w:ascii="宋体" w:hAnsi="宋体" w:eastAsia="宋体" w:cs="宋体"/>
          <w:kern w:val="0"/>
          <w:sz w:val="22"/>
          <w:szCs w:val="22"/>
          <w:u w:val="none"/>
          <w:lang w:val="en-US" w:eastAsia="zh-CN"/>
        </w:rPr>
        <w:t>2.</w:t>
      </w:r>
      <w:r>
        <w:rPr>
          <w:rFonts w:hint="eastAsia" w:ascii="宋体" w:hAnsi="宋体" w:eastAsia="宋体" w:cs="宋体"/>
          <w:kern w:val="0"/>
          <w:sz w:val="22"/>
          <w:szCs w:val="22"/>
          <w:u w:val="none"/>
        </w:rPr>
        <w:t>上述推荐表中未列明的材料设备，投标人（承包人）所报的材料及设备应按不低于国内知名品牌中档水平考虑；</w:t>
      </w:r>
    </w:p>
    <w:p>
      <w:pPr>
        <w:widowControl/>
        <w:adjustRightInd w:val="0"/>
        <w:spacing w:line="360" w:lineRule="auto"/>
        <w:ind w:firstLine="440"/>
        <w:jc w:val="left"/>
        <w:rPr>
          <w:rFonts w:hint="eastAsia" w:ascii="宋体" w:hAnsi="宋体" w:eastAsia="宋体" w:cs="宋体"/>
          <w:kern w:val="0"/>
          <w:sz w:val="22"/>
          <w:szCs w:val="22"/>
          <w:u w:val="none"/>
        </w:rPr>
      </w:pPr>
      <w:r>
        <w:rPr>
          <w:rFonts w:hint="eastAsia" w:ascii="宋体" w:hAnsi="宋体" w:eastAsia="宋体" w:cs="宋体"/>
          <w:kern w:val="0"/>
          <w:sz w:val="22"/>
          <w:szCs w:val="22"/>
          <w:u w:val="none"/>
          <w:lang w:val="en-US" w:eastAsia="zh-CN"/>
        </w:rPr>
        <w:t>3.</w:t>
      </w:r>
      <w:r>
        <w:rPr>
          <w:rFonts w:hint="eastAsia" w:ascii="宋体" w:hAnsi="宋体" w:eastAsia="宋体" w:cs="宋体"/>
          <w:kern w:val="0"/>
          <w:sz w:val="22"/>
          <w:szCs w:val="22"/>
          <w:u w:val="none"/>
        </w:rPr>
        <w:t>投标人提供的材料其单价均为到工地结算价，即包含采购费、运杂费及运输损耗、仓储保管费、装卸费、吊装费及场内二次转运费等。实际施工时，其选型由投标人（承包人）按照图纸及相关技术参数要求提供不少于三家同等档次品牌产品，报监理单位及招标人（发包人）审批确定。</w:t>
      </w:r>
    </w:p>
    <w:p>
      <w:pPr>
        <w:widowControl/>
        <w:adjustRightInd w:val="0"/>
        <w:spacing w:line="360" w:lineRule="auto"/>
        <w:ind w:firstLine="440"/>
        <w:jc w:val="left"/>
        <w:rPr>
          <w:rFonts w:hint="eastAsia" w:ascii="宋体" w:hAnsi="宋体" w:eastAsia="宋体" w:cs="宋体"/>
          <w:sz w:val="22"/>
          <w:szCs w:val="22"/>
        </w:rPr>
      </w:pPr>
      <w:r>
        <w:rPr>
          <w:rFonts w:hint="eastAsia" w:ascii="宋体" w:hAnsi="宋体" w:eastAsia="宋体" w:cs="宋体"/>
          <w:kern w:val="0"/>
          <w:sz w:val="22"/>
          <w:szCs w:val="22"/>
          <w:u w:val="none"/>
          <w:lang w:val="en-US" w:eastAsia="zh-CN"/>
        </w:rPr>
        <w:t>4.</w:t>
      </w:r>
      <w:r>
        <w:rPr>
          <w:rFonts w:hint="eastAsia" w:ascii="宋体" w:hAnsi="宋体" w:eastAsia="宋体" w:cs="宋体"/>
          <w:kern w:val="0"/>
          <w:sz w:val="22"/>
          <w:szCs w:val="22"/>
          <w:u w:val="none"/>
        </w:rPr>
        <w:t>若投标人选用相当于或优于上述推荐品牌的（不低于国内知名品牌中档水平），须</w:t>
      </w:r>
      <w:r>
        <w:rPr>
          <w:rFonts w:hint="eastAsia" w:ascii="宋体" w:hAnsi="宋体" w:eastAsia="宋体" w:cs="宋体"/>
          <w:spacing w:val="-4"/>
          <w:kern w:val="0"/>
          <w:sz w:val="22"/>
          <w:szCs w:val="22"/>
          <w:u w:val="none"/>
        </w:rPr>
        <w:t>提供有效的证明材料</w:t>
      </w:r>
      <w:r>
        <w:rPr>
          <w:rFonts w:hint="eastAsia" w:ascii="宋体" w:hAnsi="宋体" w:eastAsia="宋体" w:cs="宋体"/>
          <w:kern w:val="0"/>
          <w:sz w:val="22"/>
          <w:szCs w:val="22"/>
          <w:u w:val="none"/>
        </w:rPr>
        <w:t>，有效证明材料是指主要材料设备的技术手册、供货证明（含供货合同及清单），并经报发包人、监理人同意。</w:t>
      </w:r>
    </w:p>
    <w:p>
      <w:pPr>
        <w:tabs>
          <w:tab w:val="left" w:pos="1320"/>
        </w:tabs>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材料设备检验、试验管理</w:t>
      </w:r>
    </w:p>
    <w:p>
      <w:pPr>
        <w:tabs>
          <w:tab w:val="left" w:pos="1320"/>
        </w:tabs>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无论是否发包人推荐品牌范围，所有用于本工程的材料设备必须严格按政府部门相关规定、规范要求及合同条款的约定进行检验、试验，确保材料设备质量。材料进场批次要与见证取样检测批次一致，否则，多出批次的检测费由承包人承担。</w:t>
      </w:r>
    </w:p>
    <w:p>
      <w:pPr>
        <w:tabs>
          <w:tab w:val="left" w:pos="1320"/>
        </w:tabs>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乙供材料设备看样定板管理</w:t>
      </w:r>
    </w:p>
    <w:p>
      <w:pPr>
        <w:tabs>
          <w:tab w:val="left" w:pos="1320"/>
        </w:tabs>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为加强本工程所使用的乙供材料设备的质量管理，确保承包人所选购的材料设备的质量、技术性能、款式、效果等方面满足设计和使用需求，所有主要材料设备在看样定板之前，发包人、使用业主、监理单位、设计单位有权对乙供材料设备厂家的生产能力、制造水平、生产工艺等方面进行综合考察评估，考核评估合格的方能采购。如经综合考察评估不合格，发包人有权在《主要材料设备品牌/生产厂家推荐表》中选择其他满足规定的材料厂家及品牌，经考核评估合格后予以选用，合同价款不作调整。</w:t>
      </w:r>
    </w:p>
    <w:p>
      <w:pPr>
        <w:tabs>
          <w:tab w:val="left" w:pos="1320"/>
        </w:tabs>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材料设备专用于本工程</w:t>
      </w:r>
    </w:p>
    <w:p>
      <w:pPr>
        <w:spacing w:line="360" w:lineRule="auto"/>
        <w:ind w:firstLine="480" w:firstLineChars="200"/>
        <w:rPr>
          <w:rFonts w:hint="eastAsia" w:ascii="宋体" w:hAnsi="宋体" w:eastAsia="宋体" w:cs="宋体"/>
          <w:b/>
          <w:snapToGrid w:val="0"/>
          <w:spacing w:val="4"/>
          <w:kern w:val="0"/>
          <w:sz w:val="24"/>
          <w:szCs w:val="24"/>
        </w:rPr>
      </w:pPr>
      <w:r>
        <w:rPr>
          <w:rFonts w:hint="eastAsia" w:ascii="宋体" w:hAnsi="宋体" w:eastAsia="宋体" w:cs="宋体"/>
          <w:kern w:val="0"/>
          <w:sz w:val="24"/>
          <w:szCs w:val="24"/>
        </w:rPr>
        <w:t>承包人运入施工现场的材料、工程设备、施工设备以及在施工场地建设的临时设施，包括备品备件、安装工具与资料，必须专用于工程。未经发包人批准不得运出施工现场或挪作他用。</w:t>
      </w:r>
    </w:p>
    <w:p>
      <w:pPr>
        <w:adjustRightInd w:val="0"/>
        <w:snapToGrid w:val="0"/>
        <w:spacing w:line="360" w:lineRule="auto"/>
        <w:ind w:right="11" w:firstLine="498" w:firstLineChars="200"/>
        <w:rPr>
          <w:rFonts w:hint="eastAsia" w:ascii="宋体" w:hAnsi="宋体" w:eastAsia="宋体" w:cs="宋体"/>
          <w:b/>
          <w:bCs/>
          <w:snapToGrid w:val="0"/>
          <w:spacing w:val="4"/>
          <w:kern w:val="0"/>
          <w:sz w:val="24"/>
          <w:szCs w:val="24"/>
          <w:lang w:eastAsia="zh-CN"/>
        </w:rPr>
      </w:pPr>
      <w:bookmarkStart w:id="93" w:name="_Toc14697683"/>
      <w:r>
        <w:rPr>
          <w:rFonts w:hint="eastAsia" w:ascii="宋体" w:hAnsi="宋体" w:eastAsia="宋体" w:cs="宋体"/>
          <w:b/>
          <w:bCs/>
          <w:snapToGrid w:val="0"/>
          <w:spacing w:val="4"/>
          <w:kern w:val="0"/>
          <w:sz w:val="24"/>
          <w:szCs w:val="24"/>
          <w:lang w:eastAsia="zh-CN"/>
        </w:rPr>
        <w:t>（九）人员配置要求</w:t>
      </w:r>
      <w:bookmarkEnd w:id="93"/>
    </w:p>
    <w:p>
      <w:pPr>
        <w:spacing w:after="120" w:line="360" w:lineRule="auto"/>
        <w:ind w:firstLine="480" w:firstLineChars="200"/>
        <w:rPr>
          <w:rFonts w:hint="eastAsia" w:ascii="宋体" w:hAnsi="宋体" w:eastAsia="宋体" w:cs="宋体"/>
          <w:kern w:val="0"/>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承包人进场即成立项目管理部负责工程现场施工管理工作。</w:t>
      </w:r>
      <w:r>
        <w:rPr>
          <w:rFonts w:hint="eastAsia" w:ascii="宋体" w:hAnsi="宋体" w:eastAsia="宋体" w:cs="宋体"/>
          <w:sz w:val="24"/>
          <w:szCs w:val="24"/>
          <w:lang w:val="en-US" w:eastAsia="zh-CN"/>
        </w:rPr>
        <w:t>专业负责人及一般人员及数量必须招标文件要求及施工管理需要。</w:t>
      </w:r>
      <w:r>
        <w:rPr>
          <w:rFonts w:hint="eastAsia" w:ascii="宋体" w:hAnsi="宋体" w:eastAsia="宋体" w:cs="宋体"/>
          <w:kern w:val="0"/>
          <w:sz w:val="24"/>
          <w:szCs w:val="24"/>
        </w:rPr>
        <w:t>根据项目施工的实际需要，结合监理人的相关要求，如需在上述人员配备要求表基础上增加相关工程管理人员的，承包人应无条件予以配合增加。</w:t>
      </w:r>
    </w:p>
    <w:p>
      <w:pPr>
        <w:tabs>
          <w:tab w:val="left" w:pos="1320"/>
        </w:tabs>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人员进场管理</w:t>
      </w:r>
    </w:p>
    <w:p>
      <w:pPr>
        <w:tabs>
          <w:tab w:val="left" w:pos="1320"/>
        </w:tabs>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除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特殊工种作业人员均应持有相应的资格证明，监理人可以随时检查。</w:t>
      </w:r>
    </w:p>
    <w:p>
      <w:pPr>
        <w:tabs>
          <w:tab w:val="left" w:pos="1320"/>
        </w:tabs>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人员变更管理</w:t>
      </w:r>
    </w:p>
    <w:p>
      <w:pPr>
        <w:tabs>
          <w:tab w:val="left" w:pos="1320"/>
        </w:tabs>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承包人擅自更换主要施工管理人员，应按照合同条款约定承担违约责任。</w:t>
      </w:r>
    </w:p>
    <w:p>
      <w:pPr>
        <w:tabs>
          <w:tab w:val="left" w:pos="1320"/>
        </w:tabs>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人员撤换管理</w:t>
      </w:r>
    </w:p>
    <w:p>
      <w:pPr>
        <w:tabs>
          <w:tab w:val="left" w:pos="1320"/>
        </w:tabs>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合同条款的约定承担违约责任。</w:t>
      </w:r>
    </w:p>
    <w:p>
      <w:pPr>
        <w:tabs>
          <w:tab w:val="left" w:pos="1320"/>
        </w:tabs>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人员请销假管理</w:t>
      </w:r>
    </w:p>
    <w:p>
      <w:pPr>
        <w:tabs>
          <w:tab w:val="left" w:pos="1320"/>
        </w:tabs>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除合同条款另有约定外，承包人的主要施工管理人员离开施工现场每月累计不超过5天的，应报监理人同意（请假，下同）；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或前述人员未经监理人或发包人同意擅自离开施工现场的，应按照合同条款约定承担违约责任。</w:t>
      </w:r>
    </w:p>
    <w:p>
      <w:pPr>
        <w:tabs>
          <w:tab w:val="left" w:pos="1320"/>
        </w:tabs>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人员配合管理</w:t>
      </w:r>
    </w:p>
    <w:p>
      <w:pPr>
        <w:tabs>
          <w:tab w:val="left" w:pos="1320"/>
        </w:tabs>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承包人须配备交通保障设施用于现场人员的协调管理、对外联系、报批报验等工作，相关费用应包含在投标费用中。</w:t>
      </w:r>
    </w:p>
    <w:p>
      <w:pPr>
        <w:adjustRightInd w:val="0"/>
        <w:snapToGrid w:val="0"/>
        <w:spacing w:line="360" w:lineRule="auto"/>
        <w:ind w:right="11" w:firstLine="498" w:firstLineChars="200"/>
        <w:rPr>
          <w:rFonts w:hint="eastAsia" w:ascii="宋体" w:hAnsi="宋体" w:eastAsia="宋体" w:cs="宋体"/>
          <w:b/>
          <w:bCs/>
          <w:snapToGrid w:val="0"/>
          <w:spacing w:val="4"/>
          <w:kern w:val="0"/>
          <w:sz w:val="24"/>
          <w:szCs w:val="24"/>
          <w:lang w:eastAsia="zh-CN"/>
        </w:rPr>
      </w:pPr>
      <w:bookmarkStart w:id="94" w:name="_Toc14697684"/>
      <w:r>
        <w:rPr>
          <w:rFonts w:hint="eastAsia" w:ascii="宋体" w:hAnsi="宋体" w:eastAsia="宋体" w:cs="宋体"/>
          <w:b/>
          <w:bCs/>
          <w:snapToGrid w:val="0"/>
          <w:spacing w:val="4"/>
          <w:kern w:val="0"/>
          <w:sz w:val="24"/>
          <w:szCs w:val="24"/>
          <w:lang w:eastAsia="zh-CN"/>
        </w:rPr>
        <w:t>（十）主要施工机械设备要求</w:t>
      </w:r>
      <w:bookmarkEnd w:id="94"/>
    </w:p>
    <w:p>
      <w:pPr>
        <w:adjustRightInd w:val="0"/>
        <w:snapToGrid w:val="0"/>
        <w:spacing w:line="360" w:lineRule="auto"/>
        <w:ind w:firstLine="420"/>
        <w:outlineLvl w:val="1"/>
        <w:rPr>
          <w:rFonts w:hint="eastAsia" w:ascii="宋体" w:hAnsi="宋体" w:eastAsia="宋体" w:cs="宋体"/>
          <w:spacing w:val="-10"/>
          <w:sz w:val="24"/>
          <w:szCs w:val="24"/>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配备基本要求</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承包人须根据工程需要，配备相应足够数量的施工机械设备。监理人和发包人认为有必要增加时，承包人应无条件增加。</w:t>
      </w:r>
    </w:p>
    <w:p>
      <w:pPr>
        <w:adjustRightInd w:val="0"/>
        <w:snapToGrid w:val="0"/>
        <w:spacing w:line="360" w:lineRule="auto"/>
        <w:ind w:firstLine="42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承包人进场后必须按合同约定时间提交机械设备进场计划，确保机械设备来源可靠，按期进场。对于自有机械设备，承包人必须说明当前的使用情况及计划进场时间，必要时发包人有权组织现场核查；对于租凭机械设备，承包人必须随机械设备进场计划提供租凭合同报发包人备案；对于新购机械设备，承包人必须随机械设备进场计划提供订购或采购合同报发包人备案。</w:t>
      </w:r>
    </w:p>
    <w:p>
      <w:pPr>
        <w:adjustRightInd w:val="0"/>
        <w:snapToGrid w:val="0"/>
        <w:spacing w:line="360" w:lineRule="auto"/>
        <w:ind w:firstLine="42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承包人必须确保机械设备的性能良好，可正常使用。对于影响工程进度较大的主要机械设备，必须有一定备用量，确保在机械设备检修或维护期间，现场仍能正常施工，主要机械设备退场必须经监理工程师及业主同意方可退场，确保进度。</w:t>
      </w:r>
    </w:p>
    <w:p>
      <w:pPr>
        <w:adjustRightInd w:val="0"/>
        <w:snapToGrid w:val="0"/>
        <w:spacing w:line="360" w:lineRule="auto"/>
        <w:ind w:firstLine="42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为确保工程进度，承包人必须无条件增加机械设备的投入，除合同约定有赶工措施费外，发包人不另行增加相关费用。</w:t>
      </w:r>
    </w:p>
    <w:p>
      <w:pPr>
        <w:adjustRightInd w:val="0"/>
        <w:snapToGrid w:val="0"/>
        <w:spacing w:line="360" w:lineRule="auto"/>
        <w:ind w:firstLine="42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rPr>
        <w:t>根据市建委等相关行政主管部门要求，工地扬尘及噪音控制必须配备相应的设备措施，承包人应根据具体施工组织方案确保投入。</w:t>
      </w:r>
    </w:p>
    <w:p>
      <w:pPr>
        <w:adjustRightInd w:val="0"/>
        <w:snapToGrid w:val="0"/>
        <w:spacing w:line="360" w:lineRule="auto"/>
        <w:ind w:right="11" w:firstLine="498" w:firstLineChars="200"/>
        <w:rPr>
          <w:rFonts w:hint="eastAsia" w:ascii="宋体" w:hAnsi="宋体" w:eastAsia="宋体" w:cs="宋体"/>
          <w:b/>
          <w:bCs/>
          <w:snapToGrid w:val="0"/>
          <w:spacing w:val="4"/>
          <w:kern w:val="0"/>
          <w:sz w:val="24"/>
          <w:szCs w:val="24"/>
          <w:lang w:eastAsia="zh-CN"/>
        </w:rPr>
      </w:pPr>
      <w:bookmarkStart w:id="95" w:name="_Toc14697685"/>
      <w:r>
        <w:rPr>
          <w:rFonts w:hint="eastAsia" w:ascii="宋体" w:hAnsi="宋体" w:eastAsia="宋体" w:cs="宋体"/>
          <w:b/>
          <w:bCs/>
          <w:snapToGrid w:val="0"/>
          <w:spacing w:val="4"/>
          <w:kern w:val="0"/>
          <w:sz w:val="24"/>
          <w:szCs w:val="24"/>
          <w:lang w:eastAsia="zh-CN"/>
        </w:rPr>
        <w:t>（十一）竣工移交前深度清洁工作要求</w:t>
      </w:r>
      <w:bookmarkEnd w:id="95"/>
    </w:p>
    <w:p>
      <w:pPr>
        <w:topLinePunct/>
        <w:adjustRightInd w:val="0"/>
        <w:snapToGrid w:val="0"/>
        <w:spacing w:line="360" w:lineRule="auto"/>
        <w:ind w:firstLine="496" w:firstLineChars="200"/>
        <w:jc w:val="left"/>
        <w:rPr>
          <w:rFonts w:hint="eastAsia" w:ascii="宋体" w:hAnsi="宋体" w:eastAsia="宋体" w:cs="宋体"/>
          <w:spacing w:val="4"/>
          <w:kern w:val="0"/>
          <w:sz w:val="24"/>
          <w:szCs w:val="24"/>
        </w:rPr>
      </w:pPr>
      <w:r>
        <w:rPr>
          <w:rFonts w:hint="eastAsia" w:ascii="宋体" w:hAnsi="宋体" w:eastAsia="宋体" w:cs="宋体"/>
          <w:spacing w:val="4"/>
          <w:kern w:val="0"/>
          <w:sz w:val="24"/>
          <w:szCs w:val="24"/>
        </w:rPr>
        <w:t>本项目在竣工验收后移交前需对施工区域进行一次全面的深度清洁工作，相关费用在投标报价中综合考虑，发包人不再另行支付。深度清洁要求如下：</w:t>
      </w:r>
    </w:p>
    <w:p>
      <w:pPr>
        <w:topLinePunct/>
        <w:adjustRightInd w:val="0"/>
        <w:snapToGrid w:val="0"/>
        <w:spacing w:line="360" w:lineRule="auto"/>
        <w:ind w:firstLine="496" w:firstLineChars="200"/>
        <w:jc w:val="left"/>
        <w:rPr>
          <w:rFonts w:hint="eastAsia" w:ascii="宋体" w:hAnsi="宋体" w:eastAsia="宋体" w:cs="宋体"/>
          <w:spacing w:val="4"/>
          <w:kern w:val="0"/>
          <w:sz w:val="24"/>
          <w:szCs w:val="24"/>
        </w:rPr>
      </w:pPr>
      <w:r>
        <w:rPr>
          <w:rFonts w:hint="eastAsia" w:ascii="宋体" w:hAnsi="宋体" w:eastAsia="宋体" w:cs="宋体"/>
          <w:spacing w:val="4"/>
          <w:kern w:val="0"/>
          <w:sz w:val="24"/>
          <w:szCs w:val="24"/>
          <w:lang w:eastAsia="zh-CN"/>
        </w:rPr>
        <w:t>（</w:t>
      </w:r>
      <w:r>
        <w:rPr>
          <w:rFonts w:hint="eastAsia" w:ascii="宋体" w:hAnsi="宋体" w:eastAsia="宋体" w:cs="宋体"/>
          <w:spacing w:val="4"/>
          <w:kern w:val="0"/>
          <w:sz w:val="24"/>
          <w:szCs w:val="24"/>
          <w:lang w:val="en-US" w:eastAsia="zh-CN"/>
        </w:rPr>
        <w:t>1</w:t>
      </w:r>
      <w:r>
        <w:rPr>
          <w:rFonts w:hint="eastAsia" w:ascii="宋体" w:hAnsi="宋体" w:eastAsia="宋体" w:cs="宋体"/>
          <w:spacing w:val="4"/>
          <w:kern w:val="0"/>
          <w:sz w:val="24"/>
          <w:szCs w:val="24"/>
          <w:lang w:eastAsia="zh-CN"/>
        </w:rPr>
        <w:t>）</w:t>
      </w:r>
      <w:r>
        <w:rPr>
          <w:rFonts w:hint="eastAsia" w:ascii="宋体" w:hAnsi="宋体" w:eastAsia="宋体" w:cs="宋体"/>
          <w:spacing w:val="4"/>
          <w:kern w:val="0"/>
          <w:sz w:val="24"/>
          <w:szCs w:val="24"/>
        </w:rPr>
        <w:t>建筑物室内（墙面、柱面、墙裙；玻璃、金属结构框；门等）表面干净、整洁，无灰尘、污垢、污渍、水迹、水渍、手印迹及其他印迹。</w:t>
      </w:r>
    </w:p>
    <w:p>
      <w:pPr>
        <w:topLinePunct/>
        <w:adjustRightInd w:val="0"/>
        <w:snapToGrid w:val="0"/>
        <w:spacing w:line="360" w:lineRule="auto"/>
        <w:ind w:firstLine="496" w:firstLineChars="200"/>
        <w:jc w:val="left"/>
        <w:rPr>
          <w:rFonts w:hint="eastAsia" w:ascii="宋体" w:hAnsi="宋体" w:eastAsia="宋体" w:cs="宋体"/>
          <w:spacing w:val="4"/>
          <w:kern w:val="0"/>
          <w:sz w:val="24"/>
          <w:szCs w:val="24"/>
        </w:rPr>
      </w:pPr>
      <w:r>
        <w:rPr>
          <w:rFonts w:hint="eastAsia" w:ascii="宋体" w:hAnsi="宋体" w:eastAsia="宋体" w:cs="宋体"/>
          <w:spacing w:val="4"/>
          <w:kern w:val="0"/>
          <w:sz w:val="24"/>
          <w:szCs w:val="24"/>
          <w:lang w:eastAsia="zh-CN"/>
        </w:rPr>
        <w:t>（</w:t>
      </w:r>
      <w:r>
        <w:rPr>
          <w:rFonts w:hint="eastAsia" w:ascii="宋体" w:hAnsi="宋体" w:eastAsia="宋体" w:cs="宋体"/>
          <w:spacing w:val="4"/>
          <w:kern w:val="0"/>
          <w:sz w:val="24"/>
          <w:szCs w:val="24"/>
          <w:lang w:val="en-US" w:eastAsia="zh-CN"/>
        </w:rPr>
        <w:t>2</w:t>
      </w:r>
      <w:r>
        <w:rPr>
          <w:rFonts w:hint="eastAsia" w:ascii="宋体" w:hAnsi="宋体" w:eastAsia="宋体" w:cs="宋体"/>
          <w:spacing w:val="4"/>
          <w:kern w:val="0"/>
          <w:sz w:val="24"/>
          <w:szCs w:val="24"/>
          <w:lang w:eastAsia="zh-CN"/>
        </w:rPr>
        <w:t>）</w:t>
      </w:r>
      <w:r>
        <w:rPr>
          <w:rFonts w:hint="eastAsia" w:ascii="宋体" w:hAnsi="宋体" w:eastAsia="宋体" w:cs="宋体"/>
          <w:spacing w:val="4"/>
          <w:kern w:val="0"/>
          <w:sz w:val="24"/>
          <w:szCs w:val="24"/>
        </w:rPr>
        <w:t>建筑物室内涂料表面无灰尘、污渍、污垢、印迹，涂料色泽鲜艳、无色差、质感强。</w:t>
      </w:r>
    </w:p>
    <w:p>
      <w:pPr>
        <w:topLinePunct/>
        <w:adjustRightInd w:val="0"/>
        <w:snapToGrid w:val="0"/>
        <w:spacing w:line="360" w:lineRule="auto"/>
        <w:ind w:firstLine="496" w:firstLineChars="200"/>
        <w:jc w:val="left"/>
        <w:rPr>
          <w:rFonts w:hint="eastAsia" w:ascii="宋体" w:hAnsi="宋体" w:eastAsia="宋体" w:cs="宋体"/>
          <w:spacing w:val="4"/>
          <w:kern w:val="0"/>
          <w:sz w:val="24"/>
          <w:szCs w:val="24"/>
        </w:rPr>
      </w:pPr>
      <w:r>
        <w:rPr>
          <w:rFonts w:hint="eastAsia" w:ascii="宋体" w:hAnsi="宋体" w:eastAsia="宋体" w:cs="宋体"/>
          <w:spacing w:val="4"/>
          <w:kern w:val="0"/>
          <w:sz w:val="24"/>
          <w:szCs w:val="24"/>
          <w:lang w:eastAsia="zh-CN"/>
        </w:rPr>
        <w:t>（</w:t>
      </w:r>
      <w:r>
        <w:rPr>
          <w:rFonts w:hint="eastAsia" w:ascii="宋体" w:hAnsi="宋体" w:eastAsia="宋体" w:cs="宋体"/>
          <w:spacing w:val="4"/>
          <w:kern w:val="0"/>
          <w:sz w:val="24"/>
          <w:szCs w:val="24"/>
          <w:lang w:val="en-US" w:eastAsia="zh-CN"/>
        </w:rPr>
        <w:t>3</w:t>
      </w:r>
      <w:r>
        <w:rPr>
          <w:rFonts w:hint="eastAsia" w:ascii="宋体" w:hAnsi="宋体" w:eastAsia="宋体" w:cs="宋体"/>
          <w:spacing w:val="4"/>
          <w:kern w:val="0"/>
          <w:sz w:val="24"/>
          <w:szCs w:val="24"/>
          <w:lang w:eastAsia="zh-CN"/>
        </w:rPr>
        <w:t>）</w:t>
      </w:r>
      <w:r>
        <w:rPr>
          <w:rFonts w:hint="eastAsia" w:ascii="宋体" w:hAnsi="宋体" w:eastAsia="宋体" w:cs="宋体"/>
          <w:spacing w:val="4"/>
          <w:kern w:val="0"/>
          <w:sz w:val="24"/>
          <w:szCs w:val="24"/>
        </w:rPr>
        <w:t>建筑物室内（天花板、通风口、内嵌式灯饰）表面干净、整洁，不得有灰尘、污垢，天花板不得有缺块、掉块现象。</w:t>
      </w:r>
    </w:p>
    <w:p>
      <w:pPr>
        <w:topLinePunct/>
        <w:adjustRightInd w:val="0"/>
        <w:snapToGrid w:val="0"/>
        <w:spacing w:line="360" w:lineRule="auto"/>
        <w:ind w:firstLine="496" w:firstLineChars="200"/>
        <w:jc w:val="left"/>
        <w:rPr>
          <w:rFonts w:hint="eastAsia" w:ascii="宋体" w:hAnsi="宋体" w:eastAsia="宋体" w:cs="宋体"/>
          <w:spacing w:val="4"/>
          <w:kern w:val="0"/>
          <w:sz w:val="24"/>
          <w:szCs w:val="24"/>
        </w:rPr>
      </w:pPr>
      <w:r>
        <w:rPr>
          <w:rFonts w:hint="eastAsia" w:ascii="宋体" w:hAnsi="宋体" w:eastAsia="宋体" w:cs="宋体"/>
          <w:spacing w:val="4"/>
          <w:kern w:val="0"/>
          <w:sz w:val="24"/>
          <w:szCs w:val="24"/>
          <w:lang w:eastAsia="zh-CN"/>
        </w:rPr>
        <w:t>（</w:t>
      </w:r>
      <w:r>
        <w:rPr>
          <w:rFonts w:hint="eastAsia" w:ascii="宋体" w:hAnsi="宋体" w:eastAsia="宋体" w:cs="宋体"/>
          <w:spacing w:val="4"/>
          <w:kern w:val="0"/>
          <w:sz w:val="24"/>
          <w:szCs w:val="24"/>
          <w:lang w:val="en-US" w:eastAsia="zh-CN"/>
        </w:rPr>
        <w:t>4</w:t>
      </w:r>
      <w:r>
        <w:rPr>
          <w:rFonts w:hint="eastAsia" w:ascii="宋体" w:hAnsi="宋体" w:eastAsia="宋体" w:cs="宋体"/>
          <w:spacing w:val="4"/>
          <w:kern w:val="0"/>
          <w:sz w:val="24"/>
          <w:szCs w:val="24"/>
          <w:lang w:eastAsia="zh-CN"/>
        </w:rPr>
        <w:t>）</w:t>
      </w:r>
      <w:r>
        <w:rPr>
          <w:rFonts w:hint="eastAsia" w:ascii="宋体" w:hAnsi="宋体" w:eastAsia="宋体" w:cs="宋体"/>
          <w:spacing w:val="4"/>
          <w:kern w:val="0"/>
          <w:sz w:val="24"/>
          <w:szCs w:val="24"/>
        </w:rPr>
        <w:t>卫生间（坐厕器、小便器、洗脸盆、地板、墙面、门、门套等）干净、整洁，无灰尘、污渍、污垢、水渍、水迹、印迹。</w:t>
      </w:r>
    </w:p>
    <w:p>
      <w:pPr>
        <w:adjustRightInd w:val="0"/>
        <w:snapToGrid w:val="0"/>
        <w:spacing w:line="360" w:lineRule="auto"/>
        <w:ind w:right="11" w:firstLine="498" w:firstLineChars="200"/>
        <w:rPr>
          <w:rFonts w:hint="eastAsia" w:ascii="宋体" w:hAnsi="宋体" w:eastAsia="宋体" w:cs="宋体"/>
          <w:b/>
          <w:bCs/>
          <w:snapToGrid w:val="0"/>
          <w:spacing w:val="4"/>
          <w:kern w:val="0"/>
          <w:sz w:val="24"/>
          <w:szCs w:val="24"/>
          <w:lang w:eastAsia="zh-CN"/>
        </w:rPr>
      </w:pPr>
      <w:bookmarkStart w:id="96" w:name="_Toc14697686"/>
      <w:r>
        <w:rPr>
          <w:rFonts w:hint="eastAsia" w:ascii="宋体" w:hAnsi="宋体" w:eastAsia="宋体" w:cs="宋体"/>
          <w:b/>
          <w:bCs/>
          <w:snapToGrid w:val="0"/>
          <w:spacing w:val="4"/>
          <w:kern w:val="0"/>
          <w:sz w:val="24"/>
          <w:szCs w:val="24"/>
          <w:lang w:eastAsia="zh-CN"/>
        </w:rPr>
        <w:t>（十二）验收、移交及结算管理要求</w:t>
      </w:r>
      <w:bookmarkEnd w:id="96"/>
    </w:p>
    <w:p>
      <w:pPr>
        <w:topLinePunct/>
        <w:adjustRightInd w:val="0"/>
        <w:snapToGrid w:val="0"/>
        <w:spacing w:line="360" w:lineRule="auto"/>
        <w:ind w:firstLine="496" w:firstLineChars="200"/>
        <w:jc w:val="left"/>
        <w:rPr>
          <w:rFonts w:hint="eastAsia" w:ascii="宋体" w:hAnsi="宋体" w:eastAsia="宋体" w:cs="宋体"/>
          <w:spacing w:val="4"/>
          <w:kern w:val="0"/>
          <w:sz w:val="24"/>
          <w:szCs w:val="24"/>
        </w:rPr>
      </w:pPr>
      <w:r>
        <w:rPr>
          <w:rFonts w:hint="eastAsia" w:ascii="宋体" w:hAnsi="宋体" w:eastAsia="宋体" w:cs="宋体"/>
          <w:spacing w:val="4"/>
          <w:kern w:val="0"/>
          <w:sz w:val="24"/>
          <w:szCs w:val="24"/>
          <w:lang w:eastAsia="zh-CN"/>
        </w:rPr>
        <w:t>（</w:t>
      </w:r>
      <w:r>
        <w:rPr>
          <w:rFonts w:hint="eastAsia" w:ascii="宋体" w:hAnsi="宋体" w:eastAsia="宋体" w:cs="宋体"/>
          <w:spacing w:val="4"/>
          <w:kern w:val="0"/>
          <w:sz w:val="24"/>
          <w:szCs w:val="24"/>
          <w:lang w:val="en-US" w:eastAsia="zh-CN"/>
        </w:rPr>
        <w:t>1</w:t>
      </w:r>
      <w:r>
        <w:rPr>
          <w:rFonts w:hint="eastAsia" w:ascii="宋体" w:hAnsi="宋体" w:eastAsia="宋体" w:cs="宋体"/>
          <w:spacing w:val="4"/>
          <w:kern w:val="0"/>
          <w:sz w:val="24"/>
          <w:szCs w:val="24"/>
          <w:lang w:eastAsia="zh-CN"/>
        </w:rPr>
        <w:t>）</w:t>
      </w:r>
      <w:r>
        <w:rPr>
          <w:rFonts w:hint="eastAsia" w:ascii="宋体" w:hAnsi="宋体" w:eastAsia="宋体" w:cs="宋体"/>
          <w:spacing w:val="4"/>
          <w:kern w:val="0"/>
          <w:sz w:val="24"/>
          <w:szCs w:val="24"/>
        </w:rPr>
        <w:t>工程验收管理要求：</w:t>
      </w:r>
    </w:p>
    <w:p>
      <w:pPr>
        <w:topLinePunct/>
        <w:adjustRightInd w:val="0"/>
        <w:snapToGrid w:val="0"/>
        <w:spacing w:line="360" w:lineRule="auto"/>
        <w:ind w:firstLine="496" w:firstLineChars="200"/>
        <w:jc w:val="left"/>
        <w:rPr>
          <w:rFonts w:hint="eastAsia" w:ascii="宋体" w:hAnsi="宋体" w:eastAsia="宋体" w:cs="宋体"/>
          <w:spacing w:val="4"/>
          <w:kern w:val="0"/>
          <w:sz w:val="24"/>
          <w:szCs w:val="24"/>
        </w:rPr>
      </w:pPr>
      <w:r>
        <w:rPr>
          <w:rFonts w:hint="eastAsia" w:ascii="宋体" w:hAnsi="宋体" w:eastAsia="宋体" w:cs="宋体"/>
          <w:spacing w:val="4"/>
          <w:kern w:val="0"/>
          <w:sz w:val="24"/>
          <w:szCs w:val="24"/>
          <w:lang w:val="en-US" w:eastAsia="zh-CN"/>
        </w:rPr>
        <w:t>①</w:t>
      </w:r>
      <w:r>
        <w:rPr>
          <w:rFonts w:hint="eastAsia" w:ascii="宋体" w:hAnsi="宋体" w:eastAsia="宋体" w:cs="宋体"/>
          <w:spacing w:val="4"/>
          <w:kern w:val="0"/>
          <w:sz w:val="24"/>
          <w:szCs w:val="24"/>
        </w:rPr>
        <w:t>承包人必须在工程具备验收条件时的3周前编制验收计划（包括专业工程验收计划、消防等专项验收计划等），按工程竣工验收有关规定及验收计划分阶段逐项申报验收，确保工程一次验收合格。</w:t>
      </w:r>
    </w:p>
    <w:p>
      <w:pPr>
        <w:topLinePunct/>
        <w:adjustRightInd w:val="0"/>
        <w:snapToGrid w:val="0"/>
        <w:spacing w:line="360" w:lineRule="auto"/>
        <w:ind w:firstLine="496" w:firstLineChars="200"/>
        <w:jc w:val="left"/>
        <w:rPr>
          <w:rFonts w:hint="eastAsia" w:ascii="宋体" w:hAnsi="宋体" w:eastAsia="宋体" w:cs="宋体"/>
          <w:spacing w:val="4"/>
          <w:kern w:val="0"/>
          <w:sz w:val="24"/>
          <w:szCs w:val="24"/>
          <w:highlight w:val="none"/>
        </w:rPr>
      </w:pPr>
      <w:r>
        <w:rPr>
          <w:rFonts w:hint="eastAsia" w:ascii="宋体" w:hAnsi="宋体" w:eastAsia="宋体" w:cs="宋体"/>
          <w:spacing w:val="4"/>
          <w:kern w:val="0"/>
          <w:sz w:val="24"/>
          <w:szCs w:val="24"/>
          <w:highlight w:val="none"/>
          <w:lang w:val="en-US" w:eastAsia="zh-CN"/>
        </w:rPr>
        <w:t>②</w:t>
      </w:r>
      <w:r>
        <w:rPr>
          <w:rFonts w:hint="eastAsia" w:ascii="宋体" w:hAnsi="宋体" w:eastAsia="宋体" w:cs="宋体"/>
          <w:spacing w:val="4"/>
          <w:kern w:val="0"/>
          <w:sz w:val="24"/>
          <w:szCs w:val="24"/>
          <w:highlight w:val="none"/>
        </w:rPr>
        <w:t>竣工验收执行《房屋建筑和市政基础设施工程竣工验收规定》(住建部〔2013]171号)</w:t>
      </w:r>
      <w:r>
        <w:rPr>
          <w:rFonts w:hint="eastAsia" w:ascii="宋体" w:hAnsi="宋体" w:eastAsia="宋体" w:cs="宋体"/>
          <w:spacing w:val="4"/>
          <w:kern w:val="0"/>
          <w:sz w:val="24"/>
          <w:szCs w:val="24"/>
          <w:highlight w:val="none"/>
          <w:lang w:eastAsia="zh-CN"/>
        </w:rPr>
        <w:t>、</w:t>
      </w:r>
      <w:r>
        <w:rPr>
          <w:rStyle w:val="38"/>
          <w:rFonts w:hint="eastAsia" w:ascii="宋体" w:hAnsi="宋体" w:eastAsia="宋体" w:cs="宋体"/>
          <w:spacing w:val="4"/>
          <w:kern w:val="0"/>
          <w:sz w:val="24"/>
          <w:szCs w:val="24"/>
          <w:highlight w:val="none"/>
        </w:rPr>
        <w:t>《广东省房屋建筑和市政基础设施工程竣工联合验收管理办法》(粤建质〔2023〕10号)</w:t>
      </w:r>
      <w:r>
        <w:rPr>
          <w:rStyle w:val="38"/>
          <w:rFonts w:hint="eastAsia" w:ascii="宋体" w:hAnsi="宋体" w:eastAsia="宋体" w:cs="宋体"/>
          <w:spacing w:val="4"/>
          <w:kern w:val="0"/>
          <w:sz w:val="24"/>
          <w:szCs w:val="24"/>
          <w:highlight w:val="none"/>
          <w:lang w:val="en-US" w:eastAsia="zh-CN"/>
        </w:rPr>
        <w:t>以及国家、省、市</w:t>
      </w:r>
      <w:r>
        <w:rPr>
          <w:rFonts w:hint="eastAsia" w:ascii="宋体" w:hAnsi="宋体" w:eastAsia="宋体" w:cs="宋体"/>
          <w:spacing w:val="4"/>
          <w:kern w:val="0"/>
          <w:sz w:val="24"/>
          <w:szCs w:val="24"/>
          <w:highlight w:val="none"/>
          <w:lang w:eastAsia="zh-CN"/>
        </w:rPr>
        <w:t>关</w:t>
      </w:r>
      <w:r>
        <w:rPr>
          <w:rFonts w:hint="eastAsia" w:ascii="宋体" w:hAnsi="宋体" w:eastAsia="宋体" w:cs="宋体"/>
          <w:spacing w:val="4"/>
          <w:kern w:val="0"/>
          <w:sz w:val="24"/>
          <w:szCs w:val="24"/>
          <w:highlight w:val="none"/>
          <w:lang w:val="en-US" w:eastAsia="zh-CN"/>
        </w:rPr>
        <w:t>于</w:t>
      </w:r>
      <w:r>
        <w:rPr>
          <w:rFonts w:hint="eastAsia" w:ascii="宋体" w:hAnsi="宋体" w:eastAsia="宋体" w:cs="宋体"/>
          <w:spacing w:val="4"/>
          <w:kern w:val="0"/>
          <w:sz w:val="24"/>
          <w:szCs w:val="24"/>
          <w:highlight w:val="none"/>
        </w:rPr>
        <w:t>房屋建筑工程施工程竣工验收</w:t>
      </w:r>
      <w:r>
        <w:rPr>
          <w:rFonts w:hint="eastAsia" w:ascii="宋体" w:hAnsi="宋体" w:eastAsia="宋体" w:cs="宋体"/>
          <w:spacing w:val="4"/>
          <w:kern w:val="0"/>
          <w:sz w:val="24"/>
          <w:szCs w:val="24"/>
          <w:highlight w:val="none"/>
          <w:lang w:eastAsia="zh-CN"/>
        </w:rPr>
        <w:t>相</w:t>
      </w:r>
      <w:r>
        <w:rPr>
          <w:rFonts w:hint="eastAsia" w:ascii="宋体" w:hAnsi="宋体" w:eastAsia="宋体" w:cs="宋体"/>
          <w:spacing w:val="4"/>
          <w:kern w:val="0"/>
          <w:sz w:val="24"/>
          <w:szCs w:val="24"/>
          <w:highlight w:val="none"/>
          <w:lang w:val="en-US" w:eastAsia="zh-CN"/>
        </w:rPr>
        <w:t>关规定（以最新文件为准）</w:t>
      </w:r>
      <w:r>
        <w:rPr>
          <w:rFonts w:hint="eastAsia" w:ascii="宋体" w:hAnsi="宋体" w:eastAsia="宋体" w:cs="宋体"/>
          <w:spacing w:val="4"/>
          <w:kern w:val="0"/>
          <w:sz w:val="24"/>
          <w:szCs w:val="24"/>
          <w:highlight w:val="none"/>
        </w:rPr>
        <w:t>。</w:t>
      </w:r>
    </w:p>
    <w:p>
      <w:pPr>
        <w:topLinePunct/>
        <w:adjustRightInd w:val="0"/>
        <w:snapToGrid w:val="0"/>
        <w:spacing w:line="360" w:lineRule="auto"/>
        <w:ind w:firstLine="496" w:firstLineChars="200"/>
        <w:jc w:val="left"/>
        <w:rPr>
          <w:rFonts w:hint="eastAsia" w:ascii="宋体" w:hAnsi="宋体" w:eastAsia="宋体" w:cs="宋体"/>
          <w:spacing w:val="4"/>
          <w:kern w:val="0"/>
          <w:sz w:val="24"/>
          <w:szCs w:val="24"/>
        </w:rPr>
      </w:pPr>
      <w:r>
        <w:rPr>
          <w:rFonts w:hint="eastAsia" w:ascii="宋体" w:hAnsi="宋体" w:eastAsia="宋体" w:cs="宋体"/>
          <w:spacing w:val="4"/>
          <w:kern w:val="0"/>
          <w:sz w:val="24"/>
          <w:szCs w:val="24"/>
          <w:lang w:val="en-US" w:eastAsia="zh-CN"/>
        </w:rPr>
        <w:t>③</w:t>
      </w:r>
      <w:r>
        <w:rPr>
          <w:rFonts w:hint="eastAsia" w:ascii="宋体" w:hAnsi="宋体" w:eastAsia="宋体" w:cs="宋体"/>
          <w:spacing w:val="4"/>
          <w:kern w:val="0"/>
          <w:sz w:val="24"/>
          <w:szCs w:val="24"/>
        </w:rPr>
        <w:t>经验收评定，工程质量不合格或工程内容有尚未完成者，由承包人在商定的期限内进行修补后，再进行竣工验收，直至达到完全符合合同要求为止，并按最后验收合格的日期作为竣工日期，由此产生的一切费用均由承包人负责。</w:t>
      </w:r>
    </w:p>
    <w:p>
      <w:pPr>
        <w:topLinePunct/>
        <w:adjustRightInd w:val="0"/>
        <w:snapToGrid w:val="0"/>
        <w:spacing w:line="360" w:lineRule="auto"/>
        <w:ind w:firstLine="496" w:firstLineChars="200"/>
        <w:jc w:val="left"/>
        <w:rPr>
          <w:rFonts w:hint="eastAsia" w:ascii="宋体" w:hAnsi="宋体" w:eastAsia="宋体" w:cs="宋体"/>
          <w:spacing w:val="4"/>
          <w:kern w:val="0"/>
          <w:sz w:val="24"/>
          <w:szCs w:val="24"/>
        </w:rPr>
      </w:pPr>
      <w:r>
        <w:rPr>
          <w:rFonts w:hint="eastAsia" w:ascii="宋体" w:hAnsi="宋体" w:eastAsia="宋体" w:cs="宋体"/>
          <w:spacing w:val="4"/>
          <w:kern w:val="0"/>
          <w:sz w:val="24"/>
          <w:szCs w:val="24"/>
          <w:lang w:val="en-US" w:eastAsia="zh-CN"/>
        </w:rPr>
        <w:t>④</w:t>
      </w:r>
      <w:r>
        <w:rPr>
          <w:rFonts w:hint="eastAsia" w:ascii="宋体" w:hAnsi="宋体" w:eastAsia="宋体" w:cs="宋体"/>
          <w:spacing w:val="4"/>
          <w:kern w:val="0"/>
          <w:sz w:val="24"/>
          <w:szCs w:val="24"/>
        </w:rPr>
        <w:t>竣工验收完成后承包人须向发包人提供完整竣工资料（包含竣工图）及竣工验收报告；并做好竣工档案、竣工备案等工作。工程验收的其他要求按合同约定执行。</w:t>
      </w:r>
    </w:p>
    <w:p>
      <w:pPr>
        <w:topLinePunct/>
        <w:adjustRightInd w:val="0"/>
        <w:snapToGrid w:val="0"/>
        <w:spacing w:line="360" w:lineRule="auto"/>
        <w:ind w:firstLine="496" w:firstLineChars="200"/>
        <w:jc w:val="left"/>
        <w:rPr>
          <w:rFonts w:hint="eastAsia" w:ascii="宋体" w:hAnsi="宋体" w:eastAsia="宋体" w:cs="宋体"/>
          <w:spacing w:val="4"/>
          <w:kern w:val="0"/>
          <w:sz w:val="24"/>
          <w:szCs w:val="24"/>
        </w:rPr>
      </w:pPr>
      <w:r>
        <w:rPr>
          <w:rFonts w:hint="eastAsia" w:ascii="宋体" w:hAnsi="宋体" w:eastAsia="宋体" w:cs="宋体"/>
          <w:spacing w:val="4"/>
          <w:kern w:val="0"/>
          <w:sz w:val="24"/>
          <w:szCs w:val="24"/>
          <w:lang w:eastAsia="zh-CN"/>
        </w:rPr>
        <w:t>（</w:t>
      </w:r>
      <w:r>
        <w:rPr>
          <w:rFonts w:hint="eastAsia" w:ascii="宋体" w:hAnsi="宋体" w:eastAsia="宋体" w:cs="宋体"/>
          <w:spacing w:val="4"/>
          <w:kern w:val="0"/>
          <w:sz w:val="24"/>
          <w:szCs w:val="24"/>
          <w:lang w:val="en-US" w:eastAsia="zh-CN"/>
        </w:rPr>
        <w:t>3</w:t>
      </w:r>
      <w:r>
        <w:rPr>
          <w:rFonts w:hint="eastAsia" w:ascii="宋体" w:hAnsi="宋体" w:eastAsia="宋体" w:cs="宋体"/>
          <w:spacing w:val="4"/>
          <w:kern w:val="0"/>
          <w:sz w:val="24"/>
          <w:szCs w:val="24"/>
          <w:lang w:eastAsia="zh-CN"/>
        </w:rPr>
        <w:t>）</w:t>
      </w:r>
      <w:r>
        <w:rPr>
          <w:rFonts w:hint="eastAsia" w:ascii="宋体" w:hAnsi="宋体" w:eastAsia="宋体" w:cs="宋体"/>
          <w:spacing w:val="4"/>
          <w:kern w:val="0"/>
          <w:sz w:val="24"/>
          <w:szCs w:val="24"/>
        </w:rPr>
        <w:t>工程移交管理要求：</w:t>
      </w:r>
    </w:p>
    <w:p>
      <w:pPr>
        <w:topLinePunct/>
        <w:adjustRightInd w:val="0"/>
        <w:snapToGrid w:val="0"/>
        <w:spacing w:line="360" w:lineRule="auto"/>
        <w:ind w:firstLine="496" w:firstLineChars="200"/>
        <w:jc w:val="left"/>
        <w:rPr>
          <w:rFonts w:hint="eastAsia" w:ascii="宋体" w:hAnsi="宋体" w:eastAsia="宋体" w:cs="宋体"/>
          <w:spacing w:val="4"/>
          <w:kern w:val="0"/>
          <w:sz w:val="24"/>
          <w:szCs w:val="24"/>
        </w:rPr>
      </w:pPr>
      <w:r>
        <w:rPr>
          <w:rFonts w:hint="eastAsia" w:ascii="宋体" w:hAnsi="宋体" w:eastAsia="宋体" w:cs="宋体"/>
          <w:spacing w:val="4"/>
          <w:kern w:val="0"/>
          <w:sz w:val="24"/>
          <w:szCs w:val="24"/>
          <w:lang w:val="en-US" w:eastAsia="zh-CN"/>
        </w:rPr>
        <w:t>①</w:t>
      </w:r>
      <w:r>
        <w:rPr>
          <w:rFonts w:hint="eastAsia" w:ascii="宋体" w:hAnsi="宋体" w:eastAsia="宋体" w:cs="宋体"/>
          <w:spacing w:val="4"/>
          <w:kern w:val="0"/>
          <w:sz w:val="24"/>
          <w:szCs w:val="24"/>
        </w:rPr>
        <w:t>移交范围</w:t>
      </w:r>
    </w:p>
    <w:p>
      <w:pPr>
        <w:topLinePunct/>
        <w:adjustRightInd w:val="0"/>
        <w:snapToGrid w:val="0"/>
        <w:spacing w:line="360" w:lineRule="auto"/>
        <w:ind w:firstLine="496" w:firstLineChars="200"/>
        <w:jc w:val="left"/>
        <w:rPr>
          <w:rFonts w:hint="eastAsia" w:ascii="宋体" w:hAnsi="宋体" w:eastAsia="宋体" w:cs="宋体"/>
          <w:spacing w:val="4"/>
          <w:kern w:val="0"/>
          <w:sz w:val="24"/>
          <w:szCs w:val="24"/>
        </w:rPr>
      </w:pPr>
      <w:r>
        <w:rPr>
          <w:rFonts w:hint="eastAsia" w:ascii="宋体" w:hAnsi="宋体" w:eastAsia="宋体" w:cs="宋体"/>
          <w:spacing w:val="4"/>
          <w:kern w:val="0"/>
          <w:sz w:val="24"/>
          <w:szCs w:val="24"/>
        </w:rPr>
        <w:t>工程项目移交的范围包括工程资料移交、工程实体移交（含备品备件）和使用维护管理移交（含设备维护培训及交底）。</w:t>
      </w:r>
    </w:p>
    <w:p>
      <w:pPr>
        <w:topLinePunct/>
        <w:adjustRightInd w:val="0"/>
        <w:snapToGrid w:val="0"/>
        <w:spacing w:line="360" w:lineRule="auto"/>
        <w:jc w:val="left"/>
        <w:rPr>
          <w:rFonts w:hint="eastAsia" w:ascii="宋体" w:hAnsi="宋体" w:eastAsia="宋体" w:cs="宋体"/>
          <w:spacing w:val="4"/>
          <w:kern w:val="0"/>
          <w:sz w:val="24"/>
          <w:szCs w:val="24"/>
        </w:rPr>
      </w:pPr>
      <w:r>
        <w:rPr>
          <w:rFonts w:hint="eastAsia" w:ascii="宋体" w:hAnsi="宋体" w:eastAsia="宋体" w:cs="宋体"/>
          <w:spacing w:val="4"/>
          <w:kern w:val="0"/>
          <w:sz w:val="24"/>
          <w:szCs w:val="24"/>
        </w:rPr>
        <w:t xml:space="preserve">    ■工程资料移交</w:t>
      </w:r>
    </w:p>
    <w:p>
      <w:pPr>
        <w:topLinePunct/>
        <w:adjustRightInd w:val="0"/>
        <w:snapToGrid w:val="0"/>
        <w:spacing w:line="360" w:lineRule="auto"/>
        <w:ind w:firstLine="496" w:firstLineChars="200"/>
        <w:jc w:val="left"/>
        <w:rPr>
          <w:rFonts w:hint="eastAsia" w:ascii="宋体" w:hAnsi="宋体" w:eastAsia="宋体" w:cs="宋体"/>
          <w:spacing w:val="4"/>
          <w:kern w:val="0"/>
          <w:sz w:val="24"/>
          <w:szCs w:val="24"/>
        </w:rPr>
      </w:pPr>
      <w:r>
        <w:rPr>
          <w:rFonts w:hint="eastAsia" w:ascii="宋体" w:hAnsi="宋体" w:eastAsia="宋体" w:cs="宋体"/>
          <w:spacing w:val="4"/>
          <w:kern w:val="0"/>
          <w:sz w:val="24"/>
          <w:szCs w:val="24"/>
        </w:rPr>
        <w:t>工程竣工资料包括工程建设前期有关资料、工程技术管理资料、竣工验收备案资料等。承包人在工程实施过程中及工程竣工后，应对各类工程文件档案进行收集、整理和查验，确保向发包人移交的工程文件档案资料是真实的、完整的。</w:t>
      </w:r>
    </w:p>
    <w:p>
      <w:pPr>
        <w:topLinePunct/>
        <w:adjustRightInd w:val="0"/>
        <w:snapToGrid w:val="0"/>
        <w:spacing w:line="360" w:lineRule="auto"/>
        <w:jc w:val="left"/>
        <w:rPr>
          <w:rFonts w:hint="eastAsia" w:ascii="宋体" w:hAnsi="宋体" w:eastAsia="宋体" w:cs="宋体"/>
          <w:spacing w:val="4"/>
          <w:kern w:val="0"/>
          <w:sz w:val="24"/>
          <w:szCs w:val="24"/>
        </w:rPr>
      </w:pPr>
      <w:r>
        <w:rPr>
          <w:rFonts w:hint="eastAsia" w:ascii="宋体" w:hAnsi="宋体" w:eastAsia="宋体" w:cs="宋体"/>
          <w:spacing w:val="4"/>
          <w:kern w:val="0"/>
          <w:sz w:val="24"/>
          <w:szCs w:val="24"/>
        </w:rPr>
        <w:t xml:space="preserve">    ■工程实体移交</w:t>
      </w:r>
    </w:p>
    <w:p>
      <w:pPr>
        <w:topLinePunct/>
        <w:adjustRightInd w:val="0"/>
        <w:snapToGrid w:val="0"/>
        <w:spacing w:line="360" w:lineRule="auto"/>
        <w:ind w:firstLine="496" w:firstLineChars="200"/>
        <w:jc w:val="left"/>
        <w:rPr>
          <w:rFonts w:hint="eastAsia" w:ascii="宋体" w:hAnsi="宋体" w:eastAsia="宋体" w:cs="宋体"/>
          <w:spacing w:val="4"/>
          <w:kern w:val="0"/>
          <w:sz w:val="24"/>
          <w:szCs w:val="24"/>
        </w:rPr>
      </w:pPr>
      <w:r>
        <w:rPr>
          <w:rFonts w:hint="eastAsia" w:ascii="宋体" w:hAnsi="宋体" w:eastAsia="宋体" w:cs="宋体"/>
          <w:spacing w:val="4"/>
          <w:kern w:val="0"/>
          <w:sz w:val="24"/>
          <w:szCs w:val="24"/>
        </w:rPr>
        <w:t>承包人在工程移交前，应编制完整的《工程实体移交清单》（含设备材料移交清单、备品备件移交清单），并提供给发包人、监理单位和工程接收单位审核并盖章确认。</w:t>
      </w:r>
    </w:p>
    <w:p>
      <w:pPr>
        <w:topLinePunct/>
        <w:adjustRightInd w:val="0"/>
        <w:snapToGrid w:val="0"/>
        <w:spacing w:line="360" w:lineRule="auto"/>
        <w:ind w:firstLine="496" w:firstLineChars="200"/>
        <w:jc w:val="left"/>
        <w:rPr>
          <w:rFonts w:hint="eastAsia" w:ascii="宋体" w:hAnsi="宋体" w:eastAsia="宋体" w:cs="宋体"/>
          <w:spacing w:val="4"/>
          <w:kern w:val="0"/>
          <w:sz w:val="24"/>
          <w:szCs w:val="24"/>
        </w:rPr>
      </w:pPr>
      <w:r>
        <w:rPr>
          <w:rFonts w:hint="eastAsia" w:ascii="宋体" w:hAnsi="宋体" w:eastAsia="宋体" w:cs="宋体"/>
          <w:spacing w:val="4"/>
          <w:kern w:val="0"/>
          <w:sz w:val="24"/>
          <w:szCs w:val="24"/>
          <w:lang w:val="en-US" w:eastAsia="zh-CN"/>
        </w:rPr>
        <w:t>②</w:t>
      </w:r>
      <w:r>
        <w:rPr>
          <w:rFonts w:hint="eastAsia" w:ascii="宋体" w:hAnsi="宋体" w:eastAsia="宋体" w:cs="宋体"/>
          <w:spacing w:val="4"/>
          <w:kern w:val="0"/>
          <w:sz w:val="24"/>
          <w:szCs w:val="24"/>
        </w:rPr>
        <w:t>移交前维护</w:t>
      </w:r>
    </w:p>
    <w:p>
      <w:pPr>
        <w:topLinePunct/>
        <w:adjustRightInd w:val="0"/>
        <w:snapToGrid w:val="0"/>
        <w:spacing w:line="360" w:lineRule="auto"/>
        <w:ind w:firstLine="496" w:firstLineChars="200"/>
        <w:jc w:val="left"/>
        <w:rPr>
          <w:rFonts w:hint="eastAsia" w:ascii="宋体" w:hAnsi="宋体" w:eastAsia="宋体" w:cs="宋体"/>
          <w:spacing w:val="4"/>
          <w:kern w:val="0"/>
          <w:sz w:val="24"/>
          <w:szCs w:val="24"/>
        </w:rPr>
      </w:pPr>
      <w:r>
        <w:rPr>
          <w:rFonts w:hint="eastAsia" w:ascii="宋体" w:hAnsi="宋体" w:eastAsia="宋体" w:cs="宋体"/>
          <w:spacing w:val="4"/>
          <w:kern w:val="0"/>
          <w:sz w:val="24"/>
          <w:szCs w:val="24"/>
        </w:rPr>
        <w:t>在工程竣工验收后至工程移交之前，承包人必须保障：智能化工程、机电工程的正常运行及维护，如在此期间发现工程或工程设备损坏或存在缺陷的，由承包人按质量保证期服务要求的约定进行修复。有关费用已包含在合同总价中，发包人不另支付；如承包人拒绝维护，且经发包人书面催告后仍未维护的，发包人有权委托第三方维护，所需费用由承包人承担。</w:t>
      </w:r>
    </w:p>
    <w:p>
      <w:pPr>
        <w:topLinePunct/>
        <w:adjustRightInd w:val="0"/>
        <w:snapToGrid w:val="0"/>
        <w:spacing w:line="360" w:lineRule="auto"/>
        <w:ind w:firstLine="496" w:firstLineChars="200"/>
        <w:jc w:val="left"/>
        <w:rPr>
          <w:rFonts w:hint="eastAsia" w:ascii="宋体" w:hAnsi="宋体" w:eastAsia="宋体" w:cs="宋体"/>
          <w:spacing w:val="4"/>
          <w:kern w:val="0"/>
          <w:sz w:val="24"/>
          <w:szCs w:val="24"/>
        </w:rPr>
      </w:pPr>
      <w:r>
        <w:rPr>
          <w:rFonts w:hint="eastAsia" w:ascii="宋体" w:hAnsi="宋体" w:eastAsia="宋体" w:cs="宋体"/>
          <w:spacing w:val="4"/>
          <w:kern w:val="0"/>
          <w:sz w:val="24"/>
          <w:szCs w:val="24"/>
          <w:lang w:val="en-US" w:eastAsia="zh-CN"/>
        </w:rPr>
        <w:t>③</w:t>
      </w:r>
      <w:r>
        <w:rPr>
          <w:rFonts w:hint="eastAsia" w:ascii="宋体" w:hAnsi="宋体" w:eastAsia="宋体" w:cs="宋体"/>
          <w:spacing w:val="4"/>
          <w:kern w:val="0"/>
          <w:sz w:val="24"/>
          <w:szCs w:val="24"/>
        </w:rPr>
        <w:t>移交计划</w:t>
      </w:r>
    </w:p>
    <w:p>
      <w:pPr>
        <w:topLinePunct/>
        <w:adjustRightInd w:val="0"/>
        <w:snapToGrid w:val="0"/>
        <w:spacing w:line="360" w:lineRule="auto"/>
        <w:ind w:firstLine="496" w:firstLineChars="200"/>
        <w:jc w:val="left"/>
        <w:rPr>
          <w:rFonts w:hint="eastAsia" w:ascii="宋体" w:hAnsi="宋体" w:eastAsia="宋体" w:cs="宋体"/>
          <w:spacing w:val="4"/>
          <w:kern w:val="0"/>
          <w:sz w:val="24"/>
          <w:szCs w:val="24"/>
        </w:rPr>
      </w:pPr>
      <w:r>
        <w:rPr>
          <w:rFonts w:hint="eastAsia" w:ascii="宋体" w:hAnsi="宋体" w:eastAsia="宋体" w:cs="宋体"/>
          <w:spacing w:val="4"/>
          <w:kern w:val="0"/>
          <w:sz w:val="24"/>
          <w:szCs w:val="24"/>
        </w:rPr>
        <w:t>承包人应在进行移交工作前编写工程项目移交计划，且移交计划需报发包人及监理单位审核，在经发包人及监理单位审核同意后按计划进行移交。</w:t>
      </w:r>
    </w:p>
    <w:p>
      <w:pPr>
        <w:topLinePunct/>
        <w:adjustRightInd w:val="0"/>
        <w:snapToGrid w:val="0"/>
        <w:spacing w:line="360" w:lineRule="auto"/>
        <w:ind w:firstLine="496" w:firstLineChars="200"/>
        <w:jc w:val="left"/>
        <w:rPr>
          <w:rFonts w:hint="eastAsia" w:ascii="宋体" w:hAnsi="宋体" w:eastAsia="宋体" w:cs="宋体"/>
          <w:spacing w:val="4"/>
          <w:kern w:val="0"/>
          <w:sz w:val="24"/>
          <w:szCs w:val="24"/>
        </w:rPr>
      </w:pPr>
      <w:r>
        <w:rPr>
          <w:rFonts w:hint="eastAsia" w:ascii="宋体" w:hAnsi="宋体" w:eastAsia="宋体" w:cs="宋体"/>
          <w:spacing w:val="4"/>
          <w:kern w:val="0"/>
          <w:sz w:val="24"/>
          <w:szCs w:val="24"/>
          <w:lang w:val="en-US" w:eastAsia="zh-CN"/>
        </w:rPr>
        <w:t>④</w:t>
      </w:r>
      <w:r>
        <w:rPr>
          <w:rFonts w:hint="eastAsia" w:ascii="宋体" w:hAnsi="宋体" w:eastAsia="宋体" w:cs="宋体"/>
          <w:spacing w:val="4"/>
          <w:kern w:val="0"/>
          <w:sz w:val="24"/>
          <w:szCs w:val="24"/>
        </w:rPr>
        <w:t>工程移交</w:t>
      </w:r>
    </w:p>
    <w:p>
      <w:pPr>
        <w:topLinePunct/>
        <w:adjustRightInd w:val="0"/>
        <w:snapToGrid w:val="0"/>
        <w:spacing w:line="360" w:lineRule="auto"/>
        <w:ind w:firstLine="496" w:firstLineChars="200"/>
        <w:jc w:val="left"/>
        <w:rPr>
          <w:rFonts w:hint="eastAsia" w:ascii="宋体" w:hAnsi="宋体" w:eastAsia="宋体" w:cs="宋体"/>
          <w:spacing w:val="4"/>
          <w:kern w:val="0"/>
          <w:sz w:val="24"/>
          <w:szCs w:val="24"/>
        </w:rPr>
      </w:pPr>
      <w:r>
        <w:rPr>
          <w:rFonts w:hint="eastAsia" w:ascii="宋体" w:hAnsi="宋体" w:eastAsia="宋体" w:cs="宋体"/>
          <w:spacing w:val="4"/>
          <w:kern w:val="0"/>
          <w:sz w:val="24"/>
          <w:szCs w:val="24"/>
        </w:rPr>
        <w:t>工程项目移交原则上力争在工程竣工验收备案后一个月之内完成。承包人应在发包人组织的工程移交中向使用单位办理好工程移交，并做好相关的保障、维修及服务。承包人负责对工程竣工验收及工程移交中提出的质量及工程资料问题进行整改，完成整改后向监理单位提交《工程整改完工报告》申请整改后正式移交。</w:t>
      </w:r>
    </w:p>
    <w:p>
      <w:pPr>
        <w:topLinePunct/>
        <w:adjustRightInd w:val="0"/>
        <w:snapToGrid w:val="0"/>
        <w:spacing w:line="360" w:lineRule="auto"/>
        <w:ind w:firstLine="496" w:firstLineChars="200"/>
        <w:jc w:val="left"/>
        <w:rPr>
          <w:rFonts w:hint="eastAsia" w:ascii="宋体" w:hAnsi="宋体" w:eastAsia="宋体" w:cs="宋体"/>
          <w:spacing w:val="4"/>
          <w:kern w:val="0"/>
          <w:sz w:val="24"/>
          <w:szCs w:val="24"/>
        </w:rPr>
      </w:pPr>
      <w:r>
        <w:rPr>
          <w:rFonts w:hint="eastAsia" w:ascii="宋体" w:hAnsi="宋体" w:eastAsia="宋体" w:cs="宋体"/>
          <w:spacing w:val="4"/>
          <w:kern w:val="0"/>
          <w:sz w:val="24"/>
          <w:szCs w:val="24"/>
          <w:lang w:eastAsia="zh-CN"/>
        </w:rPr>
        <w:t>（</w:t>
      </w:r>
      <w:r>
        <w:rPr>
          <w:rFonts w:hint="eastAsia" w:ascii="宋体" w:hAnsi="宋体" w:eastAsia="宋体" w:cs="宋体"/>
          <w:spacing w:val="4"/>
          <w:kern w:val="0"/>
          <w:sz w:val="24"/>
          <w:szCs w:val="24"/>
          <w:lang w:val="en-US" w:eastAsia="zh-CN"/>
        </w:rPr>
        <w:t>3</w:t>
      </w:r>
      <w:r>
        <w:rPr>
          <w:rFonts w:hint="eastAsia" w:ascii="宋体" w:hAnsi="宋体" w:eastAsia="宋体" w:cs="宋体"/>
          <w:spacing w:val="4"/>
          <w:kern w:val="0"/>
          <w:sz w:val="24"/>
          <w:szCs w:val="24"/>
          <w:lang w:eastAsia="zh-CN"/>
        </w:rPr>
        <w:t>）</w:t>
      </w:r>
      <w:r>
        <w:rPr>
          <w:rFonts w:hint="eastAsia" w:ascii="宋体" w:hAnsi="宋体" w:eastAsia="宋体" w:cs="宋体"/>
          <w:spacing w:val="4"/>
          <w:kern w:val="0"/>
          <w:sz w:val="24"/>
          <w:szCs w:val="24"/>
        </w:rPr>
        <w:t>工程造价（结算）管理要求：</w:t>
      </w:r>
    </w:p>
    <w:p>
      <w:pPr>
        <w:topLinePunct/>
        <w:adjustRightInd w:val="0"/>
        <w:snapToGrid w:val="0"/>
        <w:spacing w:line="360" w:lineRule="auto"/>
        <w:ind w:firstLine="496" w:firstLineChars="200"/>
        <w:jc w:val="left"/>
        <w:rPr>
          <w:rFonts w:hint="eastAsia" w:ascii="宋体" w:hAnsi="宋体" w:eastAsia="宋体" w:cs="宋体"/>
          <w:spacing w:val="4"/>
          <w:kern w:val="0"/>
          <w:sz w:val="24"/>
          <w:szCs w:val="24"/>
        </w:rPr>
      </w:pPr>
      <w:r>
        <w:rPr>
          <w:rFonts w:hint="eastAsia" w:ascii="宋体" w:hAnsi="宋体" w:eastAsia="宋体" w:cs="宋体"/>
          <w:spacing w:val="4"/>
          <w:kern w:val="0"/>
          <w:sz w:val="24"/>
          <w:szCs w:val="24"/>
          <w:lang w:val="en-US" w:eastAsia="zh-CN"/>
        </w:rPr>
        <w:t>①</w:t>
      </w:r>
      <w:r>
        <w:rPr>
          <w:rFonts w:hint="eastAsia" w:ascii="宋体" w:hAnsi="宋体" w:eastAsia="宋体" w:cs="宋体"/>
          <w:spacing w:val="4"/>
          <w:kern w:val="0"/>
          <w:sz w:val="24"/>
          <w:szCs w:val="24"/>
        </w:rPr>
        <w:t>承包人须在收到发包人提供的施工图后一个月内根据施工图纸、本合同、招标文件、中标文件等资料要求重新编制施工图预算，提出施工图预算与中标清单之间的差异，并报监理单位和发包人审核备案。</w:t>
      </w:r>
    </w:p>
    <w:p>
      <w:pPr>
        <w:topLinePunct/>
        <w:adjustRightInd w:val="0"/>
        <w:snapToGrid w:val="0"/>
        <w:spacing w:line="360" w:lineRule="auto"/>
        <w:ind w:firstLine="496" w:firstLineChars="200"/>
        <w:jc w:val="left"/>
        <w:rPr>
          <w:rFonts w:hint="eastAsia" w:ascii="宋体" w:hAnsi="宋体" w:eastAsia="宋体" w:cs="宋体"/>
          <w:spacing w:val="4"/>
          <w:kern w:val="0"/>
          <w:sz w:val="24"/>
          <w:szCs w:val="24"/>
        </w:rPr>
      </w:pPr>
      <w:r>
        <w:rPr>
          <w:rFonts w:hint="eastAsia" w:ascii="宋体" w:hAnsi="宋体" w:eastAsia="宋体" w:cs="宋体"/>
          <w:spacing w:val="4"/>
          <w:kern w:val="0"/>
          <w:sz w:val="24"/>
          <w:szCs w:val="24"/>
          <w:lang w:val="en-US" w:eastAsia="zh-CN"/>
        </w:rPr>
        <w:t>②</w:t>
      </w:r>
      <w:r>
        <w:rPr>
          <w:rFonts w:hint="eastAsia" w:ascii="宋体" w:hAnsi="宋体" w:eastAsia="宋体" w:cs="宋体"/>
          <w:spacing w:val="4"/>
          <w:kern w:val="0"/>
          <w:sz w:val="24"/>
          <w:szCs w:val="24"/>
        </w:rPr>
        <w:t>承包人应按发包人要求派出足够的、有能力的造价人员负责结算工作。若派出的造价人员不足或不能胜任结算工作，承包人应按发包人的要求及时更换，直至满足要求为止。</w:t>
      </w:r>
    </w:p>
    <w:p>
      <w:pPr>
        <w:topLinePunct/>
        <w:adjustRightInd w:val="0"/>
        <w:snapToGrid w:val="0"/>
        <w:spacing w:line="360" w:lineRule="auto"/>
        <w:ind w:firstLine="496" w:firstLineChars="200"/>
        <w:jc w:val="left"/>
        <w:rPr>
          <w:rFonts w:hint="eastAsia" w:ascii="宋体" w:hAnsi="宋体" w:eastAsia="宋体" w:cs="宋体"/>
          <w:spacing w:val="4"/>
          <w:kern w:val="0"/>
          <w:sz w:val="24"/>
          <w:szCs w:val="24"/>
        </w:rPr>
      </w:pPr>
      <w:r>
        <w:rPr>
          <w:rFonts w:hint="eastAsia" w:ascii="宋体" w:hAnsi="宋体" w:eastAsia="宋体" w:cs="宋体"/>
          <w:spacing w:val="4"/>
          <w:kern w:val="0"/>
          <w:sz w:val="24"/>
          <w:szCs w:val="24"/>
          <w:lang w:val="en-US" w:eastAsia="zh-CN"/>
        </w:rPr>
        <w:t>③</w:t>
      </w:r>
      <w:r>
        <w:rPr>
          <w:rFonts w:hint="eastAsia" w:ascii="宋体" w:hAnsi="宋体" w:eastAsia="宋体" w:cs="宋体"/>
          <w:spacing w:val="4"/>
          <w:kern w:val="0"/>
          <w:sz w:val="24"/>
          <w:szCs w:val="24"/>
        </w:rPr>
        <w:t>承包人执行发包人下发的结算编制指引及与结算有关的文件规定。</w:t>
      </w:r>
    </w:p>
    <w:p>
      <w:pPr>
        <w:topLinePunct/>
        <w:adjustRightInd w:val="0"/>
        <w:snapToGrid w:val="0"/>
        <w:spacing w:line="360" w:lineRule="auto"/>
        <w:ind w:firstLine="496" w:firstLineChars="200"/>
        <w:jc w:val="left"/>
        <w:rPr>
          <w:rFonts w:hint="eastAsia" w:ascii="宋体" w:hAnsi="宋体" w:eastAsia="宋体" w:cs="宋体"/>
          <w:spacing w:val="4"/>
          <w:kern w:val="0"/>
          <w:sz w:val="24"/>
          <w:szCs w:val="24"/>
        </w:rPr>
      </w:pPr>
      <w:r>
        <w:rPr>
          <w:rFonts w:hint="eastAsia" w:ascii="宋体" w:hAnsi="宋体" w:eastAsia="宋体" w:cs="宋体"/>
          <w:spacing w:val="4"/>
          <w:kern w:val="0"/>
          <w:sz w:val="24"/>
          <w:szCs w:val="24"/>
          <w:lang w:val="en-US" w:eastAsia="zh-CN"/>
        </w:rPr>
        <w:t>④</w:t>
      </w:r>
      <w:r>
        <w:rPr>
          <w:rFonts w:hint="eastAsia" w:ascii="宋体" w:hAnsi="宋体" w:eastAsia="宋体" w:cs="宋体"/>
          <w:spacing w:val="4"/>
          <w:kern w:val="0"/>
          <w:sz w:val="24"/>
          <w:szCs w:val="24"/>
        </w:rPr>
        <w:t>承包人须协助发包人加强投资控制，每期申请进度款的计量计价应准确，进度款的申请应与主要材料设备采购计划相匹配，严禁虚报计量（承包人申报的进度款金额超出经监理人、发包人核实金额的10%，视为承包人虚报计量）或超前计量，否则严格按合同约定承担违约责任。</w:t>
      </w:r>
    </w:p>
    <w:p>
      <w:pPr>
        <w:topLinePunct/>
        <w:adjustRightInd w:val="0"/>
        <w:snapToGrid w:val="0"/>
        <w:spacing w:line="360" w:lineRule="auto"/>
        <w:ind w:firstLine="496" w:firstLineChars="200"/>
        <w:jc w:val="left"/>
        <w:rPr>
          <w:rFonts w:hint="eastAsia" w:ascii="宋体" w:hAnsi="宋体" w:eastAsia="宋体" w:cs="宋体"/>
          <w:spacing w:val="4"/>
          <w:kern w:val="0"/>
          <w:sz w:val="24"/>
          <w:szCs w:val="24"/>
        </w:rPr>
      </w:pPr>
      <w:r>
        <w:rPr>
          <w:rFonts w:hint="eastAsia" w:ascii="宋体" w:hAnsi="宋体" w:eastAsia="宋体" w:cs="宋体"/>
          <w:spacing w:val="4"/>
          <w:kern w:val="0"/>
          <w:sz w:val="24"/>
          <w:szCs w:val="24"/>
          <w:lang w:val="en-US" w:eastAsia="zh-CN"/>
        </w:rPr>
        <w:t>⑤</w:t>
      </w:r>
      <w:r>
        <w:rPr>
          <w:rFonts w:hint="eastAsia" w:ascii="宋体" w:hAnsi="宋体" w:eastAsia="宋体" w:cs="宋体"/>
          <w:spacing w:val="4"/>
          <w:kern w:val="0"/>
          <w:sz w:val="24"/>
          <w:szCs w:val="24"/>
        </w:rPr>
        <w:t>在施工过程中发生的工程变更、工程签证等引起合同价款调增事件后，承包人未按合同约定办理变更工程预算审批的，则发包人有权根据实际情况决定是否调整合同价款以及调整的金额。</w:t>
      </w:r>
    </w:p>
    <w:p>
      <w:pPr>
        <w:topLinePunct/>
        <w:adjustRightInd w:val="0"/>
        <w:snapToGrid w:val="0"/>
        <w:spacing w:line="360" w:lineRule="auto"/>
        <w:ind w:firstLine="496" w:firstLineChars="200"/>
        <w:jc w:val="left"/>
        <w:rPr>
          <w:rFonts w:hint="eastAsia" w:ascii="宋体" w:hAnsi="宋体" w:eastAsia="宋体" w:cs="宋体"/>
          <w:spacing w:val="4"/>
          <w:kern w:val="0"/>
          <w:sz w:val="24"/>
          <w:szCs w:val="24"/>
        </w:rPr>
      </w:pPr>
      <w:r>
        <w:rPr>
          <w:rFonts w:hint="eastAsia" w:ascii="宋体" w:hAnsi="宋体" w:eastAsia="宋体" w:cs="宋体"/>
          <w:spacing w:val="4"/>
          <w:kern w:val="0"/>
          <w:sz w:val="24"/>
          <w:szCs w:val="24"/>
          <w:lang w:val="en-US" w:eastAsia="zh-CN"/>
        </w:rPr>
        <w:t>⑥</w:t>
      </w:r>
      <w:r>
        <w:rPr>
          <w:rFonts w:hint="eastAsia" w:ascii="宋体" w:hAnsi="宋体" w:eastAsia="宋体" w:cs="宋体"/>
          <w:spacing w:val="4"/>
          <w:kern w:val="0"/>
          <w:sz w:val="24"/>
          <w:szCs w:val="24"/>
        </w:rPr>
        <w:t>根据项目的实际情况，如承包人需另行租用场地用于临设之用，属于承包人自行考虑范畴，相关的费用投标时综合考虑，不再另行计量、支付。</w:t>
      </w:r>
    </w:p>
    <w:p>
      <w:pPr>
        <w:widowControl/>
        <w:adjustRightInd w:val="0"/>
        <w:snapToGrid w:val="0"/>
        <w:spacing w:line="360" w:lineRule="auto"/>
        <w:ind w:right="11" w:firstLine="476" w:firstLineChars="192"/>
        <w:rPr>
          <w:rFonts w:hint="eastAsia" w:ascii="宋体" w:hAnsi="宋体" w:eastAsia="宋体" w:cs="宋体"/>
          <w:b/>
          <w:bCs/>
          <w:kern w:val="0"/>
          <w:sz w:val="24"/>
          <w:szCs w:val="24"/>
        </w:rPr>
      </w:pPr>
      <w:r>
        <w:rPr>
          <w:rFonts w:hint="eastAsia" w:ascii="宋体" w:hAnsi="宋体" w:eastAsia="宋体" w:cs="宋体"/>
          <w:spacing w:val="4"/>
          <w:kern w:val="0"/>
          <w:sz w:val="24"/>
          <w:szCs w:val="24"/>
          <w:lang w:val="en-US" w:eastAsia="zh-CN"/>
        </w:rPr>
        <w:t>⑦</w:t>
      </w:r>
      <w:r>
        <w:rPr>
          <w:rFonts w:hint="eastAsia" w:ascii="宋体" w:hAnsi="宋体" w:eastAsia="宋体" w:cs="宋体"/>
          <w:spacing w:val="4"/>
          <w:kern w:val="0"/>
          <w:sz w:val="24"/>
          <w:szCs w:val="24"/>
        </w:rPr>
        <w:t>结算送审资料移交清单按合同约定执行。</w:t>
      </w:r>
    </w:p>
    <w:p>
      <w:pPr>
        <w:adjustRightInd w:val="0"/>
        <w:snapToGrid w:val="0"/>
        <w:spacing w:line="360" w:lineRule="auto"/>
        <w:ind w:right="11" w:firstLine="498" w:firstLineChars="200"/>
        <w:rPr>
          <w:rFonts w:hint="eastAsia" w:ascii="宋体" w:hAnsi="宋体" w:eastAsia="宋体" w:cs="宋体"/>
          <w:b/>
          <w:bCs/>
          <w:snapToGrid w:val="0"/>
          <w:spacing w:val="4"/>
          <w:kern w:val="0"/>
          <w:sz w:val="24"/>
          <w:szCs w:val="24"/>
          <w:lang w:eastAsia="zh-CN"/>
        </w:rPr>
      </w:pPr>
      <w:bookmarkStart w:id="97" w:name="_Toc14697687"/>
      <w:r>
        <w:rPr>
          <w:rFonts w:hint="eastAsia" w:ascii="宋体" w:hAnsi="宋体" w:eastAsia="宋体" w:cs="宋体"/>
          <w:b/>
          <w:bCs/>
          <w:snapToGrid w:val="0"/>
          <w:spacing w:val="4"/>
          <w:kern w:val="0"/>
          <w:sz w:val="24"/>
          <w:szCs w:val="24"/>
          <w:lang w:eastAsia="zh-CN"/>
        </w:rPr>
        <w:t>（十三）质保期服务管理要求</w:t>
      </w:r>
      <w:bookmarkEnd w:id="97"/>
    </w:p>
    <w:p>
      <w:pPr>
        <w:topLinePunct/>
        <w:adjustRightInd w:val="0"/>
        <w:snapToGrid w:val="0"/>
        <w:spacing w:line="360" w:lineRule="auto"/>
        <w:ind w:firstLine="496" w:firstLineChars="200"/>
        <w:jc w:val="left"/>
        <w:rPr>
          <w:rFonts w:hint="eastAsia" w:ascii="宋体" w:hAnsi="宋体" w:eastAsia="宋体" w:cs="宋体"/>
          <w:spacing w:val="4"/>
          <w:kern w:val="0"/>
          <w:sz w:val="24"/>
          <w:szCs w:val="24"/>
        </w:rPr>
      </w:pPr>
      <w:r>
        <w:rPr>
          <w:rFonts w:hint="eastAsia" w:ascii="宋体" w:hAnsi="宋体" w:eastAsia="宋体" w:cs="宋体"/>
          <w:spacing w:val="4"/>
          <w:kern w:val="0"/>
          <w:sz w:val="24"/>
          <w:szCs w:val="24"/>
        </w:rPr>
        <w:t>在质量保证期内，承包人须做好以下工作：</w:t>
      </w:r>
    </w:p>
    <w:p>
      <w:pPr>
        <w:topLinePunct/>
        <w:adjustRightInd w:val="0"/>
        <w:snapToGrid w:val="0"/>
        <w:spacing w:line="360" w:lineRule="auto"/>
        <w:ind w:firstLine="496" w:firstLineChars="200"/>
        <w:jc w:val="left"/>
        <w:rPr>
          <w:rFonts w:hint="eastAsia" w:ascii="宋体" w:hAnsi="宋体" w:eastAsia="宋体" w:cs="宋体"/>
          <w:spacing w:val="4"/>
          <w:kern w:val="0"/>
          <w:sz w:val="24"/>
          <w:szCs w:val="24"/>
        </w:rPr>
      </w:pPr>
      <w:r>
        <w:rPr>
          <w:rFonts w:hint="eastAsia" w:ascii="宋体" w:hAnsi="宋体" w:eastAsia="宋体" w:cs="宋体"/>
          <w:spacing w:val="4"/>
          <w:kern w:val="0"/>
          <w:sz w:val="24"/>
          <w:szCs w:val="24"/>
          <w:lang w:eastAsia="zh-CN"/>
        </w:rPr>
        <w:t>（</w:t>
      </w:r>
      <w:r>
        <w:rPr>
          <w:rFonts w:hint="eastAsia" w:ascii="宋体" w:hAnsi="宋体" w:eastAsia="宋体" w:cs="宋体"/>
          <w:spacing w:val="4"/>
          <w:kern w:val="0"/>
          <w:sz w:val="24"/>
          <w:szCs w:val="24"/>
          <w:lang w:val="en-US" w:eastAsia="zh-CN"/>
        </w:rPr>
        <w:t>1</w:t>
      </w:r>
      <w:r>
        <w:rPr>
          <w:rFonts w:hint="eastAsia" w:ascii="宋体" w:hAnsi="宋体" w:eastAsia="宋体" w:cs="宋体"/>
          <w:spacing w:val="4"/>
          <w:kern w:val="0"/>
          <w:sz w:val="24"/>
          <w:szCs w:val="24"/>
          <w:lang w:eastAsia="zh-CN"/>
        </w:rPr>
        <w:t>）</w:t>
      </w:r>
      <w:r>
        <w:rPr>
          <w:rFonts w:hint="eastAsia" w:ascii="宋体" w:hAnsi="宋体" w:eastAsia="宋体" w:cs="宋体"/>
          <w:spacing w:val="4"/>
          <w:kern w:val="0"/>
          <w:sz w:val="24"/>
          <w:szCs w:val="24"/>
        </w:rPr>
        <w:t>培训工作</w:t>
      </w:r>
    </w:p>
    <w:p>
      <w:pPr>
        <w:topLinePunct/>
        <w:adjustRightInd w:val="0"/>
        <w:snapToGrid w:val="0"/>
        <w:spacing w:line="360" w:lineRule="auto"/>
        <w:ind w:firstLine="496" w:firstLineChars="200"/>
        <w:jc w:val="left"/>
        <w:rPr>
          <w:rFonts w:hint="eastAsia" w:ascii="宋体" w:hAnsi="宋体" w:eastAsia="宋体" w:cs="宋体"/>
          <w:spacing w:val="4"/>
          <w:kern w:val="0"/>
          <w:sz w:val="24"/>
          <w:szCs w:val="24"/>
        </w:rPr>
      </w:pPr>
      <w:r>
        <w:rPr>
          <w:rFonts w:hint="eastAsia" w:ascii="宋体" w:hAnsi="宋体" w:eastAsia="宋体" w:cs="宋体"/>
          <w:spacing w:val="4"/>
          <w:kern w:val="0"/>
          <w:sz w:val="24"/>
          <w:szCs w:val="24"/>
          <w:lang w:val="en-US" w:eastAsia="zh-CN"/>
        </w:rPr>
        <w:t>①</w:t>
      </w:r>
      <w:r>
        <w:rPr>
          <w:rFonts w:hint="eastAsia" w:ascii="宋体" w:hAnsi="宋体" w:eastAsia="宋体" w:cs="宋体"/>
          <w:spacing w:val="4"/>
          <w:kern w:val="0"/>
          <w:sz w:val="24"/>
          <w:szCs w:val="24"/>
        </w:rPr>
        <w:t>竣工验收合格后3个月内，承包人须针对各系统特点及项目实际情况编制使用手册、培训手册以及培训计划，并组织专人（包括主要设备供货商）对业主管理人员的进行培训工作，培训内容包括系统的功能介绍、性能介绍、操作要求、维护要求等，直至业主管理人员能熟练掌握及正常使用系统。</w:t>
      </w:r>
    </w:p>
    <w:p>
      <w:pPr>
        <w:topLinePunct/>
        <w:adjustRightInd w:val="0"/>
        <w:snapToGrid w:val="0"/>
        <w:spacing w:line="360" w:lineRule="auto"/>
        <w:ind w:firstLine="496" w:firstLineChars="200"/>
        <w:jc w:val="left"/>
        <w:rPr>
          <w:rFonts w:hint="eastAsia" w:ascii="宋体" w:hAnsi="宋体" w:eastAsia="宋体" w:cs="宋体"/>
          <w:spacing w:val="4"/>
          <w:kern w:val="0"/>
          <w:sz w:val="24"/>
          <w:szCs w:val="24"/>
        </w:rPr>
      </w:pPr>
      <w:r>
        <w:rPr>
          <w:rFonts w:hint="eastAsia" w:ascii="宋体" w:hAnsi="宋体" w:eastAsia="宋体" w:cs="宋体"/>
          <w:spacing w:val="4"/>
          <w:kern w:val="0"/>
          <w:sz w:val="24"/>
          <w:szCs w:val="24"/>
          <w:lang w:val="en-US" w:eastAsia="zh-CN"/>
        </w:rPr>
        <w:t>②</w:t>
      </w:r>
      <w:r>
        <w:rPr>
          <w:rFonts w:hint="eastAsia" w:ascii="宋体" w:hAnsi="宋体" w:eastAsia="宋体" w:cs="宋体"/>
          <w:spacing w:val="4"/>
          <w:kern w:val="0"/>
          <w:sz w:val="24"/>
          <w:szCs w:val="24"/>
        </w:rPr>
        <w:t>用户培训费在措施项目清单计价表中已开列，由投标自行填报，培训期间产生的所有费用已包含在该项费用中，发包人不在另行支付其他费用。</w:t>
      </w:r>
    </w:p>
    <w:p>
      <w:pPr>
        <w:topLinePunct/>
        <w:adjustRightInd w:val="0"/>
        <w:snapToGrid w:val="0"/>
        <w:spacing w:line="360" w:lineRule="auto"/>
        <w:ind w:firstLine="496" w:firstLineChars="200"/>
        <w:jc w:val="left"/>
        <w:rPr>
          <w:rFonts w:hint="eastAsia" w:ascii="宋体" w:hAnsi="宋体" w:eastAsia="宋体" w:cs="宋体"/>
          <w:spacing w:val="4"/>
          <w:kern w:val="0"/>
          <w:sz w:val="24"/>
          <w:szCs w:val="24"/>
        </w:rPr>
      </w:pPr>
      <w:r>
        <w:rPr>
          <w:rFonts w:hint="eastAsia" w:ascii="宋体" w:hAnsi="宋体" w:eastAsia="宋体" w:cs="宋体"/>
          <w:spacing w:val="4"/>
          <w:kern w:val="0"/>
          <w:sz w:val="24"/>
          <w:szCs w:val="24"/>
          <w:lang w:eastAsia="zh-CN"/>
        </w:rPr>
        <w:t>（</w:t>
      </w:r>
      <w:r>
        <w:rPr>
          <w:rFonts w:hint="eastAsia" w:ascii="宋体" w:hAnsi="宋体" w:eastAsia="宋体" w:cs="宋体"/>
          <w:spacing w:val="4"/>
          <w:kern w:val="0"/>
          <w:sz w:val="24"/>
          <w:szCs w:val="24"/>
          <w:lang w:val="en-US" w:eastAsia="zh-CN"/>
        </w:rPr>
        <w:t>2</w:t>
      </w:r>
      <w:r>
        <w:rPr>
          <w:rFonts w:hint="eastAsia" w:ascii="宋体" w:hAnsi="宋体" w:eastAsia="宋体" w:cs="宋体"/>
          <w:spacing w:val="4"/>
          <w:kern w:val="0"/>
          <w:sz w:val="24"/>
          <w:szCs w:val="24"/>
          <w:lang w:eastAsia="zh-CN"/>
        </w:rPr>
        <w:t>）</w:t>
      </w:r>
      <w:r>
        <w:rPr>
          <w:rFonts w:hint="eastAsia" w:ascii="宋体" w:hAnsi="宋体" w:eastAsia="宋体" w:cs="宋体"/>
          <w:spacing w:val="4"/>
          <w:kern w:val="0"/>
          <w:sz w:val="24"/>
          <w:szCs w:val="24"/>
        </w:rPr>
        <w:t>质量保证期和售后服务</w:t>
      </w:r>
    </w:p>
    <w:p>
      <w:pPr>
        <w:topLinePunct/>
        <w:adjustRightInd w:val="0"/>
        <w:snapToGrid w:val="0"/>
        <w:spacing w:line="360" w:lineRule="auto"/>
        <w:ind w:firstLine="496" w:firstLineChars="200"/>
        <w:jc w:val="left"/>
        <w:rPr>
          <w:rFonts w:hint="eastAsia" w:ascii="宋体" w:hAnsi="宋体" w:eastAsia="宋体" w:cs="宋体"/>
          <w:spacing w:val="4"/>
          <w:kern w:val="0"/>
          <w:sz w:val="24"/>
          <w:szCs w:val="24"/>
        </w:rPr>
      </w:pPr>
      <w:r>
        <w:rPr>
          <w:rFonts w:hint="eastAsia" w:ascii="宋体" w:hAnsi="宋体" w:eastAsia="宋体" w:cs="宋体"/>
          <w:spacing w:val="4"/>
          <w:kern w:val="0"/>
          <w:sz w:val="24"/>
          <w:szCs w:val="24"/>
          <w:lang w:val="en-US" w:eastAsia="zh-CN"/>
        </w:rPr>
        <w:t>①</w:t>
      </w:r>
      <w:r>
        <w:rPr>
          <w:rFonts w:hint="eastAsia" w:ascii="宋体" w:hAnsi="宋体" w:eastAsia="宋体" w:cs="宋体"/>
          <w:spacing w:val="4"/>
          <w:kern w:val="0"/>
          <w:sz w:val="24"/>
          <w:szCs w:val="24"/>
        </w:rPr>
        <w:t>在质量保证期内，承包人按保修协议约定免费提供设备的维修及保养服务。</w:t>
      </w:r>
    </w:p>
    <w:p>
      <w:pPr>
        <w:topLinePunct/>
        <w:adjustRightInd w:val="0"/>
        <w:snapToGrid w:val="0"/>
        <w:spacing w:line="360" w:lineRule="auto"/>
        <w:ind w:firstLine="496" w:firstLineChars="200"/>
        <w:jc w:val="left"/>
        <w:rPr>
          <w:rFonts w:hint="eastAsia" w:ascii="宋体" w:hAnsi="宋体" w:eastAsia="宋体" w:cs="宋体"/>
          <w:spacing w:val="4"/>
          <w:kern w:val="0"/>
          <w:sz w:val="24"/>
          <w:szCs w:val="24"/>
        </w:rPr>
      </w:pPr>
      <w:r>
        <w:rPr>
          <w:rFonts w:hint="eastAsia" w:ascii="宋体" w:hAnsi="宋体" w:eastAsia="宋体" w:cs="宋体"/>
          <w:spacing w:val="4"/>
          <w:kern w:val="0"/>
          <w:sz w:val="24"/>
          <w:szCs w:val="24"/>
          <w:lang w:val="en-US" w:eastAsia="zh-CN"/>
        </w:rPr>
        <w:t>②</w:t>
      </w:r>
      <w:r>
        <w:rPr>
          <w:rFonts w:hint="eastAsia" w:ascii="宋体" w:hAnsi="宋体" w:eastAsia="宋体" w:cs="宋体"/>
          <w:spacing w:val="4"/>
          <w:kern w:val="0"/>
          <w:sz w:val="24"/>
          <w:szCs w:val="24"/>
        </w:rPr>
        <w:t>质保期内须免费提供设备的维修及保养服务，定期派工程师到现场巡查，并配合对各系统进行每年一次的年检且提供年检报告。</w:t>
      </w:r>
    </w:p>
    <w:p>
      <w:pPr>
        <w:topLinePunct/>
        <w:adjustRightInd w:val="0"/>
        <w:snapToGrid w:val="0"/>
        <w:spacing w:line="360" w:lineRule="auto"/>
        <w:ind w:firstLine="496" w:firstLineChars="200"/>
        <w:jc w:val="left"/>
        <w:rPr>
          <w:rFonts w:hint="eastAsia" w:ascii="宋体" w:hAnsi="宋体" w:eastAsia="宋体" w:cs="宋体"/>
          <w:spacing w:val="4"/>
          <w:kern w:val="0"/>
          <w:sz w:val="24"/>
          <w:szCs w:val="24"/>
        </w:rPr>
      </w:pPr>
      <w:r>
        <w:rPr>
          <w:rFonts w:hint="eastAsia" w:ascii="宋体" w:hAnsi="宋体" w:eastAsia="宋体" w:cs="宋体"/>
          <w:spacing w:val="4"/>
          <w:kern w:val="0"/>
          <w:sz w:val="24"/>
          <w:szCs w:val="24"/>
          <w:lang w:val="en-US" w:eastAsia="zh-CN"/>
        </w:rPr>
        <w:t>③</w:t>
      </w:r>
      <w:r>
        <w:rPr>
          <w:rFonts w:hint="eastAsia" w:ascii="宋体" w:hAnsi="宋体" w:eastAsia="宋体" w:cs="宋体"/>
          <w:spacing w:val="4"/>
          <w:kern w:val="0"/>
          <w:sz w:val="24"/>
          <w:szCs w:val="24"/>
        </w:rPr>
        <w:t>质保期内设备本身质量出现问题或由于设备本身质量原因造成的任何损伤或损坏，承包人应及时给予免费维修或免费更换，由此引起的施工费、人工费、材料费等其他一切费用由承包人负责。新更换的零部件的质保期则从更换之日起计。</w:t>
      </w:r>
    </w:p>
    <w:p>
      <w:pPr>
        <w:topLinePunct/>
        <w:adjustRightInd w:val="0"/>
        <w:snapToGrid w:val="0"/>
        <w:spacing w:line="360" w:lineRule="auto"/>
        <w:ind w:firstLine="496" w:firstLineChars="200"/>
        <w:jc w:val="left"/>
        <w:rPr>
          <w:rFonts w:hint="eastAsia" w:ascii="宋体" w:hAnsi="宋体" w:eastAsia="宋体" w:cs="宋体"/>
          <w:spacing w:val="4"/>
          <w:kern w:val="0"/>
          <w:sz w:val="24"/>
          <w:szCs w:val="24"/>
        </w:rPr>
      </w:pPr>
      <w:r>
        <w:rPr>
          <w:rFonts w:hint="eastAsia" w:ascii="宋体" w:hAnsi="宋体" w:eastAsia="宋体" w:cs="宋体"/>
          <w:spacing w:val="4"/>
          <w:kern w:val="0"/>
          <w:sz w:val="24"/>
          <w:szCs w:val="24"/>
          <w:lang w:val="en-US" w:eastAsia="zh-CN"/>
        </w:rPr>
        <w:t>④</w:t>
      </w:r>
      <w:r>
        <w:rPr>
          <w:rFonts w:hint="eastAsia" w:ascii="宋体" w:hAnsi="宋体" w:eastAsia="宋体" w:cs="宋体"/>
          <w:spacing w:val="4"/>
          <w:kern w:val="0"/>
          <w:sz w:val="24"/>
          <w:szCs w:val="24"/>
        </w:rPr>
        <w:t>承包人在故障保修响应方面应做到：承包人须在接到业主通知的1小时内予以答复；在业主要求时，承包人的技术人员须在收到业主通知后3小时之内到现场进行修理，相关的维修必须连续进行，直至故障完全修复为止。若在24小时内不能排除故障，承包人应立即采取切实有效的补救措施（包括免费提供应急设备），全力防止损失的扩大。</w:t>
      </w:r>
    </w:p>
    <w:p>
      <w:pPr>
        <w:topLinePunct/>
        <w:adjustRightInd w:val="0"/>
        <w:snapToGrid w:val="0"/>
        <w:spacing w:line="360" w:lineRule="auto"/>
        <w:ind w:firstLine="496" w:firstLineChars="200"/>
        <w:jc w:val="left"/>
        <w:rPr>
          <w:rFonts w:hint="eastAsia" w:ascii="宋体" w:hAnsi="宋体" w:eastAsia="宋体" w:cs="宋体"/>
          <w:spacing w:val="4"/>
          <w:kern w:val="0"/>
          <w:sz w:val="24"/>
          <w:szCs w:val="24"/>
        </w:rPr>
      </w:pPr>
      <w:r>
        <w:rPr>
          <w:rFonts w:hint="eastAsia" w:ascii="宋体" w:hAnsi="宋体" w:eastAsia="宋体" w:cs="宋体"/>
          <w:spacing w:val="4"/>
          <w:kern w:val="0"/>
          <w:sz w:val="24"/>
          <w:szCs w:val="24"/>
          <w:lang w:val="en-US" w:eastAsia="zh-CN"/>
        </w:rPr>
        <w:t>⑤</w:t>
      </w:r>
      <w:r>
        <w:rPr>
          <w:rFonts w:hint="eastAsia" w:ascii="宋体" w:hAnsi="宋体" w:eastAsia="宋体" w:cs="宋体"/>
          <w:spacing w:val="4"/>
          <w:kern w:val="0"/>
          <w:sz w:val="24"/>
          <w:szCs w:val="24"/>
        </w:rPr>
        <w:t>从工程竣工验收合格正式运行之日起的质量保证期（含潜在缺陷质量保证期）内，由于设备材料因素造成的损坏，均由承包人免费维修、更换，由于人为（非承包人人员）和自然灾害造成的损坏，收取成本费用。</w:t>
      </w:r>
    </w:p>
    <w:p>
      <w:pPr>
        <w:topLinePunct/>
        <w:adjustRightInd w:val="0"/>
        <w:snapToGrid w:val="0"/>
        <w:spacing w:line="360" w:lineRule="auto"/>
        <w:ind w:firstLine="496" w:firstLineChars="200"/>
        <w:jc w:val="left"/>
        <w:rPr>
          <w:rFonts w:hint="eastAsia" w:ascii="宋体" w:hAnsi="宋体" w:eastAsia="宋体" w:cs="宋体"/>
          <w:spacing w:val="4"/>
          <w:kern w:val="0"/>
          <w:sz w:val="24"/>
          <w:szCs w:val="24"/>
        </w:rPr>
      </w:pPr>
      <w:r>
        <w:rPr>
          <w:rFonts w:hint="eastAsia" w:ascii="宋体" w:hAnsi="宋体" w:eastAsia="宋体" w:cs="宋体"/>
          <w:spacing w:val="4"/>
          <w:kern w:val="0"/>
          <w:sz w:val="24"/>
          <w:szCs w:val="24"/>
          <w:lang w:val="en-US" w:eastAsia="zh-CN"/>
        </w:rPr>
        <w:t>⑥</w:t>
      </w:r>
      <w:r>
        <w:rPr>
          <w:rFonts w:hint="eastAsia" w:ascii="宋体" w:hAnsi="宋体" w:eastAsia="宋体" w:cs="宋体"/>
          <w:spacing w:val="4"/>
          <w:kern w:val="0"/>
          <w:sz w:val="24"/>
          <w:szCs w:val="24"/>
        </w:rPr>
        <w:t>在质量保证期结束前，承包人须与业主代表对合同项下设备进行全面的检查，对任何缺陷由承包人负责修理。在修理之后，承包人须将缺陷原因、修理的内容、完成修理及恢复正常的时间和日期等情况报告给业主。</w:t>
      </w:r>
    </w:p>
    <w:p>
      <w:pPr>
        <w:topLinePunct/>
        <w:adjustRightInd w:val="0"/>
        <w:snapToGrid w:val="0"/>
        <w:spacing w:line="360" w:lineRule="auto"/>
        <w:ind w:firstLine="496" w:firstLineChars="200"/>
        <w:jc w:val="left"/>
        <w:rPr>
          <w:rFonts w:hint="eastAsia" w:ascii="宋体" w:hAnsi="宋体" w:eastAsia="宋体" w:cs="宋体"/>
          <w:spacing w:val="4"/>
          <w:kern w:val="0"/>
          <w:sz w:val="24"/>
          <w:szCs w:val="24"/>
        </w:rPr>
      </w:pPr>
      <w:r>
        <w:rPr>
          <w:rFonts w:hint="eastAsia" w:ascii="宋体" w:hAnsi="宋体" w:eastAsia="宋体" w:cs="宋体"/>
          <w:spacing w:val="4"/>
          <w:kern w:val="0"/>
          <w:sz w:val="24"/>
          <w:szCs w:val="24"/>
          <w:lang w:val="en-US" w:eastAsia="zh-CN"/>
        </w:rPr>
        <w:t>⑦</w:t>
      </w:r>
      <w:r>
        <w:rPr>
          <w:rFonts w:hint="eastAsia" w:ascii="宋体" w:hAnsi="宋体" w:eastAsia="宋体" w:cs="宋体"/>
          <w:spacing w:val="4"/>
          <w:kern w:val="0"/>
          <w:sz w:val="24"/>
          <w:szCs w:val="24"/>
        </w:rPr>
        <w:t>承包人必提供满足质量保证期内正常运行的备品备件和易损、易耗件，并随时优惠提供易损件，优惠提供产品更新、改造服务。</w:t>
      </w:r>
    </w:p>
    <w:p>
      <w:pPr>
        <w:topLinePunct/>
        <w:adjustRightInd w:val="0"/>
        <w:snapToGrid w:val="0"/>
        <w:spacing w:line="360" w:lineRule="auto"/>
        <w:ind w:firstLine="496" w:firstLineChars="200"/>
        <w:jc w:val="left"/>
        <w:rPr>
          <w:rFonts w:hint="eastAsia" w:ascii="宋体" w:hAnsi="宋体" w:eastAsia="宋体" w:cs="宋体"/>
          <w:spacing w:val="4"/>
          <w:kern w:val="0"/>
          <w:sz w:val="24"/>
          <w:szCs w:val="24"/>
        </w:rPr>
      </w:pPr>
      <w:r>
        <w:rPr>
          <w:rFonts w:hint="eastAsia" w:ascii="宋体" w:hAnsi="宋体" w:eastAsia="宋体" w:cs="宋体"/>
          <w:spacing w:val="4"/>
          <w:kern w:val="0"/>
          <w:sz w:val="24"/>
          <w:szCs w:val="24"/>
          <w:lang w:val="en-US" w:eastAsia="zh-CN"/>
        </w:rPr>
        <w:t>⑧</w:t>
      </w:r>
      <w:r>
        <w:rPr>
          <w:rFonts w:hint="eastAsia" w:ascii="宋体" w:hAnsi="宋体" w:eastAsia="宋体" w:cs="宋体"/>
          <w:spacing w:val="4"/>
          <w:kern w:val="0"/>
          <w:sz w:val="24"/>
          <w:szCs w:val="24"/>
        </w:rPr>
        <w:t>在质量保证期内，以下主要设备提供原厂售后保修服务，若本项目的质量保证期比主要设备供应商规定的售后保修服务期长的，须相应延长主要设备的原厂售后保修服务期，所发生的相关费用由承包人承担，发包人不另行增加费用。</w:t>
      </w:r>
    </w:p>
    <w:p>
      <w:pPr>
        <w:topLinePunct/>
        <w:adjustRightInd w:val="0"/>
        <w:snapToGrid w:val="0"/>
        <w:spacing w:line="360" w:lineRule="auto"/>
        <w:ind w:firstLine="496" w:firstLineChars="200"/>
        <w:jc w:val="left"/>
        <w:rPr>
          <w:rFonts w:hint="eastAsia" w:ascii="宋体" w:hAnsi="宋体" w:eastAsia="宋体" w:cs="宋体"/>
          <w:spacing w:val="4"/>
          <w:kern w:val="0"/>
          <w:sz w:val="24"/>
          <w:szCs w:val="24"/>
        </w:rPr>
      </w:pPr>
      <w:r>
        <w:rPr>
          <w:rFonts w:hint="eastAsia" w:ascii="宋体" w:hAnsi="宋体" w:eastAsia="宋体" w:cs="宋体"/>
          <w:spacing w:val="4"/>
          <w:kern w:val="0"/>
          <w:sz w:val="24"/>
          <w:szCs w:val="24"/>
        </w:rPr>
        <w:t>原厂提供售后保修服务的主要设备包括：空调、水泵等设备。</w:t>
      </w:r>
    </w:p>
    <w:p>
      <w:pPr>
        <w:topLinePunct/>
        <w:adjustRightInd w:val="0"/>
        <w:snapToGrid w:val="0"/>
        <w:spacing w:line="360" w:lineRule="auto"/>
        <w:ind w:firstLine="496" w:firstLineChars="200"/>
        <w:jc w:val="left"/>
        <w:rPr>
          <w:rFonts w:hint="eastAsia" w:ascii="宋体" w:hAnsi="宋体" w:eastAsia="宋体" w:cs="宋体"/>
          <w:spacing w:val="4"/>
          <w:kern w:val="0"/>
          <w:sz w:val="24"/>
          <w:szCs w:val="24"/>
        </w:rPr>
      </w:pPr>
      <w:r>
        <w:rPr>
          <w:rFonts w:hint="eastAsia" w:ascii="宋体" w:hAnsi="宋体" w:eastAsia="宋体" w:cs="宋体"/>
          <w:spacing w:val="4"/>
          <w:kern w:val="0"/>
          <w:sz w:val="24"/>
          <w:szCs w:val="24"/>
          <w:lang w:val="en-US" w:eastAsia="zh-CN"/>
        </w:rPr>
        <w:t>⑨</w:t>
      </w:r>
      <w:r>
        <w:rPr>
          <w:rFonts w:hint="eastAsia" w:ascii="宋体" w:hAnsi="宋体" w:eastAsia="宋体" w:cs="宋体"/>
          <w:spacing w:val="4"/>
          <w:kern w:val="0"/>
          <w:sz w:val="24"/>
          <w:szCs w:val="24"/>
        </w:rPr>
        <w:t>质保期满，由承包人提出退还质量保证金申请，按要求提交《工程质量保修责任期终止证书》，经监理单位、使用单位和发包人确认后按合同要求退还。</w:t>
      </w:r>
    </w:p>
    <w:p>
      <w:pPr>
        <w:topLinePunct/>
        <w:adjustRightInd w:val="0"/>
        <w:snapToGrid w:val="0"/>
        <w:spacing w:line="360" w:lineRule="auto"/>
        <w:ind w:firstLine="496" w:firstLineChars="200"/>
        <w:jc w:val="left"/>
        <w:rPr>
          <w:rFonts w:hint="eastAsia" w:ascii="宋体" w:hAnsi="宋体" w:eastAsia="宋体" w:cs="宋体"/>
          <w:spacing w:val="4"/>
          <w:kern w:val="0"/>
          <w:sz w:val="24"/>
          <w:szCs w:val="24"/>
        </w:rPr>
      </w:pPr>
      <w:r>
        <w:rPr>
          <w:rFonts w:hint="eastAsia" w:ascii="宋体" w:hAnsi="宋体" w:eastAsia="宋体" w:cs="宋体"/>
          <w:spacing w:val="4"/>
          <w:kern w:val="0"/>
          <w:sz w:val="24"/>
          <w:szCs w:val="24"/>
          <w:lang w:val="en-US" w:eastAsia="zh-CN"/>
        </w:rPr>
        <w:t>⑩</w:t>
      </w:r>
      <w:r>
        <w:rPr>
          <w:rFonts w:hint="eastAsia" w:ascii="宋体" w:hAnsi="宋体" w:eastAsia="宋体" w:cs="宋体"/>
          <w:spacing w:val="4"/>
          <w:kern w:val="0"/>
          <w:sz w:val="24"/>
          <w:szCs w:val="24"/>
        </w:rPr>
        <w:t>本项目的质量保修金的支付与缺陷责任期内防水工程的质量情况挂钩。在缺陷责任期内，如出现因承包人防水工程质量缺陷原因导致建筑物渗水、漏水的，经维修后同一部位再次发生渗漏的；或漏水严重，造成业主单位损失的，每出现一次，承包人按合同约定承担一次严重违约责任，质量保证金在缺陷责任期界满时仅退还50%的，剩余50%的质量保证金在防水工程质保期（5年）届满后再退还。</w:t>
      </w:r>
    </w:p>
    <w:p>
      <w:pPr>
        <w:adjustRightInd w:val="0"/>
        <w:snapToGrid w:val="0"/>
        <w:spacing w:line="360" w:lineRule="auto"/>
        <w:ind w:right="11" w:firstLine="498" w:firstLineChars="200"/>
        <w:rPr>
          <w:rFonts w:hint="eastAsia" w:ascii="宋体" w:hAnsi="宋体" w:eastAsia="宋体" w:cs="宋体"/>
          <w:b/>
          <w:bCs/>
          <w:snapToGrid w:val="0"/>
          <w:spacing w:val="4"/>
          <w:kern w:val="0"/>
          <w:sz w:val="24"/>
          <w:szCs w:val="24"/>
          <w:lang w:eastAsia="zh-CN"/>
        </w:rPr>
      </w:pPr>
      <w:bookmarkStart w:id="98" w:name="_Toc14697688"/>
      <w:r>
        <w:rPr>
          <w:rFonts w:hint="eastAsia" w:ascii="宋体" w:hAnsi="宋体" w:eastAsia="宋体" w:cs="宋体"/>
          <w:b/>
          <w:bCs/>
          <w:snapToGrid w:val="0"/>
          <w:spacing w:val="4"/>
          <w:kern w:val="0"/>
          <w:sz w:val="24"/>
          <w:szCs w:val="24"/>
          <w:lang w:eastAsia="zh-CN"/>
        </w:rPr>
        <w:t>（十四）调价机制</w:t>
      </w:r>
      <w:bookmarkEnd w:id="98"/>
    </w:p>
    <w:p>
      <w:pPr>
        <w:topLinePunct/>
        <w:adjustRightInd w:val="0"/>
        <w:snapToGrid w:val="0"/>
        <w:spacing w:line="360" w:lineRule="auto"/>
        <w:ind w:firstLine="496" w:firstLineChars="200"/>
        <w:jc w:val="left"/>
        <w:rPr>
          <w:rFonts w:hint="eastAsia" w:ascii="宋体" w:hAnsi="宋体" w:eastAsia="宋体" w:cs="宋体"/>
          <w:spacing w:val="4"/>
          <w:kern w:val="0"/>
          <w:sz w:val="24"/>
          <w:szCs w:val="24"/>
        </w:rPr>
      </w:pPr>
      <w:r>
        <w:rPr>
          <w:rFonts w:hint="eastAsia" w:ascii="宋体" w:hAnsi="宋体" w:eastAsia="宋体" w:cs="宋体"/>
          <w:spacing w:val="4"/>
          <w:kern w:val="0"/>
          <w:sz w:val="24"/>
          <w:szCs w:val="24"/>
        </w:rPr>
        <w:t>1、人工费及材料价差的调整和结算方式</w:t>
      </w:r>
    </w:p>
    <w:p>
      <w:pPr>
        <w:topLinePunct/>
        <w:adjustRightInd w:val="0"/>
        <w:snapToGrid w:val="0"/>
        <w:spacing w:line="360" w:lineRule="auto"/>
        <w:ind w:firstLine="496" w:firstLineChars="200"/>
        <w:jc w:val="left"/>
        <w:rPr>
          <w:rFonts w:hint="eastAsia" w:ascii="宋体" w:hAnsi="宋体" w:eastAsia="宋体" w:cs="宋体"/>
          <w:spacing w:val="4"/>
          <w:kern w:val="0"/>
          <w:sz w:val="24"/>
          <w:szCs w:val="24"/>
        </w:rPr>
      </w:pPr>
      <w:r>
        <w:rPr>
          <w:rFonts w:hint="eastAsia" w:ascii="宋体" w:hAnsi="宋体" w:eastAsia="宋体" w:cs="宋体"/>
          <w:spacing w:val="4"/>
          <w:kern w:val="0"/>
          <w:sz w:val="24"/>
          <w:szCs w:val="24"/>
        </w:rPr>
        <w:t>具体调价方法按合同条款约定执行。</w:t>
      </w:r>
    </w:p>
    <w:p>
      <w:pPr>
        <w:topLinePunct/>
        <w:adjustRightInd w:val="0"/>
        <w:snapToGrid w:val="0"/>
        <w:spacing w:line="360" w:lineRule="auto"/>
        <w:ind w:firstLine="496" w:firstLineChars="200"/>
        <w:jc w:val="left"/>
        <w:rPr>
          <w:rFonts w:hint="eastAsia" w:ascii="宋体" w:hAnsi="宋体" w:eastAsia="宋体" w:cs="宋体"/>
          <w:spacing w:val="4"/>
          <w:kern w:val="0"/>
          <w:sz w:val="24"/>
          <w:szCs w:val="24"/>
        </w:rPr>
      </w:pPr>
      <w:r>
        <w:rPr>
          <w:rFonts w:hint="eastAsia" w:ascii="宋体" w:hAnsi="宋体" w:eastAsia="宋体" w:cs="宋体"/>
          <w:spacing w:val="4"/>
          <w:kern w:val="0"/>
          <w:sz w:val="24"/>
          <w:szCs w:val="24"/>
        </w:rPr>
        <w:t>2、承包人应认真阅读合同，合理预计报价风险，中标后将不以承包人未正确理解或未合理预计风险为由要求增加任何费用。</w:t>
      </w:r>
    </w:p>
    <w:p>
      <w:pPr>
        <w:topLinePunct/>
        <w:adjustRightInd w:val="0"/>
        <w:snapToGrid w:val="0"/>
        <w:spacing w:before="156" w:beforeLines="50" w:after="156" w:afterLines="50" w:line="360" w:lineRule="auto"/>
        <w:outlineLvl w:val="1"/>
        <w:rPr>
          <w:rFonts w:hint="eastAsia" w:ascii="宋体" w:hAnsi="宋体" w:eastAsia="宋体" w:cs="宋体"/>
          <w:b/>
          <w:sz w:val="24"/>
          <w:szCs w:val="24"/>
        </w:rPr>
      </w:pPr>
      <w:bookmarkStart w:id="99" w:name="_Toc14697691"/>
      <w:r>
        <w:rPr>
          <w:rFonts w:hint="eastAsia" w:ascii="宋体" w:hAnsi="宋体" w:eastAsia="宋体" w:cs="宋体"/>
          <w:b/>
          <w:sz w:val="24"/>
          <w:szCs w:val="24"/>
          <w:lang w:val="en-US" w:eastAsia="zh-CN"/>
        </w:rPr>
        <w:t>四、</w:t>
      </w:r>
      <w:r>
        <w:rPr>
          <w:rFonts w:hint="eastAsia" w:ascii="宋体" w:hAnsi="宋体" w:eastAsia="宋体" w:cs="宋体"/>
          <w:b/>
          <w:sz w:val="24"/>
          <w:szCs w:val="24"/>
        </w:rPr>
        <w:t>建筑总承包管理内容</w:t>
      </w:r>
      <w:bookmarkEnd w:id="99"/>
    </w:p>
    <w:p>
      <w:pPr>
        <w:tabs>
          <w:tab w:val="left" w:pos="0"/>
          <w:tab w:val="left" w:pos="1478"/>
        </w:tabs>
        <w:topLinePunct/>
        <w:adjustRightInd w:val="0"/>
        <w:snapToGrid w:val="0"/>
        <w:spacing w:line="360" w:lineRule="auto"/>
        <w:ind w:left="420"/>
        <w:rPr>
          <w:rFonts w:hint="eastAsia" w:ascii="宋体" w:hAnsi="宋体" w:eastAsia="宋体" w:cs="宋体"/>
          <w:spacing w:val="4"/>
          <w:kern w:val="0"/>
          <w:sz w:val="24"/>
          <w:szCs w:val="24"/>
        </w:rPr>
      </w:pPr>
      <w:r>
        <w:rPr>
          <w:rFonts w:hint="eastAsia" w:ascii="宋体" w:hAnsi="宋体" w:eastAsia="宋体" w:cs="宋体"/>
          <w:spacing w:val="4"/>
          <w:kern w:val="0"/>
          <w:sz w:val="24"/>
          <w:szCs w:val="24"/>
          <w:lang w:eastAsia="zh-CN"/>
        </w:rPr>
        <w:t>（</w:t>
      </w:r>
      <w:r>
        <w:rPr>
          <w:rFonts w:hint="eastAsia" w:ascii="宋体" w:hAnsi="宋体" w:eastAsia="宋体" w:cs="宋体"/>
          <w:spacing w:val="4"/>
          <w:kern w:val="0"/>
          <w:sz w:val="24"/>
          <w:szCs w:val="24"/>
          <w:lang w:val="en-US" w:eastAsia="zh-CN"/>
        </w:rPr>
        <w:t>一</w:t>
      </w:r>
      <w:r>
        <w:rPr>
          <w:rFonts w:hint="eastAsia" w:ascii="宋体" w:hAnsi="宋体" w:eastAsia="宋体" w:cs="宋体"/>
          <w:spacing w:val="4"/>
          <w:kern w:val="0"/>
          <w:sz w:val="24"/>
          <w:szCs w:val="24"/>
          <w:lang w:eastAsia="zh-CN"/>
        </w:rPr>
        <w:t>）</w:t>
      </w:r>
      <w:r>
        <w:rPr>
          <w:rFonts w:hint="eastAsia" w:ascii="宋体" w:hAnsi="宋体" w:eastAsia="宋体" w:cs="宋体"/>
          <w:spacing w:val="4"/>
          <w:kern w:val="0"/>
          <w:sz w:val="24"/>
          <w:szCs w:val="24"/>
        </w:rPr>
        <w:t>施工总承包管理内容，主要包括但不限于以下工作内容：</w:t>
      </w:r>
    </w:p>
    <w:p>
      <w:pPr>
        <w:topLinePunct/>
        <w:adjustRightInd w:val="0"/>
        <w:snapToGrid w:val="0"/>
        <w:spacing w:line="360" w:lineRule="auto"/>
        <w:ind w:firstLine="476" w:firstLineChars="192"/>
        <w:rPr>
          <w:rFonts w:hint="eastAsia" w:ascii="宋体" w:hAnsi="宋体" w:eastAsia="宋体" w:cs="宋体"/>
          <w:spacing w:val="4"/>
          <w:kern w:val="0"/>
          <w:sz w:val="24"/>
          <w:szCs w:val="24"/>
        </w:rPr>
      </w:pPr>
      <w:r>
        <w:rPr>
          <w:rFonts w:hint="eastAsia" w:ascii="宋体" w:hAnsi="宋体" w:eastAsia="宋体" w:cs="宋体"/>
          <w:spacing w:val="4"/>
          <w:kern w:val="0"/>
          <w:sz w:val="24"/>
          <w:szCs w:val="24"/>
        </w:rPr>
        <w:t>A、负责项目总进度计划管理和总体协调；</w:t>
      </w:r>
    </w:p>
    <w:p>
      <w:pPr>
        <w:topLinePunct/>
        <w:adjustRightInd w:val="0"/>
        <w:snapToGrid w:val="0"/>
        <w:spacing w:line="360" w:lineRule="auto"/>
        <w:ind w:firstLine="476" w:firstLineChars="192"/>
        <w:rPr>
          <w:rFonts w:hint="eastAsia" w:ascii="宋体" w:hAnsi="宋体" w:eastAsia="宋体" w:cs="宋体"/>
          <w:spacing w:val="4"/>
          <w:kern w:val="0"/>
          <w:sz w:val="24"/>
          <w:szCs w:val="24"/>
        </w:rPr>
      </w:pPr>
      <w:r>
        <w:rPr>
          <w:rFonts w:hint="eastAsia" w:ascii="宋体" w:hAnsi="宋体" w:eastAsia="宋体" w:cs="宋体"/>
          <w:spacing w:val="4"/>
          <w:kern w:val="0"/>
          <w:sz w:val="24"/>
          <w:szCs w:val="24"/>
        </w:rPr>
        <w:t>B、负责施工总平面布置及维护管理；</w:t>
      </w:r>
    </w:p>
    <w:p>
      <w:pPr>
        <w:topLinePunct/>
        <w:adjustRightInd w:val="0"/>
        <w:snapToGrid w:val="0"/>
        <w:spacing w:line="360" w:lineRule="auto"/>
        <w:ind w:firstLine="476" w:firstLineChars="192"/>
        <w:rPr>
          <w:rFonts w:hint="eastAsia" w:ascii="宋体" w:hAnsi="宋体" w:eastAsia="宋体" w:cs="宋体"/>
          <w:spacing w:val="4"/>
          <w:kern w:val="0"/>
          <w:sz w:val="24"/>
          <w:szCs w:val="24"/>
        </w:rPr>
      </w:pPr>
      <w:r>
        <w:rPr>
          <w:rFonts w:hint="eastAsia" w:ascii="宋体" w:hAnsi="宋体" w:eastAsia="宋体" w:cs="宋体"/>
          <w:spacing w:val="4"/>
          <w:kern w:val="0"/>
          <w:sz w:val="24"/>
          <w:szCs w:val="24"/>
        </w:rPr>
        <w:t>C、负责日常水电、通道和道路的管理、维护和保洁；</w:t>
      </w:r>
    </w:p>
    <w:p>
      <w:pPr>
        <w:topLinePunct/>
        <w:adjustRightInd w:val="0"/>
        <w:snapToGrid w:val="0"/>
        <w:spacing w:line="360" w:lineRule="auto"/>
        <w:ind w:firstLine="476" w:firstLineChars="192"/>
        <w:rPr>
          <w:rFonts w:hint="eastAsia" w:ascii="宋体" w:hAnsi="宋体" w:eastAsia="宋体" w:cs="宋体"/>
          <w:spacing w:val="4"/>
          <w:kern w:val="0"/>
          <w:sz w:val="24"/>
          <w:szCs w:val="24"/>
        </w:rPr>
      </w:pPr>
      <w:r>
        <w:rPr>
          <w:rFonts w:hint="eastAsia" w:ascii="宋体" w:hAnsi="宋体" w:eastAsia="宋体" w:cs="宋体"/>
          <w:spacing w:val="4"/>
          <w:kern w:val="0"/>
          <w:sz w:val="24"/>
          <w:szCs w:val="24"/>
        </w:rPr>
        <w:t>D、负责现场安全保卫（包括且不限于办公区、生活区、现场门禁、视频监控等）、社区周边关系（包括且不限于环保、环卫、城管、街道、安监、公安、交警等部门）协调等现场综合管理；</w:t>
      </w:r>
    </w:p>
    <w:p>
      <w:pPr>
        <w:tabs>
          <w:tab w:val="left" w:pos="1260"/>
        </w:tabs>
        <w:topLinePunct/>
        <w:adjustRightInd w:val="0"/>
        <w:snapToGrid w:val="0"/>
        <w:spacing w:line="360" w:lineRule="auto"/>
        <w:ind w:firstLine="476" w:firstLineChars="192"/>
        <w:rPr>
          <w:rFonts w:hint="eastAsia" w:ascii="宋体" w:hAnsi="宋体" w:eastAsia="宋体" w:cs="宋体"/>
          <w:spacing w:val="4"/>
          <w:kern w:val="0"/>
          <w:sz w:val="24"/>
          <w:szCs w:val="24"/>
        </w:rPr>
      </w:pPr>
      <w:r>
        <w:rPr>
          <w:rFonts w:hint="eastAsia" w:ascii="宋体" w:hAnsi="宋体" w:eastAsia="宋体" w:cs="宋体"/>
          <w:spacing w:val="4"/>
          <w:kern w:val="0"/>
          <w:sz w:val="24"/>
          <w:szCs w:val="24"/>
        </w:rPr>
        <w:t>E、负责项目竣工移交以前项目的安全文明施工、环境及职业健康管理及协调；</w:t>
      </w:r>
    </w:p>
    <w:p>
      <w:pPr>
        <w:tabs>
          <w:tab w:val="left" w:pos="1260"/>
        </w:tabs>
        <w:topLinePunct/>
        <w:adjustRightInd w:val="0"/>
        <w:snapToGrid w:val="0"/>
        <w:spacing w:line="360" w:lineRule="auto"/>
        <w:ind w:firstLine="476" w:firstLineChars="192"/>
        <w:rPr>
          <w:rFonts w:hint="eastAsia" w:ascii="宋体" w:hAnsi="宋体" w:eastAsia="宋体" w:cs="宋体"/>
          <w:spacing w:val="4"/>
          <w:kern w:val="0"/>
          <w:sz w:val="24"/>
          <w:szCs w:val="24"/>
        </w:rPr>
      </w:pPr>
      <w:r>
        <w:rPr>
          <w:rFonts w:hint="eastAsia" w:ascii="宋体" w:hAnsi="宋体" w:eastAsia="宋体" w:cs="宋体"/>
          <w:spacing w:val="4"/>
          <w:kern w:val="0"/>
          <w:sz w:val="24"/>
          <w:szCs w:val="24"/>
        </w:rPr>
        <w:t>F、组织办理验收、移交、竣工结算、竣工资料和竣工备案及其它管理工作；</w:t>
      </w:r>
    </w:p>
    <w:p>
      <w:pPr>
        <w:tabs>
          <w:tab w:val="left" w:pos="1260"/>
        </w:tabs>
        <w:topLinePunct/>
        <w:adjustRightInd w:val="0"/>
        <w:snapToGrid w:val="0"/>
        <w:spacing w:line="360" w:lineRule="auto"/>
        <w:ind w:firstLine="496" w:firstLineChars="200"/>
        <w:rPr>
          <w:rFonts w:hint="eastAsia" w:ascii="宋体" w:hAnsi="宋体" w:eastAsia="宋体" w:cs="宋体"/>
          <w:spacing w:val="4"/>
          <w:kern w:val="0"/>
          <w:sz w:val="24"/>
          <w:szCs w:val="24"/>
        </w:rPr>
      </w:pPr>
      <w:r>
        <w:rPr>
          <w:rFonts w:hint="eastAsia" w:ascii="宋体" w:hAnsi="宋体" w:eastAsia="宋体" w:cs="宋体"/>
          <w:spacing w:val="4"/>
          <w:kern w:val="0"/>
          <w:sz w:val="24"/>
          <w:szCs w:val="24"/>
          <w:lang w:eastAsia="zh-CN"/>
        </w:rPr>
        <w:t>（</w:t>
      </w:r>
      <w:r>
        <w:rPr>
          <w:rFonts w:hint="eastAsia" w:ascii="宋体" w:hAnsi="宋体" w:eastAsia="宋体" w:cs="宋体"/>
          <w:spacing w:val="4"/>
          <w:kern w:val="0"/>
          <w:sz w:val="24"/>
          <w:szCs w:val="24"/>
          <w:lang w:val="en-US" w:eastAsia="zh-CN"/>
        </w:rPr>
        <w:t>二</w:t>
      </w:r>
      <w:r>
        <w:rPr>
          <w:rFonts w:hint="eastAsia" w:ascii="宋体" w:hAnsi="宋体" w:eastAsia="宋体" w:cs="宋体"/>
          <w:spacing w:val="4"/>
          <w:kern w:val="0"/>
          <w:sz w:val="24"/>
          <w:szCs w:val="24"/>
          <w:lang w:eastAsia="zh-CN"/>
        </w:rPr>
        <w:t>）</w:t>
      </w:r>
      <w:r>
        <w:rPr>
          <w:rFonts w:hint="eastAsia" w:ascii="宋体" w:hAnsi="宋体" w:eastAsia="宋体" w:cs="宋体"/>
          <w:spacing w:val="4"/>
          <w:kern w:val="0"/>
          <w:sz w:val="24"/>
          <w:szCs w:val="24"/>
        </w:rPr>
        <w:t>为保证施工单位在完成本项目主体结构施工后，仍然能够保质保量地履行施工总承包管理，承包人承诺施工总承包配合服务的具体时间、人员和具体内容等。</w:t>
      </w:r>
    </w:p>
    <w:p>
      <w:pPr>
        <w:tabs>
          <w:tab w:val="left" w:pos="1260"/>
        </w:tabs>
        <w:topLinePunct/>
        <w:adjustRightInd w:val="0"/>
        <w:snapToGrid w:val="0"/>
        <w:spacing w:line="360" w:lineRule="auto"/>
        <w:ind w:firstLine="496" w:firstLineChars="200"/>
        <w:rPr>
          <w:rFonts w:hint="eastAsia" w:ascii="宋体" w:hAnsi="宋体" w:eastAsia="宋体" w:cs="宋体"/>
          <w:spacing w:val="4"/>
          <w:kern w:val="0"/>
          <w:sz w:val="24"/>
          <w:szCs w:val="24"/>
        </w:rPr>
      </w:pPr>
      <w:r>
        <w:rPr>
          <w:rFonts w:hint="eastAsia" w:ascii="宋体" w:hAnsi="宋体" w:eastAsia="宋体" w:cs="宋体"/>
          <w:spacing w:val="4"/>
          <w:kern w:val="0"/>
          <w:sz w:val="24"/>
          <w:szCs w:val="24"/>
          <w:lang w:eastAsia="zh-CN"/>
        </w:rPr>
        <w:t>（</w:t>
      </w:r>
      <w:r>
        <w:rPr>
          <w:rFonts w:hint="eastAsia" w:ascii="宋体" w:hAnsi="宋体" w:eastAsia="宋体" w:cs="宋体"/>
          <w:spacing w:val="4"/>
          <w:kern w:val="0"/>
          <w:sz w:val="24"/>
          <w:szCs w:val="24"/>
          <w:lang w:val="en-US" w:eastAsia="zh-CN"/>
        </w:rPr>
        <w:t>三</w:t>
      </w:r>
      <w:r>
        <w:rPr>
          <w:rFonts w:hint="eastAsia" w:ascii="宋体" w:hAnsi="宋体" w:eastAsia="宋体" w:cs="宋体"/>
          <w:spacing w:val="4"/>
          <w:kern w:val="0"/>
          <w:sz w:val="24"/>
          <w:szCs w:val="24"/>
          <w:lang w:eastAsia="zh-CN"/>
        </w:rPr>
        <w:t>）</w:t>
      </w:r>
      <w:r>
        <w:rPr>
          <w:rFonts w:hint="eastAsia" w:ascii="宋体" w:hAnsi="宋体" w:eastAsia="宋体" w:cs="宋体"/>
          <w:spacing w:val="4"/>
          <w:kern w:val="0"/>
          <w:sz w:val="24"/>
          <w:szCs w:val="24"/>
        </w:rPr>
        <w:t>施工总承包单位中标后，立即成立专门的团队负责本项目的施工总承包管理。</w:t>
      </w:r>
    </w:p>
    <w:p>
      <w:pPr>
        <w:tabs>
          <w:tab w:val="left" w:pos="1260"/>
        </w:tabs>
        <w:topLinePunct/>
        <w:adjustRightInd w:val="0"/>
        <w:snapToGrid w:val="0"/>
        <w:spacing w:line="360" w:lineRule="auto"/>
        <w:ind w:firstLine="496" w:firstLineChars="200"/>
        <w:rPr>
          <w:rFonts w:hint="eastAsia" w:ascii="宋体" w:hAnsi="宋体" w:eastAsia="宋体" w:cs="宋体"/>
          <w:spacing w:val="4"/>
          <w:kern w:val="0"/>
          <w:sz w:val="24"/>
          <w:szCs w:val="24"/>
        </w:rPr>
      </w:pPr>
      <w:r>
        <w:rPr>
          <w:rFonts w:hint="eastAsia" w:ascii="宋体" w:hAnsi="宋体" w:eastAsia="宋体" w:cs="宋体"/>
          <w:spacing w:val="4"/>
          <w:kern w:val="0"/>
          <w:sz w:val="24"/>
          <w:szCs w:val="24"/>
          <w:lang w:eastAsia="zh-CN"/>
        </w:rPr>
        <w:t>（</w:t>
      </w:r>
      <w:r>
        <w:rPr>
          <w:rFonts w:hint="eastAsia" w:ascii="宋体" w:hAnsi="宋体" w:eastAsia="宋体" w:cs="宋体"/>
          <w:spacing w:val="4"/>
          <w:kern w:val="0"/>
          <w:sz w:val="24"/>
          <w:szCs w:val="24"/>
          <w:lang w:val="en-US" w:eastAsia="zh-CN"/>
        </w:rPr>
        <w:t>四</w:t>
      </w:r>
      <w:r>
        <w:rPr>
          <w:rFonts w:hint="eastAsia" w:ascii="宋体" w:hAnsi="宋体" w:eastAsia="宋体" w:cs="宋体"/>
          <w:spacing w:val="4"/>
          <w:kern w:val="0"/>
          <w:sz w:val="24"/>
          <w:szCs w:val="24"/>
          <w:lang w:eastAsia="zh-CN"/>
        </w:rPr>
        <w:t>）</w:t>
      </w:r>
      <w:r>
        <w:rPr>
          <w:rFonts w:hint="eastAsia" w:ascii="宋体" w:hAnsi="宋体" w:eastAsia="宋体" w:cs="宋体"/>
          <w:spacing w:val="4"/>
          <w:kern w:val="0"/>
          <w:sz w:val="24"/>
          <w:szCs w:val="24"/>
        </w:rPr>
        <w:t>施工单位将总承包管理内容进行梳理细化，根据施工进度情况和专业单位进场情况排出配合服务工作计划，报监理单位和我办审批后实施。</w:t>
      </w:r>
    </w:p>
    <w:p>
      <w:pPr>
        <w:tabs>
          <w:tab w:val="left" w:pos="1260"/>
        </w:tabs>
        <w:topLinePunct/>
        <w:adjustRightInd w:val="0"/>
        <w:snapToGrid w:val="0"/>
        <w:spacing w:line="360" w:lineRule="auto"/>
        <w:ind w:firstLine="496" w:firstLineChars="200"/>
        <w:rPr>
          <w:rFonts w:hint="eastAsia" w:ascii="宋体" w:hAnsi="宋体" w:eastAsia="宋体" w:cs="宋体"/>
          <w:spacing w:val="4"/>
          <w:kern w:val="0"/>
          <w:sz w:val="24"/>
          <w:szCs w:val="24"/>
        </w:rPr>
      </w:pPr>
      <w:r>
        <w:rPr>
          <w:rFonts w:hint="eastAsia" w:ascii="宋体" w:hAnsi="宋体" w:eastAsia="宋体" w:cs="宋体"/>
          <w:spacing w:val="4"/>
          <w:kern w:val="0"/>
          <w:sz w:val="24"/>
          <w:szCs w:val="24"/>
          <w:lang w:eastAsia="zh-CN"/>
        </w:rPr>
        <w:t>（</w:t>
      </w:r>
      <w:r>
        <w:rPr>
          <w:rFonts w:hint="eastAsia" w:ascii="宋体" w:hAnsi="宋体" w:eastAsia="宋体" w:cs="宋体"/>
          <w:spacing w:val="4"/>
          <w:kern w:val="0"/>
          <w:sz w:val="24"/>
          <w:szCs w:val="24"/>
          <w:lang w:val="en-US" w:eastAsia="zh-CN"/>
        </w:rPr>
        <w:t>五</w:t>
      </w:r>
      <w:r>
        <w:rPr>
          <w:rFonts w:hint="eastAsia" w:ascii="宋体" w:hAnsi="宋体" w:eastAsia="宋体" w:cs="宋体"/>
          <w:spacing w:val="4"/>
          <w:kern w:val="0"/>
          <w:sz w:val="24"/>
          <w:szCs w:val="24"/>
          <w:lang w:eastAsia="zh-CN"/>
        </w:rPr>
        <w:t>）</w:t>
      </w:r>
      <w:r>
        <w:rPr>
          <w:rFonts w:hint="eastAsia" w:ascii="宋体" w:hAnsi="宋体" w:eastAsia="宋体" w:cs="宋体"/>
          <w:spacing w:val="4"/>
          <w:kern w:val="0"/>
          <w:sz w:val="24"/>
          <w:szCs w:val="24"/>
        </w:rPr>
        <w:t>总承包服务内容（向包括由发包人另行发包的本项目专业承包人提供总承包服务）：</w:t>
      </w:r>
    </w:p>
    <w:p>
      <w:pPr>
        <w:tabs>
          <w:tab w:val="left" w:pos="1260"/>
        </w:tabs>
        <w:topLinePunct/>
        <w:adjustRightInd w:val="0"/>
        <w:snapToGrid w:val="0"/>
        <w:spacing w:line="360" w:lineRule="auto"/>
        <w:ind w:firstLine="476" w:firstLineChars="192"/>
        <w:rPr>
          <w:rFonts w:hint="eastAsia" w:ascii="宋体" w:hAnsi="宋体" w:eastAsia="宋体" w:cs="宋体"/>
          <w:spacing w:val="4"/>
          <w:kern w:val="0"/>
          <w:sz w:val="24"/>
          <w:szCs w:val="24"/>
        </w:rPr>
      </w:pPr>
      <w:r>
        <w:rPr>
          <w:rFonts w:hint="eastAsia" w:ascii="宋体" w:hAnsi="宋体" w:eastAsia="宋体" w:cs="宋体"/>
          <w:spacing w:val="4"/>
          <w:kern w:val="0"/>
          <w:sz w:val="24"/>
          <w:szCs w:val="24"/>
        </w:rPr>
        <w:t>A、向专业工程承包人提供施工用水、用电接驳点；</w:t>
      </w:r>
    </w:p>
    <w:p>
      <w:pPr>
        <w:tabs>
          <w:tab w:val="left" w:pos="1260"/>
        </w:tabs>
        <w:topLinePunct/>
        <w:adjustRightInd w:val="0"/>
        <w:snapToGrid w:val="0"/>
        <w:spacing w:line="360" w:lineRule="auto"/>
        <w:ind w:firstLine="476" w:firstLineChars="192"/>
        <w:rPr>
          <w:rFonts w:hint="eastAsia" w:ascii="宋体" w:hAnsi="宋体" w:eastAsia="宋体" w:cs="宋体"/>
          <w:spacing w:val="4"/>
          <w:kern w:val="0"/>
          <w:sz w:val="24"/>
          <w:szCs w:val="24"/>
        </w:rPr>
      </w:pPr>
      <w:r>
        <w:rPr>
          <w:rFonts w:hint="eastAsia" w:ascii="宋体" w:hAnsi="宋体" w:eastAsia="宋体" w:cs="宋体"/>
          <w:spacing w:val="4"/>
          <w:kern w:val="0"/>
          <w:sz w:val="24"/>
          <w:szCs w:val="24"/>
        </w:rPr>
        <w:t>B、向专业工程承包人提供生产、生活设施搭建场地；</w:t>
      </w:r>
    </w:p>
    <w:p>
      <w:pPr>
        <w:tabs>
          <w:tab w:val="left" w:pos="1260"/>
        </w:tabs>
        <w:topLinePunct/>
        <w:adjustRightInd w:val="0"/>
        <w:snapToGrid w:val="0"/>
        <w:spacing w:line="360" w:lineRule="auto"/>
        <w:ind w:firstLine="476" w:firstLineChars="192"/>
        <w:rPr>
          <w:rFonts w:hint="eastAsia" w:ascii="宋体" w:hAnsi="宋体" w:eastAsia="宋体" w:cs="宋体"/>
          <w:spacing w:val="4"/>
          <w:kern w:val="0"/>
          <w:sz w:val="24"/>
          <w:szCs w:val="24"/>
        </w:rPr>
      </w:pPr>
      <w:r>
        <w:rPr>
          <w:rFonts w:hint="eastAsia" w:ascii="宋体" w:hAnsi="宋体" w:eastAsia="宋体" w:cs="宋体"/>
          <w:spacing w:val="4"/>
          <w:kern w:val="0"/>
          <w:sz w:val="24"/>
          <w:szCs w:val="24"/>
        </w:rPr>
        <w:t>C、提供垂直运输设施、设备及管理服务；</w:t>
      </w:r>
    </w:p>
    <w:p>
      <w:pPr>
        <w:tabs>
          <w:tab w:val="left" w:pos="1260"/>
        </w:tabs>
        <w:topLinePunct/>
        <w:adjustRightInd w:val="0"/>
        <w:snapToGrid w:val="0"/>
        <w:spacing w:line="360" w:lineRule="auto"/>
        <w:ind w:firstLine="476" w:firstLineChars="192"/>
        <w:rPr>
          <w:rFonts w:hint="eastAsia" w:ascii="宋体" w:hAnsi="宋体" w:eastAsia="宋体" w:cs="宋体"/>
          <w:spacing w:val="4"/>
          <w:kern w:val="0"/>
          <w:sz w:val="24"/>
          <w:szCs w:val="24"/>
        </w:rPr>
      </w:pPr>
      <w:r>
        <w:rPr>
          <w:rFonts w:hint="eastAsia" w:ascii="宋体" w:hAnsi="宋体" w:eastAsia="宋体" w:cs="宋体"/>
          <w:spacing w:val="4"/>
          <w:kern w:val="0"/>
          <w:sz w:val="24"/>
          <w:szCs w:val="24"/>
        </w:rPr>
        <w:t>D、提供脚手架满足各专业施工要求；</w:t>
      </w:r>
    </w:p>
    <w:p>
      <w:pPr>
        <w:tabs>
          <w:tab w:val="left" w:pos="1260"/>
        </w:tabs>
        <w:topLinePunct/>
        <w:adjustRightInd w:val="0"/>
        <w:snapToGrid w:val="0"/>
        <w:spacing w:line="360" w:lineRule="auto"/>
        <w:ind w:firstLine="476" w:firstLineChars="192"/>
        <w:rPr>
          <w:rFonts w:hint="eastAsia" w:ascii="宋体" w:hAnsi="宋体" w:eastAsia="宋体" w:cs="宋体"/>
          <w:spacing w:val="4"/>
          <w:kern w:val="0"/>
          <w:sz w:val="24"/>
          <w:szCs w:val="24"/>
        </w:rPr>
      </w:pPr>
      <w:r>
        <w:rPr>
          <w:rFonts w:hint="eastAsia" w:ascii="宋体" w:hAnsi="宋体" w:eastAsia="宋体" w:cs="宋体"/>
          <w:spacing w:val="4"/>
          <w:kern w:val="0"/>
          <w:sz w:val="24"/>
          <w:szCs w:val="24"/>
        </w:rPr>
        <w:t>E、提供公共临时设施（包括且不限于应急发电机、施工临时消防设施、施工临时排水等）、公共安全防护和文明施工设施供专业单位使用，并负责管理及维护；</w:t>
      </w:r>
    </w:p>
    <w:p>
      <w:pPr>
        <w:tabs>
          <w:tab w:val="left" w:pos="1260"/>
        </w:tabs>
        <w:topLinePunct/>
        <w:adjustRightInd w:val="0"/>
        <w:snapToGrid w:val="0"/>
        <w:spacing w:line="360" w:lineRule="auto"/>
        <w:ind w:firstLine="476" w:firstLineChars="192"/>
        <w:rPr>
          <w:rFonts w:hint="eastAsia" w:ascii="宋体" w:hAnsi="宋体" w:eastAsia="宋体" w:cs="宋体"/>
          <w:spacing w:val="4"/>
          <w:kern w:val="0"/>
          <w:sz w:val="24"/>
          <w:szCs w:val="24"/>
        </w:rPr>
      </w:pPr>
      <w:r>
        <w:rPr>
          <w:rFonts w:hint="eastAsia" w:ascii="宋体" w:hAnsi="宋体" w:eastAsia="宋体" w:cs="宋体"/>
          <w:spacing w:val="4"/>
          <w:kern w:val="0"/>
          <w:sz w:val="24"/>
          <w:szCs w:val="24"/>
        </w:rPr>
        <w:t xml:space="preserve">F、提供施工测量控制基准点，随楼层向其它专业承包单位提供施工控制轴线、标高； </w:t>
      </w:r>
    </w:p>
    <w:p>
      <w:pPr>
        <w:widowControl/>
        <w:tabs>
          <w:tab w:val="left" w:pos="1260"/>
        </w:tabs>
        <w:topLinePunct/>
        <w:adjustRightInd w:val="0"/>
        <w:snapToGrid w:val="0"/>
        <w:spacing w:line="360" w:lineRule="auto"/>
        <w:ind w:firstLine="476" w:firstLineChars="192"/>
        <w:jc w:val="left"/>
        <w:outlineLvl w:val="9"/>
        <w:rPr>
          <w:rFonts w:hint="eastAsia" w:ascii="宋体" w:hAnsi="宋体" w:eastAsia="宋体" w:cs="宋体"/>
          <w:b w:val="0"/>
          <w:spacing w:val="4"/>
          <w:kern w:val="0"/>
          <w:sz w:val="24"/>
          <w:szCs w:val="24"/>
        </w:rPr>
      </w:pPr>
      <w:r>
        <w:rPr>
          <w:rFonts w:hint="eastAsia" w:ascii="宋体" w:hAnsi="宋体" w:eastAsia="宋体" w:cs="宋体"/>
          <w:spacing w:val="4"/>
          <w:kern w:val="0"/>
          <w:sz w:val="24"/>
          <w:szCs w:val="24"/>
        </w:rPr>
        <w:t>G、配合办理专项验收备案等手续。</w:t>
      </w:r>
    </w:p>
    <w:p>
      <w:pPr>
        <w:widowControl/>
        <w:topLinePunct/>
        <w:adjustRightInd w:val="0"/>
        <w:snapToGrid w:val="0"/>
        <w:spacing w:before="156" w:beforeLines="50" w:after="156" w:afterLines="50" w:line="360" w:lineRule="auto"/>
        <w:ind w:firstLine="496" w:firstLineChars="200"/>
        <w:jc w:val="left"/>
        <w:outlineLvl w:val="1"/>
        <w:rPr>
          <w:rFonts w:hint="eastAsia" w:ascii="宋体" w:hAnsi="宋体" w:eastAsia="宋体" w:cs="宋体"/>
          <w:spacing w:val="4"/>
          <w:kern w:val="0"/>
          <w:sz w:val="24"/>
          <w:szCs w:val="24"/>
        </w:rPr>
      </w:pPr>
      <w:r>
        <w:rPr>
          <w:rFonts w:hint="eastAsia" w:ascii="宋体" w:hAnsi="宋体" w:eastAsia="宋体" w:cs="宋体"/>
          <w:b w:val="0"/>
          <w:bCs/>
          <w:spacing w:val="4"/>
          <w:kern w:val="0"/>
          <w:sz w:val="24"/>
          <w:szCs w:val="24"/>
          <w:lang w:eastAsia="zh-CN"/>
        </w:rPr>
        <w:t>（</w:t>
      </w:r>
      <w:r>
        <w:rPr>
          <w:rFonts w:hint="eastAsia" w:ascii="宋体" w:hAnsi="宋体" w:eastAsia="宋体" w:cs="宋体"/>
          <w:b w:val="0"/>
          <w:bCs/>
          <w:spacing w:val="4"/>
          <w:kern w:val="0"/>
          <w:sz w:val="24"/>
          <w:szCs w:val="24"/>
          <w:lang w:val="en-US" w:eastAsia="zh-CN"/>
        </w:rPr>
        <w:t>六</w:t>
      </w:r>
      <w:r>
        <w:rPr>
          <w:rFonts w:hint="eastAsia" w:ascii="宋体" w:hAnsi="宋体" w:eastAsia="宋体" w:cs="宋体"/>
          <w:b w:val="0"/>
          <w:bCs/>
          <w:spacing w:val="4"/>
          <w:kern w:val="0"/>
          <w:sz w:val="24"/>
          <w:szCs w:val="24"/>
          <w:lang w:eastAsia="zh-CN"/>
        </w:rPr>
        <w:t>）</w:t>
      </w:r>
      <w:r>
        <w:rPr>
          <w:rFonts w:hint="eastAsia" w:ascii="宋体" w:hAnsi="宋体" w:eastAsia="宋体" w:cs="宋体"/>
          <w:b w:val="0"/>
          <w:bCs/>
          <w:spacing w:val="4"/>
          <w:kern w:val="0"/>
          <w:sz w:val="24"/>
          <w:szCs w:val="24"/>
          <w:u w:val="none"/>
        </w:rPr>
        <w:t>承包</w:t>
      </w:r>
      <w:r>
        <w:rPr>
          <w:rFonts w:hint="eastAsia" w:ascii="宋体" w:hAnsi="宋体" w:eastAsia="宋体" w:cs="宋体"/>
          <w:spacing w:val="4"/>
          <w:kern w:val="0"/>
          <w:sz w:val="24"/>
          <w:szCs w:val="24"/>
          <w:u w:val="none"/>
        </w:rPr>
        <w:t>人需于开工前在项目施工现场向发包人及监理人常驻现场人员提供不少于</w:t>
      </w:r>
      <w:r>
        <w:rPr>
          <w:rFonts w:hint="eastAsia" w:ascii="宋体" w:hAnsi="宋体" w:eastAsia="宋体" w:cs="宋体"/>
          <w:spacing w:val="4"/>
          <w:kern w:val="0"/>
          <w:sz w:val="24"/>
          <w:szCs w:val="24"/>
          <w:highlight w:val="none"/>
          <w:u w:val="none"/>
          <w:lang w:val="en-US" w:eastAsia="zh-CN"/>
        </w:rPr>
        <w:t>60</w:t>
      </w:r>
      <w:r>
        <w:rPr>
          <w:rFonts w:hint="eastAsia" w:ascii="宋体" w:hAnsi="宋体" w:eastAsia="宋体" w:cs="宋体"/>
          <w:spacing w:val="4"/>
          <w:kern w:val="0"/>
          <w:sz w:val="24"/>
          <w:szCs w:val="24"/>
          <w:highlight w:val="none"/>
          <w:u w:val="none"/>
        </w:rPr>
        <w:t>㎡（</w:t>
      </w:r>
      <w:r>
        <w:rPr>
          <w:rFonts w:hint="eastAsia" w:ascii="宋体" w:hAnsi="宋体" w:eastAsia="宋体" w:cs="宋体"/>
          <w:spacing w:val="4"/>
          <w:kern w:val="0"/>
          <w:sz w:val="24"/>
          <w:szCs w:val="24"/>
          <w:u w:val="none"/>
        </w:rPr>
        <w:t>具体结合现场办公实际需求确定）的现场办公场所及相应配套设施，包括办公室（含配套设施如办公桌、文件柜、网络办公、空调等）、休息室（含配套设施如：床铺、饮水机、空调等）、员工用餐、用水、用电等。保证现场办公条件满足本项目发包人、监理人及设计单位（如有）驻场人员的基本需要，</w:t>
      </w:r>
      <w:bookmarkStart w:id="100" w:name="_Toc5699677"/>
      <w:bookmarkStart w:id="101" w:name="_Toc5722796"/>
      <w:bookmarkStart w:id="102" w:name="_Toc5729899"/>
      <w:r>
        <w:rPr>
          <w:rFonts w:hint="eastAsia" w:ascii="宋体" w:hAnsi="宋体" w:eastAsia="宋体" w:cs="宋体"/>
          <w:spacing w:val="4"/>
          <w:kern w:val="0"/>
          <w:sz w:val="24"/>
          <w:szCs w:val="24"/>
        </w:rPr>
        <w:t>相应费用由投标人自行考虑。该费用在其他项目费中填报。</w:t>
      </w:r>
      <w:bookmarkEnd w:id="100"/>
      <w:bookmarkEnd w:id="101"/>
      <w:bookmarkEnd w:id="102"/>
    </w:p>
    <w:p>
      <w:pPr>
        <w:pStyle w:val="3"/>
        <w:rPr>
          <w:rFonts w:hint="eastAsia" w:ascii="黑体" w:hAnsi="黑体" w:eastAsia="黑体" w:cs="黑体"/>
          <w:color w:val="000000" w:themeColor="text1"/>
          <w:sz w:val="36"/>
          <w:szCs w:val="36"/>
          <w14:textFill>
            <w14:solidFill>
              <w14:schemeClr w14:val="tx1"/>
            </w14:solidFill>
          </w14:textFill>
        </w:rPr>
      </w:pPr>
      <w:r>
        <w:rPr>
          <w:color w:val="000000" w:themeColor="text1"/>
          <w:sz w:val="24"/>
          <w:szCs w:val="24"/>
          <w14:textFill>
            <w14:solidFill>
              <w14:schemeClr w14:val="tx1"/>
            </w14:solidFill>
          </w14:textFill>
        </w:rPr>
        <w:br w:type="page"/>
      </w:r>
      <w:bookmarkStart w:id="103" w:name="_Toc21525514"/>
      <w:bookmarkStart w:id="104" w:name="_Toc2272569"/>
      <w:bookmarkStart w:id="105" w:name="_Toc29832"/>
      <w:r>
        <w:rPr>
          <w:rFonts w:hint="eastAsia" w:ascii="黑体" w:hAnsi="黑体" w:eastAsia="黑体" w:cs="黑体"/>
          <w:color w:val="000000" w:themeColor="text1"/>
          <w:sz w:val="36"/>
          <w:szCs w:val="36"/>
          <w14:textFill>
            <w14:solidFill>
              <w14:schemeClr w14:val="tx1"/>
            </w14:solidFill>
          </w14:textFill>
        </w:rPr>
        <w:t>第六章  图纸及勘察资料</w:t>
      </w:r>
      <w:bookmarkEnd w:id="103"/>
      <w:bookmarkEnd w:id="104"/>
      <w:bookmarkEnd w:id="105"/>
    </w:p>
    <w:p>
      <w:pPr>
        <w:jc w:val="center"/>
        <w:rPr>
          <w:rFonts w:ascii="宋体"/>
          <w:b/>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另册。</w:t>
      </w:r>
    </w:p>
    <w:p>
      <w:pPr>
        <w:pStyle w:val="3"/>
        <w:rPr>
          <w:rFonts w:hint="eastAsia" w:ascii="黑体" w:hAnsi="黑体" w:eastAsia="黑体" w:cs="黑体"/>
          <w:color w:val="000000" w:themeColor="text1"/>
          <w:sz w:val="36"/>
          <w:szCs w:val="36"/>
          <w14:textFill>
            <w14:solidFill>
              <w14:schemeClr w14:val="tx1"/>
            </w14:solidFill>
          </w14:textFill>
        </w:rPr>
      </w:pPr>
      <w:r>
        <w:rPr>
          <w:color w:val="000000" w:themeColor="text1"/>
          <w:sz w:val="24"/>
          <w:szCs w:val="24"/>
          <w14:textFill>
            <w14:solidFill>
              <w14:schemeClr w14:val="tx1"/>
            </w14:solidFill>
          </w14:textFill>
        </w:rPr>
        <w:br w:type="page"/>
      </w:r>
      <w:bookmarkStart w:id="106" w:name="_Toc13553"/>
      <w:bookmarkStart w:id="107" w:name="_Toc21525515"/>
      <w:bookmarkStart w:id="108" w:name="_Toc2272570"/>
      <w:r>
        <w:rPr>
          <w:rFonts w:hint="eastAsia" w:ascii="黑体" w:hAnsi="黑体" w:eastAsia="黑体" w:cs="黑体"/>
          <w:color w:val="000000" w:themeColor="text1"/>
          <w:sz w:val="36"/>
          <w:szCs w:val="36"/>
          <w14:textFill>
            <w14:solidFill>
              <w14:schemeClr w14:val="tx1"/>
            </w14:solidFill>
          </w14:textFill>
        </w:rPr>
        <w:t>第七章  工程量清单</w:t>
      </w:r>
      <w:bookmarkEnd w:id="106"/>
      <w:bookmarkEnd w:id="107"/>
      <w:bookmarkEnd w:id="108"/>
    </w:p>
    <w:p>
      <w:pPr>
        <w:pStyle w:val="5"/>
        <w:spacing w:after="0" w:line="360" w:lineRule="auto"/>
        <w:ind w:left="-2" w:leftChars="-1" w:firstLine="960" w:firstLineChars="400"/>
        <w:jc w:val="center"/>
        <w:rPr>
          <w:rFonts w:ascii="宋体"/>
          <w:color w:val="000000" w:themeColor="text1"/>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另册。</w:t>
      </w:r>
    </w:p>
    <w:p>
      <w:pPr>
        <w:pStyle w:val="3"/>
        <w:rPr>
          <w:color w:val="000000" w:themeColor="text1"/>
          <w14:textFill>
            <w14:solidFill>
              <w14:schemeClr w14:val="tx1"/>
            </w14:solidFill>
          </w14:textFill>
        </w:rPr>
      </w:pPr>
    </w:p>
    <w:p>
      <w:pPr>
        <w:pStyle w:val="3"/>
        <w:rPr>
          <w:rFonts w:hint="eastAsia" w:ascii="黑体" w:hAnsi="黑体" w:eastAsia="黑体" w:cs="黑体"/>
          <w:color w:val="000000" w:themeColor="text1"/>
          <w:sz w:val="36"/>
          <w:szCs w:val="36"/>
          <w14:textFill>
            <w14:solidFill>
              <w14:schemeClr w14:val="tx1"/>
            </w14:solidFill>
          </w14:textFill>
        </w:rPr>
      </w:pPr>
      <w:r>
        <w:rPr>
          <w:color w:val="000000" w:themeColor="text1"/>
          <w:sz w:val="24"/>
          <w:szCs w:val="24"/>
          <w14:textFill>
            <w14:solidFill>
              <w14:schemeClr w14:val="tx1"/>
            </w14:solidFill>
          </w14:textFill>
        </w:rPr>
        <w:br w:type="page"/>
      </w:r>
      <w:bookmarkStart w:id="109" w:name="_Toc2272571"/>
      <w:bookmarkStart w:id="110" w:name="_Toc21525516"/>
      <w:bookmarkStart w:id="111" w:name="_Toc7951"/>
      <w:r>
        <w:rPr>
          <w:rFonts w:hint="eastAsia" w:ascii="黑体" w:hAnsi="黑体" w:eastAsia="黑体" w:cs="黑体"/>
          <w:color w:val="000000" w:themeColor="text1"/>
          <w:sz w:val="36"/>
          <w:szCs w:val="36"/>
          <w14:textFill>
            <w14:solidFill>
              <w14:schemeClr w14:val="tx1"/>
            </w14:solidFill>
          </w14:textFill>
        </w:rPr>
        <w:t>第八章  最高投标限价</w:t>
      </w:r>
      <w:bookmarkEnd w:id="109"/>
      <w:bookmarkEnd w:id="110"/>
      <w:bookmarkEnd w:id="111"/>
    </w:p>
    <w:p>
      <w:pPr>
        <w:spacing w:line="360" w:lineRule="auto"/>
        <w:ind w:firstLine="480"/>
        <w:jc w:val="center"/>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另册。</w:t>
      </w:r>
    </w:p>
    <w:p>
      <w:pPr>
        <w:rPr>
          <w:color w:val="000000" w:themeColor="text1"/>
          <w14:textFill>
            <w14:solidFill>
              <w14:schemeClr w14:val="tx1"/>
            </w14:solidFill>
          </w14:textFill>
        </w:rPr>
      </w:pPr>
    </w:p>
    <w:p>
      <w:pPr>
        <w:rPr>
          <w:color w:val="000000" w:themeColor="text1"/>
          <w14:textFill>
            <w14:solidFill>
              <w14:schemeClr w14:val="tx1"/>
            </w14:solidFill>
          </w14:textFill>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Calisto MT">
    <w:panose1 w:val="02040603050505030304"/>
    <w:charset w:val="00"/>
    <w:family w:val="roman"/>
    <w:pitch w:val="default"/>
    <w:sig w:usb0="00000003" w:usb1="00000000" w:usb2="00000000" w:usb3="00000000" w:csb0="20000001" w:csb1="00000000"/>
  </w:font>
  <w:font w:name="微软雅黑">
    <w:panose1 w:val="020B0503020204020204"/>
    <w:charset w:val="86"/>
    <w:family w:val="swiss"/>
    <w:pitch w:val="default"/>
    <w:sig w:usb0="80000287" w:usb1="2ACF3C50" w:usb2="00000016" w:usb3="00000000" w:csb0="0004001F" w:csb1="00000000"/>
  </w:font>
  <w:font w:name="FZXBS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92"/>
      <w:jc w:val="center"/>
      <w:rPr>
        <w:rStyle w:val="41"/>
      </w:rPr>
    </w:pPr>
    <w:r>
      <w:rPr>
        <w:rStyle w:val="41"/>
      </w:rPr>
      <w:fldChar w:fldCharType="begin"/>
    </w:r>
    <w:r>
      <w:rPr>
        <w:rStyle w:val="41"/>
      </w:rPr>
      <w:instrText xml:space="preserve">PAGE  </w:instrText>
    </w:r>
    <w:r>
      <w:rPr>
        <w:rStyle w:val="41"/>
      </w:rPr>
      <w:fldChar w:fldCharType="separate"/>
    </w:r>
    <w:r>
      <w:rPr>
        <w:rStyle w:val="41"/>
      </w:rPr>
      <w:t>21</w:t>
    </w:r>
    <w:r>
      <w:rPr>
        <w:rStyle w:val="4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92"/>
      <w:rPr>
        <w:rStyle w:val="41"/>
      </w:rPr>
    </w:pPr>
    <w:r>
      <w:rPr>
        <w:rStyle w:val="41"/>
      </w:rPr>
      <w:fldChar w:fldCharType="begin"/>
    </w:r>
    <w:r>
      <w:rPr>
        <w:rStyle w:val="41"/>
      </w:rPr>
      <w:instrText xml:space="preserve">PAGE  </w:instrText>
    </w:r>
    <w:r>
      <w:rPr>
        <w:rStyle w:val="41"/>
      </w:rPr>
      <w:fldChar w:fldCharType="separate"/>
    </w:r>
    <w:r>
      <w:rPr>
        <w:rStyle w:val="41"/>
        <w:rFonts w:hint="eastAsia"/>
      </w:rPr>
      <w:t>一</w:t>
    </w:r>
    <w:r>
      <w:rPr>
        <w:rStyle w:val="41"/>
      </w:rPr>
      <w:t>–2</w:t>
    </w:r>
    <w:r>
      <w:rPr>
        <w:rStyle w:val="41"/>
      </w:rPr>
      <w:fldChar w:fldCharType="end"/>
    </w:r>
  </w:p>
  <w:p>
    <w:pPr>
      <w:pStyle w:val="26"/>
      <w:ind w:firstLine="392"/>
    </w:pPr>
    <w:r>
      <w:rPr>
        <w:kern w:val="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92"/>
      <w:jc w:val="bot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92"/>
      <w:jc w:val="center"/>
      <w:rPr>
        <w:rStyle w:val="41"/>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6"/>
                            <w:ind w:firstLine="392"/>
                            <w:jc w:val="center"/>
                          </w:pPr>
                          <w:r>
                            <w:rPr>
                              <w:rStyle w:val="41"/>
                            </w:rPr>
                            <w:fldChar w:fldCharType="begin"/>
                          </w:r>
                          <w:r>
                            <w:rPr>
                              <w:rStyle w:val="41"/>
                            </w:rPr>
                            <w:instrText xml:space="preserve">PAGE  </w:instrText>
                          </w:r>
                          <w:r>
                            <w:rPr>
                              <w:rStyle w:val="41"/>
                            </w:rPr>
                            <w:fldChar w:fldCharType="separate"/>
                          </w:r>
                          <w:r>
                            <w:rPr>
                              <w:rStyle w:val="41"/>
                            </w:rPr>
                            <w:t>21</w:t>
                          </w:r>
                          <w:r>
                            <w:rPr>
                              <w:rStyle w:val="4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6"/>
                      <w:ind w:firstLine="392"/>
                      <w:jc w:val="center"/>
                    </w:pPr>
                    <w:r>
                      <w:rPr>
                        <w:rStyle w:val="41"/>
                      </w:rPr>
                      <w:fldChar w:fldCharType="begin"/>
                    </w:r>
                    <w:r>
                      <w:rPr>
                        <w:rStyle w:val="41"/>
                      </w:rPr>
                      <w:instrText xml:space="preserve">PAGE  </w:instrText>
                    </w:r>
                    <w:r>
                      <w:rPr>
                        <w:rStyle w:val="41"/>
                      </w:rPr>
                      <w:fldChar w:fldCharType="separate"/>
                    </w:r>
                    <w:r>
                      <w:rPr>
                        <w:rStyle w:val="41"/>
                      </w:rPr>
                      <w:t>21</w:t>
                    </w:r>
                    <w:r>
                      <w:rPr>
                        <w:rStyle w:val="41"/>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9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6"/>
                            <w:ind w:firstLine="392"/>
                            <w:jc w:val="center"/>
                          </w:pPr>
                          <w:r>
                            <w:rPr>
                              <w:rStyle w:val="41"/>
                            </w:rPr>
                            <w:fldChar w:fldCharType="begin"/>
                          </w:r>
                          <w:r>
                            <w:rPr>
                              <w:rStyle w:val="41"/>
                            </w:rPr>
                            <w:instrText xml:space="preserve"> PAGE </w:instrText>
                          </w:r>
                          <w:r>
                            <w:rPr>
                              <w:rStyle w:val="41"/>
                            </w:rPr>
                            <w:fldChar w:fldCharType="separate"/>
                          </w:r>
                          <w:r>
                            <w:rPr>
                              <w:rStyle w:val="41"/>
                            </w:rPr>
                            <w:t>15</w:t>
                          </w:r>
                          <w:r>
                            <w:rPr>
                              <w:rStyle w:val="4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6"/>
                      <w:ind w:firstLine="392"/>
                      <w:jc w:val="center"/>
                    </w:pPr>
                    <w:r>
                      <w:rPr>
                        <w:rStyle w:val="41"/>
                      </w:rPr>
                      <w:fldChar w:fldCharType="begin"/>
                    </w:r>
                    <w:r>
                      <w:rPr>
                        <w:rStyle w:val="41"/>
                      </w:rPr>
                      <w:instrText xml:space="preserve"> PAGE </w:instrText>
                    </w:r>
                    <w:r>
                      <w:rPr>
                        <w:rStyle w:val="41"/>
                      </w:rPr>
                      <w:fldChar w:fldCharType="separate"/>
                    </w:r>
                    <w:r>
                      <w:rPr>
                        <w:rStyle w:val="41"/>
                      </w:rPr>
                      <w:t>15</w:t>
                    </w:r>
                    <w:r>
                      <w:rPr>
                        <w:rStyle w:val="41"/>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right="360"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6"/>
                            <w:jc w:val="center"/>
                            <w:rPr>
                              <w:rStyle w:val="41"/>
                            </w:rPr>
                          </w:pPr>
                          <w:r>
                            <w:rPr>
                              <w:rStyle w:val="41"/>
                            </w:rPr>
                            <w:fldChar w:fldCharType="begin"/>
                          </w:r>
                          <w:r>
                            <w:rPr>
                              <w:rStyle w:val="41"/>
                            </w:rPr>
                            <w:instrText xml:space="preserve">PAGE  </w:instrText>
                          </w:r>
                          <w:r>
                            <w:rPr>
                              <w:rStyle w:val="41"/>
                            </w:rPr>
                            <w:fldChar w:fldCharType="separate"/>
                          </w:r>
                          <w:r>
                            <w:rPr>
                              <w:rStyle w:val="41"/>
                            </w:rPr>
                            <w:t>102</w:t>
                          </w:r>
                          <w:r>
                            <w:rPr>
                              <w:rStyle w:val="41"/>
                            </w:rPr>
                            <w:fldChar w:fldCharType="end"/>
                          </w:r>
                        </w:p>
                        <w:p>
                          <w:pPr>
                            <w:pStyle w:val="26"/>
                            <w:ind w:left="-4410" w:leftChars="-2100" w:right="-4439" w:rightChars="-2114"/>
                            <w:rPr>
                              <w:rStyle w:val="41"/>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6"/>
                      <w:jc w:val="center"/>
                      <w:rPr>
                        <w:rStyle w:val="41"/>
                      </w:rPr>
                    </w:pPr>
                    <w:r>
                      <w:rPr>
                        <w:rStyle w:val="41"/>
                      </w:rPr>
                      <w:fldChar w:fldCharType="begin"/>
                    </w:r>
                    <w:r>
                      <w:rPr>
                        <w:rStyle w:val="41"/>
                      </w:rPr>
                      <w:instrText xml:space="preserve">PAGE  </w:instrText>
                    </w:r>
                    <w:r>
                      <w:rPr>
                        <w:rStyle w:val="41"/>
                      </w:rPr>
                      <w:fldChar w:fldCharType="separate"/>
                    </w:r>
                    <w:r>
                      <w:rPr>
                        <w:rStyle w:val="41"/>
                      </w:rPr>
                      <w:t>102</w:t>
                    </w:r>
                    <w:r>
                      <w:rPr>
                        <w:rStyle w:val="41"/>
                      </w:rPr>
                      <w:fldChar w:fldCharType="end"/>
                    </w:r>
                  </w:p>
                  <w:p>
                    <w:pPr>
                      <w:pStyle w:val="26"/>
                      <w:ind w:left="-4410" w:leftChars="-2100" w:right="-4439" w:rightChars="-2114"/>
                      <w:rPr>
                        <w:rStyle w:val="41"/>
                      </w:rPr>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outside" w:y="1"/>
      <w:rPr>
        <w:rStyle w:val="41"/>
      </w:rPr>
    </w:pPr>
    <w:r>
      <w:rPr>
        <w:rStyle w:val="41"/>
      </w:rPr>
      <w:fldChar w:fldCharType="begin"/>
    </w:r>
    <w:r>
      <w:rPr>
        <w:rStyle w:val="41"/>
      </w:rPr>
      <w:instrText xml:space="preserve">PAGE  </w:instrText>
    </w:r>
    <w:r>
      <w:rPr>
        <w:rStyle w:val="41"/>
      </w:rPr>
      <w:fldChar w:fldCharType="separate"/>
    </w:r>
    <w:r>
      <w:rPr>
        <w:rStyle w:val="41"/>
        <w:rFonts w:hint="eastAsia"/>
      </w:rPr>
      <w:t>一</w:t>
    </w:r>
    <w:r>
      <w:rPr>
        <w:rStyle w:val="41"/>
      </w:rPr>
      <w:t>–2</w:t>
    </w:r>
    <w:r>
      <w:rPr>
        <w:rStyle w:val="41"/>
      </w:rPr>
      <w:fldChar w:fldCharType="end"/>
    </w:r>
  </w:p>
  <w:p>
    <w:pPr>
      <w:pStyle w:val="26"/>
      <w:ind w:right="360" w:firstLine="360"/>
      <w:jc w:val="center"/>
    </w:pPr>
    <w:r>
      <w:rPr>
        <w:kern w:val="0"/>
        <w:sz w:val="20"/>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6"/>
                            <w:jc w:val="center"/>
                          </w:pPr>
                          <w:r>
                            <w:rPr>
                              <w:rStyle w:val="41"/>
                            </w:rPr>
                            <w:fldChar w:fldCharType="begin"/>
                          </w:r>
                          <w:r>
                            <w:rPr>
                              <w:rStyle w:val="41"/>
                            </w:rPr>
                            <w:instrText xml:space="preserve"> PAGE </w:instrText>
                          </w:r>
                          <w:r>
                            <w:rPr>
                              <w:rStyle w:val="41"/>
                            </w:rPr>
                            <w:fldChar w:fldCharType="separate"/>
                          </w:r>
                          <w:r>
                            <w:rPr>
                              <w:rStyle w:val="41"/>
                            </w:rPr>
                            <w:t>89</w:t>
                          </w:r>
                          <w:r>
                            <w:rPr>
                              <w:rStyle w:val="4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6"/>
                      <w:jc w:val="center"/>
                    </w:pPr>
                    <w:r>
                      <w:rPr>
                        <w:rStyle w:val="41"/>
                      </w:rPr>
                      <w:fldChar w:fldCharType="begin"/>
                    </w:r>
                    <w:r>
                      <w:rPr>
                        <w:rStyle w:val="41"/>
                      </w:rPr>
                      <w:instrText xml:space="preserve"> PAGE </w:instrText>
                    </w:r>
                    <w:r>
                      <w:rPr>
                        <w:rStyle w:val="41"/>
                      </w:rPr>
                      <w:fldChar w:fldCharType="separate"/>
                    </w:r>
                    <w:r>
                      <w:rPr>
                        <w:rStyle w:val="41"/>
                      </w:rPr>
                      <w:t>89</w:t>
                    </w:r>
                    <w:r>
                      <w:rPr>
                        <w:rStyle w:val="4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1"/>
      </w:pBdr>
      <w:ind w:firstLine="39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92"/>
    </w:pPr>
    <w:r>
      <w:rPr>
        <w:rFonts w:hint="eastAsia"/>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right"/>
      <w:rPr>
        <w:i/>
        <w:iCs/>
      </w:rPr>
    </w:pPr>
    <w:r>
      <w:rPr>
        <w:rFonts w:hint="eastAsia"/>
        <w:i/>
        <w:iCs/>
      </w:rPr>
      <w:t>横枝岗路道路排水改造工程招标文件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jc w:val="right"/>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9905B5"/>
    <w:multiLevelType w:val="multilevel"/>
    <w:tmpl w:val="259905B5"/>
    <w:lvl w:ilvl="0" w:tentative="0">
      <w:start w:val="1"/>
      <w:numFmt w:val="chineseCountingThousand"/>
      <w:pStyle w:val="94"/>
      <w:suff w:val="space"/>
      <w:lvlText w:val="第%1章"/>
      <w:lvlJc w:val="left"/>
      <w:pPr>
        <w:ind w:left="567" w:hanging="279"/>
      </w:pPr>
      <w:rPr>
        <w:rFonts w:hint="eastAsia" w:ascii="宋体" w:eastAsia="宋体" w:cs="Times New Roman"/>
        <w:b/>
        <w:i w:val="0"/>
        <w:spacing w:val="0"/>
        <w:position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pStyle w:val="8"/>
      <w:suff w:val="space"/>
      <w:lvlText w:val="%2.%3.%4"/>
      <w:lvlJc w:val="left"/>
      <w:pPr>
        <w:ind w:left="284" w:hanging="284"/>
      </w:pPr>
      <w:rPr>
        <w:rFonts w:hint="eastAsia" w:ascii="宋体" w:eastAsia="宋体" w:cs="Times New Roman"/>
        <w:b/>
        <w:i w:val="0"/>
        <w:sz w:val="28"/>
      </w:rPr>
    </w:lvl>
    <w:lvl w:ilvl="4" w:tentative="0">
      <w:start w:val="1"/>
      <w:numFmt w:val="decimal"/>
      <w:pStyle w:val="10"/>
      <w:isLgl/>
      <w:suff w:val="space"/>
      <w:lvlText w:val="%2.%3.%4.%5"/>
      <w:lvlJc w:val="left"/>
      <w:pPr>
        <w:ind w:left="284" w:hanging="284"/>
      </w:pPr>
      <w:rPr>
        <w:rFonts w:hint="eastAsia" w:ascii="宋体" w:eastAsia="宋体" w:cs="Times New Roman"/>
        <w:b/>
        <w:i w:val="0"/>
        <w:strike w:val="0"/>
        <w:dstrike w:val="0"/>
        <w:sz w:val="28"/>
      </w:rPr>
    </w:lvl>
    <w:lvl w:ilvl="5" w:tentative="0">
      <w:start w:val="1"/>
      <w:numFmt w:val="decimal"/>
      <w:lvlRestart w:val="0"/>
      <w:suff w:val="space"/>
      <w:lvlText w:val="1.1.1.1.1.%6%5"/>
      <w:lvlJc w:val="left"/>
      <w:rPr>
        <w:rFonts w:hint="eastAsia" w:ascii="宋体" w:eastAsia="宋体" w:cs="Times New Roman"/>
        <w:b/>
        <w:i w:val="0"/>
        <w:sz w:val="28"/>
      </w:rPr>
    </w:lvl>
    <w:lvl w:ilvl="6" w:tentative="0">
      <w:start w:val="1"/>
      <w:numFmt w:val="none"/>
      <w:pStyle w:val="12"/>
      <w:suff w:val="nothing"/>
      <w:lvlText w:val=""/>
      <w:lvlJc w:val="left"/>
      <w:rPr>
        <w:rFonts w:hint="eastAsia" w:cs="Times New Roman"/>
      </w:rPr>
    </w:lvl>
    <w:lvl w:ilvl="7" w:tentative="0">
      <w:start w:val="1"/>
      <w:numFmt w:val="none"/>
      <w:pStyle w:val="13"/>
      <w:suff w:val="nothing"/>
      <w:lvlText w:val=""/>
      <w:lvlJc w:val="left"/>
      <w:rPr>
        <w:rFonts w:hint="eastAsia" w:cs="Times New Roman"/>
      </w:rPr>
    </w:lvl>
    <w:lvl w:ilvl="8" w:tentative="0">
      <w:start w:val="1"/>
      <w:numFmt w:val="none"/>
      <w:pStyle w:val="14"/>
      <w:suff w:val="nothing"/>
      <w:lvlText w:val=""/>
      <w:lvlJc w:val="left"/>
      <w:rPr>
        <w:rFonts w:hint="eastAsia" w:cs="Times New Roman"/>
      </w:rPr>
    </w:lvl>
  </w:abstractNum>
  <w:abstractNum w:abstractNumId="1">
    <w:nsid w:val="74FB0463"/>
    <w:multiLevelType w:val="multilevel"/>
    <w:tmpl w:val="74FB0463"/>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firstLine="288"/>
      </w:pPr>
      <w:rPr>
        <w:rFonts w:hint="eastAsia" w:cs="Times New Roman"/>
      </w:rPr>
    </w:lvl>
    <w:lvl w:ilvl="5" w:tentative="0">
      <w:start w:val="1"/>
      <w:numFmt w:val="none"/>
      <w:pStyle w:val="11"/>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Y5MzI4ZjVmM2E4ZTdiNWFhNDQ0ZTdmZDljZDIyZGMifQ=="/>
  </w:docVars>
  <w:rsids>
    <w:rsidRoot w:val="007B41BE"/>
    <w:rsid w:val="000200EE"/>
    <w:rsid w:val="0002765E"/>
    <w:rsid w:val="000345FF"/>
    <w:rsid w:val="000575F8"/>
    <w:rsid w:val="00074FD1"/>
    <w:rsid w:val="000C1007"/>
    <w:rsid w:val="000C11E0"/>
    <w:rsid w:val="000C2710"/>
    <w:rsid w:val="000D396E"/>
    <w:rsid w:val="0017262D"/>
    <w:rsid w:val="00181CAA"/>
    <w:rsid w:val="00193EB2"/>
    <w:rsid w:val="001D0805"/>
    <w:rsid w:val="00217871"/>
    <w:rsid w:val="002700E8"/>
    <w:rsid w:val="00336AA3"/>
    <w:rsid w:val="003577B5"/>
    <w:rsid w:val="003753EF"/>
    <w:rsid w:val="0037590B"/>
    <w:rsid w:val="00416F46"/>
    <w:rsid w:val="0042564C"/>
    <w:rsid w:val="004370EC"/>
    <w:rsid w:val="004424B8"/>
    <w:rsid w:val="004B295D"/>
    <w:rsid w:val="004E031B"/>
    <w:rsid w:val="0051449E"/>
    <w:rsid w:val="0052677C"/>
    <w:rsid w:val="00552277"/>
    <w:rsid w:val="005866FB"/>
    <w:rsid w:val="005B0517"/>
    <w:rsid w:val="005B5D5B"/>
    <w:rsid w:val="005C212B"/>
    <w:rsid w:val="005E31AA"/>
    <w:rsid w:val="005E6E69"/>
    <w:rsid w:val="006018DB"/>
    <w:rsid w:val="006036EF"/>
    <w:rsid w:val="00633C4F"/>
    <w:rsid w:val="00643CB9"/>
    <w:rsid w:val="00673B83"/>
    <w:rsid w:val="00680BFD"/>
    <w:rsid w:val="006B6B0D"/>
    <w:rsid w:val="006F3576"/>
    <w:rsid w:val="0073229B"/>
    <w:rsid w:val="00780EC8"/>
    <w:rsid w:val="00784377"/>
    <w:rsid w:val="007B41BE"/>
    <w:rsid w:val="007C6050"/>
    <w:rsid w:val="007D248E"/>
    <w:rsid w:val="007D6D06"/>
    <w:rsid w:val="00835C9E"/>
    <w:rsid w:val="008613D2"/>
    <w:rsid w:val="008C607F"/>
    <w:rsid w:val="008D2515"/>
    <w:rsid w:val="008E4AD1"/>
    <w:rsid w:val="00920E49"/>
    <w:rsid w:val="00991949"/>
    <w:rsid w:val="009A704D"/>
    <w:rsid w:val="009E72BB"/>
    <w:rsid w:val="00A0387A"/>
    <w:rsid w:val="00A0619D"/>
    <w:rsid w:val="00A20AF3"/>
    <w:rsid w:val="00A2579D"/>
    <w:rsid w:val="00A33CF2"/>
    <w:rsid w:val="00A50D34"/>
    <w:rsid w:val="00A64E29"/>
    <w:rsid w:val="00AD3DEE"/>
    <w:rsid w:val="00AD6716"/>
    <w:rsid w:val="00B27984"/>
    <w:rsid w:val="00B6034D"/>
    <w:rsid w:val="00BC7B91"/>
    <w:rsid w:val="00BE1732"/>
    <w:rsid w:val="00BE216D"/>
    <w:rsid w:val="00C267C0"/>
    <w:rsid w:val="00C32C1E"/>
    <w:rsid w:val="00C408D3"/>
    <w:rsid w:val="00C806ED"/>
    <w:rsid w:val="00C81F53"/>
    <w:rsid w:val="00C82C8A"/>
    <w:rsid w:val="00CC67CE"/>
    <w:rsid w:val="00CC7E2D"/>
    <w:rsid w:val="00CD156B"/>
    <w:rsid w:val="00D75B45"/>
    <w:rsid w:val="00D84E64"/>
    <w:rsid w:val="00D86846"/>
    <w:rsid w:val="00DB7F18"/>
    <w:rsid w:val="00E22EAB"/>
    <w:rsid w:val="00E457F6"/>
    <w:rsid w:val="00E638F3"/>
    <w:rsid w:val="00EB2F0D"/>
    <w:rsid w:val="00EB6530"/>
    <w:rsid w:val="00EC014E"/>
    <w:rsid w:val="00EC1714"/>
    <w:rsid w:val="00F40301"/>
    <w:rsid w:val="00F87BFE"/>
    <w:rsid w:val="00FA4A76"/>
    <w:rsid w:val="00FA5926"/>
    <w:rsid w:val="00FB3528"/>
    <w:rsid w:val="00FC5596"/>
    <w:rsid w:val="02A1111E"/>
    <w:rsid w:val="03AA4003"/>
    <w:rsid w:val="03E959C4"/>
    <w:rsid w:val="04842D42"/>
    <w:rsid w:val="04A10F62"/>
    <w:rsid w:val="04A25532"/>
    <w:rsid w:val="05935ABA"/>
    <w:rsid w:val="0661309E"/>
    <w:rsid w:val="072F44E3"/>
    <w:rsid w:val="075F2383"/>
    <w:rsid w:val="0808455F"/>
    <w:rsid w:val="080F0525"/>
    <w:rsid w:val="0892743D"/>
    <w:rsid w:val="08D5372F"/>
    <w:rsid w:val="08F96279"/>
    <w:rsid w:val="08FB57B9"/>
    <w:rsid w:val="096355C4"/>
    <w:rsid w:val="09F33618"/>
    <w:rsid w:val="0A951569"/>
    <w:rsid w:val="0C0F3AB1"/>
    <w:rsid w:val="0C610F50"/>
    <w:rsid w:val="0CA33189"/>
    <w:rsid w:val="0D175067"/>
    <w:rsid w:val="0E112E6C"/>
    <w:rsid w:val="0E4C0A91"/>
    <w:rsid w:val="0E4D296D"/>
    <w:rsid w:val="0E7476E7"/>
    <w:rsid w:val="0E824826"/>
    <w:rsid w:val="0F6C0DF0"/>
    <w:rsid w:val="0F7E4AB5"/>
    <w:rsid w:val="0FEF45D8"/>
    <w:rsid w:val="10A51DDA"/>
    <w:rsid w:val="110C2C8F"/>
    <w:rsid w:val="11584B71"/>
    <w:rsid w:val="11D16BFE"/>
    <w:rsid w:val="11E8746F"/>
    <w:rsid w:val="11E903EC"/>
    <w:rsid w:val="12456209"/>
    <w:rsid w:val="124867FC"/>
    <w:rsid w:val="12EA27C3"/>
    <w:rsid w:val="1319260B"/>
    <w:rsid w:val="14D34591"/>
    <w:rsid w:val="14F71515"/>
    <w:rsid w:val="15B67A74"/>
    <w:rsid w:val="176F6C9D"/>
    <w:rsid w:val="17807DAD"/>
    <w:rsid w:val="17EF107C"/>
    <w:rsid w:val="18151F96"/>
    <w:rsid w:val="181C07FE"/>
    <w:rsid w:val="1823652C"/>
    <w:rsid w:val="18273A1C"/>
    <w:rsid w:val="182E0907"/>
    <w:rsid w:val="183A6432"/>
    <w:rsid w:val="194A5C14"/>
    <w:rsid w:val="19DE1BCB"/>
    <w:rsid w:val="1A2F4635"/>
    <w:rsid w:val="1A455DCD"/>
    <w:rsid w:val="1ABD2D03"/>
    <w:rsid w:val="1AD03189"/>
    <w:rsid w:val="1B035B65"/>
    <w:rsid w:val="1B1069E9"/>
    <w:rsid w:val="1C3E41CD"/>
    <w:rsid w:val="1C466267"/>
    <w:rsid w:val="1C6635DD"/>
    <w:rsid w:val="1C6766E3"/>
    <w:rsid w:val="1C6F7740"/>
    <w:rsid w:val="1D9574A7"/>
    <w:rsid w:val="1DAC05F3"/>
    <w:rsid w:val="1E3C502A"/>
    <w:rsid w:val="1E486D96"/>
    <w:rsid w:val="1EA20EAB"/>
    <w:rsid w:val="1EBA5A37"/>
    <w:rsid w:val="1F1C1CDB"/>
    <w:rsid w:val="1F4F13D1"/>
    <w:rsid w:val="1F576995"/>
    <w:rsid w:val="1FB21574"/>
    <w:rsid w:val="20A03804"/>
    <w:rsid w:val="213C418C"/>
    <w:rsid w:val="21E111CF"/>
    <w:rsid w:val="21EC7549"/>
    <w:rsid w:val="226B42AC"/>
    <w:rsid w:val="22AD29BB"/>
    <w:rsid w:val="238D647C"/>
    <w:rsid w:val="23B24273"/>
    <w:rsid w:val="23F251F4"/>
    <w:rsid w:val="23F61C98"/>
    <w:rsid w:val="241B7D6D"/>
    <w:rsid w:val="248C5333"/>
    <w:rsid w:val="24A972CC"/>
    <w:rsid w:val="24C24195"/>
    <w:rsid w:val="24F35209"/>
    <w:rsid w:val="25FE1B3C"/>
    <w:rsid w:val="26112E01"/>
    <w:rsid w:val="26A91055"/>
    <w:rsid w:val="27241736"/>
    <w:rsid w:val="272837BD"/>
    <w:rsid w:val="274E1814"/>
    <w:rsid w:val="27906EE8"/>
    <w:rsid w:val="285443B9"/>
    <w:rsid w:val="287265EE"/>
    <w:rsid w:val="28790229"/>
    <w:rsid w:val="28B41E99"/>
    <w:rsid w:val="28C40B03"/>
    <w:rsid w:val="29211B26"/>
    <w:rsid w:val="2945153A"/>
    <w:rsid w:val="29A93645"/>
    <w:rsid w:val="2A3A48A6"/>
    <w:rsid w:val="2A5E6C7B"/>
    <w:rsid w:val="2A683073"/>
    <w:rsid w:val="2A880A7B"/>
    <w:rsid w:val="2BBE1B4A"/>
    <w:rsid w:val="2C2A71DF"/>
    <w:rsid w:val="2C8426A4"/>
    <w:rsid w:val="2CA01540"/>
    <w:rsid w:val="2CBA46C7"/>
    <w:rsid w:val="2D3F003A"/>
    <w:rsid w:val="2D796670"/>
    <w:rsid w:val="2DAAE6E9"/>
    <w:rsid w:val="2DC4660F"/>
    <w:rsid w:val="2DDD09AD"/>
    <w:rsid w:val="2EAA1389"/>
    <w:rsid w:val="302A7F8D"/>
    <w:rsid w:val="3042540F"/>
    <w:rsid w:val="30782C0F"/>
    <w:rsid w:val="30997F39"/>
    <w:rsid w:val="30997FEA"/>
    <w:rsid w:val="30B07BCC"/>
    <w:rsid w:val="31367124"/>
    <w:rsid w:val="32BF3509"/>
    <w:rsid w:val="339E298D"/>
    <w:rsid w:val="33B72A1C"/>
    <w:rsid w:val="348E47AF"/>
    <w:rsid w:val="36434166"/>
    <w:rsid w:val="366E5D9D"/>
    <w:rsid w:val="36807F5F"/>
    <w:rsid w:val="3699743B"/>
    <w:rsid w:val="36E00D1D"/>
    <w:rsid w:val="375D203C"/>
    <w:rsid w:val="376B0DD8"/>
    <w:rsid w:val="378310C1"/>
    <w:rsid w:val="38026A6F"/>
    <w:rsid w:val="38AD5420"/>
    <w:rsid w:val="38D155DB"/>
    <w:rsid w:val="396106E4"/>
    <w:rsid w:val="39B7532B"/>
    <w:rsid w:val="39BF679E"/>
    <w:rsid w:val="39C15447"/>
    <w:rsid w:val="3A6F6E31"/>
    <w:rsid w:val="3A75495E"/>
    <w:rsid w:val="3B006C6E"/>
    <w:rsid w:val="3B082DE1"/>
    <w:rsid w:val="3B7641EF"/>
    <w:rsid w:val="3BB2281A"/>
    <w:rsid w:val="3BFFAF2C"/>
    <w:rsid w:val="3C3A346E"/>
    <w:rsid w:val="3C514716"/>
    <w:rsid w:val="3C8F37BA"/>
    <w:rsid w:val="3CB23005"/>
    <w:rsid w:val="3D192362"/>
    <w:rsid w:val="3D3F7C85"/>
    <w:rsid w:val="3D60411F"/>
    <w:rsid w:val="3E2C256C"/>
    <w:rsid w:val="3EEB27FE"/>
    <w:rsid w:val="3F0F2990"/>
    <w:rsid w:val="3F282D54"/>
    <w:rsid w:val="3F63EB7E"/>
    <w:rsid w:val="3F693193"/>
    <w:rsid w:val="3FAF2312"/>
    <w:rsid w:val="3FBDD551"/>
    <w:rsid w:val="3FE43E1D"/>
    <w:rsid w:val="40D4575C"/>
    <w:rsid w:val="40F326A2"/>
    <w:rsid w:val="414A016D"/>
    <w:rsid w:val="41562AF9"/>
    <w:rsid w:val="41627FB2"/>
    <w:rsid w:val="416F73D3"/>
    <w:rsid w:val="41932E79"/>
    <w:rsid w:val="41933858"/>
    <w:rsid w:val="41E657FF"/>
    <w:rsid w:val="420656AD"/>
    <w:rsid w:val="424D5653"/>
    <w:rsid w:val="43133AE4"/>
    <w:rsid w:val="437231C8"/>
    <w:rsid w:val="43BE0202"/>
    <w:rsid w:val="43E837B0"/>
    <w:rsid w:val="444650A2"/>
    <w:rsid w:val="448A6644"/>
    <w:rsid w:val="44E0794A"/>
    <w:rsid w:val="45553101"/>
    <w:rsid w:val="45C23056"/>
    <w:rsid w:val="46A12A85"/>
    <w:rsid w:val="47374FD9"/>
    <w:rsid w:val="4742017F"/>
    <w:rsid w:val="479E2B03"/>
    <w:rsid w:val="48321134"/>
    <w:rsid w:val="484E4529"/>
    <w:rsid w:val="48523C0A"/>
    <w:rsid w:val="4981448B"/>
    <w:rsid w:val="498700F0"/>
    <w:rsid w:val="49A535A4"/>
    <w:rsid w:val="4A0659F2"/>
    <w:rsid w:val="4AF869CF"/>
    <w:rsid w:val="4B2E67E5"/>
    <w:rsid w:val="4B3F6B82"/>
    <w:rsid w:val="4B6B7860"/>
    <w:rsid w:val="4C4E6191"/>
    <w:rsid w:val="4CB45EBD"/>
    <w:rsid w:val="4D6C0776"/>
    <w:rsid w:val="4DD3102D"/>
    <w:rsid w:val="4DF74AB0"/>
    <w:rsid w:val="4E021DD6"/>
    <w:rsid w:val="4E6C325B"/>
    <w:rsid w:val="4EBA7979"/>
    <w:rsid w:val="4EF5025B"/>
    <w:rsid w:val="4FAE6A0C"/>
    <w:rsid w:val="50131BB5"/>
    <w:rsid w:val="50164E08"/>
    <w:rsid w:val="501B446B"/>
    <w:rsid w:val="507D6C23"/>
    <w:rsid w:val="509C5D1E"/>
    <w:rsid w:val="50B12C64"/>
    <w:rsid w:val="50BDD11A"/>
    <w:rsid w:val="50CA2BBB"/>
    <w:rsid w:val="5201085F"/>
    <w:rsid w:val="528D5C4E"/>
    <w:rsid w:val="52F757BE"/>
    <w:rsid w:val="53324BB9"/>
    <w:rsid w:val="53423674"/>
    <w:rsid w:val="535C1095"/>
    <w:rsid w:val="53F92C98"/>
    <w:rsid w:val="5513528B"/>
    <w:rsid w:val="552E4F75"/>
    <w:rsid w:val="558366DE"/>
    <w:rsid w:val="559110B9"/>
    <w:rsid w:val="561505D4"/>
    <w:rsid w:val="56757125"/>
    <w:rsid w:val="5689497F"/>
    <w:rsid w:val="569975D1"/>
    <w:rsid w:val="56B578E4"/>
    <w:rsid w:val="570D61F1"/>
    <w:rsid w:val="5748680D"/>
    <w:rsid w:val="57701BF4"/>
    <w:rsid w:val="58B3772F"/>
    <w:rsid w:val="58D97E3F"/>
    <w:rsid w:val="58E10AA2"/>
    <w:rsid w:val="59C9560C"/>
    <w:rsid w:val="59E55AC6"/>
    <w:rsid w:val="5A3916BC"/>
    <w:rsid w:val="5BA01834"/>
    <w:rsid w:val="5C2D3920"/>
    <w:rsid w:val="5C4D46FF"/>
    <w:rsid w:val="5C734374"/>
    <w:rsid w:val="5CDF456F"/>
    <w:rsid w:val="5D296978"/>
    <w:rsid w:val="5D572C78"/>
    <w:rsid w:val="5DB12071"/>
    <w:rsid w:val="5E4C59D9"/>
    <w:rsid w:val="5E7F3237"/>
    <w:rsid w:val="5EC17A8C"/>
    <w:rsid w:val="5ED857B0"/>
    <w:rsid w:val="5EDD1D0C"/>
    <w:rsid w:val="5F24793A"/>
    <w:rsid w:val="5F4B72E8"/>
    <w:rsid w:val="5FAD34DA"/>
    <w:rsid w:val="5FF9AD50"/>
    <w:rsid w:val="60973303"/>
    <w:rsid w:val="60D20803"/>
    <w:rsid w:val="6116564E"/>
    <w:rsid w:val="6164264C"/>
    <w:rsid w:val="620F042E"/>
    <w:rsid w:val="62186662"/>
    <w:rsid w:val="6262348A"/>
    <w:rsid w:val="63256E55"/>
    <w:rsid w:val="633030C8"/>
    <w:rsid w:val="63C92918"/>
    <w:rsid w:val="6438051B"/>
    <w:rsid w:val="64947310"/>
    <w:rsid w:val="649E4AAF"/>
    <w:rsid w:val="64A64644"/>
    <w:rsid w:val="64DB38CF"/>
    <w:rsid w:val="650C4C14"/>
    <w:rsid w:val="653505E7"/>
    <w:rsid w:val="654523B9"/>
    <w:rsid w:val="65D10FAB"/>
    <w:rsid w:val="670813FD"/>
    <w:rsid w:val="67674868"/>
    <w:rsid w:val="6789784E"/>
    <w:rsid w:val="684626D0"/>
    <w:rsid w:val="68641294"/>
    <w:rsid w:val="687424E1"/>
    <w:rsid w:val="698C3C2D"/>
    <w:rsid w:val="69DC7CB1"/>
    <w:rsid w:val="69EE74C3"/>
    <w:rsid w:val="6A01397E"/>
    <w:rsid w:val="6A140854"/>
    <w:rsid w:val="6A413A96"/>
    <w:rsid w:val="6A726F02"/>
    <w:rsid w:val="6C297424"/>
    <w:rsid w:val="6C2D4E30"/>
    <w:rsid w:val="6C7621DF"/>
    <w:rsid w:val="6C787452"/>
    <w:rsid w:val="6CBA1D63"/>
    <w:rsid w:val="6CEF4F0F"/>
    <w:rsid w:val="6DAB59DE"/>
    <w:rsid w:val="6DAD31F1"/>
    <w:rsid w:val="6DB952E1"/>
    <w:rsid w:val="6DF8418E"/>
    <w:rsid w:val="6EB97B63"/>
    <w:rsid w:val="6FC53BAD"/>
    <w:rsid w:val="6FCE165B"/>
    <w:rsid w:val="6FF53207"/>
    <w:rsid w:val="6FFF582B"/>
    <w:rsid w:val="709A4E5B"/>
    <w:rsid w:val="71572E91"/>
    <w:rsid w:val="715F5E60"/>
    <w:rsid w:val="72113D4E"/>
    <w:rsid w:val="72304C44"/>
    <w:rsid w:val="728347EC"/>
    <w:rsid w:val="72F53670"/>
    <w:rsid w:val="72FD42D3"/>
    <w:rsid w:val="731C3900"/>
    <w:rsid w:val="737D6327"/>
    <w:rsid w:val="73CC483B"/>
    <w:rsid w:val="744E128A"/>
    <w:rsid w:val="74583459"/>
    <w:rsid w:val="749649DF"/>
    <w:rsid w:val="74DD43BC"/>
    <w:rsid w:val="753A35BC"/>
    <w:rsid w:val="75EB2F3C"/>
    <w:rsid w:val="76680413"/>
    <w:rsid w:val="766F4887"/>
    <w:rsid w:val="768E5B8E"/>
    <w:rsid w:val="76DBE51B"/>
    <w:rsid w:val="772D4408"/>
    <w:rsid w:val="77CD13AB"/>
    <w:rsid w:val="77FFD077"/>
    <w:rsid w:val="785866D5"/>
    <w:rsid w:val="79A65463"/>
    <w:rsid w:val="7A615FC4"/>
    <w:rsid w:val="7ADC31A8"/>
    <w:rsid w:val="7B122BD8"/>
    <w:rsid w:val="7B610C8A"/>
    <w:rsid w:val="7B7E530C"/>
    <w:rsid w:val="7BBC0A94"/>
    <w:rsid w:val="7BF02A89"/>
    <w:rsid w:val="7BF7B1D6"/>
    <w:rsid w:val="7CA37912"/>
    <w:rsid w:val="7D9F2623"/>
    <w:rsid w:val="7DC934DB"/>
    <w:rsid w:val="7DDF8381"/>
    <w:rsid w:val="7E284C0E"/>
    <w:rsid w:val="7EDE145C"/>
    <w:rsid w:val="7EED1FD5"/>
    <w:rsid w:val="7EED44A7"/>
    <w:rsid w:val="7F062761"/>
    <w:rsid w:val="7F3F07EA"/>
    <w:rsid w:val="7FB77874"/>
    <w:rsid w:val="9FFBE83E"/>
    <w:rsid w:val="BDEFADC8"/>
    <w:rsid w:val="BFF97CD1"/>
    <w:rsid w:val="DBCD63F5"/>
    <w:rsid w:val="DF5FFC19"/>
    <w:rsid w:val="F67A7800"/>
    <w:rsid w:val="F9FF682E"/>
    <w:rsid w:val="FB30441B"/>
    <w:rsid w:val="FBCFC7AD"/>
    <w:rsid w:val="FF86BC7C"/>
    <w:rsid w:val="FFCEB82A"/>
    <w:rsid w:val="FFF280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4"/>
    <w:next w:val="5"/>
    <w:link w:val="60"/>
    <w:qFormat/>
    <w:uiPriority w:val="0"/>
    <w:pPr>
      <w:keepNext/>
      <w:keepLines/>
      <w:spacing w:after="120" w:line="360" w:lineRule="auto"/>
      <w:outlineLvl w:val="0"/>
    </w:pPr>
    <w:rPr>
      <w:kern w:val="44"/>
      <w:sz w:val="28"/>
      <w:szCs w:val="28"/>
    </w:rPr>
  </w:style>
  <w:style w:type="paragraph" w:styleId="2">
    <w:name w:val="heading 2"/>
    <w:basedOn w:val="1"/>
    <w:next w:val="1"/>
    <w:link w:val="61"/>
    <w:qFormat/>
    <w:uiPriority w:val="0"/>
    <w:pPr>
      <w:keepNext/>
      <w:keepLines/>
      <w:spacing w:before="120" w:after="120" w:line="415" w:lineRule="auto"/>
      <w:ind w:left="454"/>
      <w:jc w:val="center"/>
      <w:outlineLvl w:val="1"/>
    </w:pPr>
    <w:rPr>
      <w:rFonts w:ascii="Arial" w:hAnsi="Arial"/>
      <w:b/>
      <w:color w:val="000000"/>
      <w:sz w:val="24"/>
      <w:szCs w:val="24"/>
    </w:rPr>
  </w:style>
  <w:style w:type="paragraph" w:styleId="7">
    <w:name w:val="heading 3"/>
    <w:basedOn w:val="1"/>
    <w:next w:val="1"/>
    <w:link w:val="55"/>
    <w:qFormat/>
    <w:uiPriority w:val="0"/>
    <w:pPr>
      <w:widowControl/>
      <w:spacing w:before="100" w:beforeAutospacing="1" w:after="100" w:afterAutospacing="1"/>
      <w:jc w:val="left"/>
      <w:outlineLvl w:val="2"/>
    </w:pPr>
    <w:rPr>
      <w:rFonts w:ascii="宋体" w:hAnsi="宋体" w:cs="宋体"/>
      <w:kern w:val="0"/>
      <w:sz w:val="27"/>
      <w:szCs w:val="27"/>
    </w:rPr>
  </w:style>
  <w:style w:type="paragraph" w:styleId="8">
    <w:name w:val="heading 4"/>
    <w:basedOn w:val="7"/>
    <w:next w:val="9"/>
    <w:link w:val="62"/>
    <w:qFormat/>
    <w:uiPriority w:val="0"/>
    <w:pPr>
      <w:keepNext/>
      <w:keepLines/>
      <w:widowControl w:val="0"/>
      <w:numPr>
        <w:ilvl w:val="3"/>
        <w:numId w:val="1"/>
      </w:numPr>
      <w:spacing w:before="0" w:beforeLines="50" w:beforeAutospacing="0" w:after="0" w:afterLines="50" w:afterAutospacing="0" w:line="360" w:lineRule="auto"/>
      <w:outlineLvl w:val="3"/>
    </w:pPr>
    <w:rPr>
      <w:rFonts w:ascii="Arial" w:hAnsi="Arial" w:cs="Times New Roman"/>
      <w:color w:val="000000"/>
      <w:kern w:val="2"/>
      <w:sz w:val="21"/>
      <w:szCs w:val="21"/>
    </w:rPr>
  </w:style>
  <w:style w:type="paragraph" w:styleId="10">
    <w:name w:val="heading 5"/>
    <w:basedOn w:val="8"/>
    <w:next w:val="9"/>
    <w:link w:val="63"/>
    <w:qFormat/>
    <w:uiPriority w:val="0"/>
    <w:pPr>
      <w:numPr>
        <w:ilvl w:val="4"/>
      </w:numPr>
      <w:spacing w:line="240" w:lineRule="exact"/>
      <w:outlineLvl w:val="4"/>
    </w:pPr>
  </w:style>
  <w:style w:type="paragraph" w:styleId="11">
    <w:name w:val="heading 6"/>
    <w:basedOn w:val="1"/>
    <w:next w:val="1"/>
    <w:link w:val="64"/>
    <w:qFormat/>
    <w:uiPriority w:val="0"/>
    <w:pPr>
      <w:keepNext/>
      <w:keepLines/>
      <w:numPr>
        <w:ilvl w:val="5"/>
        <w:numId w:val="2"/>
      </w:numPr>
      <w:spacing w:before="240" w:after="64" w:line="320" w:lineRule="auto"/>
      <w:outlineLvl w:val="5"/>
    </w:pPr>
    <w:rPr>
      <w:rFonts w:ascii="Arial" w:hAnsi="Arial" w:eastAsia="黑体"/>
      <w:b/>
      <w:bCs/>
      <w:sz w:val="24"/>
      <w:szCs w:val="24"/>
    </w:rPr>
  </w:style>
  <w:style w:type="paragraph" w:styleId="12">
    <w:name w:val="heading 7"/>
    <w:basedOn w:val="1"/>
    <w:next w:val="9"/>
    <w:link w:val="65"/>
    <w:qFormat/>
    <w:uiPriority w:val="0"/>
    <w:pPr>
      <w:keepNext/>
      <w:keepLines/>
      <w:numPr>
        <w:ilvl w:val="6"/>
        <w:numId w:val="1"/>
      </w:numPr>
      <w:spacing w:before="240" w:after="64" w:line="320" w:lineRule="auto"/>
      <w:outlineLvl w:val="6"/>
    </w:pPr>
    <w:rPr>
      <w:rFonts w:ascii="Times New Roman" w:hAnsi="Times New Roman"/>
      <w:b/>
      <w:sz w:val="24"/>
      <w:szCs w:val="20"/>
    </w:rPr>
  </w:style>
  <w:style w:type="paragraph" w:styleId="13">
    <w:name w:val="heading 8"/>
    <w:basedOn w:val="1"/>
    <w:next w:val="9"/>
    <w:link w:val="66"/>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4">
    <w:name w:val="heading 9"/>
    <w:basedOn w:val="1"/>
    <w:next w:val="9"/>
    <w:link w:val="67"/>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4">
    <w:name w:val="Title"/>
    <w:basedOn w:val="1"/>
    <w:link w:val="69"/>
    <w:qFormat/>
    <w:uiPriority w:val="0"/>
    <w:pPr>
      <w:spacing w:before="120" w:after="60"/>
      <w:jc w:val="center"/>
    </w:pPr>
    <w:rPr>
      <w:rFonts w:ascii="Arial" w:hAnsi="Arial"/>
      <w:b/>
      <w:sz w:val="44"/>
      <w:szCs w:val="20"/>
    </w:rPr>
  </w:style>
  <w:style w:type="paragraph" w:styleId="5">
    <w:name w:val="Body Text First Indent"/>
    <w:basedOn w:val="6"/>
    <w:link w:val="73"/>
    <w:qFormat/>
    <w:uiPriority w:val="0"/>
    <w:pPr>
      <w:ind w:firstLine="420"/>
    </w:pPr>
  </w:style>
  <w:style w:type="paragraph" w:styleId="6">
    <w:name w:val="Body Text"/>
    <w:basedOn w:val="1"/>
    <w:link w:val="71"/>
    <w:qFormat/>
    <w:uiPriority w:val="0"/>
    <w:pPr>
      <w:spacing w:after="120"/>
    </w:pPr>
    <w:rPr>
      <w:rFonts w:ascii="Times New Roman" w:hAnsi="Times New Roman"/>
      <w:szCs w:val="20"/>
    </w:rPr>
  </w:style>
  <w:style w:type="paragraph" w:styleId="9">
    <w:name w:val="Normal Indent"/>
    <w:basedOn w:val="1"/>
    <w:qFormat/>
    <w:uiPriority w:val="0"/>
    <w:pPr>
      <w:ind w:firstLine="420"/>
    </w:pPr>
    <w:rPr>
      <w:rFonts w:ascii="Times New Roman" w:hAnsi="Times New Roman"/>
      <w:szCs w:val="20"/>
    </w:rPr>
  </w:style>
  <w:style w:type="paragraph" w:styleId="15">
    <w:name w:val="Document Map"/>
    <w:basedOn w:val="1"/>
    <w:link w:val="79"/>
    <w:qFormat/>
    <w:uiPriority w:val="0"/>
    <w:pPr>
      <w:shd w:val="clear" w:color="auto" w:fill="000080"/>
    </w:pPr>
    <w:rPr>
      <w:rFonts w:ascii="Times New Roman" w:hAnsi="Times New Roman"/>
      <w:szCs w:val="20"/>
    </w:rPr>
  </w:style>
  <w:style w:type="paragraph" w:styleId="16">
    <w:name w:val="toa heading"/>
    <w:basedOn w:val="1"/>
    <w:next w:val="1"/>
    <w:unhideWhenUsed/>
    <w:qFormat/>
    <w:uiPriority w:val="99"/>
    <w:pPr>
      <w:spacing w:before="120"/>
    </w:pPr>
    <w:rPr>
      <w:rFonts w:ascii="Cambria" w:hAnsi="Cambria"/>
      <w:sz w:val="24"/>
      <w:szCs w:val="24"/>
    </w:rPr>
  </w:style>
  <w:style w:type="paragraph" w:styleId="17">
    <w:name w:val="annotation text"/>
    <w:basedOn w:val="1"/>
    <w:link w:val="105"/>
    <w:qFormat/>
    <w:uiPriority w:val="0"/>
    <w:pPr>
      <w:spacing w:line="360" w:lineRule="auto"/>
      <w:ind w:firstLine="523" w:firstLineChars="218"/>
      <w:jc w:val="left"/>
    </w:pPr>
    <w:rPr>
      <w:rFonts w:ascii="宋体" w:hAnsi="宋体"/>
      <w:sz w:val="24"/>
      <w:szCs w:val="24"/>
    </w:rPr>
  </w:style>
  <w:style w:type="paragraph" w:styleId="18">
    <w:name w:val="Body Text Indent"/>
    <w:basedOn w:val="1"/>
    <w:link w:val="77"/>
    <w:qFormat/>
    <w:uiPriority w:val="0"/>
    <w:pPr>
      <w:ind w:firstLine="570"/>
    </w:pPr>
    <w:rPr>
      <w:rFonts w:ascii="Times New Roman" w:hAnsi="Times New Roman"/>
      <w:sz w:val="28"/>
      <w:szCs w:val="20"/>
    </w:rPr>
  </w:style>
  <w:style w:type="paragraph" w:styleId="19">
    <w:name w:val="Block Text"/>
    <w:basedOn w:val="1"/>
    <w:qFormat/>
    <w:uiPriority w:val="0"/>
    <w:pPr>
      <w:autoSpaceDE w:val="0"/>
      <w:autoSpaceDN w:val="0"/>
      <w:adjustRightInd w:val="0"/>
      <w:spacing w:line="360" w:lineRule="auto"/>
      <w:ind w:left="420" w:leftChars="200" w:right="11" w:firstLine="479" w:firstLineChars="228"/>
    </w:pPr>
    <w:rPr>
      <w:rFonts w:ascii="宋体" w:hAnsi="Arial"/>
      <w:szCs w:val="21"/>
      <w:lang w:val="zh-CN"/>
    </w:rPr>
  </w:style>
  <w:style w:type="paragraph" w:styleId="20">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21">
    <w:name w:val="Plain Text"/>
    <w:basedOn w:val="1"/>
    <w:next w:val="1"/>
    <w:link w:val="81"/>
    <w:qFormat/>
    <w:uiPriority w:val="0"/>
    <w:rPr>
      <w:rFonts w:ascii="宋体" w:hAnsi="Courier New"/>
      <w:szCs w:val="20"/>
    </w:rPr>
  </w:style>
  <w:style w:type="paragraph" w:styleId="22">
    <w:name w:val="Date"/>
    <w:basedOn w:val="1"/>
    <w:next w:val="1"/>
    <w:link w:val="75"/>
    <w:qFormat/>
    <w:uiPriority w:val="0"/>
    <w:rPr>
      <w:rFonts w:ascii="Times New Roman" w:hAnsi="Times New Roman"/>
      <w:szCs w:val="20"/>
    </w:rPr>
  </w:style>
  <w:style w:type="paragraph" w:styleId="23">
    <w:name w:val="Body Text Indent 2"/>
    <w:basedOn w:val="1"/>
    <w:link w:val="83"/>
    <w:qFormat/>
    <w:uiPriority w:val="0"/>
    <w:pPr>
      <w:spacing w:line="400" w:lineRule="exact"/>
      <w:ind w:left="425"/>
    </w:pPr>
    <w:rPr>
      <w:rFonts w:ascii="Times New Roman" w:hAnsi="Times New Roman"/>
      <w:color w:val="000000"/>
      <w:sz w:val="24"/>
      <w:szCs w:val="20"/>
    </w:rPr>
  </w:style>
  <w:style w:type="paragraph" w:styleId="24">
    <w:name w:val="endnote text"/>
    <w:basedOn w:val="1"/>
    <w:link w:val="92"/>
    <w:qFormat/>
    <w:uiPriority w:val="0"/>
    <w:pPr>
      <w:snapToGrid w:val="0"/>
      <w:jc w:val="left"/>
    </w:pPr>
    <w:rPr>
      <w:rFonts w:ascii="Times New Roman" w:hAnsi="Times New Roman"/>
      <w:szCs w:val="20"/>
    </w:rPr>
  </w:style>
  <w:style w:type="paragraph" w:styleId="25">
    <w:name w:val="Balloon Text"/>
    <w:basedOn w:val="1"/>
    <w:link w:val="102"/>
    <w:qFormat/>
    <w:uiPriority w:val="0"/>
    <w:rPr>
      <w:rFonts w:ascii="Times New Roman" w:hAnsi="Times New Roman"/>
      <w:sz w:val="18"/>
      <w:szCs w:val="18"/>
    </w:rPr>
  </w:style>
  <w:style w:type="paragraph" w:styleId="26">
    <w:name w:val="footer"/>
    <w:basedOn w:val="1"/>
    <w:link w:val="59"/>
    <w:unhideWhenUsed/>
    <w:qFormat/>
    <w:uiPriority w:val="0"/>
    <w:pPr>
      <w:tabs>
        <w:tab w:val="center" w:pos="4153"/>
        <w:tab w:val="right" w:pos="8306"/>
      </w:tabs>
      <w:snapToGrid w:val="0"/>
      <w:jc w:val="left"/>
    </w:pPr>
    <w:rPr>
      <w:sz w:val="18"/>
      <w:szCs w:val="18"/>
    </w:rPr>
  </w:style>
  <w:style w:type="paragraph" w:styleId="27">
    <w:name w:val="header"/>
    <w:basedOn w:val="1"/>
    <w:link w:val="57"/>
    <w:unhideWhenUsed/>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29">
    <w:name w:val="footnote text"/>
    <w:basedOn w:val="1"/>
    <w:link w:val="107"/>
    <w:qFormat/>
    <w:uiPriority w:val="0"/>
    <w:pPr>
      <w:snapToGrid w:val="0"/>
      <w:spacing w:line="360" w:lineRule="auto"/>
      <w:ind w:firstLine="523" w:firstLineChars="218"/>
      <w:jc w:val="left"/>
    </w:pPr>
    <w:rPr>
      <w:rFonts w:ascii="宋体" w:hAnsi="宋体"/>
      <w:sz w:val="18"/>
      <w:szCs w:val="18"/>
    </w:rPr>
  </w:style>
  <w:style w:type="paragraph" w:styleId="30">
    <w:name w:val="Body Text Indent 3"/>
    <w:basedOn w:val="1"/>
    <w:link w:val="85"/>
    <w:qFormat/>
    <w:uiPriority w:val="0"/>
    <w:pPr>
      <w:tabs>
        <w:tab w:val="left" w:pos="0"/>
      </w:tabs>
      <w:spacing w:line="400" w:lineRule="exact"/>
      <w:ind w:left="563" w:leftChars="228" w:hanging="84" w:hangingChars="35"/>
    </w:pPr>
    <w:rPr>
      <w:rFonts w:ascii="Times New Roman" w:hAnsi="Times New Roman"/>
      <w:color w:val="000000"/>
      <w:sz w:val="24"/>
      <w:szCs w:val="20"/>
    </w:rPr>
  </w:style>
  <w:style w:type="paragraph" w:styleId="31">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32">
    <w:name w:val="Body Text 2"/>
    <w:basedOn w:val="1"/>
    <w:link w:val="89"/>
    <w:qFormat/>
    <w:uiPriority w:val="0"/>
    <w:rPr>
      <w:rFonts w:ascii="宋体" w:hAnsi="宋体"/>
      <w:szCs w:val="24"/>
      <w:u w:val="single"/>
    </w:rPr>
  </w:style>
  <w:style w:type="paragraph" w:styleId="33">
    <w:name w:val="index 1"/>
    <w:basedOn w:val="1"/>
    <w:next w:val="1"/>
    <w:qFormat/>
    <w:uiPriority w:val="0"/>
    <w:rPr>
      <w:rFonts w:ascii="Times New Roman" w:hAnsi="Times New Roman" w:eastAsia="仿宋_GB2312"/>
      <w:sz w:val="28"/>
      <w:szCs w:val="20"/>
    </w:rPr>
  </w:style>
  <w:style w:type="paragraph" w:styleId="34">
    <w:name w:val="annotation subject"/>
    <w:basedOn w:val="17"/>
    <w:next w:val="17"/>
    <w:link w:val="109"/>
    <w:qFormat/>
    <w:uiPriority w:val="0"/>
    <w:rPr>
      <w:b/>
      <w:bCs/>
    </w:rPr>
  </w:style>
  <w:style w:type="paragraph" w:styleId="35">
    <w:name w:val="Body Text First Indent 2"/>
    <w:basedOn w:val="18"/>
    <w:unhideWhenUsed/>
    <w:qFormat/>
    <w:uiPriority w:val="99"/>
    <w:pPr>
      <w:spacing w:after="120"/>
      <w:ind w:left="200" w:leftChars="200" w:firstLine="200" w:firstLineChars="200"/>
    </w:pPr>
    <w:rPr>
      <w:rFonts w:ascii="Calibri" w:hAnsi="Calibri"/>
      <w:color w:val="0D0D0D"/>
      <w:sz w:val="21"/>
      <w:szCs w:val="24"/>
      <w:lang w:eastAsia="en-US"/>
    </w:rPr>
  </w:style>
  <w:style w:type="table" w:styleId="37">
    <w:name w:val="Table Grid"/>
    <w:basedOn w:val="36"/>
    <w:qFormat/>
    <w:uiPriority w:val="0"/>
    <w:pPr>
      <w:widowControl w:val="0"/>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qFormat/>
    <w:uiPriority w:val="0"/>
    <w:rPr>
      <w:b/>
    </w:rPr>
  </w:style>
  <w:style w:type="character" w:styleId="40">
    <w:name w:val="endnote reference"/>
    <w:qFormat/>
    <w:uiPriority w:val="0"/>
    <w:rPr>
      <w:vertAlign w:val="superscript"/>
    </w:rPr>
  </w:style>
  <w:style w:type="character" w:styleId="41">
    <w:name w:val="page number"/>
    <w:qFormat/>
    <w:uiPriority w:val="0"/>
    <w:rPr>
      <w:rFonts w:cs="Times New Roman"/>
    </w:rPr>
  </w:style>
  <w:style w:type="character" w:styleId="42">
    <w:name w:val="FollowedHyperlink"/>
    <w:semiHidden/>
    <w:unhideWhenUsed/>
    <w:qFormat/>
    <w:uiPriority w:val="99"/>
    <w:rPr>
      <w:color w:val="954F72"/>
      <w:u w:val="single"/>
    </w:rPr>
  </w:style>
  <w:style w:type="character" w:styleId="43">
    <w:name w:val="Hyperlink"/>
    <w:qFormat/>
    <w:uiPriority w:val="99"/>
    <w:rPr>
      <w:color w:val="0000FF"/>
      <w:u w:val="single"/>
    </w:rPr>
  </w:style>
  <w:style w:type="character" w:styleId="44">
    <w:name w:val="annotation reference"/>
    <w:qFormat/>
    <w:uiPriority w:val="0"/>
    <w:rPr>
      <w:sz w:val="21"/>
      <w:szCs w:val="21"/>
    </w:rPr>
  </w:style>
  <w:style w:type="character" w:styleId="45">
    <w:name w:val="footnote reference"/>
    <w:qFormat/>
    <w:uiPriority w:val="0"/>
    <w:rPr>
      <w:vertAlign w:val="superscript"/>
    </w:rPr>
  </w:style>
  <w:style w:type="character" w:customStyle="1" w:styleId="46">
    <w:name w:val="标题 1 字符"/>
    <w:qFormat/>
    <w:uiPriority w:val="9"/>
    <w:rPr>
      <w:rFonts w:ascii="Calibri" w:hAnsi="Calibri" w:eastAsia="宋体" w:cs="Times New Roman"/>
      <w:b/>
      <w:bCs/>
      <w:kern w:val="44"/>
      <w:sz w:val="44"/>
      <w:szCs w:val="44"/>
    </w:rPr>
  </w:style>
  <w:style w:type="character" w:customStyle="1" w:styleId="47">
    <w:name w:val="标题 2 字符"/>
    <w:semiHidden/>
    <w:qFormat/>
    <w:uiPriority w:val="9"/>
    <w:rPr>
      <w:rFonts w:ascii="等线 Light" w:hAnsi="等线 Light" w:eastAsia="等线 Light" w:cs="Times New Roman"/>
      <w:b/>
      <w:bCs/>
      <w:sz w:val="32"/>
      <w:szCs w:val="32"/>
    </w:rPr>
  </w:style>
  <w:style w:type="character" w:customStyle="1" w:styleId="48">
    <w:name w:val="标题 3 字符"/>
    <w:semiHidden/>
    <w:qFormat/>
    <w:uiPriority w:val="9"/>
    <w:rPr>
      <w:rFonts w:ascii="Calibri" w:hAnsi="Calibri" w:eastAsia="宋体" w:cs="Times New Roman"/>
      <w:b/>
      <w:bCs/>
      <w:sz w:val="32"/>
      <w:szCs w:val="32"/>
    </w:rPr>
  </w:style>
  <w:style w:type="character" w:customStyle="1" w:styleId="49">
    <w:name w:val="标题 4 字符"/>
    <w:semiHidden/>
    <w:qFormat/>
    <w:uiPriority w:val="9"/>
    <w:rPr>
      <w:rFonts w:ascii="等线 Light" w:hAnsi="等线 Light" w:eastAsia="等线 Light" w:cs="Times New Roman"/>
      <w:b/>
      <w:bCs/>
      <w:sz w:val="28"/>
      <w:szCs w:val="28"/>
    </w:rPr>
  </w:style>
  <w:style w:type="character" w:customStyle="1" w:styleId="50">
    <w:name w:val="标题 5 字符"/>
    <w:semiHidden/>
    <w:qFormat/>
    <w:uiPriority w:val="9"/>
    <w:rPr>
      <w:rFonts w:ascii="Calibri" w:hAnsi="Calibri" w:eastAsia="宋体" w:cs="Times New Roman"/>
      <w:b/>
      <w:bCs/>
      <w:sz w:val="28"/>
      <w:szCs w:val="28"/>
    </w:rPr>
  </w:style>
  <w:style w:type="character" w:customStyle="1" w:styleId="51">
    <w:name w:val="标题 6 字符"/>
    <w:semiHidden/>
    <w:qFormat/>
    <w:uiPriority w:val="9"/>
    <w:rPr>
      <w:rFonts w:ascii="等线 Light" w:hAnsi="等线 Light" w:eastAsia="等线 Light" w:cs="Times New Roman"/>
      <w:b/>
      <w:bCs/>
      <w:sz w:val="24"/>
      <w:szCs w:val="24"/>
    </w:rPr>
  </w:style>
  <w:style w:type="character" w:customStyle="1" w:styleId="52">
    <w:name w:val="标题 7 字符"/>
    <w:semiHidden/>
    <w:qFormat/>
    <w:uiPriority w:val="9"/>
    <w:rPr>
      <w:rFonts w:ascii="Calibri" w:hAnsi="Calibri" w:eastAsia="宋体" w:cs="Times New Roman"/>
      <w:b/>
      <w:bCs/>
      <w:sz w:val="24"/>
      <w:szCs w:val="24"/>
    </w:rPr>
  </w:style>
  <w:style w:type="character" w:customStyle="1" w:styleId="53">
    <w:name w:val="标题 8 字符"/>
    <w:semiHidden/>
    <w:qFormat/>
    <w:uiPriority w:val="9"/>
    <w:rPr>
      <w:rFonts w:ascii="等线 Light" w:hAnsi="等线 Light" w:eastAsia="等线 Light" w:cs="Times New Roman"/>
      <w:sz w:val="24"/>
      <w:szCs w:val="24"/>
    </w:rPr>
  </w:style>
  <w:style w:type="character" w:customStyle="1" w:styleId="54">
    <w:name w:val="标题 9 字符"/>
    <w:semiHidden/>
    <w:qFormat/>
    <w:uiPriority w:val="9"/>
    <w:rPr>
      <w:rFonts w:ascii="等线 Light" w:hAnsi="等线 Light" w:eastAsia="等线 Light" w:cs="Times New Roman"/>
      <w:szCs w:val="21"/>
    </w:rPr>
  </w:style>
  <w:style w:type="character" w:customStyle="1" w:styleId="55">
    <w:name w:val="标题 3 字符1"/>
    <w:link w:val="7"/>
    <w:qFormat/>
    <w:uiPriority w:val="0"/>
    <w:rPr>
      <w:rFonts w:ascii="宋体" w:hAnsi="宋体" w:eastAsia="宋体" w:cs="宋体"/>
      <w:kern w:val="0"/>
      <w:sz w:val="27"/>
      <w:szCs w:val="27"/>
    </w:rPr>
  </w:style>
  <w:style w:type="character" w:customStyle="1" w:styleId="56">
    <w:name w:val="页眉 字符"/>
    <w:semiHidden/>
    <w:qFormat/>
    <w:uiPriority w:val="99"/>
    <w:rPr>
      <w:rFonts w:ascii="Calibri" w:hAnsi="Calibri" w:eastAsia="宋体" w:cs="Times New Roman"/>
      <w:sz w:val="18"/>
      <w:szCs w:val="18"/>
    </w:rPr>
  </w:style>
  <w:style w:type="character" w:customStyle="1" w:styleId="57">
    <w:name w:val="页眉 字符1"/>
    <w:link w:val="27"/>
    <w:qFormat/>
    <w:uiPriority w:val="0"/>
    <w:rPr>
      <w:rFonts w:ascii="Calibri" w:hAnsi="Calibri" w:eastAsia="宋体" w:cs="Times New Roman"/>
      <w:sz w:val="18"/>
      <w:szCs w:val="18"/>
    </w:rPr>
  </w:style>
  <w:style w:type="character" w:customStyle="1" w:styleId="58">
    <w:name w:val="页脚 字符"/>
    <w:semiHidden/>
    <w:qFormat/>
    <w:uiPriority w:val="99"/>
    <w:rPr>
      <w:rFonts w:ascii="Calibri" w:hAnsi="Calibri" w:eastAsia="宋体" w:cs="Times New Roman"/>
      <w:sz w:val="18"/>
      <w:szCs w:val="18"/>
    </w:rPr>
  </w:style>
  <w:style w:type="character" w:customStyle="1" w:styleId="59">
    <w:name w:val="页脚 字符1"/>
    <w:link w:val="26"/>
    <w:qFormat/>
    <w:uiPriority w:val="0"/>
    <w:rPr>
      <w:rFonts w:ascii="Calibri" w:hAnsi="Calibri" w:eastAsia="宋体" w:cs="Times New Roman"/>
      <w:sz w:val="18"/>
      <w:szCs w:val="18"/>
    </w:rPr>
  </w:style>
  <w:style w:type="character" w:customStyle="1" w:styleId="60">
    <w:name w:val="标题 1 字符1"/>
    <w:link w:val="3"/>
    <w:qFormat/>
    <w:uiPriority w:val="0"/>
    <w:rPr>
      <w:rFonts w:ascii="Arial" w:hAnsi="Arial" w:eastAsia="宋体"/>
      <w:b/>
      <w:kern w:val="44"/>
      <w:sz w:val="28"/>
      <w:szCs w:val="28"/>
    </w:rPr>
  </w:style>
  <w:style w:type="character" w:customStyle="1" w:styleId="61">
    <w:name w:val="标题 2 字符1"/>
    <w:link w:val="2"/>
    <w:qFormat/>
    <w:uiPriority w:val="0"/>
    <w:rPr>
      <w:rFonts w:ascii="Arial" w:hAnsi="Arial" w:eastAsia="宋体" w:cs="Times New Roman"/>
      <w:b/>
      <w:color w:val="000000"/>
      <w:sz w:val="24"/>
      <w:szCs w:val="24"/>
    </w:rPr>
  </w:style>
  <w:style w:type="character" w:customStyle="1" w:styleId="62">
    <w:name w:val="标题 4 字符1"/>
    <w:link w:val="8"/>
    <w:qFormat/>
    <w:uiPriority w:val="0"/>
    <w:rPr>
      <w:rFonts w:ascii="Arial" w:hAnsi="Arial" w:eastAsia="宋体" w:cs="Times New Roman"/>
      <w:color w:val="000000"/>
      <w:szCs w:val="21"/>
    </w:rPr>
  </w:style>
  <w:style w:type="character" w:customStyle="1" w:styleId="63">
    <w:name w:val="标题 5 字符1"/>
    <w:link w:val="10"/>
    <w:qFormat/>
    <w:uiPriority w:val="0"/>
    <w:rPr>
      <w:rFonts w:ascii="Arial" w:hAnsi="Arial" w:eastAsia="宋体" w:cs="Times New Roman"/>
      <w:color w:val="000000"/>
      <w:szCs w:val="21"/>
    </w:rPr>
  </w:style>
  <w:style w:type="character" w:customStyle="1" w:styleId="64">
    <w:name w:val="标题 6 字符1"/>
    <w:link w:val="11"/>
    <w:qFormat/>
    <w:uiPriority w:val="0"/>
    <w:rPr>
      <w:rFonts w:ascii="Arial" w:hAnsi="Arial" w:eastAsia="黑体" w:cs="Times New Roman"/>
      <w:b/>
      <w:bCs/>
      <w:sz w:val="24"/>
      <w:szCs w:val="24"/>
    </w:rPr>
  </w:style>
  <w:style w:type="character" w:customStyle="1" w:styleId="65">
    <w:name w:val="标题 7 字符1"/>
    <w:link w:val="12"/>
    <w:qFormat/>
    <w:uiPriority w:val="0"/>
    <w:rPr>
      <w:rFonts w:ascii="Times New Roman" w:hAnsi="Times New Roman" w:eastAsia="宋体" w:cs="Times New Roman"/>
      <w:b/>
      <w:sz w:val="24"/>
      <w:szCs w:val="20"/>
    </w:rPr>
  </w:style>
  <w:style w:type="character" w:customStyle="1" w:styleId="66">
    <w:name w:val="标题 8 字符1"/>
    <w:link w:val="13"/>
    <w:qFormat/>
    <w:uiPriority w:val="0"/>
    <w:rPr>
      <w:rFonts w:ascii="Arial" w:hAnsi="Arial" w:eastAsia="黑体" w:cs="Times New Roman"/>
      <w:sz w:val="24"/>
      <w:szCs w:val="20"/>
    </w:rPr>
  </w:style>
  <w:style w:type="character" w:customStyle="1" w:styleId="67">
    <w:name w:val="标题 9 字符1"/>
    <w:link w:val="14"/>
    <w:qFormat/>
    <w:uiPriority w:val="0"/>
    <w:rPr>
      <w:rFonts w:ascii="Arial" w:hAnsi="Arial" w:eastAsia="黑体" w:cs="Times New Roman"/>
      <w:szCs w:val="20"/>
    </w:rPr>
  </w:style>
  <w:style w:type="character" w:customStyle="1" w:styleId="68">
    <w:name w:val="标题 字符"/>
    <w:qFormat/>
    <w:uiPriority w:val="10"/>
    <w:rPr>
      <w:rFonts w:ascii="等线 Light" w:hAnsi="等线 Light" w:eastAsia="等线 Light" w:cs="Times New Roman"/>
      <w:b/>
      <w:bCs/>
      <w:sz w:val="32"/>
      <w:szCs w:val="32"/>
    </w:rPr>
  </w:style>
  <w:style w:type="character" w:customStyle="1" w:styleId="69">
    <w:name w:val="标题 字符1"/>
    <w:link w:val="4"/>
    <w:qFormat/>
    <w:uiPriority w:val="0"/>
    <w:rPr>
      <w:rFonts w:ascii="Arial" w:hAnsi="Arial" w:eastAsia="宋体" w:cs="Times New Roman"/>
      <w:b/>
      <w:sz w:val="44"/>
      <w:szCs w:val="20"/>
    </w:rPr>
  </w:style>
  <w:style w:type="character" w:customStyle="1" w:styleId="70">
    <w:name w:val="正文文本 字符"/>
    <w:semiHidden/>
    <w:qFormat/>
    <w:uiPriority w:val="99"/>
    <w:rPr>
      <w:rFonts w:ascii="Calibri" w:hAnsi="Calibri" w:eastAsia="宋体" w:cs="Times New Roman"/>
    </w:rPr>
  </w:style>
  <w:style w:type="character" w:customStyle="1" w:styleId="71">
    <w:name w:val="正文文本 字符1"/>
    <w:link w:val="6"/>
    <w:qFormat/>
    <w:uiPriority w:val="0"/>
    <w:rPr>
      <w:rFonts w:ascii="Times New Roman" w:hAnsi="Times New Roman" w:eastAsia="宋体" w:cs="Times New Roman"/>
      <w:szCs w:val="20"/>
    </w:rPr>
  </w:style>
  <w:style w:type="character" w:customStyle="1" w:styleId="72">
    <w:name w:val="正文首行缩进 字符"/>
    <w:basedOn w:val="70"/>
    <w:semiHidden/>
    <w:qFormat/>
    <w:uiPriority w:val="99"/>
    <w:rPr>
      <w:rFonts w:ascii="Calibri" w:hAnsi="Calibri" w:eastAsia="宋体" w:cs="Times New Roman"/>
    </w:rPr>
  </w:style>
  <w:style w:type="character" w:customStyle="1" w:styleId="73">
    <w:name w:val="正文文本首行缩进 字符"/>
    <w:link w:val="5"/>
    <w:qFormat/>
    <w:uiPriority w:val="0"/>
  </w:style>
  <w:style w:type="character" w:customStyle="1" w:styleId="74">
    <w:name w:val="日期 字符"/>
    <w:semiHidden/>
    <w:qFormat/>
    <w:uiPriority w:val="99"/>
    <w:rPr>
      <w:rFonts w:ascii="Calibri" w:hAnsi="Calibri" w:eastAsia="宋体" w:cs="Times New Roman"/>
    </w:rPr>
  </w:style>
  <w:style w:type="character" w:customStyle="1" w:styleId="75">
    <w:name w:val="日期 字符1"/>
    <w:link w:val="22"/>
    <w:qFormat/>
    <w:uiPriority w:val="0"/>
    <w:rPr>
      <w:rFonts w:ascii="Times New Roman" w:hAnsi="Times New Roman" w:eastAsia="宋体" w:cs="Times New Roman"/>
      <w:szCs w:val="20"/>
    </w:rPr>
  </w:style>
  <w:style w:type="character" w:customStyle="1" w:styleId="76">
    <w:name w:val="正文文本缩进 字符"/>
    <w:semiHidden/>
    <w:qFormat/>
    <w:uiPriority w:val="99"/>
    <w:rPr>
      <w:rFonts w:ascii="Calibri" w:hAnsi="Calibri" w:eastAsia="宋体" w:cs="Times New Roman"/>
    </w:rPr>
  </w:style>
  <w:style w:type="character" w:customStyle="1" w:styleId="77">
    <w:name w:val="正文文本缩进 字符1"/>
    <w:link w:val="18"/>
    <w:qFormat/>
    <w:uiPriority w:val="0"/>
    <w:rPr>
      <w:rFonts w:ascii="Times New Roman" w:hAnsi="Times New Roman" w:eastAsia="宋体" w:cs="Times New Roman"/>
      <w:sz w:val="28"/>
      <w:szCs w:val="20"/>
    </w:rPr>
  </w:style>
  <w:style w:type="character" w:customStyle="1" w:styleId="78">
    <w:name w:val="文档结构图 字符"/>
    <w:semiHidden/>
    <w:qFormat/>
    <w:uiPriority w:val="99"/>
    <w:rPr>
      <w:rFonts w:ascii="Microsoft YaHei UI" w:hAnsi="Calibri" w:eastAsia="Microsoft YaHei UI" w:cs="Times New Roman"/>
      <w:sz w:val="18"/>
      <w:szCs w:val="18"/>
    </w:rPr>
  </w:style>
  <w:style w:type="character" w:customStyle="1" w:styleId="79">
    <w:name w:val="文档结构图 字符1"/>
    <w:link w:val="15"/>
    <w:qFormat/>
    <w:uiPriority w:val="0"/>
    <w:rPr>
      <w:rFonts w:ascii="Times New Roman" w:hAnsi="Times New Roman" w:eastAsia="宋体" w:cs="Times New Roman"/>
      <w:szCs w:val="20"/>
      <w:shd w:val="clear" w:color="auto" w:fill="000080"/>
    </w:rPr>
  </w:style>
  <w:style w:type="character" w:customStyle="1" w:styleId="80">
    <w:name w:val="纯文本 字符"/>
    <w:semiHidden/>
    <w:qFormat/>
    <w:uiPriority w:val="99"/>
    <w:rPr>
      <w:rFonts w:ascii="等线" w:hAnsi="Courier New" w:cs="Courier New"/>
    </w:rPr>
  </w:style>
  <w:style w:type="character" w:customStyle="1" w:styleId="81">
    <w:name w:val="纯文本 字符1"/>
    <w:link w:val="21"/>
    <w:qFormat/>
    <w:uiPriority w:val="0"/>
    <w:rPr>
      <w:rFonts w:ascii="宋体" w:hAnsi="Courier New" w:eastAsia="宋体" w:cs="Times New Roman"/>
      <w:szCs w:val="20"/>
    </w:rPr>
  </w:style>
  <w:style w:type="character" w:customStyle="1" w:styleId="82">
    <w:name w:val="正文文本缩进 2 字符"/>
    <w:semiHidden/>
    <w:qFormat/>
    <w:uiPriority w:val="99"/>
    <w:rPr>
      <w:rFonts w:ascii="Calibri" w:hAnsi="Calibri" w:eastAsia="宋体" w:cs="Times New Roman"/>
    </w:rPr>
  </w:style>
  <w:style w:type="character" w:customStyle="1" w:styleId="83">
    <w:name w:val="正文文本缩进 2 字符1"/>
    <w:link w:val="23"/>
    <w:qFormat/>
    <w:uiPriority w:val="0"/>
    <w:rPr>
      <w:rFonts w:ascii="Times New Roman" w:hAnsi="Times New Roman" w:eastAsia="宋体" w:cs="Times New Roman"/>
      <w:color w:val="000000"/>
      <w:sz w:val="24"/>
      <w:szCs w:val="20"/>
    </w:rPr>
  </w:style>
  <w:style w:type="character" w:customStyle="1" w:styleId="84">
    <w:name w:val="正文文本缩进 3 字符"/>
    <w:semiHidden/>
    <w:qFormat/>
    <w:uiPriority w:val="99"/>
    <w:rPr>
      <w:rFonts w:ascii="Calibri" w:hAnsi="Calibri" w:eastAsia="宋体" w:cs="Times New Roman"/>
      <w:sz w:val="16"/>
      <w:szCs w:val="16"/>
    </w:rPr>
  </w:style>
  <w:style w:type="character" w:customStyle="1" w:styleId="85">
    <w:name w:val="正文文本缩进 3 字符1"/>
    <w:link w:val="30"/>
    <w:qFormat/>
    <w:uiPriority w:val="0"/>
    <w:rPr>
      <w:rFonts w:ascii="Times New Roman" w:hAnsi="Times New Roman" w:eastAsia="宋体" w:cs="Times New Roman"/>
      <w:color w:val="000000"/>
      <w:sz w:val="24"/>
      <w:szCs w:val="20"/>
    </w:rPr>
  </w:style>
  <w:style w:type="paragraph" w:customStyle="1" w:styleId="86">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87">
    <w:name w:val="_Style 69"/>
    <w:qFormat/>
    <w:uiPriority w:val="0"/>
    <w:rPr>
      <w:rFonts w:ascii="等线" w:hAnsi="等线" w:eastAsia="等线" w:cs="Times New Roman"/>
      <w:lang w:val="en-US" w:eastAsia="zh-CN" w:bidi="ar-SA"/>
    </w:rPr>
  </w:style>
  <w:style w:type="character" w:customStyle="1" w:styleId="88">
    <w:name w:val="正文文本 2 字符"/>
    <w:semiHidden/>
    <w:qFormat/>
    <w:uiPriority w:val="99"/>
    <w:rPr>
      <w:rFonts w:ascii="Calibri" w:hAnsi="Calibri" w:eastAsia="宋体" w:cs="Times New Roman"/>
    </w:rPr>
  </w:style>
  <w:style w:type="character" w:customStyle="1" w:styleId="89">
    <w:name w:val="正文文本 2 字符1"/>
    <w:link w:val="32"/>
    <w:qFormat/>
    <w:uiPriority w:val="0"/>
    <w:rPr>
      <w:rFonts w:ascii="宋体" w:hAnsi="宋体" w:eastAsia="宋体" w:cs="Times New Roman"/>
      <w:szCs w:val="24"/>
      <w:u w:val="single"/>
    </w:rPr>
  </w:style>
  <w:style w:type="paragraph" w:customStyle="1" w:styleId="90">
    <w:name w:val="表头"/>
    <w:basedOn w:val="1"/>
    <w:qFormat/>
    <w:uiPriority w:val="0"/>
    <w:pPr>
      <w:spacing w:line="360" w:lineRule="auto"/>
      <w:jc w:val="center"/>
    </w:pPr>
    <w:rPr>
      <w:rFonts w:ascii="黑体" w:hAnsi="Times New Roman" w:eastAsia="黑体"/>
      <w:kern w:val="0"/>
      <w:sz w:val="24"/>
      <w:szCs w:val="20"/>
    </w:rPr>
  </w:style>
  <w:style w:type="character" w:customStyle="1" w:styleId="91">
    <w:name w:val="尾注文本 字符"/>
    <w:semiHidden/>
    <w:qFormat/>
    <w:uiPriority w:val="99"/>
    <w:rPr>
      <w:rFonts w:ascii="Calibri" w:hAnsi="Calibri" w:eastAsia="宋体" w:cs="Times New Roman"/>
    </w:rPr>
  </w:style>
  <w:style w:type="character" w:customStyle="1" w:styleId="92">
    <w:name w:val="尾注文本 字符1"/>
    <w:link w:val="24"/>
    <w:qFormat/>
    <w:uiPriority w:val="0"/>
    <w:rPr>
      <w:rFonts w:ascii="Times New Roman" w:hAnsi="Times New Roman" w:eastAsia="宋体" w:cs="Times New Roman"/>
      <w:szCs w:val="20"/>
    </w:rPr>
  </w:style>
  <w:style w:type="paragraph" w:customStyle="1" w:styleId="93">
    <w:name w:val="Char"/>
    <w:basedOn w:val="1"/>
    <w:qFormat/>
    <w:uiPriority w:val="0"/>
    <w:rPr>
      <w:rFonts w:ascii="Tahoma" w:hAnsi="Tahoma"/>
      <w:sz w:val="24"/>
      <w:szCs w:val="20"/>
    </w:rPr>
  </w:style>
  <w:style w:type="paragraph" w:customStyle="1" w:styleId="94">
    <w:name w:val="Char1"/>
    <w:basedOn w:val="1"/>
    <w:qFormat/>
    <w:uiPriority w:val="0"/>
    <w:pPr>
      <w:numPr>
        <w:ilvl w:val="0"/>
        <w:numId w:val="1"/>
      </w:numPr>
    </w:pPr>
    <w:rPr>
      <w:rFonts w:ascii="Times New Roman" w:hAnsi="Times New Roman"/>
      <w:sz w:val="24"/>
      <w:szCs w:val="24"/>
    </w:rPr>
  </w:style>
  <w:style w:type="paragraph" w:customStyle="1" w:styleId="95">
    <w:name w:val="公文抬头"/>
    <w:basedOn w:val="9"/>
    <w:qFormat/>
    <w:uiPriority w:val="0"/>
    <w:pPr>
      <w:ind w:firstLine="0"/>
    </w:pPr>
    <w:rPr>
      <w:rFonts w:ascii="仿宋_GB2312" w:eastAsia="仿宋_GB2312"/>
      <w:sz w:val="30"/>
      <w:szCs w:val="24"/>
    </w:rPr>
  </w:style>
  <w:style w:type="paragraph" w:customStyle="1" w:styleId="96">
    <w:name w:val="Char Char Char1 Char"/>
    <w:basedOn w:val="15"/>
    <w:qFormat/>
    <w:uiPriority w:val="0"/>
    <w:rPr>
      <w:rFonts w:ascii="Tahoma" w:hAnsi="Tahoma"/>
      <w:sz w:val="24"/>
      <w:szCs w:val="24"/>
    </w:rPr>
  </w:style>
  <w:style w:type="paragraph" w:customStyle="1" w:styleId="97">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98">
    <w:name w:val="公文标题"/>
    <w:basedOn w:val="7"/>
    <w:qFormat/>
    <w:uiPriority w:val="0"/>
    <w:pPr>
      <w:keepNext/>
      <w:keepLines/>
      <w:widowControl w:val="0"/>
      <w:spacing w:before="0" w:beforeAutospacing="0" w:after="0" w:afterAutospacing="0"/>
      <w:ind w:left="1469" w:right="1542"/>
    </w:pPr>
    <w:rPr>
      <w:rFonts w:hAnsi="Times New Roman" w:cs="Times New Roman"/>
      <w:b/>
      <w:kern w:val="2"/>
      <w:sz w:val="44"/>
      <w:szCs w:val="21"/>
    </w:rPr>
  </w:style>
  <w:style w:type="paragraph" w:customStyle="1" w:styleId="99">
    <w:name w:val="发文落款"/>
    <w:basedOn w:val="97"/>
    <w:qFormat/>
    <w:uiPriority w:val="0"/>
    <w:pPr>
      <w:ind w:left="4094" w:right="607" w:firstLine="0"/>
      <w:jc w:val="center"/>
    </w:pPr>
  </w:style>
  <w:style w:type="paragraph" w:customStyle="1" w:styleId="100">
    <w:name w:val="Char Char Char Char"/>
    <w:basedOn w:val="1"/>
    <w:qFormat/>
    <w:uiPriority w:val="0"/>
    <w:rPr>
      <w:rFonts w:ascii="Times New Roman" w:hAnsi="Times New Roman"/>
      <w:sz w:val="30"/>
      <w:szCs w:val="24"/>
    </w:rPr>
  </w:style>
  <w:style w:type="character" w:customStyle="1" w:styleId="101">
    <w:name w:val="批注框文本 字符"/>
    <w:semiHidden/>
    <w:qFormat/>
    <w:uiPriority w:val="99"/>
    <w:rPr>
      <w:rFonts w:ascii="Calibri" w:hAnsi="Calibri" w:eastAsia="宋体" w:cs="Times New Roman"/>
      <w:sz w:val="18"/>
      <w:szCs w:val="18"/>
    </w:rPr>
  </w:style>
  <w:style w:type="character" w:customStyle="1" w:styleId="102">
    <w:name w:val="批注框文本 字符1"/>
    <w:link w:val="25"/>
    <w:qFormat/>
    <w:uiPriority w:val="0"/>
    <w:rPr>
      <w:rFonts w:ascii="Times New Roman" w:hAnsi="Times New Roman" w:eastAsia="宋体" w:cs="Times New Roman"/>
      <w:sz w:val="18"/>
      <w:szCs w:val="18"/>
    </w:rPr>
  </w:style>
  <w:style w:type="paragraph" w:customStyle="1" w:styleId="103">
    <w:name w:val="TOC 标题1"/>
    <w:basedOn w:val="3"/>
    <w:next w:val="1"/>
    <w:semiHidden/>
    <w:unhideWhenUsed/>
    <w:qFormat/>
    <w:uiPriority w:val="39"/>
    <w:pPr>
      <w:widowControl/>
      <w:spacing w:before="480" w:after="0" w:line="276" w:lineRule="auto"/>
      <w:outlineLvl w:val="9"/>
    </w:pPr>
    <w:rPr>
      <w:rFonts w:ascii="Cambria" w:hAnsi="Cambria"/>
      <w:color w:val="365F91"/>
      <w:kern w:val="0"/>
    </w:rPr>
  </w:style>
  <w:style w:type="character" w:customStyle="1" w:styleId="104">
    <w:name w:val="批注文字 字符"/>
    <w:semiHidden/>
    <w:qFormat/>
    <w:uiPriority w:val="99"/>
    <w:rPr>
      <w:rFonts w:ascii="Calibri" w:hAnsi="Calibri" w:eastAsia="宋体" w:cs="Times New Roman"/>
    </w:rPr>
  </w:style>
  <w:style w:type="character" w:customStyle="1" w:styleId="105">
    <w:name w:val="批注文字 字符1"/>
    <w:link w:val="17"/>
    <w:qFormat/>
    <w:uiPriority w:val="0"/>
    <w:rPr>
      <w:rFonts w:ascii="宋体" w:hAnsi="宋体" w:eastAsia="宋体" w:cs="Times New Roman"/>
      <w:sz w:val="24"/>
      <w:szCs w:val="24"/>
    </w:rPr>
  </w:style>
  <w:style w:type="character" w:customStyle="1" w:styleId="106">
    <w:name w:val="脚注文本 字符"/>
    <w:semiHidden/>
    <w:qFormat/>
    <w:uiPriority w:val="99"/>
    <w:rPr>
      <w:rFonts w:ascii="Calibri" w:hAnsi="Calibri" w:eastAsia="宋体" w:cs="Times New Roman"/>
      <w:sz w:val="18"/>
      <w:szCs w:val="18"/>
    </w:rPr>
  </w:style>
  <w:style w:type="character" w:customStyle="1" w:styleId="107">
    <w:name w:val="脚注文本 字符1"/>
    <w:link w:val="29"/>
    <w:qFormat/>
    <w:uiPriority w:val="0"/>
    <w:rPr>
      <w:rFonts w:ascii="宋体" w:hAnsi="宋体" w:eastAsia="宋体" w:cs="Times New Roman"/>
      <w:sz w:val="18"/>
      <w:szCs w:val="18"/>
    </w:rPr>
  </w:style>
  <w:style w:type="character" w:customStyle="1" w:styleId="108">
    <w:name w:val="批注主题 字符"/>
    <w:semiHidden/>
    <w:qFormat/>
    <w:uiPriority w:val="99"/>
    <w:rPr>
      <w:rFonts w:ascii="Calibri" w:hAnsi="Calibri" w:eastAsia="宋体" w:cs="Times New Roman"/>
      <w:b/>
      <w:bCs/>
    </w:rPr>
  </w:style>
  <w:style w:type="character" w:customStyle="1" w:styleId="109">
    <w:name w:val="批注主题 字符1"/>
    <w:link w:val="34"/>
    <w:qFormat/>
    <w:uiPriority w:val="0"/>
    <w:rPr>
      <w:rFonts w:ascii="宋体" w:hAnsi="宋体" w:eastAsia="宋体" w:cs="Times New Roman"/>
      <w:b/>
      <w:bCs/>
      <w:sz w:val="24"/>
      <w:szCs w:val="24"/>
    </w:rPr>
  </w:style>
  <w:style w:type="paragraph" w:styleId="110">
    <w:name w:val="List Paragraph"/>
    <w:basedOn w:val="1"/>
    <w:qFormat/>
    <w:uiPriority w:val="34"/>
    <w:pPr>
      <w:ind w:firstLine="420" w:firstLineChars="200"/>
    </w:pPr>
    <w:rPr>
      <w:rFonts w:ascii="Times New Roman" w:hAnsi="Times New Roman"/>
      <w:szCs w:val="20"/>
    </w:rPr>
  </w:style>
  <w:style w:type="paragraph" w:customStyle="1" w:styleId="111">
    <w:name w:val="修订1"/>
    <w:hidden/>
    <w:semiHidden/>
    <w:qFormat/>
    <w:uiPriority w:val="99"/>
    <w:rPr>
      <w:rFonts w:ascii="Times New Roman" w:hAnsi="Times New Roman" w:eastAsia="宋体" w:cs="Times New Roman"/>
      <w:kern w:val="2"/>
      <w:sz w:val="21"/>
      <w:lang w:val="en-US" w:eastAsia="zh-CN" w:bidi="ar-SA"/>
    </w:rPr>
  </w:style>
  <w:style w:type="character" w:customStyle="1" w:styleId="112">
    <w:name w:val="NormalCharacter"/>
    <w:qFormat/>
    <w:uiPriority w:val="0"/>
    <w:rPr>
      <w:rFonts w:ascii="Times New Roman" w:hAnsi="Times New Roman" w:eastAsia="宋体" w:cs="Times New Roman"/>
      <w:kern w:val="2"/>
      <w:sz w:val="21"/>
      <w:szCs w:val="22"/>
      <w:lang w:val="en-US" w:eastAsia="zh-CN" w:bidi="ar-SA"/>
    </w:rPr>
  </w:style>
  <w:style w:type="paragraph" w:customStyle="1" w:styleId="113">
    <w:name w:val="Default"/>
    <w:next w:val="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14">
    <w:name w:val="文一"/>
    <w:basedOn w:val="1"/>
    <w:qFormat/>
    <w:uiPriority w:val="0"/>
    <w:pPr>
      <w:widowControl/>
      <w:topLinePunct/>
      <w:adjustRightInd w:val="0"/>
      <w:snapToGrid w:val="0"/>
      <w:spacing w:after="200" w:line="360" w:lineRule="auto"/>
      <w:ind w:firstLine="200" w:firstLineChars="200"/>
      <w:jc w:val="left"/>
    </w:pPr>
    <w:rPr>
      <w:spacing w:val="4"/>
      <w:kern w:val="0"/>
      <w:sz w:val="24"/>
      <w:szCs w:val="24"/>
    </w:rPr>
  </w:style>
  <w:style w:type="paragraph" w:customStyle="1" w:styleId="115">
    <w:name w:val="_Style 4"/>
    <w:basedOn w:val="1"/>
    <w:qFormat/>
    <w:uiPriority w:val="34"/>
    <w:pPr>
      <w:widowControl/>
      <w:adjustRightInd w:val="0"/>
      <w:snapToGrid w:val="0"/>
      <w:spacing w:after="200"/>
      <w:ind w:firstLine="420" w:firstLineChars="200"/>
      <w:jc w:val="left"/>
    </w:pPr>
    <w:rPr>
      <w:rFonts w:ascii="Tahoma" w:hAnsi="Tahoma" w:eastAsia="微软雅黑"/>
      <w:kern w:val="0"/>
      <w:sz w:val="22"/>
    </w:rPr>
  </w:style>
  <w:style w:type="paragraph" w:customStyle="1" w:styleId="116">
    <w:name w:val="BodyText"/>
    <w:basedOn w:val="1"/>
    <w:qFormat/>
    <w:uiPriority w:val="0"/>
    <w:pPr>
      <w:spacing w:after="120"/>
    </w:pPr>
    <w:rPr>
      <w:kern w:val="0"/>
      <w:sz w:val="20"/>
      <w:szCs w:val="20"/>
    </w:rPr>
  </w:style>
  <w:style w:type="character" w:customStyle="1" w:styleId="117">
    <w:name w:val="fontstyle01"/>
    <w:basedOn w:val="38"/>
    <w:qFormat/>
    <w:uiPriority w:val="0"/>
    <w:rPr>
      <w:rFonts w:ascii="FZXBSK--GBK1-0" w:hAnsi="FZXBSK--GBK1-0" w:eastAsia="FZXBSK--GBK1-0" w:cs="FZXBSK--GBK1-0"/>
      <w:color w:val="000000"/>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109</Pages>
  <Words>60357</Words>
  <Characters>62794</Characters>
  <Lines>2267</Lines>
  <Paragraphs>1743</Paragraphs>
  <TotalTime>116</TotalTime>
  <ScaleCrop>false</ScaleCrop>
  <LinksUpToDate>false</LinksUpToDate>
  <CharactersWithSpaces>65179</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2024-12-18T00:40:00Z</dcterms:created>
  <dc:creator>administrator</dc:creator>
  <cp:lastModifiedBy>ALiu666666漢鑫啊</cp:lastModifiedBy>
  <dcterms:modified xsi:type="dcterms:W3CDTF">2025-10-28T08:47:07Z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52CE8D33B8A1463B9DC851D53CDB2A43</vt:lpwstr>
  </property>
  <property fmtid="{D5CDD505-2E9C-101B-9397-08002B2CF9AE}" pid="4" name="KSOTemplateDocerSaveRecord">
    <vt:lpwstr>eyJoZGlkIjoiYWY4Y2FkMWRlY2ZiMmU3MGIxZjcxMjA3YmUwMTc5ZjkiLCJ1c2VySWQiOiI0NDE1MzEwODMifQ==</vt:lpwstr>
  </property>
</Properties>
</file>