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36"/>
          <w:highlight w:val="none"/>
          <w:u w:val="single"/>
        </w:rPr>
      </w:pPr>
    </w:p>
    <w:p>
      <w:pPr>
        <w:spacing w:after="240" w:line="360" w:lineRule="auto"/>
        <w:jc w:val="center"/>
        <w:rPr>
          <w:rFonts w:ascii="宋体" w:hAnsi="宋体"/>
          <w:b/>
          <w:color w:val="auto"/>
          <w:sz w:val="40"/>
          <w:szCs w:val="36"/>
          <w:highlight w:val="none"/>
        </w:rPr>
      </w:pPr>
      <w:r>
        <w:rPr>
          <w:rFonts w:hint="eastAsia" w:ascii="宋体" w:hAnsi="宋体"/>
          <w:b/>
          <w:color w:val="auto"/>
          <w:sz w:val="40"/>
          <w:szCs w:val="36"/>
          <w:highlight w:val="none"/>
        </w:rPr>
        <w:t>岭南文化创意产业园项目一期工程施工监理</w:t>
      </w:r>
    </w:p>
    <w:p>
      <w:pPr>
        <w:spacing w:line="400" w:lineRule="exact"/>
        <w:rPr>
          <w:rFonts w:ascii="宋体" w:hAnsi="宋体"/>
          <w:color w:val="auto"/>
          <w:highlight w:val="none"/>
        </w:rPr>
      </w:pPr>
    </w:p>
    <w:p>
      <w:pPr>
        <w:spacing w:line="400" w:lineRule="exact"/>
        <w:jc w:val="right"/>
        <w:rPr>
          <w:rFonts w:ascii="宋体" w:hAnsi="宋体"/>
          <w:color w:val="auto"/>
          <w:highlight w:val="none"/>
        </w:rPr>
      </w:pPr>
    </w:p>
    <w:p>
      <w:pPr>
        <w:spacing w:line="400" w:lineRule="exact"/>
        <w:jc w:val="right"/>
        <w:rPr>
          <w:rFonts w:ascii="宋体" w:hAnsi="宋体"/>
          <w:color w:val="auto"/>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szCs w:val="28"/>
          <w:highlight w:val="none"/>
        </w:rPr>
      </w:pPr>
    </w:p>
    <w:p>
      <w:pPr>
        <w:rPr>
          <w:rFonts w:ascii="宋体" w:hAnsi="宋体"/>
          <w:color w:val="auto"/>
          <w:sz w:val="28"/>
          <w:highlight w:val="none"/>
        </w:rPr>
      </w:pPr>
    </w:p>
    <w:p>
      <w:pPr>
        <w:jc w:val="center"/>
        <w:rPr>
          <w:rFonts w:ascii="宋体" w:hAnsi="宋体"/>
          <w:b/>
          <w:color w:val="auto"/>
          <w:sz w:val="72"/>
          <w:szCs w:val="52"/>
          <w:highlight w:val="none"/>
        </w:rPr>
      </w:pPr>
      <w:r>
        <w:rPr>
          <w:rFonts w:hint="eastAsia" w:ascii="宋体" w:hAnsi="宋体"/>
          <w:b/>
          <w:color w:val="auto"/>
          <w:sz w:val="72"/>
          <w:szCs w:val="52"/>
          <w:highlight w:val="none"/>
        </w:rPr>
        <w:t>招标文件</w:t>
      </w: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jc w:val="center"/>
        <w:rPr>
          <w:rFonts w:ascii="宋体" w:hAnsi="宋体"/>
          <w:b/>
          <w:color w:val="auto"/>
          <w:sz w:val="28"/>
          <w:szCs w:val="24"/>
          <w:highlight w:val="none"/>
        </w:rPr>
      </w:pPr>
      <w:bookmarkStart w:id="0" w:name="_Toc152042287"/>
      <w:bookmarkStart w:id="1" w:name="_Toc152045511"/>
      <w:bookmarkStart w:id="2" w:name="_Toc144974479"/>
      <w:r>
        <w:rPr>
          <w:rFonts w:hint="eastAsia" w:ascii="宋体" w:hAnsi="宋体"/>
          <w:b/>
          <w:color w:val="auto"/>
          <w:sz w:val="28"/>
          <w:szCs w:val="24"/>
          <w:highlight w:val="none"/>
        </w:rPr>
        <w:t>招标人：广东粤新文化产业投资有限公司（盖章）</w:t>
      </w:r>
    </w:p>
    <w:p>
      <w:pPr>
        <w:jc w:val="center"/>
        <w:rPr>
          <w:rFonts w:ascii="宋体" w:hAnsi="宋体"/>
          <w:b/>
          <w:color w:val="auto"/>
          <w:sz w:val="28"/>
          <w:szCs w:val="24"/>
          <w:highlight w:val="none"/>
        </w:rPr>
      </w:pPr>
      <w:r>
        <w:rPr>
          <w:rFonts w:hint="eastAsia" w:ascii="宋体" w:hAnsi="宋体"/>
          <w:b/>
          <w:color w:val="auto"/>
          <w:sz w:val="28"/>
          <w:szCs w:val="24"/>
          <w:highlight w:val="none"/>
        </w:rPr>
        <w:t>招标代理单位：国义招标股份有限公司（盖章）</w:t>
      </w:r>
    </w:p>
    <w:p>
      <w:pPr>
        <w:jc w:val="center"/>
        <w:rPr>
          <w:rFonts w:ascii="宋体" w:hAnsi="宋体" w:cs="Calibri"/>
          <w:b/>
          <w:color w:val="auto"/>
          <w:kern w:val="0"/>
          <w:sz w:val="28"/>
          <w:szCs w:val="20"/>
          <w:highlight w:val="none"/>
        </w:rPr>
        <w:sectPr>
          <w:pgSz w:w="11906" w:h="16838"/>
          <w:pgMar w:top="1440" w:right="1800" w:bottom="1440" w:left="1800" w:header="851" w:footer="992" w:gutter="0"/>
          <w:cols w:space="720" w:num="1"/>
          <w:rtlGutter w:val="1"/>
          <w:docGrid w:type="lines" w:linePitch="312" w:charSpace="0"/>
        </w:sectPr>
      </w:pPr>
      <w:r>
        <w:rPr>
          <w:rFonts w:hint="eastAsia" w:ascii="宋体" w:hAnsi="宋体"/>
          <w:b/>
          <w:color w:val="auto"/>
          <w:sz w:val="28"/>
          <w:szCs w:val="28"/>
          <w:highlight w:val="none"/>
        </w:rPr>
        <w:t>20</w:t>
      </w:r>
      <w:r>
        <w:rPr>
          <w:rFonts w:hint="eastAsia" w:ascii="宋体" w:hAnsi="宋体"/>
          <w:b/>
          <w:color w:val="auto"/>
          <w:sz w:val="28"/>
          <w:szCs w:val="28"/>
          <w:highlight w:val="none"/>
          <w:u w:val="single"/>
        </w:rPr>
        <w:t>23</w:t>
      </w:r>
      <w:r>
        <w:rPr>
          <w:rFonts w:hint="eastAsia" w:ascii="宋体" w:hAnsi="宋体"/>
          <w:b/>
          <w:color w:val="auto"/>
          <w:sz w:val="28"/>
          <w:szCs w:val="28"/>
          <w:highlight w:val="none"/>
        </w:rPr>
        <w:t xml:space="preserve">年 </w:t>
      </w:r>
      <w:r>
        <w:rPr>
          <w:rFonts w:hint="eastAsia" w:ascii="宋体" w:hAnsi="宋体"/>
          <w:b/>
          <w:color w:val="auto"/>
          <w:sz w:val="28"/>
          <w:szCs w:val="28"/>
          <w:highlight w:val="none"/>
          <w:u w:val="single"/>
        </w:rPr>
        <w:t>2</w:t>
      </w:r>
      <w:r>
        <w:rPr>
          <w:rFonts w:hint="eastAsia" w:ascii="宋体" w:hAnsi="宋体"/>
          <w:b/>
          <w:color w:val="auto"/>
          <w:sz w:val="28"/>
          <w:szCs w:val="28"/>
          <w:highlight w:val="none"/>
        </w:rPr>
        <w:t xml:space="preserve">月  </w:t>
      </w:r>
      <w:r>
        <w:rPr>
          <w:rFonts w:hint="eastAsia" w:ascii="宋体" w:hAnsi="宋体" w:cs="Calibri"/>
          <w:b/>
          <w:color w:val="auto"/>
          <w:kern w:val="0"/>
          <w:sz w:val="28"/>
          <w:szCs w:val="20"/>
          <w:highlight w:val="none"/>
        </w:rPr>
        <w:t>日</w:t>
      </w:r>
    </w:p>
    <w:p>
      <w:pPr>
        <w:pStyle w:val="32"/>
        <w:keepNext w:val="0"/>
        <w:keepLines w:val="0"/>
        <w:widowControl w:val="0"/>
        <w:jc w:val="center"/>
        <w:rPr>
          <w:rFonts w:ascii="宋体" w:hAnsi="宋体"/>
          <w:color w:val="auto"/>
          <w:highlight w:val="none"/>
          <w:lang w:val="zh-CN"/>
        </w:rPr>
      </w:pPr>
      <w:r>
        <w:rPr>
          <w:rFonts w:hint="eastAsia" w:ascii="宋体" w:hAnsi="宋体"/>
          <w:color w:val="auto"/>
          <w:highlight w:val="none"/>
          <w:lang w:val="zh-CN"/>
        </w:rPr>
        <w:t>目录</w:t>
      </w:r>
    </w:p>
    <w:p>
      <w:pPr>
        <w:jc w:val="center"/>
        <w:rPr>
          <w:color w:val="auto"/>
          <w:highlight w:val="none"/>
          <w:lang w:val="zh-CN"/>
        </w:rPr>
      </w:pPr>
    </w:p>
    <w:p>
      <w:pPr>
        <w:pStyle w:val="15"/>
        <w:tabs>
          <w:tab w:val="right" w:leader="dot" w:pos="8630"/>
        </w:tabs>
        <w:spacing w:line="480" w:lineRule="auto"/>
        <w:rPr>
          <w:rFonts w:ascii="宋体" w:hAnsi="宋体" w:cs="Times New Roman"/>
          <w:color w:val="auto"/>
          <w:sz w:val="24"/>
          <w:szCs w:val="24"/>
          <w:highlight w:val="none"/>
        </w:rPr>
      </w:pPr>
      <w:r>
        <w:rPr>
          <w:color w:val="auto"/>
          <w:highlight w:val="none"/>
        </w:rPr>
        <w:fldChar w:fldCharType="begin"/>
      </w:r>
      <w:r>
        <w:rPr>
          <w:color w:val="auto"/>
          <w:highlight w:val="none"/>
        </w:rPr>
        <w:instrText xml:space="preserve"> TOC \o "1-1" \h \z \u </w:instrText>
      </w:r>
      <w:r>
        <w:rPr>
          <w:color w:val="auto"/>
          <w:highlight w:val="none"/>
        </w:rPr>
        <w:fldChar w:fldCharType="separate"/>
      </w:r>
      <w:r>
        <w:rPr>
          <w:color w:val="auto"/>
          <w:highlight w:val="none"/>
        </w:rPr>
        <w:fldChar w:fldCharType="begin"/>
      </w:r>
      <w:r>
        <w:rPr>
          <w:color w:val="auto"/>
          <w:highlight w:val="none"/>
        </w:rPr>
        <w:instrText xml:space="preserve"> HYPERLINK \l "_Toc63769812" </w:instrText>
      </w:r>
      <w:r>
        <w:rPr>
          <w:color w:val="auto"/>
          <w:highlight w:val="none"/>
        </w:rPr>
        <w:fldChar w:fldCharType="separate"/>
      </w:r>
      <w:r>
        <w:rPr>
          <w:rStyle w:val="26"/>
          <w:rFonts w:hint="eastAsia" w:ascii="宋体" w:hAnsi="宋体"/>
          <w:b/>
          <w:color w:val="auto"/>
          <w:sz w:val="24"/>
          <w:szCs w:val="24"/>
          <w:highlight w:val="none"/>
        </w:rPr>
        <w:t>第一卷</w:t>
      </w:r>
      <w:r>
        <w:rPr>
          <w:rFonts w:ascii="宋体" w:hAnsi="宋体"/>
          <w:b/>
          <w:color w:val="auto"/>
          <w:sz w:val="24"/>
          <w:szCs w:val="24"/>
          <w:highlight w:val="none"/>
        </w:rPr>
        <w:tab/>
      </w: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PAGEREF _Toc63769812 \h </w:instrText>
      </w:r>
      <w:r>
        <w:rPr>
          <w:rFonts w:ascii="宋体" w:hAnsi="宋体"/>
          <w:b/>
          <w:color w:val="auto"/>
          <w:sz w:val="24"/>
          <w:szCs w:val="24"/>
          <w:highlight w:val="none"/>
        </w:rPr>
        <w:fldChar w:fldCharType="separate"/>
      </w:r>
      <w:r>
        <w:rPr>
          <w:rFonts w:ascii="宋体" w:hAnsi="宋体"/>
          <w:b/>
          <w:color w:val="auto"/>
          <w:sz w:val="24"/>
          <w:szCs w:val="24"/>
          <w:highlight w:val="none"/>
        </w:rPr>
        <w:t>2</w:t>
      </w:r>
      <w:r>
        <w:rPr>
          <w:rFonts w:ascii="宋体" w:hAnsi="宋体"/>
          <w:b/>
          <w:color w:val="auto"/>
          <w:sz w:val="24"/>
          <w:szCs w:val="24"/>
          <w:highlight w:val="none"/>
        </w:rPr>
        <w:fldChar w:fldCharType="end"/>
      </w:r>
      <w:r>
        <w:rPr>
          <w:rFonts w:ascii="宋体" w:hAnsi="宋体"/>
          <w:b/>
          <w:color w:val="auto"/>
          <w:sz w:val="24"/>
          <w:szCs w:val="24"/>
          <w:highlight w:val="none"/>
        </w:rPr>
        <w:fldChar w:fldCharType="end"/>
      </w:r>
    </w:p>
    <w:p>
      <w:pPr>
        <w:pStyle w:val="15"/>
        <w:tabs>
          <w:tab w:val="right" w:leader="dot" w:pos="8630"/>
        </w:tabs>
        <w:spacing w:line="480" w:lineRule="auto"/>
        <w:rPr>
          <w:rFonts w:ascii="宋体" w:hAnsi="宋体" w:cs="Times New Roman"/>
          <w:color w:val="auto"/>
          <w:sz w:val="24"/>
          <w:szCs w:val="24"/>
          <w:highlight w:val="none"/>
        </w:rPr>
      </w:pPr>
      <w:r>
        <w:rPr>
          <w:color w:val="auto"/>
          <w:highlight w:val="none"/>
        </w:rPr>
        <w:fldChar w:fldCharType="begin"/>
      </w:r>
      <w:r>
        <w:rPr>
          <w:color w:val="auto"/>
          <w:highlight w:val="none"/>
        </w:rPr>
        <w:instrText xml:space="preserve"> HYPERLINK \l "_Toc63769813" </w:instrText>
      </w:r>
      <w:r>
        <w:rPr>
          <w:color w:val="auto"/>
          <w:highlight w:val="none"/>
        </w:rPr>
        <w:fldChar w:fldCharType="separate"/>
      </w:r>
      <w:r>
        <w:rPr>
          <w:rStyle w:val="26"/>
          <w:rFonts w:hint="eastAsia" w:ascii="宋体" w:hAnsi="宋体"/>
          <w:color w:val="auto"/>
          <w:sz w:val="24"/>
          <w:szCs w:val="24"/>
          <w:highlight w:val="none"/>
        </w:rPr>
        <w:t>第一章招标公告</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_Toc63769813 \h </w:instrText>
      </w:r>
      <w:r>
        <w:rPr>
          <w:rFonts w:ascii="宋体" w:hAnsi="宋体"/>
          <w:color w:val="auto"/>
          <w:sz w:val="24"/>
          <w:szCs w:val="24"/>
          <w:highlight w:val="none"/>
        </w:rPr>
        <w:fldChar w:fldCharType="separate"/>
      </w:r>
      <w:r>
        <w:rPr>
          <w:rFonts w:ascii="宋体" w:hAnsi="宋体"/>
          <w:color w:val="auto"/>
          <w:sz w:val="24"/>
          <w:szCs w:val="24"/>
          <w:highlight w:val="none"/>
        </w:rPr>
        <w:t>2</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5"/>
        <w:tabs>
          <w:tab w:val="right" w:leader="dot" w:pos="8630"/>
        </w:tabs>
        <w:spacing w:line="480" w:lineRule="auto"/>
        <w:rPr>
          <w:rFonts w:ascii="宋体" w:hAnsi="宋体" w:cs="Times New Roman"/>
          <w:color w:val="auto"/>
          <w:sz w:val="24"/>
          <w:szCs w:val="24"/>
          <w:highlight w:val="none"/>
        </w:rPr>
      </w:pPr>
      <w:r>
        <w:rPr>
          <w:color w:val="auto"/>
          <w:highlight w:val="none"/>
        </w:rPr>
        <w:fldChar w:fldCharType="begin"/>
      </w:r>
      <w:r>
        <w:rPr>
          <w:color w:val="auto"/>
          <w:highlight w:val="none"/>
        </w:rPr>
        <w:instrText xml:space="preserve"> HYPERLINK \l "_Toc63769814" </w:instrText>
      </w:r>
      <w:r>
        <w:rPr>
          <w:color w:val="auto"/>
          <w:highlight w:val="none"/>
        </w:rPr>
        <w:fldChar w:fldCharType="separate"/>
      </w:r>
      <w:r>
        <w:rPr>
          <w:rStyle w:val="26"/>
          <w:rFonts w:hint="eastAsia" w:ascii="宋体" w:hAnsi="宋体"/>
          <w:color w:val="auto"/>
          <w:sz w:val="24"/>
          <w:szCs w:val="24"/>
          <w:highlight w:val="none"/>
        </w:rPr>
        <w:t>第二章投标人须知</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_Toc63769814 \h </w:instrText>
      </w:r>
      <w:r>
        <w:rPr>
          <w:rFonts w:ascii="宋体" w:hAnsi="宋体"/>
          <w:color w:val="auto"/>
          <w:sz w:val="24"/>
          <w:szCs w:val="24"/>
          <w:highlight w:val="none"/>
        </w:rPr>
        <w:fldChar w:fldCharType="separate"/>
      </w:r>
      <w:r>
        <w:rPr>
          <w:rFonts w:ascii="宋体" w:hAnsi="宋体"/>
          <w:color w:val="auto"/>
          <w:sz w:val="24"/>
          <w:szCs w:val="24"/>
          <w:highlight w:val="none"/>
        </w:rPr>
        <w:t>3</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5"/>
        <w:tabs>
          <w:tab w:val="right" w:leader="dot" w:pos="8630"/>
        </w:tabs>
        <w:spacing w:line="480" w:lineRule="auto"/>
        <w:rPr>
          <w:rFonts w:ascii="宋体" w:hAnsi="宋体" w:cs="Times New Roman"/>
          <w:color w:val="auto"/>
          <w:sz w:val="24"/>
          <w:szCs w:val="24"/>
          <w:highlight w:val="none"/>
        </w:rPr>
      </w:pPr>
      <w:r>
        <w:rPr>
          <w:color w:val="auto"/>
          <w:highlight w:val="none"/>
        </w:rPr>
        <w:fldChar w:fldCharType="begin"/>
      </w:r>
      <w:r>
        <w:rPr>
          <w:color w:val="auto"/>
          <w:highlight w:val="none"/>
        </w:rPr>
        <w:instrText xml:space="preserve"> HYPERLINK \l "_Toc63769815" </w:instrText>
      </w:r>
      <w:r>
        <w:rPr>
          <w:color w:val="auto"/>
          <w:highlight w:val="none"/>
        </w:rPr>
        <w:fldChar w:fldCharType="separate"/>
      </w:r>
      <w:r>
        <w:rPr>
          <w:rStyle w:val="26"/>
          <w:rFonts w:hint="eastAsia" w:ascii="宋体" w:hAnsi="宋体"/>
          <w:color w:val="auto"/>
          <w:sz w:val="24"/>
          <w:szCs w:val="24"/>
          <w:highlight w:val="none"/>
        </w:rPr>
        <w:t>第三章评标办法（综合评估法）</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_Toc63769815 \h </w:instrText>
      </w:r>
      <w:r>
        <w:rPr>
          <w:rFonts w:ascii="宋体" w:hAnsi="宋体"/>
          <w:color w:val="auto"/>
          <w:sz w:val="24"/>
          <w:szCs w:val="24"/>
          <w:highlight w:val="none"/>
        </w:rPr>
        <w:fldChar w:fldCharType="separate"/>
      </w:r>
      <w:r>
        <w:rPr>
          <w:rFonts w:ascii="宋体" w:hAnsi="宋体"/>
          <w:color w:val="auto"/>
          <w:sz w:val="24"/>
          <w:szCs w:val="24"/>
          <w:highlight w:val="none"/>
        </w:rPr>
        <w:t>30</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5"/>
        <w:tabs>
          <w:tab w:val="right" w:leader="dot" w:pos="8630"/>
        </w:tabs>
        <w:spacing w:line="480" w:lineRule="auto"/>
        <w:rPr>
          <w:rFonts w:ascii="宋体" w:hAnsi="宋体" w:cs="Times New Roman"/>
          <w:color w:val="auto"/>
          <w:sz w:val="24"/>
          <w:szCs w:val="24"/>
          <w:highlight w:val="none"/>
        </w:rPr>
      </w:pPr>
      <w:r>
        <w:rPr>
          <w:color w:val="auto"/>
          <w:highlight w:val="none"/>
        </w:rPr>
        <w:fldChar w:fldCharType="begin"/>
      </w:r>
      <w:r>
        <w:rPr>
          <w:color w:val="auto"/>
          <w:highlight w:val="none"/>
        </w:rPr>
        <w:instrText xml:space="preserve"> HYPERLINK \l "_Toc63769816" </w:instrText>
      </w:r>
      <w:r>
        <w:rPr>
          <w:color w:val="auto"/>
          <w:highlight w:val="none"/>
        </w:rPr>
        <w:fldChar w:fldCharType="separate"/>
      </w:r>
      <w:r>
        <w:rPr>
          <w:rStyle w:val="26"/>
          <w:rFonts w:hint="eastAsia" w:ascii="宋体" w:hAnsi="宋体"/>
          <w:color w:val="auto"/>
          <w:sz w:val="24"/>
          <w:szCs w:val="24"/>
          <w:highlight w:val="none"/>
        </w:rPr>
        <w:t>第四章合同条款及格式</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_Toc63769816 \h </w:instrText>
      </w:r>
      <w:r>
        <w:rPr>
          <w:rFonts w:ascii="宋体" w:hAnsi="宋体"/>
          <w:color w:val="auto"/>
          <w:sz w:val="24"/>
          <w:szCs w:val="24"/>
          <w:highlight w:val="none"/>
        </w:rPr>
        <w:fldChar w:fldCharType="separate"/>
      </w:r>
      <w:r>
        <w:rPr>
          <w:rFonts w:ascii="宋体" w:hAnsi="宋体"/>
          <w:color w:val="auto"/>
          <w:sz w:val="24"/>
          <w:szCs w:val="24"/>
          <w:highlight w:val="none"/>
        </w:rPr>
        <w:t>40</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5"/>
        <w:tabs>
          <w:tab w:val="right" w:leader="dot" w:pos="8630"/>
        </w:tabs>
        <w:spacing w:line="480" w:lineRule="auto"/>
        <w:rPr>
          <w:rFonts w:ascii="宋体" w:hAnsi="宋体" w:cs="Times New Roman"/>
          <w:color w:val="auto"/>
          <w:sz w:val="24"/>
          <w:szCs w:val="24"/>
          <w:highlight w:val="none"/>
        </w:rPr>
      </w:pPr>
      <w:r>
        <w:rPr>
          <w:color w:val="auto"/>
          <w:highlight w:val="none"/>
        </w:rPr>
        <w:fldChar w:fldCharType="begin"/>
      </w:r>
      <w:r>
        <w:rPr>
          <w:color w:val="auto"/>
          <w:highlight w:val="none"/>
        </w:rPr>
        <w:instrText xml:space="preserve"> HYPERLINK \l "_Toc63769817" </w:instrText>
      </w:r>
      <w:r>
        <w:rPr>
          <w:color w:val="auto"/>
          <w:highlight w:val="none"/>
        </w:rPr>
        <w:fldChar w:fldCharType="separate"/>
      </w:r>
      <w:r>
        <w:rPr>
          <w:rStyle w:val="26"/>
          <w:rFonts w:hint="eastAsia" w:ascii="宋体" w:hAnsi="宋体"/>
          <w:b/>
          <w:color w:val="auto"/>
          <w:sz w:val="24"/>
          <w:szCs w:val="24"/>
          <w:highlight w:val="none"/>
        </w:rPr>
        <w:t>第二卷</w:t>
      </w:r>
      <w:r>
        <w:rPr>
          <w:rFonts w:ascii="宋体" w:hAnsi="宋体"/>
          <w:b/>
          <w:color w:val="auto"/>
          <w:sz w:val="24"/>
          <w:szCs w:val="24"/>
          <w:highlight w:val="none"/>
        </w:rPr>
        <w:tab/>
      </w: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PAGEREF _Toc63769817 \h </w:instrText>
      </w:r>
      <w:r>
        <w:rPr>
          <w:rFonts w:ascii="宋体" w:hAnsi="宋体"/>
          <w:b/>
          <w:color w:val="auto"/>
          <w:sz w:val="24"/>
          <w:szCs w:val="24"/>
          <w:highlight w:val="none"/>
        </w:rPr>
        <w:fldChar w:fldCharType="separate"/>
      </w:r>
      <w:r>
        <w:rPr>
          <w:rFonts w:ascii="宋体" w:hAnsi="宋体"/>
          <w:b/>
          <w:color w:val="auto"/>
          <w:sz w:val="24"/>
          <w:szCs w:val="24"/>
          <w:highlight w:val="none"/>
        </w:rPr>
        <w:t>41</w:t>
      </w:r>
      <w:r>
        <w:rPr>
          <w:rFonts w:ascii="宋体" w:hAnsi="宋体"/>
          <w:b/>
          <w:color w:val="auto"/>
          <w:sz w:val="24"/>
          <w:szCs w:val="24"/>
          <w:highlight w:val="none"/>
        </w:rPr>
        <w:fldChar w:fldCharType="end"/>
      </w:r>
      <w:r>
        <w:rPr>
          <w:rFonts w:ascii="宋体" w:hAnsi="宋体"/>
          <w:b/>
          <w:color w:val="auto"/>
          <w:sz w:val="24"/>
          <w:szCs w:val="24"/>
          <w:highlight w:val="none"/>
        </w:rPr>
        <w:fldChar w:fldCharType="end"/>
      </w:r>
    </w:p>
    <w:p>
      <w:pPr>
        <w:pStyle w:val="15"/>
        <w:tabs>
          <w:tab w:val="right" w:leader="dot" w:pos="8630"/>
        </w:tabs>
        <w:spacing w:line="480" w:lineRule="auto"/>
        <w:rPr>
          <w:rFonts w:ascii="宋体" w:hAnsi="宋体" w:cs="Times New Roman"/>
          <w:color w:val="auto"/>
          <w:sz w:val="24"/>
          <w:szCs w:val="24"/>
          <w:highlight w:val="none"/>
        </w:rPr>
      </w:pPr>
      <w:r>
        <w:rPr>
          <w:color w:val="auto"/>
          <w:highlight w:val="none"/>
        </w:rPr>
        <w:fldChar w:fldCharType="begin"/>
      </w:r>
      <w:r>
        <w:rPr>
          <w:color w:val="auto"/>
          <w:highlight w:val="none"/>
        </w:rPr>
        <w:instrText xml:space="preserve"> HYPERLINK \l "_Toc63769818" </w:instrText>
      </w:r>
      <w:r>
        <w:rPr>
          <w:color w:val="auto"/>
          <w:highlight w:val="none"/>
        </w:rPr>
        <w:fldChar w:fldCharType="separate"/>
      </w:r>
      <w:r>
        <w:rPr>
          <w:rStyle w:val="26"/>
          <w:rFonts w:hint="eastAsia" w:ascii="宋体" w:hAnsi="宋体"/>
          <w:color w:val="auto"/>
          <w:sz w:val="24"/>
          <w:szCs w:val="24"/>
          <w:highlight w:val="none"/>
        </w:rPr>
        <w:t>第五章委托人要求</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_Toc63769818 \h </w:instrText>
      </w:r>
      <w:r>
        <w:rPr>
          <w:rFonts w:ascii="宋体" w:hAnsi="宋体"/>
          <w:color w:val="auto"/>
          <w:sz w:val="24"/>
          <w:szCs w:val="24"/>
          <w:highlight w:val="none"/>
        </w:rPr>
        <w:fldChar w:fldCharType="separate"/>
      </w:r>
      <w:r>
        <w:rPr>
          <w:rFonts w:ascii="宋体" w:hAnsi="宋体"/>
          <w:color w:val="auto"/>
          <w:sz w:val="24"/>
          <w:szCs w:val="24"/>
          <w:highlight w:val="none"/>
        </w:rPr>
        <w:t>41</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pStyle w:val="15"/>
        <w:tabs>
          <w:tab w:val="right" w:leader="dot" w:pos="8630"/>
        </w:tabs>
        <w:spacing w:line="480" w:lineRule="auto"/>
        <w:rPr>
          <w:rFonts w:ascii="宋体" w:hAnsi="宋体" w:cs="Times New Roman"/>
          <w:color w:val="auto"/>
          <w:sz w:val="24"/>
          <w:szCs w:val="24"/>
          <w:highlight w:val="none"/>
        </w:rPr>
      </w:pPr>
      <w:r>
        <w:rPr>
          <w:color w:val="auto"/>
          <w:highlight w:val="none"/>
        </w:rPr>
        <w:fldChar w:fldCharType="begin"/>
      </w:r>
      <w:r>
        <w:rPr>
          <w:color w:val="auto"/>
          <w:highlight w:val="none"/>
        </w:rPr>
        <w:instrText xml:space="preserve"> HYPERLINK \l "_Toc63769819" </w:instrText>
      </w:r>
      <w:r>
        <w:rPr>
          <w:color w:val="auto"/>
          <w:highlight w:val="none"/>
        </w:rPr>
        <w:fldChar w:fldCharType="separate"/>
      </w:r>
      <w:r>
        <w:rPr>
          <w:rStyle w:val="26"/>
          <w:rFonts w:hint="eastAsia" w:ascii="宋体" w:hAnsi="宋体"/>
          <w:b/>
          <w:color w:val="auto"/>
          <w:sz w:val="24"/>
          <w:szCs w:val="24"/>
          <w:highlight w:val="none"/>
        </w:rPr>
        <w:t>第三卷</w:t>
      </w:r>
      <w:r>
        <w:rPr>
          <w:rFonts w:ascii="宋体" w:hAnsi="宋体"/>
          <w:b/>
          <w:color w:val="auto"/>
          <w:sz w:val="24"/>
          <w:szCs w:val="24"/>
          <w:highlight w:val="none"/>
        </w:rPr>
        <w:tab/>
      </w: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PAGEREF _Toc63769819 \h </w:instrText>
      </w:r>
      <w:r>
        <w:rPr>
          <w:rFonts w:ascii="宋体" w:hAnsi="宋体"/>
          <w:b/>
          <w:color w:val="auto"/>
          <w:sz w:val="24"/>
          <w:szCs w:val="24"/>
          <w:highlight w:val="none"/>
        </w:rPr>
        <w:fldChar w:fldCharType="separate"/>
      </w:r>
      <w:r>
        <w:rPr>
          <w:rFonts w:ascii="宋体" w:hAnsi="宋体"/>
          <w:b/>
          <w:color w:val="auto"/>
          <w:sz w:val="24"/>
          <w:szCs w:val="24"/>
          <w:highlight w:val="none"/>
        </w:rPr>
        <w:t>48</w:t>
      </w:r>
      <w:r>
        <w:rPr>
          <w:rFonts w:ascii="宋体" w:hAnsi="宋体"/>
          <w:b/>
          <w:color w:val="auto"/>
          <w:sz w:val="24"/>
          <w:szCs w:val="24"/>
          <w:highlight w:val="none"/>
        </w:rPr>
        <w:fldChar w:fldCharType="end"/>
      </w:r>
      <w:r>
        <w:rPr>
          <w:rFonts w:ascii="宋体" w:hAnsi="宋体"/>
          <w:b/>
          <w:color w:val="auto"/>
          <w:sz w:val="24"/>
          <w:szCs w:val="24"/>
          <w:highlight w:val="none"/>
        </w:rPr>
        <w:fldChar w:fldCharType="end"/>
      </w:r>
    </w:p>
    <w:p>
      <w:pPr>
        <w:pStyle w:val="15"/>
        <w:tabs>
          <w:tab w:val="right" w:leader="dot" w:pos="8630"/>
        </w:tabs>
        <w:spacing w:line="480" w:lineRule="auto"/>
        <w:rPr>
          <w:rFonts w:cs="Times New Roman"/>
          <w:color w:val="auto"/>
          <w:highlight w:val="none"/>
        </w:rPr>
      </w:pPr>
      <w:r>
        <w:rPr>
          <w:color w:val="auto"/>
          <w:highlight w:val="none"/>
        </w:rPr>
        <w:fldChar w:fldCharType="begin"/>
      </w:r>
      <w:r>
        <w:rPr>
          <w:color w:val="auto"/>
          <w:highlight w:val="none"/>
        </w:rPr>
        <w:instrText xml:space="preserve"> HYPERLINK \l "_Toc63769820" </w:instrText>
      </w:r>
      <w:r>
        <w:rPr>
          <w:color w:val="auto"/>
          <w:highlight w:val="none"/>
        </w:rPr>
        <w:fldChar w:fldCharType="separate"/>
      </w:r>
      <w:r>
        <w:rPr>
          <w:rStyle w:val="26"/>
          <w:rFonts w:hint="eastAsia" w:ascii="宋体" w:hAnsi="宋体"/>
          <w:color w:val="auto"/>
          <w:sz w:val="24"/>
          <w:szCs w:val="24"/>
          <w:highlight w:val="none"/>
        </w:rPr>
        <w:t>第六章投标文件格式</w:t>
      </w:r>
      <w:r>
        <w:rPr>
          <w:rFonts w:ascii="宋体" w:hAnsi="宋体"/>
          <w:color w:val="auto"/>
          <w:sz w:val="24"/>
          <w:szCs w:val="24"/>
          <w:highlight w:val="none"/>
        </w:rPr>
        <w:tab/>
      </w:r>
      <w:r>
        <w:rPr>
          <w:rFonts w:ascii="宋体" w:hAnsi="宋体"/>
          <w:color w:val="auto"/>
          <w:sz w:val="24"/>
          <w:szCs w:val="24"/>
          <w:highlight w:val="none"/>
        </w:rPr>
        <w:fldChar w:fldCharType="begin"/>
      </w:r>
      <w:r>
        <w:rPr>
          <w:rFonts w:ascii="宋体" w:hAnsi="宋体"/>
          <w:color w:val="auto"/>
          <w:sz w:val="24"/>
          <w:szCs w:val="24"/>
          <w:highlight w:val="none"/>
        </w:rPr>
        <w:instrText xml:space="preserve"> PAGEREF _Toc63769820 \h </w:instrText>
      </w:r>
      <w:r>
        <w:rPr>
          <w:rFonts w:ascii="宋体" w:hAnsi="宋体"/>
          <w:color w:val="auto"/>
          <w:sz w:val="24"/>
          <w:szCs w:val="24"/>
          <w:highlight w:val="none"/>
        </w:rPr>
        <w:fldChar w:fldCharType="separate"/>
      </w:r>
      <w:r>
        <w:rPr>
          <w:rFonts w:ascii="宋体" w:hAnsi="宋体"/>
          <w:color w:val="auto"/>
          <w:sz w:val="24"/>
          <w:szCs w:val="24"/>
          <w:highlight w:val="none"/>
        </w:rPr>
        <w:t>48</w:t>
      </w:r>
      <w:r>
        <w:rPr>
          <w:rFonts w:ascii="宋体" w:hAnsi="宋体"/>
          <w:color w:val="auto"/>
          <w:sz w:val="24"/>
          <w:szCs w:val="24"/>
          <w:highlight w:val="none"/>
        </w:rPr>
        <w:fldChar w:fldCharType="end"/>
      </w:r>
      <w:r>
        <w:rPr>
          <w:rFonts w:ascii="宋体" w:hAnsi="宋体"/>
          <w:color w:val="auto"/>
          <w:sz w:val="24"/>
          <w:szCs w:val="24"/>
          <w:highlight w:val="none"/>
        </w:rPr>
        <w:fldChar w:fldCharType="end"/>
      </w:r>
    </w:p>
    <w:p>
      <w:pPr>
        <w:spacing w:line="480" w:lineRule="auto"/>
        <w:rPr>
          <w:rFonts w:ascii="宋体" w:hAnsi="宋体"/>
          <w:color w:val="auto"/>
          <w:highlight w:val="none"/>
        </w:rPr>
      </w:pPr>
      <w:r>
        <w:rPr>
          <w:color w:val="auto"/>
          <w:highlight w:val="none"/>
        </w:rPr>
        <w:fldChar w:fldCharType="end"/>
      </w:r>
    </w:p>
    <w:p>
      <w:pPr>
        <w:widowControl/>
        <w:spacing w:line="480" w:lineRule="auto"/>
        <w:jc w:val="left"/>
        <w:rPr>
          <w:rFonts w:ascii="宋体" w:hAnsi="宋体"/>
          <w:color w:val="auto"/>
          <w:highlight w:val="none"/>
        </w:rPr>
        <w:sectPr>
          <w:footerReference r:id="rId3" w:type="default"/>
          <w:pgSz w:w="12240" w:h="15840"/>
          <w:pgMar w:top="1440" w:right="1800" w:bottom="1440" w:left="1800" w:header="720" w:footer="720" w:gutter="0"/>
          <w:pgNumType w:start="1"/>
          <w:cols w:space="720" w:num="1"/>
          <w:rtlGutter w:val="1"/>
        </w:sectPr>
      </w:pPr>
    </w:p>
    <w:bookmarkEnd w:id="0"/>
    <w:bookmarkEnd w:id="1"/>
    <w:bookmarkEnd w:id="2"/>
    <w:p>
      <w:pPr>
        <w:rPr>
          <w:color w:val="auto"/>
          <w:highlight w:val="none"/>
        </w:rPr>
      </w:pPr>
      <w:bookmarkStart w:id="3" w:name="_Toc511557024"/>
    </w:p>
    <w:p>
      <w:pPr>
        <w:jc w:val="center"/>
        <w:outlineLvl w:val="0"/>
        <w:rPr>
          <w:b/>
          <w:color w:val="auto"/>
          <w:sz w:val="44"/>
          <w:szCs w:val="44"/>
          <w:highlight w:val="none"/>
        </w:rPr>
      </w:pPr>
      <w:bookmarkStart w:id="4" w:name="_Toc63769812"/>
      <w:r>
        <w:rPr>
          <w:rFonts w:hint="eastAsia"/>
          <w:b/>
          <w:color w:val="auto"/>
          <w:sz w:val="44"/>
          <w:szCs w:val="44"/>
          <w:highlight w:val="none"/>
        </w:rPr>
        <w:t>第</w:t>
      </w:r>
      <w:bookmarkEnd w:id="3"/>
      <w:r>
        <w:rPr>
          <w:rFonts w:hint="eastAsia"/>
          <w:b/>
          <w:color w:val="auto"/>
          <w:sz w:val="44"/>
          <w:szCs w:val="44"/>
          <w:highlight w:val="none"/>
        </w:rPr>
        <w:t>一卷</w:t>
      </w:r>
      <w:bookmarkEnd w:id="4"/>
    </w:p>
    <w:p>
      <w:pPr>
        <w:pStyle w:val="3"/>
        <w:keepNext w:val="0"/>
        <w:keepLines w:val="0"/>
        <w:spacing w:before="120" w:line="240" w:lineRule="auto"/>
        <w:jc w:val="center"/>
        <w:rPr>
          <w:rFonts w:ascii="宋体" w:hAnsi="宋体"/>
          <w:color w:val="auto"/>
          <w:highlight w:val="none"/>
        </w:rPr>
      </w:pPr>
      <w:bookmarkStart w:id="5" w:name="_Toc63769813"/>
      <w:r>
        <w:rPr>
          <w:rFonts w:hint="eastAsia" w:ascii="宋体" w:hAnsi="宋体"/>
          <w:color w:val="auto"/>
          <w:highlight w:val="none"/>
        </w:rPr>
        <w:t>第一章 招标公告</w:t>
      </w:r>
      <w:bookmarkEnd w:id="5"/>
    </w:p>
    <w:p>
      <w:pPr>
        <w:jc w:val="center"/>
        <w:rPr>
          <w:rFonts w:ascii="宋体" w:hAnsi="宋体"/>
          <w:b/>
          <w:color w:val="auto"/>
          <w:sz w:val="32"/>
          <w:szCs w:val="32"/>
          <w:highlight w:val="none"/>
        </w:rPr>
      </w:pPr>
      <w:r>
        <w:rPr>
          <w:rFonts w:hint="eastAsia" w:ascii="宋体" w:hAnsi="宋体"/>
          <w:b/>
          <w:color w:val="auto"/>
          <w:sz w:val="32"/>
          <w:szCs w:val="32"/>
          <w:highlight w:val="none"/>
        </w:rPr>
        <w:t>(另册)</w:t>
      </w:r>
    </w:p>
    <w:p>
      <w:pPr>
        <w:pStyle w:val="3"/>
        <w:keepNext w:val="0"/>
        <w:keepLines w:val="0"/>
        <w:spacing w:after="0" w:line="240" w:lineRule="auto"/>
        <w:jc w:val="center"/>
        <w:rPr>
          <w:rFonts w:ascii="宋体" w:hAnsi="宋体"/>
          <w:color w:val="auto"/>
          <w:highlight w:val="none"/>
        </w:rPr>
      </w:pPr>
      <w:r>
        <w:rPr>
          <w:rFonts w:hint="eastAsia" w:ascii="宋体" w:hAnsi="宋体"/>
          <w:b w:val="0"/>
          <w:color w:val="auto"/>
          <w:highlight w:val="none"/>
        </w:rPr>
        <w:br w:type="page"/>
      </w:r>
      <w:bookmarkStart w:id="6" w:name="_Toc63769814"/>
      <w:r>
        <w:rPr>
          <w:rFonts w:hint="eastAsia" w:ascii="宋体" w:hAnsi="宋体"/>
          <w:color w:val="auto"/>
          <w:highlight w:val="none"/>
        </w:rPr>
        <w:t>第二章 投标人须知</w:t>
      </w:r>
      <w:bookmarkEnd w:id="6"/>
    </w:p>
    <w:p>
      <w:pPr>
        <w:pStyle w:val="4"/>
        <w:spacing w:before="240"/>
        <w:jc w:val="center"/>
        <w:rPr>
          <w:rFonts w:ascii="宋体" w:hAnsi="宋体" w:eastAsia="宋体"/>
          <w:color w:val="auto"/>
          <w:sz w:val="32"/>
          <w:highlight w:val="none"/>
        </w:rPr>
      </w:pPr>
      <w:bookmarkStart w:id="7" w:name="_Toc535938711"/>
      <w:bookmarkStart w:id="8" w:name="_Toc529196512"/>
      <w:bookmarkStart w:id="9" w:name="_Toc530470621"/>
      <w:r>
        <w:rPr>
          <w:rFonts w:hint="eastAsia" w:ascii="宋体" w:hAnsi="宋体" w:eastAsia="宋体"/>
          <w:color w:val="auto"/>
          <w:sz w:val="32"/>
          <w:highlight w:val="none"/>
        </w:rPr>
        <w:t>投标人须知前附表</w:t>
      </w:r>
    </w:p>
    <w:tbl>
      <w:tblPr>
        <w:tblStyle w:val="22"/>
        <w:tblW w:w="967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8"/>
        <w:gridCol w:w="2411"/>
        <w:gridCol w:w="63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tblHeader/>
          <w:jc w:val="center"/>
        </w:trPr>
        <w:tc>
          <w:tcPr>
            <w:tcW w:w="958" w:type="dxa"/>
            <w:tcBorders>
              <w:top w:val="single" w:color="auto" w:sz="4" w:space="0"/>
              <w:left w:val="single" w:color="auto" w:sz="4" w:space="0"/>
              <w:bottom w:val="single" w:color="auto" w:sz="6" w:space="0"/>
              <w:right w:val="single" w:color="auto" w:sz="6" w:space="0"/>
            </w:tcBorders>
            <w:vAlign w:val="center"/>
          </w:tcPr>
          <w:p>
            <w:pPr>
              <w:snapToGrid w:val="0"/>
              <w:jc w:val="center"/>
              <w:rPr>
                <w:rFonts w:ascii="宋体" w:hAnsi="宋体"/>
                <w:b/>
                <w:color w:val="auto"/>
                <w:szCs w:val="21"/>
                <w:highlight w:val="none"/>
              </w:rPr>
            </w:pPr>
            <w:r>
              <w:rPr>
                <w:rFonts w:hint="eastAsia" w:ascii="宋体" w:hAnsi="宋体"/>
                <w:b/>
                <w:color w:val="auto"/>
                <w:szCs w:val="21"/>
                <w:highlight w:val="none"/>
              </w:rPr>
              <w:t>条款号</w:t>
            </w:r>
          </w:p>
        </w:tc>
        <w:tc>
          <w:tcPr>
            <w:tcW w:w="2411" w:type="dxa"/>
            <w:tcBorders>
              <w:top w:val="single" w:color="auto" w:sz="4" w:space="0"/>
              <w:left w:val="single" w:color="auto" w:sz="6" w:space="0"/>
              <w:bottom w:val="single" w:color="auto" w:sz="6" w:space="0"/>
              <w:right w:val="single" w:color="auto" w:sz="6" w:space="0"/>
            </w:tcBorders>
            <w:vAlign w:val="center"/>
          </w:tcPr>
          <w:p>
            <w:pPr>
              <w:snapToGrid w:val="0"/>
              <w:jc w:val="center"/>
              <w:rPr>
                <w:rFonts w:ascii="宋体" w:hAnsi="宋体"/>
                <w:b/>
                <w:color w:val="auto"/>
                <w:szCs w:val="21"/>
                <w:highlight w:val="none"/>
              </w:rPr>
            </w:pPr>
            <w:r>
              <w:rPr>
                <w:rFonts w:hint="eastAsia" w:ascii="宋体" w:hAnsi="宋体"/>
                <w:b/>
                <w:color w:val="auto"/>
                <w:szCs w:val="21"/>
                <w:highlight w:val="none"/>
              </w:rPr>
              <w:t>条款名称</w:t>
            </w:r>
          </w:p>
        </w:tc>
        <w:tc>
          <w:tcPr>
            <w:tcW w:w="6310" w:type="dxa"/>
            <w:tcBorders>
              <w:top w:val="single" w:color="auto" w:sz="4" w:space="0"/>
              <w:left w:val="single" w:color="auto" w:sz="6" w:space="0"/>
              <w:bottom w:val="single" w:color="auto" w:sz="6" w:space="0"/>
              <w:right w:val="single" w:color="auto" w:sz="4" w:space="0"/>
            </w:tcBorders>
            <w:vAlign w:val="center"/>
          </w:tcPr>
          <w:p>
            <w:pPr>
              <w:snapToGrid w:val="0"/>
              <w:jc w:val="center"/>
              <w:rPr>
                <w:rFonts w:ascii="宋体" w:hAnsi="宋体"/>
                <w:b/>
                <w:color w:val="auto"/>
                <w:szCs w:val="21"/>
                <w:highlight w:val="none"/>
              </w:rPr>
            </w:pPr>
            <w:r>
              <w:rPr>
                <w:rFonts w:hint="eastAsia"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30"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招标人</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ind w:left="630" w:hanging="630" w:hangingChars="300"/>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广东粤新文化产业投资有限公司</w:t>
            </w:r>
          </w:p>
          <w:p>
            <w:pPr>
              <w:spacing w:line="400" w:lineRule="exact"/>
              <w:rPr>
                <w:rFonts w:ascii="宋体" w:hAnsi="宋体"/>
                <w:color w:val="auto"/>
                <w:szCs w:val="21"/>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广州市海珠区琶洲大道82号宝地广场202室</w:t>
            </w:r>
          </w:p>
          <w:p>
            <w:pPr>
              <w:spacing w:line="400" w:lineRule="exact"/>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olor w:val="auto"/>
                <w:szCs w:val="21"/>
                <w:highlight w:val="none"/>
                <w:u w:val="single"/>
              </w:rPr>
              <w:t>李先生</w:t>
            </w:r>
          </w:p>
          <w:p>
            <w:pPr>
              <w:snapToGrid w:val="0"/>
              <w:spacing w:line="400" w:lineRule="exact"/>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020-32016808-829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240"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招标代理机构</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名称：</w:t>
            </w:r>
            <w:r>
              <w:rPr>
                <w:rFonts w:hint="eastAsia" w:ascii="宋体" w:hAnsi="宋体"/>
                <w:color w:val="auto"/>
                <w:szCs w:val="21"/>
                <w:highlight w:val="none"/>
                <w:u w:val="single"/>
              </w:rPr>
              <w:t>国义招标股份有限公司</w:t>
            </w:r>
          </w:p>
          <w:p>
            <w:pPr>
              <w:spacing w:line="400" w:lineRule="exact"/>
              <w:rPr>
                <w:rFonts w:ascii="宋体" w:hAnsi="宋体"/>
                <w:color w:val="auto"/>
                <w:szCs w:val="21"/>
                <w:highlight w:val="none"/>
                <w:u w:val="single"/>
              </w:rPr>
            </w:pPr>
            <w:r>
              <w:rPr>
                <w:rFonts w:hint="eastAsia" w:ascii="宋体" w:hAnsi="宋体"/>
                <w:color w:val="auto"/>
                <w:szCs w:val="21"/>
                <w:highlight w:val="none"/>
              </w:rPr>
              <w:t>地址：</w:t>
            </w:r>
            <w:r>
              <w:rPr>
                <w:rFonts w:hint="eastAsia" w:ascii="宋体" w:hAnsi="宋体"/>
                <w:color w:val="auto"/>
                <w:szCs w:val="21"/>
                <w:highlight w:val="none"/>
                <w:u w:val="single"/>
              </w:rPr>
              <w:t>广州市越秀区东风东路726号19楼</w:t>
            </w:r>
          </w:p>
          <w:p>
            <w:pPr>
              <w:spacing w:line="400" w:lineRule="exact"/>
              <w:rPr>
                <w:rFonts w:ascii="宋体" w:hAnsi="宋体"/>
                <w:color w:val="auto"/>
                <w:szCs w:val="21"/>
                <w:highlight w:val="none"/>
                <w:u w:val="single"/>
              </w:rPr>
            </w:pPr>
            <w:r>
              <w:rPr>
                <w:rFonts w:hint="eastAsia" w:ascii="宋体" w:hAnsi="宋体"/>
                <w:color w:val="auto"/>
                <w:szCs w:val="21"/>
                <w:highlight w:val="none"/>
              </w:rPr>
              <w:t>联系人：</w:t>
            </w:r>
            <w:r>
              <w:rPr>
                <w:rFonts w:hint="eastAsia" w:ascii="宋体" w:hAnsi="宋体"/>
                <w:color w:val="auto"/>
                <w:szCs w:val="21"/>
                <w:highlight w:val="none"/>
                <w:u w:val="single"/>
              </w:rPr>
              <w:t>林工、何工</w:t>
            </w:r>
          </w:p>
          <w:p>
            <w:pPr>
              <w:spacing w:line="400" w:lineRule="exact"/>
              <w:rPr>
                <w:rFonts w:ascii="宋体" w:hAnsi="宋体"/>
                <w:color w:val="auto"/>
                <w:szCs w:val="21"/>
                <w:highlight w:val="none"/>
              </w:rPr>
            </w:pPr>
            <w:r>
              <w:rPr>
                <w:rFonts w:hint="eastAsia" w:ascii="宋体" w:hAnsi="宋体"/>
                <w:color w:val="auto"/>
                <w:szCs w:val="21"/>
                <w:highlight w:val="none"/>
              </w:rPr>
              <w:t>电话：</w:t>
            </w:r>
            <w:r>
              <w:rPr>
                <w:rFonts w:hint="eastAsia" w:ascii="宋体" w:hAnsi="宋体"/>
                <w:color w:val="auto"/>
                <w:szCs w:val="21"/>
                <w:highlight w:val="none"/>
                <w:u w:val="single"/>
              </w:rPr>
              <w:t>020-37861059、37860558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1.1.4</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招标项目名称</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ind w:firstLine="29" w:firstLineChars="14"/>
              <w:rPr>
                <w:rFonts w:ascii="宋体" w:hAnsi="宋体"/>
                <w:color w:val="auto"/>
                <w:szCs w:val="21"/>
                <w:highlight w:val="none"/>
                <w:u w:val="single"/>
              </w:rPr>
            </w:pPr>
            <w:r>
              <w:rPr>
                <w:rFonts w:hint="eastAsia" w:ascii="宋体" w:hAnsi="宋体"/>
                <w:color w:val="auto"/>
                <w:szCs w:val="21"/>
                <w:highlight w:val="none"/>
                <w:u w:val="single"/>
              </w:rPr>
              <w:t>岭南文化创意产业园项目一期工程施工监理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9"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1.1.5</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项目建设地点</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u w:val="single"/>
              </w:rPr>
            </w:pPr>
            <w:r>
              <w:rPr>
                <w:rFonts w:hint="eastAsia" w:ascii="宋体" w:hAnsi="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1.1.6</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项目建设规模</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ind w:right="106"/>
              <w:rPr>
                <w:rFonts w:ascii="宋体" w:hAnsi="宋体"/>
                <w:color w:val="auto"/>
                <w:szCs w:val="21"/>
                <w:highlight w:val="none"/>
                <w:u w:val="single"/>
              </w:rPr>
            </w:pPr>
            <w:r>
              <w:rPr>
                <w:rFonts w:hint="eastAsia" w:ascii="宋体" w:hAnsi="宋体"/>
                <w:color w:val="auto"/>
                <w:szCs w:val="21"/>
                <w:highlight w:val="none"/>
                <w:u w:val="singl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1.1.7</w:t>
            </w:r>
          </w:p>
        </w:tc>
        <w:tc>
          <w:tcPr>
            <w:tcW w:w="2411" w:type="dxa"/>
            <w:tcBorders>
              <w:top w:val="single" w:color="auto" w:sz="6" w:space="0"/>
              <w:left w:val="single" w:color="auto" w:sz="6" w:space="0"/>
              <w:bottom w:val="single" w:color="auto" w:sz="6" w:space="0"/>
              <w:right w:val="single" w:color="auto" w:sz="6" w:space="0"/>
            </w:tcBorders>
            <w:vAlign w:val="bottom"/>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6310" w:type="dxa"/>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color w:val="auto"/>
                <w:szCs w:val="21"/>
                <w:highlight w:val="none"/>
                <w:u w:val="single"/>
              </w:rPr>
            </w:pPr>
            <w:r>
              <w:rPr>
                <w:rFonts w:hint="eastAsia" w:ascii="宋体" w:hAnsi="宋体" w:cs="宋体"/>
                <w:color w:val="auto"/>
                <w:szCs w:val="21"/>
                <w:highlight w:val="none"/>
              </w:rPr>
              <w:t>工程项目施工预计开工日期：开工时间以甲方通知为准；</w:t>
            </w:r>
          </w:p>
          <w:p>
            <w:pPr>
              <w:widowControl/>
              <w:jc w:val="left"/>
              <w:rPr>
                <w:rFonts w:ascii="宋体" w:hAnsi="宋体"/>
                <w:color w:val="auto"/>
                <w:szCs w:val="21"/>
                <w:highlight w:val="none"/>
              </w:rPr>
            </w:pPr>
            <w:r>
              <w:rPr>
                <w:rFonts w:hint="eastAsia" w:ascii="宋体" w:hAnsi="宋体"/>
                <w:color w:val="auto"/>
                <w:szCs w:val="21"/>
                <w:highlight w:val="none"/>
              </w:rPr>
              <w:t>施工阶段工期：</w:t>
            </w:r>
            <w:r>
              <w:rPr>
                <w:rFonts w:hint="eastAsia" w:ascii="宋体" w:hAnsi="宋体"/>
                <w:color w:val="auto"/>
                <w:szCs w:val="21"/>
                <w:highlight w:val="none"/>
                <w:u w:val="single"/>
              </w:rPr>
              <w:t>731日历天</w:t>
            </w:r>
            <w:r>
              <w:rPr>
                <w:rFonts w:hint="eastAsia" w:ascii="宋体" w:hAnsi="宋体"/>
                <w:color w:val="auto"/>
                <w:szCs w:val="21"/>
                <w:highlight w:val="none"/>
              </w:rPr>
              <w:t>（从下达开工令起至项目竣工验收止）。</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1.1.8</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建筑安装工程费/工程概算</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1.2.1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资金来源及比例</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6"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1.2.2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资金落实情况</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1.3.1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招标范围</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1.3.2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监理服务期限</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8"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1.3.3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质量标准</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按照国家最新颁布《建筑工程施工质量验收统一标准》和相应配套的各专业验收规范以及项目所在地的相关规定，一次性验收合格。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1.4.1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6310" w:type="dxa"/>
            <w:tcBorders>
              <w:top w:val="single" w:color="auto" w:sz="6" w:space="0"/>
              <w:left w:val="single" w:color="auto" w:sz="6" w:space="0"/>
              <w:bottom w:val="single" w:color="auto" w:sz="6" w:space="0"/>
              <w:right w:val="single" w:color="auto" w:sz="4" w:space="0"/>
            </w:tcBorders>
            <w:vAlign w:val="center"/>
          </w:tcPr>
          <w:p>
            <w:pPr>
              <w:numPr>
                <w:ilvl w:val="0"/>
                <w:numId w:val="1"/>
              </w:numPr>
              <w:snapToGrid w:val="0"/>
              <w:spacing w:before="120" w:line="400" w:lineRule="exact"/>
              <w:ind w:hangingChars="200"/>
              <w:rPr>
                <w:rFonts w:ascii="宋体" w:hAnsi="宋体"/>
                <w:color w:val="auto"/>
                <w:szCs w:val="21"/>
                <w:highlight w:val="none"/>
              </w:rPr>
            </w:pPr>
            <w:r>
              <w:rPr>
                <w:rFonts w:hint="eastAsia" w:ascii="宋体" w:hAnsi="宋体"/>
                <w:color w:val="auto"/>
                <w:szCs w:val="21"/>
                <w:highlight w:val="none"/>
              </w:rPr>
              <w:t>资质要求：</w:t>
            </w:r>
            <w:r>
              <w:rPr>
                <w:rFonts w:hint="eastAsia" w:ascii="宋体" w:hAnsi="宋体"/>
                <w:color w:val="auto"/>
                <w:szCs w:val="21"/>
                <w:highlight w:val="none"/>
                <w:u w:val="single"/>
              </w:rPr>
              <w:t>见招标公告投标人资格要求；</w:t>
            </w:r>
          </w:p>
          <w:p>
            <w:pPr>
              <w:numPr>
                <w:ilvl w:val="0"/>
                <w:numId w:val="1"/>
              </w:numPr>
              <w:snapToGrid w:val="0"/>
              <w:spacing w:line="400" w:lineRule="exact"/>
              <w:rPr>
                <w:rFonts w:ascii="宋体" w:hAnsi="宋体"/>
                <w:color w:val="auto"/>
                <w:szCs w:val="21"/>
                <w:highlight w:val="none"/>
              </w:rPr>
            </w:pPr>
            <w:r>
              <w:rPr>
                <w:rFonts w:hint="eastAsia" w:ascii="宋体" w:hAnsi="宋体"/>
                <w:color w:val="auto"/>
                <w:szCs w:val="21"/>
                <w:highlight w:val="none"/>
              </w:rPr>
              <w:t>财务要求：</w:t>
            </w:r>
            <w:r>
              <w:rPr>
                <w:rFonts w:hint="eastAsia" w:ascii="宋体" w:hAnsi="宋体"/>
                <w:color w:val="auto"/>
                <w:szCs w:val="21"/>
                <w:highlight w:val="none"/>
                <w:u w:val="single"/>
              </w:rPr>
              <w:t>/</w:t>
            </w:r>
          </w:p>
          <w:p>
            <w:pPr>
              <w:numPr>
                <w:ilvl w:val="0"/>
                <w:numId w:val="1"/>
              </w:numPr>
              <w:snapToGrid w:val="0"/>
              <w:spacing w:line="400" w:lineRule="exact"/>
              <w:rPr>
                <w:rFonts w:ascii="宋体" w:hAnsi="宋体"/>
                <w:color w:val="auto"/>
                <w:szCs w:val="21"/>
                <w:highlight w:val="none"/>
              </w:rPr>
            </w:pPr>
            <w:r>
              <w:rPr>
                <w:rFonts w:hint="eastAsia" w:ascii="宋体" w:hAnsi="宋体"/>
                <w:color w:val="auto"/>
                <w:szCs w:val="21"/>
                <w:highlight w:val="none"/>
              </w:rPr>
              <w:t>业绩要求：</w:t>
            </w:r>
            <w:r>
              <w:rPr>
                <w:rFonts w:hint="eastAsia" w:ascii="宋体" w:hAnsi="宋体"/>
                <w:color w:val="auto"/>
                <w:szCs w:val="21"/>
                <w:highlight w:val="none"/>
                <w:u w:val="single"/>
              </w:rPr>
              <w:t>/</w:t>
            </w:r>
          </w:p>
          <w:p>
            <w:pPr>
              <w:numPr>
                <w:ilvl w:val="0"/>
                <w:numId w:val="1"/>
              </w:numPr>
              <w:snapToGrid w:val="0"/>
              <w:spacing w:line="400" w:lineRule="exact"/>
              <w:rPr>
                <w:rFonts w:ascii="宋体" w:hAnsi="宋体"/>
                <w:color w:val="auto"/>
                <w:szCs w:val="21"/>
                <w:highlight w:val="none"/>
              </w:rPr>
            </w:pPr>
            <w:r>
              <w:rPr>
                <w:rFonts w:hint="eastAsia" w:ascii="宋体" w:hAnsi="宋体"/>
                <w:color w:val="auto"/>
                <w:szCs w:val="21"/>
                <w:highlight w:val="none"/>
              </w:rPr>
              <w:t>信誉要求：</w:t>
            </w:r>
            <w:r>
              <w:rPr>
                <w:rFonts w:hint="eastAsia" w:ascii="宋体" w:hAnsi="宋体"/>
                <w:color w:val="auto"/>
                <w:szCs w:val="21"/>
                <w:highlight w:val="none"/>
                <w:u w:val="single"/>
              </w:rPr>
              <w:t>/</w:t>
            </w:r>
          </w:p>
          <w:p>
            <w:pPr>
              <w:numPr>
                <w:ilvl w:val="0"/>
                <w:numId w:val="1"/>
              </w:numPr>
              <w:snapToGrid w:val="0"/>
              <w:spacing w:line="400" w:lineRule="exact"/>
              <w:ind w:right="106"/>
              <w:jc w:val="left"/>
              <w:rPr>
                <w:rFonts w:ascii="宋体" w:hAnsi="宋体"/>
                <w:color w:val="auto"/>
                <w:szCs w:val="21"/>
                <w:highlight w:val="none"/>
              </w:rPr>
            </w:pPr>
            <w:r>
              <w:rPr>
                <w:rFonts w:hint="eastAsia" w:ascii="宋体" w:hAnsi="宋体"/>
                <w:color w:val="auto"/>
                <w:szCs w:val="21"/>
                <w:highlight w:val="none"/>
              </w:rPr>
              <w:t>总监理工程师的资格要求：</w:t>
            </w:r>
            <w:r>
              <w:rPr>
                <w:rFonts w:hint="eastAsia" w:ascii="宋体" w:hAnsi="宋体"/>
                <w:color w:val="auto"/>
                <w:szCs w:val="21"/>
                <w:highlight w:val="none"/>
                <w:u w:val="single"/>
              </w:rPr>
              <w:t>见招标公告投标人资格要求；</w:t>
            </w:r>
          </w:p>
          <w:p>
            <w:pPr>
              <w:numPr>
                <w:ilvl w:val="0"/>
                <w:numId w:val="1"/>
              </w:numPr>
              <w:snapToGrid w:val="0"/>
              <w:spacing w:line="400" w:lineRule="exact"/>
              <w:ind w:right="106"/>
              <w:rPr>
                <w:rFonts w:ascii="宋体" w:hAnsi="宋体"/>
                <w:color w:val="auto"/>
                <w:szCs w:val="21"/>
                <w:highlight w:val="none"/>
              </w:rPr>
            </w:pPr>
            <w:r>
              <w:rPr>
                <w:rFonts w:hint="eastAsia" w:ascii="宋体" w:hAnsi="宋体"/>
                <w:color w:val="auto"/>
                <w:szCs w:val="21"/>
                <w:highlight w:val="none"/>
              </w:rPr>
              <w:t>其他主要人员要求：</w:t>
            </w:r>
            <w:r>
              <w:rPr>
                <w:rFonts w:hint="eastAsia" w:ascii="宋体" w:hAnsi="宋体"/>
                <w:color w:val="auto"/>
                <w:szCs w:val="21"/>
                <w:highlight w:val="none"/>
                <w:u w:val="single"/>
              </w:rPr>
              <w:t>/</w:t>
            </w:r>
          </w:p>
          <w:p>
            <w:pPr>
              <w:numPr>
                <w:ilvl w:val="0"/>
                <w:numId w:val="1"/>
              </w:numPr>
              <w:snapToGrid w:val="0"/>
              <w:spacing w:line="400" w:lineRule="exact"/>
              <w:rPr>
                <w:rFonts w:ascii="宋体" w:hAnsi="宋体"/>
                <w:color w:val="auto"/>
                <w:szCs w:val="21"/>
                <w:highlight w:val="none"/>
              </w:rPr>
            </w:pPr>
            <w:r>
              <w:rPr>
                <w:rFonts w:hint="eastAsia" w:ascii="宋体" w:hAnsi="宋体"/>
                <w:color w:val="auto"/>
                <w:szCs w:val="21"/>
                <w:highlight w:val="none"/>
              </w:rPr>
              <w:t>试验检测仪器设备要求：</w:t>
            </w:r>
            <w:r>
              <w:rPr>
                <w:rFonts w:hint="eastAsia" w:ascii="宋体" w:hAnsi="宋体"/>
                <w:color w:val="auto"/>
                <w:szCs w:val="21"/>
                <w:highlight w:val="none"/>
                <w:u w:val="single"/>
              </w:rPr>
              <w:t>/</w:t>
            </w:r>
          </w:p>
          <w:p>
            <w:pPr>
              <w:numPr>
                <w:ilvl w:val="0"/>
                <w:numId w:val="1"/>
              </w:numPr>
              <w:snapToGrid w:val="0"/>
              <w:spacing w:line="400" w:lineRule="exact"/>
              <w:ind w:right="106"/>
              <w:rPr>
                <w:rFonts w:ascii="宋体" w:hAnsi="宋体"/>
                <w:color w:val="auto"/>
                <w:szCs w:val="21"/>
                <w:highlight w:val="none"/>
              </w:rPr>
            </w:pPr>
            <w:r>
              <w:rPr>
                <w:rFonts w:hint="eastAsia" w:ascii="宋体" w:hAnsi="宋体"/>
                <w:color w:val="auto"/>
                <w:szCs w:val="21"/>
                <w:highlight w:val="none"/>
              </w:rPr>
              <w:t>其他要求：</w:t>
            </w:r>
            <w:r>
              <w:rPr>
                <w:rFonts w:hint="eastAsia" w:ascii="宋体" w:hAnsi="宋体"/>
                <w:color w:val="auto"/>
                <w:szCs w:val="21"/>
                <w:highlight w:val="none"/>
                <w:u w:val="single"/>
              </w:rPr>
              <w:t>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1.4.2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ind w:left="108" w:right="-238"/>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position w:val="3"/>
                <w:szCs w:val="21"/>
                <w:highlight w:val="none"/>
              </w:rPr>
              <w:t>不接受</w:t>
            </w:r>
          </w:p>
          <w:p>
            <w:pPr>
              <w:snapToGrid w:val="0"/>
              <w:spacing w:line="400" w:lineRule="exact"/>
              <w:ind w:firstLine="105" w:firstLineChars="50"/>
              <w:rPr>
                <w:rFonts w:ascii="宋体" w:hAnsi="宋体"/>
                <w:color w:val="auto"/>
                <w:szCs w:val="21"/>
                <w:highlight w:val="none"/>
              </w:rPr>
            </w:pPr>
            <w:r>
              <w:rPr>
                <w:rFonts w:hint="eastAsia" w:ascii="宋体" w:hAnsi="宋体"/>
                <w:color w:val="auto"/>
                <w:szCs w:val="21"/>
                <w:highlight w:val="none"/>
              </w:rPr>
              <w:t>□接受，应满足下列要求：</w:t>
            </w:r>
            <w:r>
              <w:rPr>
                <w:rFonts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1.4.3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6310" w:type="dxa"/>
            <w:tcBorders>
              <w:top w:val="single" w:color="auto" w:sz="6" w:space="0"/>
              <w:left w:val="single" w:color="auto" w:sz="6" w:space="0"/>
              <w:bottom w:val="single" w:color="auto" w:sz="6" w:space="0"/>
              <w:right w:val="single" w:color="auto" w:sz="4" w:space="0"/>
            </w:tcBorders>
            <w:vAlign w:val="center"/>
          </w:tcPr>
          <w:p>
            <w:pPr>
              <w:topLinePunct/>
              <w:snapToGrid w:val="0"/>
              <w:spacing w:line="400" w:lineRule="exact"/>
              <w:rPr>
                <w:rFonts w:ascii="宋体" w:hAnsi="宋体"/>
                <w:color w:val="auto"/>
                <w:szCs w:val="21"/>
                <w:highlight w:val="none"/>
              </w:rPr>
            </w:pPr>
            <w:r>
              <w:rPr>
                <w:rFonts w:hint="eastAsia" w:ascii="宋体" w:hAnsi="宋体"/>
                <w:color w:val="auto"/>
                <w:szCs w:val="21"/>
                <w:highlight w:val="none"/>
                <w:u w:val="single"/>
              </w:rPr>
              <w:t>（16）在近三年内投标人或其法定代表人、拟委任的总监理工程师有行贿犯罪行为的。</w:t>
            </w:r>
            <w:r>
              <w:rPr>
                <w:rFonts w:hint="eastAsia" w:ascii="宋体" w:hAnsi="宋体" w:cs="宋体"/>
                <w:color w:val="auto"/>
                <w:szCs w:val="21"/>
                <w:highlight w:val="none"/>
                <w:u w:val="single"/>
              </w:rPr>
              <w:t>（以《投标函》声明为准）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21"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1.9.1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踏勘现场</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400" w:lineRule="exact"/>
              <w:rPr>
                <w:rFonts w:hAnsi="宋体"/>
                <w:color w:val="auto"/>
                <w:kern w:val="2"/>
                <w:sz w:val="21"/>
                <w:szCs w:val="21"/>
                <w:highlight w:val="none"/>
              </w:rPr>
            </w:pPr>
            <w:r>
              <w:rPr>
                <w:rFonts w:hint="eastAsia" w:hAnsi="宋体"/>
                <w:color w:val="auto"/>
                <w:spacing w:val="-1"/>
                <w:kern w:val="2"/>
                <w:sz w:val="21"/>
                <w:szCs w:val="21"/>
                <w:highlight w:val="none"/>
              </w:rPr>
              <w:t>■</w:t>
            </w:r>
            <w:r>
              <w:rPr>
                <w:rFonts w:hint="eastAsia" w:hAnsi="宋体"/>
                <w:color w:val="auto"/>
                <w:kern w:val="2"/>
                <w:sz w:val="21"/>
                <w:szCs w:val="21"/>
                <w:highlight w:val="none"/>
              </w:rPr>
              <w:t>不组织。由投标人自行踏勘</w:t>
            </w:r>
          </w:p>
          <w:p>
            <w:pPr>
              <w:pStyle w:val="7"/>
              <w:topLinePunct/>
              <w:snapToGrid w:val="0"/>
              <w:spacing w:line="400" w:lineRule="exact"/>
              <w:rPr>
                <w:rFonts w:hAnsi="宋体"/>
                <w:color w:val="auto"/>
                <w:kern w:val="2"/>
                <w:sz w:val="21"/>
                <w:szCs w:val="21"/>
                <w:highlight w:val="none"/>
              </w:rPr>
            </w:pPr>
            <w:r>
              <w:rPr>
                <w:rFonts w:hint="eastAsia" w:hAnsi="宋体"/>
                <w:color w:val="auto"/>
                <w:kern w:val="2"/>
                <w:sz w:val="21"/>
                <w:szCs w:val="21"/>
                <w:highlight w:val="none"/>
              </w:rPr>
              <w:t>□组织，踏勘时间：</w:t>
            </w:r>
            <w:r>
              <w:rPr>
                <w:rFonts w:hint="eastAsia" w:hAnsi="宋体"/>
                <w:color w:val="auto"/>
                <w:szCs w:val="21"/>
                <w:highlight w:val="none"/>
                <w:u w:val="single"/>
              </w:rPr>
              <w:t>/</w:t>
            </w:r>
          </w:p>
          <w:p>
            <w:pPr>
              <w:pStyle w:val="7"/>
              <w:topLinePunct/>
              <w:snapToGrid w:val="0"/>
              <w:spacing w:line="400" w:lineRule="exact"/>
              <w:ind w:firstLine="884" w:firstLineChars="421"/>
              <w:rPr>
                <w:rFonts w:hAnsi="宋体"/>
                <w:color w:val="auto"/>
                <w:kern w:val="2"/>
                <w:sz w:val="21"/>
                <w:szCs w:val="21"/>
                <w:highlight w:val="none"/>
              </w:rPr>
            </w:pPr>
            <w:r>
              <w:rPr>
                <w:rFonts w:hint="eastAsia" w:hAnsi="宋体"/>
                <w:color w:val="auto"/>
                <w:kern w:val="2"/>
                <w:sz w:val="21"/>
                <w:szCs w:val="21"/>
                <w:highlight w:val="none"/>
              </w:rPr>
              <w:t>踏勘集中地点：</w:t>
            </w:r>
            <w:r>
              <w:rPr>
                <w:rFonts w:hint="eastAsia"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1.10.1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投标预备会</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pacing w:line="400" w:lineRule="exact"/>
              <w:ind w:left="40" w:leftChars="19" w:right="107" w:rightChars="51"/>
              <w:rPr>
                <w:rFonts w:hAnsi="宋体"/>
                <w:color w:val="auto"/>
                <w:sz w:val="21"/>
                <w:szCs w:val="21"/>
                <w:highlight w:val="none"/>
              </w:rPr>
            </w:pPr>
            <w:r>
              <w:rPr>
                <w:rFonts w:hint="eastAsia" w:hAnsi="宋体"/>
                <w:color w:val="auto"/>
                <w:sz w:val="21"/>
                <w:szCs w:val="21"/>
                <w:highlight w:val="none"/>
              </w:rPr>
              <w:t>■不召开</w:t>
            </w:r>
          </w:p>
          <w:p>
            <w:pPr>
              <w:spacing w:line="400" w:lineRule="exact"/>
              <w:ind w:left="40" w:leftChars="19" w:right="107" w:rightChars="51"/>
              <w:rPr>
                <w:rFonts w:ascii="宋体" w:hAnsi="宋体"/>
                <w:color w:val="auto"/>
                <w:szCs w:val="21"/>
                <w:highlight w:val="none"/>
              </w:rPr>
            </w:pPr>
            <w:r>
              <w:rPr>
                <w:rFonts w:hint="eastAsia" w:ascii="宋体" w:hAnsi="宋体"/>
                <w:color w:val="auto"/>
                <w:szCs w:val="21"/>
                <w:highlight w:val="none"/>
              </w:rPr>
              <w:t>□召开，召开时间：</w:t>
            </w:r>
            <w:r>
              <w:rPr>
                <w:rFonts w:hint="eastAsia" w:ascii="宋体" w:hAnsi="宋体"/>
                <w:color w:val="auto"/>
                <w:szCs w:val="21"/>
                <w:highlight w:val="none"/>
                <w:u w:val="single"/>
              </w:rPr>
              <w:t>/</w:t>
            </w:r>
          </w:p>
          <w:p>
            <w:pPr>
              <w:snapToGrid w:val="0"/>
              <w:spacing w:line="400" w:lineRule="exact"/>
              <w:ind w:firstLine="884" w:firstLineChars="421"/>
              <w:rPr>
                <w:rFonts w:ascii="宋体" w:hAnsi="宋体"/>
                <w:color w:val="auto"/>
                <w:szCs w:val="21"/>
                <w:highlight w:val="none"/>
              </w:rPr>
            </w:pPr>
            <w:r>
              <w:rPr>
                <w:rFonts w:hint="eastAsia" w:ascii="宋体" w:hAnsi="宋体"/>
                <w:color w:val="auto"/>
                <w:szCs w:val="21"/>
                <w:highlight w:val="none"/>
              </w:rPr>
              <w:t>召开地点：</w:t>
            </w: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4" w:hRule="atLeast"/>
          <w:jc w:val="center"/>
        </w:trPr>
        <w:tc>
          <w:tcPr>
            <w:tcW w:w="958" w:type="dxa"/>
            <w:vMerge w:val="restart"/>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1.10.2</w:t>
            </w:r>
          </w:p>
        </w:tc>
        <w:tc>
          <w:tcPr>
            <w:tcW w:w="2411" w:type="dxa"/>
            <w:vMerge w:val="restart"/>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95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241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形式：</w:t>
            </w: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71"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1.10.3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42"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1.12.1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400" w:lineRule="exact"/>
              <w:rPr>
                <w:rFonts w:hAnsi="宋体"/>
                <w:color w:val="auto"/>
                <w:kern w:val="2"/>
                <w:sz w:val="21"/>
                <w:szCs w:val="21"/>
                <w:highlight w:val="none"/>
              </w:rPr>
            </w:pPr>
            <w:r>
              <w:rPr>
                <w:rFonts w:hint="eastAsia"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1.12.3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偏差</w:t>
            </w:r>
          </w:p>
        </w:tc>
        <w:tc>
          <w:tcPr>
            <w:tcW w:w="6310" w:type="dxa"/>
            <w:tcBorders>
              <w:top w:val="single" w:color="auto" w:sz="6" w:space="0"/>
              <w:left w:val="single" w:color="auto" w:sz="6" w:space="0"/>
              <w:bottom w:val="single" w:color="auto" w:sz="6" w:space="0"/>
              <w:right w:val="single" w:color="auto" w:sz="4" w:space="0"/>
            </w:tcBorders>
          </w:tcPr>
          <w:p>
            <w:pPr>
              <w:spacing w:line="400" w:lineRule="exact"/>
              <w:ind w:left="40" w:leftChars="19" w:right="107" w:rightChars="51"/>
              <w:rPr>
                <w:rFonts w:ascii="宋体" w:hAnsi="宋体"/>
                <w:color w:val="auto"/>
                <w:szCs w:val="21"/>
                <w:highlight w:val="none"/>
              </w:rPr>
            </w:pPr>
            <w:r>
              <w:rPr>
                <w:rFonts w:hint="eastAsia" w:ascii="宋体" w:hAnsi="宋体"/>
                <w:color w:val="auto"/>
                <w:szCs w:val="21"/>
                <w:highlight w:val="none"/>
              </w:rPr>
              <w:t>■不允许</w:t>
            </w:r>
          </w:p>
          <w:p>
            <w:pPr>
              <w:pStyle w:val="7"/>
              <w:topLinePunct/>
              <w:spacing w:line="400" w:lineRule="exact"/>
              <w:ind w:left="40" w:leftChars="19" w:right="107" w:rightChars="51"/>
              <w:rPr>
                <w:rFonts w:hAnsi="宋体"/>
                <w:color w:val="auto"/>
                <w:sz w:val="21"/>
                <w:szCs w:val="21"/>
                <w:highlight w:val="none"/>
              </w:rPr>
            </w:pPr>
            <w:r>
              <w:rPr>
                <w:rFonts w:hint="eastAsia" w:hAnsi="宋体"/>
                <w:color w:val="auto"/>
                <w:sz w:val="21"/>
                <w:szCs w:val="21"/>
                <w:highlight w:val="none"/>
              </w:rPr>
              <w:t>□允许，偏差范围：</w:t>
            </w:r>
            <w:r>
              <w:rPr>
                <w:rFonts w:hint="eastAsia" w:hAnsi="宋体"/>
                <w:color w:val="auto"/>
                <w:szCs w:val="21"/>
                <w:highlight w:val="none"/>
                <w:u w:val="single"/>
              </w:rPr>
              <w:t>/</w:t>
            </w:r>
          </w:p>
          <w:p>
            <w:pPr>
              <w:topLinePunct/>
              <w:snapToGrid w:val="0"/>
              <w:spacing w:line="400" w:lineRule="exact"/>
              <w:ind w:firstLine="884" w:firstLineChars="421"/>
              <w:jc w:val="left"/>
              <w:rPr>
                <w:rFonts w:hAnsi="宋体"/>
                <w:color w:val="auto"/>
                <w:szCs w:val="21"/>
                <w:highlight w:val="none"/>
              </w:rPr>
            </w:pPr>
            <w:r>
              <w:rPr>
                <w:rFonts w:hint="eastAsia" w:ascii="宋体" w:hAnsi="宋体"/>
                <w:color w:val="auto"/>
                <w:szCs w:val="21"/>
                <w:highlight w:val="none"/>
              </w:rPr>
              <w:t>偏差幅度：</w:t>
            </w: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70"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2.2.1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color w:val="auto"/>
                <w:highlight w:val="none"/>
              </w:rPr>
            </w:pPr>
            <w:r>
              <w:rPr>
                <w:rFonts w:hint="eastAsia"/>
                <w:color w:val="auto"/>
                <w:highlight w:val="none"/>
              </w:rPr>
              <w:t>1、投标人的疑问通过广州公共资源交易中心数字交易平台提交。具体要求：操作详见广州公共资源交易中心网站发布的《房屋建筑和市政基础设施工程全流程电子化项目专章》。提交问题时一律不得署名。</w:t>
            </w:r>
          </w:p>
          <w:p>
            <w:pPr>
              <w:snapToGrid w:val="0"/>
              <w:spacing w:line="400" w:lineRule="exact"/>
              <w:rPr>
                <w:color w:val="auto"/>
                <w:highlight w:val="none"/>
              </w:rPr>
            </w:pPr>
            <w:r>
              <w:rPr>
                <w:rFonts w:hint="eastAsia"/>
                <w:color w:val="auto"/>
                <w:highlight w:val="none"/>
              </w:rPr>
              <w:t>2、招标答疑采用网上答疑方式进行。投标人若对招标文件（包括最高投标限价）有疑问的，可在规定的时间内通过广州公共资源交易中心网站凭密码进入提问区域将问题提交给招标人或招标代理人，提交问题时一律不得署名。</w:t>
            </w:r>
          </w:p>
          <w:p>
            <w:pPr>
              <w:snapToGrid w:val="0"/>
              <w:spacing w:line="400" w:lineRule="exact"/>
              <w:rPr>
                <w:color w:val="auto"/>
                <w:highlight w:val="none"/>
              </w:rPr>
            </w:pPr>
            <w:r>
              <w:rPr>
                <w:rFonts w:hint="eastAsia"/>
                <w:color w:val="auto"/>
                <w:highlight w:val="none"/>
              </w:rPr>
              <w:t>网上答疑的操作指南为：投标人登录交易中心数字交易平台，进入“我是投标人（供应商）”-&gt;“我的投标”-&gt;“招标答疑提问”查询项目并提问。</w:t>
            </w:r>
          </w:p>
          <w:p>
            <w:pPr>
              <w:snapToGrid w:val="0"/>
              <w:spacing w:line="400" w:lineRule="exact"/>
              <w:rPr>
                <w:color w:val="auto"/>
                <w:highlight w:val="none"/>
              </w:rPr>
            </w:pPr>
            <w:r>
              <w:rPr>
                <w:rFonts w:hint="eastAsia"/>
                <w:color w:val="auto"/>
                <w:highlight w:val="none"/>
              </w:rPr>
              <w:t>3、投标人应在投标截止时间18日前停止质疑。招标人应在投标截止时间15日前解答投标人对招标文件提出的疑问，形成答疑文件，在广州公共资源交易中心网站项目答疑专区发布。</w:t>
            </w:r>
          </w:p>
          <w:p>
            <w:pPr>
              <w:snapToGrid w:val="0"/>
              <w:spacing w:line="400" w:lineRule="exact"/>
              <w:rPr>
                <w:color w:val="auto"/>
                <w:highlight w:val="none"/>
              </w:rPr>
            </w:pPr>
            <w:r>
              <w:rPr>
                <w:rFonts w:hint="eastAsia"/>
                <w:color w:val="auto"/>
                <w:highlight w:val="none"/>
              </w:rPr>
              <w:t>4、招标答疑文件一经在广州公共资源交易中心网站发布，视作已发放给所有投标人。</w:t>
            </w:r>
          </w:p>
          <w:p>
            <w:pPr>
              <w:snapToGrid w:val="0"/>
              <w:spacing w:line="400" w:lineRule="exact"/>
              <w:rPr>
                <w:color w:val="auto"/>
                <w:highlight w:val="none"/>
              </w:rPr>
            </w:pPr>
            <w:r>
              <w:rPr>
                <w:rFonts w:hint="eastAsia"/>
                <w:color w:val="auto"/>
                <w:highlight w:val="none"/>
              </w:rPr>
              <w:t>5、招标答疑文件为招标文件的一部分。投标人可在广州公共资源交易中心网站浏览、下载招标答疑文件。</w:t>
            </w:r>
          </w:p>
          <w:p>
            <w:pPr>
              <w:snapToGrid w:val="0"/>
              <w:spacing w:line="400" w:lineRule="exact"/>
              <w:rPr>
                <w:rFonts w:ascii="宋体" w:hAnsi="宋体"/>
                <w:color w:val="auto"/>
                <w:szCs w:val="21"/>
                <w:highlight w:val="none"/>
                <w:u w:val="single"/>
              </w:rPr>
            </w:pPr>
            <w:r>
              <w:rPr>
                <w:rFonts w:hint="eastAsia"/>
                <w:color w:val="auto"/>
                <w:highlight w:val="none"/>
              </w:rPr>
              <w:t>具体操作详见附件《房屋建筑和市政基础设施工程全流程电子化项目专章》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2.2.2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u w:val="single"/>
              </w:rPr>
            </w:pPr>
            <w:r>
              <w:rPr>
                <w:rFonts w:hint="eastAsia"/>
                <w:color w:val="auto"/>
                <w:highlight w:val="none"/>
                <w:u w:val="single"/>
              </w:rPr>
              <w:t>在递交投标文件截止时间</w:t>
            </w:r>
            <w:r>
              <w:rPr>
                <w:rFonts w:hint="eastAsia" w:ascii="宋体" w:hAnsi="宋体"/>
                <w:color w:val="auto"/>
                <w:highlight w:val="none"/>
                <w:u w:val="single"/>
              </w:rPr>
              <w:t>15</w:t>
            </w:r>
            <w:r>
              <w:rPr>
                <w:rFonts w:hint="eastAsia"/>
                <w:color w:val="auto"/>
                <w:highlight w:val="none"/>
                <w:u w:val="single"/>
              </w:rPr>
              <w:t>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58" w:type="dxa"/>
            <w:vMerge w:val="restart"/>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2.2.3</w:t>
            </w:r>
          </w:p>
        </w:tc>
        <w:tc>
          <w:tcPr>
            <w:tcW w:w="2411" w:type="dxa"/>
            <w:vMerge w:val="restart"/>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rPr>
              <w:t>时间：</w:t>
            </w:r>
            <w:r>
              <w:rPr>
                <w:rFonts w:hint="eastAsia" w:ascii="宋体" w:hAnsi="宋体" w:cs="宋体"/>
                <w:color w:val="auto"/>
                <w:szCs w:val="21"/>
                <w:highlight w:val="none"/>
                <w:u w:val="single"/>
              </w:rPr>
              <w:t>招标文件澄清</w:t>
            </w:r>
            <w:r>
              <w:rPr>
                <w:rFonts w:hint="eastAsia" w:ascii="宋体" w:hAnsi="宋体"/>
                <w:color w:val="auto"/>
                <w:szCs w:val="21"/>
                <w:highlight w:val="none"/>
                <w:u w:val="single"/>
              </w:rPr>
              <w:t>（招标答疑纪要）</w:t>
            </w:r>
            <w:r>
              <w:rPr>
                <w:rFonts w:hint="eastAsia" w:ascii="宋体" w:hAnsi="宋体" w:cs="宋体"/>
                <w:color w:val="auto"/>
                <w:szCs w:val="21"/>
                <w:highlight w:val="none"/>
                <w:u w:val="single"/>
              </w:rPr>
              <w:t>一经在广州公共资源交易中心网站发布，视作已发放给所有投标人。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 w:hRule="atLeast"/>
          <w:jc w:val="center"/>
        </w:trPr>
        <w:tc>
          <w:tcPr>
            <w:tcW w:w="95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241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网上答疑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10"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2.3.1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u w:val="single"/>
              </w:rPr>
            </w:pPr>
            <w:r>
              <w:rPr>
                <w:rFonts w:hint="eastAsia" w:ascii="宋体" w:hAnsi="宋体"/>
                <w:color w:val="auto"/>
                <w:szCs w:val="21"/>
                <w:highlight w:val="none"/>
                <w:u w:val="single"/>
              </w:rPr>
              <w:t>以补充公告或项目答疑澄清的方式在广州公共资源交易中心网站发布。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8" w:hRule="atLeast"/>
          <w:jc w:val="center"/>
        </w:trPr>
        <w:tc>
          <w:tcPr>
            <w:tcW w:w="958" w:type="dxa"/>
            <w:vMerge w:val="restart"/>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2.3.2</w:t>
            </w:r>
          </w:p>
        </w:tc>
        <w:tc>
          <w:tcPr>
            <w:tcW w:w="2411" w:type="dxa"/>
            <w:vMerge w:val="restart"/>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时间：</w:t>
            </w:r>
            <w:r>
              <w:rPr>
                <w:rFonts w:hint="eastAsia" w:ascii="宋体" w:hAnsi="宋体"/>
                <w:color w:val="auto"/>
                <w:szCs w:val="21"/>
                <w:highlight w:val="none"/>
                <w:u w:val="single"/>
              </w:rPr>
              <w:t>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9" w:hRule="atLeast"/>
          <w:jc w:val="center"/>
        </w:trPr>
        <w:tc>
          <w:tcPr>
            <w:tcW w:w="95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241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s="宋体"/>
                <w:color w:val="auto"/>
                <w:szCs w:val="21"/>
                <w:highlight w:val="none"/>
              </w:rPr>
              <w:t>形式：</w:t>
            </w:r>
            <w:r>
              <w:rPr>
                <w:rFonts w:hint="eastAsia" w:ascii="宋体" w:hAnsi="宋体" w:cs="宋体"/>
                <w:color w:val="auto"/>
                <w:szCs w:val="21"/>
                <w:highlight w:val="none"/>
                <w:u w:val="single"/>
              </w:rPr>
              <w:t>招标文件修改一经在广州公共资源交易中心网站发布，视作已发放给所有投标人，无需确认。潜在投标人应自行关注招标公告公布的网站公告，投标人因自身贻误行为导致投标失败的，责任自负。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3.1.1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rPr>
              <w:t>构成投标文件的其他资料</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满足本项目评审要求的其他资料等投标人认为需要提供的资料。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3.2.1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u w:val="singl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3.2.3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报价方式</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本招标项目监理服务费采用固定总价报价方式报价（以元为单位，精确到小数点后</w:t>
            </w:r>
            <w:r>
              <w:rPr>
                <w:rFonts w:ascii="宋体" w:hAnsi="宋体" w:cs="宋体"/>
                <w:color w:val="auto"/>
                <w:szCs w:val="21"/>
                <w:highlight w:val="none"/>
              </w:rPr>
              <w:t>2位）。</w:t>
            </w:r>
          </w:p>
          <w:p>
            <w:pPr>
              <w:snapToGrid w:val="0"/>
              <w:spacing w:line="400" w:lineRule="exact"/>
              <w:rPr>
                <w:rFonts w:ascii="宋体" w:hAnsi="宋体"/>
                <w:color w:val="auto"/>
                <w:szCs w:val="21"/>
                <w:highlight w:val="none"/>
                <w:u w:val="single"/>
              </w:rPr>
            </w:pPr>
            <w:r>
              <w:rPr>
                <w:rFonts w:hint="eastAsia" w:ascii="宋体" w:hAnsi="宋体" w:cs="宋体"/>
                <w:color w:val="auto"/>
                <w:szCs w:val="21"/>
                <w:highlight w:val="none"/>
                <w:u w:val="single"/>
              </w:rPr>
              <w:t>结算方式：按合同约定执行。</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3.2.4</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最高投标限价</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rPr>
              <w:t>□无</w:t>
            </w:r>
          </w:p>
          <w:p>
            <w:pPr>
              <w:tabs>
                <w:tab w:val="left" w:pos="7513"/>
              </w:tabs>
              <w:adjustRightInd w:val="0"/>
              <w:snapToGrid w:val="0"/>
              <w:spacing w:line="400" w:lineRule="exact"/>
              <w:rPr>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有，监理费最高投标限价：</w:t>
            </w:r>
            <w:r>
              <w:rPr>
                <w:rFonts w:hint="eastAsia" w:ascii="宋体" w:hAnsi="宋体" w:cs="宋体"/>
                <w:color w:val="auto"/>
                <w:szCs w:val="21"/>
                <w:highlight w:val="none"/>
                <w:u w:val="single"/>
              </w:rPr>
              <w:t>人民币</w:t>
            </w:r>
            <w:r>
              <w:rPr>
                <w:rFonts w:hint="eastAsia" w:ascii="宋体" w:hAnsi="宋体" w:cs="宋体"/>
                <w:b/>
                <w:color w:val="auto"/>
                <w:szCs w:val="21"/>
                <w:highlight w:val="none"/>
                <w:u w:val="single"/>
              </w:rPr>
              <w:t>901.413564万元；</w:t>
            </w:r>
          </w:p>
          <w:p>
            <w:pPr>
              <w:tabs>
                <w:tab w:val="left" w:pos="7513"/>
              </w:tabs>
              <w:adjustRightInd w:val="0"/>
              <w:snapToGrid w:val="0"/>
              <w:spacing w:line="400" w:lineRule="exact"/>
              <w:rPr>
                <w:rFonts w:ascii="宋体" w:hAnsi="宋体"/>
                <w:b/>
                <w:bCs/>
                <w:color w:val="auto"/>
                <w:sz w:val="18"/>
                <w:szCs w:val="18"/>
                <w:highlight w:val="none"/>
                <w:u w:val="single"/>
              </w:rPr>
            </w:pPr>
            <w:r>
              <w:rPr>
                <w:rFonts w:hint="eastAsia" w:ascii="宋体" w:hAnsi="宋体"/>
                <w:b/>
                <w:bCs/>
                <w:snapToGrid w:val="0"/>
                <w:color w:val="auto"/>
                <w:spacing w:val="4"/>
                <w:kern w:val="0"/>
                <w:sz w:val="20"/>
                <w:szCs w:val="18"/>
                <w:highlight w:val="none"/>
              </w:rPr>
              <w:t>注：投标报价不得超过项目的最高投标限价。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3.2.5</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投标报价的其他</w:t>
            </w:r>
          </w:p>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要求</w:t>
            </w:r>
          </w:p>
        </w:tc>
        <w:tc>
          <w:tcPr>
            <w:tcW w:w="6310"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left"/>
              <w:rPr>
                <w:rFonts w:ascii="宋体" w:hAnsi="宋体"/>
                <w:color w:val="auto"/>
                <w:szCs w:val="21"/>
                <w:highlight w:val="none"/>
              </w:rPr>
            </w:pPr>
            <w:r>
              <w:rPr>
                <w:rFonts w:hint="eastAsia" w:ascii="宋体" w:hAnsi="宋体"/>
                <w:color w:val="auto"/>
                <w:szCs w:val="21"/>
                <w:highlight w:val="none"/>
              </w:rPr>
              <w:t>投标报价超过最高投标限价的投标文件将被否决其投标。</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widowControl/>
              <w:spacing w:line="360" w:lineRule="auto"/>
              <w:jc w:val="left"/>
              <w:rPr>
                <w:rFonts w:ascii="宋体" w:hAnsi="宋体"/>
                <w:color w:val="auto"/>
                <w:szCs w:val="21"/>
                <w:highlight w:val="none"/>
              </w:rPr>
            </w:pPr>
            <w:r>
              <w:rPr>
                <w:rFonts w:hint="eastAsia" w:ascii="宋体" w:hAnsi="宋体"/>
                <w:color w:val="auto"/>
                <w:szCs w:val="21"/>
                <w:highlight w:val="none"/>
              </w:rPr>
              <w:t>投标人必须详细审阅全部招标文件，充分考虑职责和义务</w:t>
            </w:r>
            <w:r>
              <w:rPr>
                <w:rFonts w:ascii="宋体" w:hAnsi="宋体"/>
                <w:color w:val="auto"/>
                <w:szCs w:val="21"/>
                <w:highlight w:val="none"/>
              </w:rPr>
              <w:t>,全面地理解招标文件对投标报价的要求,并按招标人提出的条件及内容进行报价。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3"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3.3.1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u w:val="single"/>
              </w:rPr>
            </w:pPr>
            <w:r>
              <w:rPr>
                <w:rFonts w:hint="eastAsia" w:ascii="宋体" w:hAnsi="宋体"/>
                <w:color w:val="auto"/>
                <w:szCs w:val="21"/>
                <w:highlight w:val="none"/>
                <w:u w:val="single"/>
              </w:rPr>
              <w:t>120日历天（从投标截止之日算起）。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3.4.1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投标保证金</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360" w:lineRule="auto"/>
              <w:rPr>
                <w:rFonts w:ascii="Times New Roman"/>
                <w:color w:val="auto"/>
                <w:sz w:val="21"/>
                <w:szCs w:val="22"/>
                <w:highlight w:val="none"/>
              </w:rPr>
            </w:pPr>
            <w:r>
              <w:rPr>
                <w:rFonts w:hint="eastAsia" w:ascii="Times New Roman"/>
                <w:color w:val="auto"/>
                <w:sz w:val="21"/>
                <w:szCs w:val="22"/>
                <w:highlight w:val="none"/>
              </w:rPr>
              <w:t>是否要求投标人递交投标保证金：</w:t>
            </w:r>
          </w:p>
          <w:p>
            <w:pPr>
              <w:pStyle w:val="7"/>
              <w:topLinePunct/>
              <w:snapToGrid w:val="0"/>
              <w:spacing w:line="360" w:lineRule="auto"/>
              <w:rPr>
                <w:rFonts w:ascii="Times New Roman"/>
                <w:color w:val="auto"/>
                <w:sz w:val="21"/>
                <w:szCs w:val="22"/>
                <w:highlight w:val="none"/>
              </w:rPr>
            </w:pPr>
            <w:r>
              <w:rPr>
                <w:rFonts w:hint="eastAsia" w:hAnsi="宋体"/>
                <w:color w:val="auto"/>
                <w:spacing w:val="-1"/>
                <w:szCs w:val="21"/>
                <w:highlight w:val="none"/>
              </w:rPr>
              <w:t>■</w:t>
            </w:r>
            <w:r>
              <w:rPr>
                <w:rFonts w:hint="eastAsia" w:ascii="Times New Roman"/>
                <w:color w:val="auto"/>
                <w:sz w:val="21"/>
                <w:szCs w:val="22"/>
                <w:highlight w:val="none"/>
              </w:rPr>
              <w:t>要求</w:t>
            </w:r>
          </w:p>
          <w:p>
            <w:pPr>
              <w:pStyle w:val="7"/>
              <w:topLinePunct/>
              <w:snapToGrid w:val="0"/>
              <w:spacing w:line="360" w:lineRule="auto"/>
              <w:rPr>
                <w:rFonts w:ascii="Times New Roman"/>
                <w:color w:val="auto"/>
                <w:sz w:val="21"/>
                <w:szCs w:val="22"/>
                <w:highlight w:val="none"/>
              </w:rPr>
            </w:pPr>
            <w:r>
              <w:rPr>
                <w:rFonts w:hint="eastAsia" w:ascii="Times New Roman"/>
                <w:color w:val="auto"/>
                <w:sz w:val="21"/>
                <w:szCs w:val="22"/>
                <w:highlight w:val="none"/>
              </w:rPr>
              <w:t>投标保证金的形式：现金、支票、投标保函、专业工程担保公司担保、保证保险等形式；</w:t>
            </w:r>
          </w:p>
          <w:p>
            <w:pPr>
              <w:pStyle w:val="7"/>
              <w:topLinePunct/>
              <w:snapToGrid w:val="0"/>
              <w:spacing w:line="360" w:lineRule="auto"/>
              <w:rPr>
                <w:rFonts w:ascii="Times New Roman"/>
                <w:color w:val="auto"/>
                <w:sz w:val="21"/>
                <w:szCs w:val="22"/>
                <w:highlight w:val="none"/>
              </w:rPr>
            </w:pPr>
            <w:r>
              <w:rPr>
                <w:rFonts w:hint="eastAsia" w:ascii="Times New Roman"/>
                <w:color w:val="auto"/>
                <w:sz w:val="21"/>
                <w:szCs w:val="22"/>
                <w:highlight w:val="none"/>
              </w:rPr>
              <w:t>投标保证金的金额：</w:t>
            </w:r>
            <w:r>
              <w:rPr>
                <w:rFonts w:hint="eastAsia" w:ascii="Times New Roman"/>
                <w:color w:val="auto"/>
                <w:sz w:val="21"/>
                <w:szCs w:val="22"/>
                <w:highlight w:val="none"/>
                <w:u w:val="single"/>
              </w:rPr>
              <w:t>15</w:t>
            </w:r>
            <w:r>
              <w:rPr>
                <w:rFonts w:hint="eastAsia" w:ascii="Times New Roman"/>
                <w:color w:val="auto"/>
                <w:sz w:val="21"/>
                <w:szCs w:val="22"/>
                <w:highlight w:val="none"/>
              </w:rPr>
              <w:t>万元；</w:t>
            </w:r>
          </w:p>
          <w:p>
            <w:pPr>
              <w:pStyle w:val="7"/>
              <w:topLinePunct/>
              <w:snapToGrid w:val="0"/>
              <w:spacing w:line="360" w:lineRule="auto"/>
              <w:rPr>
                <w:rFonts w:ascii="Times New Roman"/>
                <w:color w:val="auto"/>
                <w:sz w:val="21"/>
                <w:szCs w:val="22"/>
                <w:highlight w:val="none"/>
              </w:rPr>
            </w:pPr>
            <w:r>
              <w:rPr>
                <w:rFonts w:hint="eastAsia" w:ascii="Times New Roman"/>
                <w:color w:val="auto"/>
                <w:sz w:val="21"/>
                <w:szCs w:val="22"/>
                <w:highlight w:val="none"/>
              </w:rPr>
              <w:t>须在递交投标文件截止时间前完成缴纳，否则视为放弃本次投标机会。</w:t>
            </w:r>
          </w:p>
          <w:p>
            <w:pPr>
              <w:pStyle w:val="7"/>
              <w:topLinePunct/>
              <w:snapToGrid w:val="0"/>
              <w:spacing w:line="360" w:lineRule="auto"/>
              <w:rPr>
                <w:rFonts w:ascii="Times New Roman"/>
                <w:color w:val="auto"/>
                <w:sz w:val="21"/>
                <w:szCs w:val="22"/>
                <w:highlight w:val="none"/>
              </w:rPr>
            </w:pPr>
            <w:r>
              <w:rPr>
                <w:rFonts w:hint="eastAsia" w:ascii="Times New Roman"/>
                <w:color w:val="auto"/>
                <w:sz w:val="21"/>
                <w:szCs w:val="22"/>
                <w:highlight w:val="none"/>
              </w:rPr>
              <w:t>（1）如采用现金或支票形式提交的，投标保证金从投标人基本账户递交，由广州交易集团有限公司（广州公共资源交易中心）代收。具体操作要求详见广州公共资源交易中心有关指引，递交事宜请自行咨询交易中心；缴纳时间：在投标截止时间前；到账情况以开标时广州交易集团有限公司（广州公共资源交易中心）数据库查询的信息为准。</w:t>
            </w:r>
          </w:p>
          <w:p>
            <w:pPr>
              <w:pStyle w:val="7"/>
              <w:topLinePunct/>
              <w:snapToGrid w:val="0"/>
              <w:spacing w:line="360" w:lineRule="auto"/>
              <w:rPr>
                <w:rFonts w:ascii="Times New Roman"/>
                <w:color w:val="auto"/>
                <w:sz w:val="21"/>
                <w:szCs w:val="22"/>
                <w:highlight w:val="none"/>
              </w:rPr>
            </w:pPr>
            <w:r>
              <w:rPr>
                <w:rFonts w:hint="eastAsia" w:ascii="Times New Roman"/>
                <w:color w:val="auto"/>
                <w:sz w:val="21"/>
                <w:szCs w:val="22"/>
                <w:highlight w:val="none"/>
              </w:rPr>
              <w:t>（2）采用银行保函（或保证保险、或专业担保公司担保）提交投标保证金的，在开标前不强制要求投标人提交纸质原件，由中标候选人在中标候选人公示前提交并在网上公示，投标人应在投标文件中提交投标保函或投标保证保险或专业担保公司担保扫描件并加盖投标人公章。投标人须确保投标保函、专业工程担保公司担保或保证保险真实、有效，如发现投标保函、专业工程担保公司担保或保证保险虚假、无效，将根据本招标文件约定及按法律法规规定处理。</w:t>
            </w:r>
          </w:p>
          <w:p>
            <w:pPr>
              <w:pStyle w:val="7"/>
              <w:topLinePunct/>
              <w:snapToGrid w:val="0"/>
              <w:spacing w:line="360" w:lineRule="auto"/>
              <w:rPr>
                <w:rFonts w:ascii="Times New Roman"/>
                <w:color w:val="auto"/>
                <w:sz w:val="21"/>
                <w:szCs w:val="22"/>
                <w:highlight w:val="none"/>
              </w:rPr>
            </w:pPr>
            <w:r>
              <w:rPr>
                <w:rFonts w:hint="eastAsia" w:ascii="Times New Roman"/>
                <w:color w:val="auto"/>
                <w:sz w:val="21"/>
                <w:szCs w:val="22"/>
                <w:highlight w:val="none"/>
              </w:rPr>
              <w:t>银行保函（或保证保险、或专业担保公司担保）有效期应长于或等于投标有效期，若投标有效期延长的，银行保函（或保证保险、或专业担保公司担保）有效期应相应延长，且延长后的有效期应满足前述要求。投标人提供的银行保函（或保证保险、或专业担保公司担保）的受益人必须为招标人；银行保函（或保证保险、或专业担保公司担保）应为金融机构出具的无条件、见索即付、不可撤销的保函，保函出具金融机构赔付条件（投标文件格式）不得更改。担保或保险金额不得低于投标保证金的金额，否则投标人的投标文件将被否决。采用电子保函提交投标保证金的，递交途径请自行咨询交易平台。</w:t>
            </w:r>
          </w:p>
          <w:p>
            <w:pPr>
              <w:pStyle w:val="7"/>
              <w:topLinePunct/>
              <w:snapToGrid w:val="0"/>
              <w:spacing w:line="360" w:lineRule="auto"/>
              <w:rPr>
                <w:rFonts w:hAnsi="宋体"/>
                <w:color w:val="auto"/>
                <w:kern w:val="2"/>
                <w:sz w:val="21"/>
                <w:szCs w:val="21"/>
                <w:highlight w:val="none"/>
              </w:rPr>
            </w:pPr>
            <w:r>
              <w:rPr>
                <w:rFonts w:hint="eastAsia" w:ascii="Times New Roman"/>
                <w:color w:val="auto"/>
                <w:sz w:val="21"/>
                <w:szCs w:val="22"/>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3.4.4</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其他可以不予退还投标保证金的情形</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3.5</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400" w:lineRule="exact"/>
              <w:ind w:right="174" w:rightChars="83"/>
              <w:rPr>
                <w:rFonts w:hAnsi="宋体" w:eastAsia="Times New Roman"/>
                <w:color w:val="auto"/>
                <w:sz w:val="21"/>
                <w:szCs w:val="21"/>
                <w:highlight w:val="none"/>
              </w:rPr>
            </w:pPr>
            <w:r>
              <w:rPr>
                <w:rFonts w:hint="eastAsia" w:hAnsi="宋体" w:cs="宋体"/>
                <w:color w:val="auto"/>
                <w:sz w:val="21"/>
                <w:szCs w:val="21"/>
                <w:highlight w:val="none"/>
              </w:rPr>
              <w:t>□无</w:t>
            </w:r>
          </w:p>
          <w:p>
            <w:pPr>
              <w:pStyle w:val="7"/>
              <w:topLinePunct/>
              <w:spacing w:line="400" w:lineRule="exact"/>
              <w:ind w:left="40" w:leftChars="19" w:right="107" w:rightChars="51"/>
              <w:rPr>
                <w:color w:val="auto"/>
                <w:sz w:val="21"/>
                <w:szCs w:val="21"/>
                <w:highlight w:val="none"/>
              </w:rPr>
            </w:pPr>
            <w:r>
              <w:rPr>
                <w:rFonts w:hint="eastAsia" w:ascii="MS Mincho" w:hAnsi="MS Mincho" w:eastAsia="MS Mincho" w:cs="MS Mincho"/>
                <w:color w:val="auto"/>
                <w:sz w:val="21"/>
                <w:szCs w:val="21"/>
                <w:highlight w:val="none"/>
              </w:rPr>
              <w:t>■</w:t>
            </w:r>
            <w:r>
              <w:rPr>
                <w:rFonts w:hint="eastAsia"/>
                <w:color w:val="auto"/>
                <w:sz w:val="21"/>
                <w:szCs w:val="21"/>
                <w:highlight w:val="none"/>
              </w:rPr>
              <w:t>有</w:t>
            </w:r>
          </w:p>
          <w:p>
            <w:pPr>
              <w:pStyle w:val="7"/>
              <w:topLinePunct/>
              <w:spacing w:line="400" w:lineRule="exact"/>
              <w:ind w:left="40" w:leftChars="19" w:right="107" w:rightChars="51"/>
              <w:rPr>
                <w:rFonts w:hAnsi="宋体"/>
                <w:color w:val="auto"/>
                <w:kern w:val="2"/>
                <w:sz w:val="21"/>
                <w:szCs w:val="21"/>
                <w:highlight w:val="none"/>
              </w:rPr>
            </w:pPr>
            <w:r>
              <w:rPr>
                <w:rFonts w:hint="eastAsia" w:hAnsi="宋体"/>
                <w:color w:val="auto"/>
                <w:kern w:val="2"/>
                <w:sz w:val="21"/>
                <w:szCs w:val="21"/>
                <w:highlight w:val="none"/>
              </w:rPr>
              <w:t>1、本招标项目不要求提供“近年财务状况表”、</w:t>
            </w:r>
            <w:r>
              <w:rPr>
                <w:rFonts w:hAnsi="宋体"/>
                <w:color w:val="auto"/>
                <w:kern w:val="2"/>
                <w:sz w:val="21"/>
                <w:szCs w:val="21"/>
                <w:highlight w:val="none"/>
              </w:rPr>
              <w:t>“正在监理和新承接的项目情况表”</w:t>
            </w:r>
            <w:r>
              <w:rPr>
                <w:rFonts w:hint="eastAsia" w:hAnsi="宋体"/>
                <w:color w:val="auto"/>
                <w:kern w:val="2"/>
                <w:sz w:val="21"/>
                <w:szCs w:val="21"/>
                <w:highlight w:val="none"/>
              </w:rPr>
              <w:t>及“近年发生的诉讼及仲裁情况”，不作为资格审查内容。本招标项目要求提供“监理类似业绩、监理项目管理团队人员信息表”资料，但不作为资格审查内容，上述内容资料需提供且作为评标资料。</w:t>
            </w:r>
          </w:p>
          <w:p>
            <w:pPr>
              <w:pStyle w:val="7"/>
              <w:topLinePunct/>
              <w:spacing w:line="400" w:lineRule="exact"/>
              <w:ind w:left="40" w:leftChars="19" w:right="107" w:rightChars="51"/>
              <w:rPr>
                <w:rFonts w:hAnsi="宋体"/>
                <w:color w:val="auto"/>
                <w:kern w:val="2"/>
                <w:sz w:val="21"/>
                <w:szCs w:val="21"/>
                <w:highlight w:val="none"/>
              </w:rPr>
            </w:pPr>
            <w:r>
              <w:rPr>
                <w:rFonts w:hint="eastAsia" w:hAnsi="宋体"/>
                <w:color w:val="auto"/>
                <w:kern w:val="2"/>
                <w:sz w:val="21"/>
                <w:szCs w:val="21"/>
                <w:highlight w:val="none"/>
              </w:rPr>
              <w:t>2、本招标项目要求提供的资格审查其他资料：</w:t>
            </w:r>
          </w:p>
          <w:p>
            <w:pPr>
              <w:pStyle w:val="7"/>
              <w:topLinePunct/>
              <w:spacing w:line="400" w:lineRule="exact"/>
              <w:ind w:left="40" w:leftChars="19" w:right="107" w:rightChars="51"/>
              <w:rPr>
                <w:rFonts w:hAnsi="宋体"/>
                <w:color w:val="auto"/>
                <w:kern w:val="2"/>
                <w:sz w:val="21"/>
                <w:szCs w:val="21"/>
                <w:highlight w:val="none"/>
              </w:rPr>
            </w:pPr>
            <w:r>
              <w:rPr>
                <w:rFonts w:hint="eastAsia" w:hAnsi="宋体"/>
                <w:color w:val="auto"/>
                <w:kern w:val="2"/>
                <w:sz w:val="21"/>
                <w:szCs w:val="21"/>
                <w:highlight w:val="none"/>
              </w:rPr>
              <w:t>①投标人已按规定格式签名盖章《投标人声明》（格式详见附件一）；</w:t>
            </w:r>
          </w:p>
          <w:p>
            <w:pPr>
              <w:pStyle w:val="7"/>
              <w:topLinePunct/>
              <w:spacing w:line="400" w:lineRule="exact"/>
              <w:ind w:left="40" w:leftChars="19" w:right="107" w:rightChars="51"/>
              <w:rPr>
                <w:rFonts w:hAnsi="宋体"/>
                <w:color w:val="auto"/>
                <w:kern w:val="2"/>
                <w:sz w:val="21"/>
                <w:szCs w:val="21"/>
                <w:highlight w:val="none"/>
              </w:rPr>
            </w:pPr>
            <w:r>
              <w:rPr>
                <w:rFonts w:hint="eastAsia" w:hAnsi="宋体" w:cs="宋体"/>
                <w:color w:val="auto"/>
                <w:sz w:val="21"/>
                <w:szCs w:val="21"/>
                <w:highlight w:val="none"/>
              </w:rPr>
              <w:t>②投标人没有在“信用中国”网站被列为安全生产领域严重失信惩戒名单、统计严重失信企业名单、重大税收违法失信主体；投标人和总监理工程师没有在“中国执行信息公开网”被列为执行期内的失信被执行人的证明材料；投标人和总监理工程师没有在“信用中国（广东）”网站被列为执行期内的失信被执行人的证明材料；投标人在“信用中国（广东肇庆）”网站的红黑名单查询中没有处于处罚期内黑名单记录的证明材料（提供网页查询结果截图，招标人保留查证的权利）；</w:t>
            </w:r>
          </w:p>
          <w:p>
            <w:pPr>
              <w:pStyle w:val="7"/>
              <w:topLinePunct/>
              <w:spacing w:line="400" w:lineRule="exact"/>
              <w:ind w:left="40" w:leftChars="19" w:right="107" w:rightChars="51"/>
              <w:rPr>
                <w:rFonts w:hAnsi="宋体" w:cs="宋体"/>
                <w:color w:val="auto"/>
                <w:sz w:val="21"/>
                <w:szCs w:val="21"/>
                <w:highlight w:val="none"/>
              </w:rPr>
            </w:pPr>
            <w:r>
              <w:rPr>
                <w:rFonts w:hint="eastAsia" w:hAnsi="宋体"/>
                <w:color w:val="auto"/>
                <w:kern w:val="2"/>
                <w:sz w:val="21"/>
                <w:szCs w:val="21"/>
                <w:highlight w:val="none"/>
              </w:rPr>
              <w:t>③</w:t>
            </w:r>
            <w:r>
              <w:rPr>
                <w:rFonts w:hint="eastAsia" w:hAnsi="宋体" w:cs="宋体"/>
                <w:color w:val="auto"/>
                <w:sz w:val="21"/>
                <w:szCs w:val="21"/>
                <w:highlight w:val="none"/>
              </w:rPr>
              <w:t>投标人和总监理工程师没有在国家住房和城乡建设部的“全国建筑市场监管公共服务平台”、广东省住房和城乡建设厅的“广东省建筑市场监管服务公共服务平台”被列入“黑名单”并在处罚期内的证明材料（提供网页查询结果截图，招标人保留查证的权利）；</w:t>
            </w:r>
          </w:p>
          <w:p>
            <w:pPr>
              <w:pStyle w:val="7"/>
              <w:topLinePunct/>
              <w:spacing w:line="400" w:lineRule="exact"/>
              <w:ind w:left="40" w:leftChars="19" w:right="107" w:rightChars="51"/>
              <w:rPr>
                <w:color w:val="auto"/>
                <w:sz w:val="21"/>
                <w:szCs w:val="21"/>
                <w:highlight w:val="none"/>
              </w:rPr>
            </w:pPr>
            <w:r>
              <w:rPr>
                <w:rFonts w:hint="eastAsia" w:hAnsi="宋体"/>
                <w:color w:val="auto"/>
                <w:kern w:val="2"/>
                <w:sz w:val="21"/>
                <w:szCs w:val="21"/>
                <w:highlight w:val="none"/>
              </w:rPr>
              <w:t>④</w:t>
            </w:r>
            <w:r>
              <w:rPr>
                <w:rFonts w:hint="eastAsia"/>
                <w:color w:val="auto"/>
                <w:sz w:val="21"/>
                <w:szCs w:val="21"/>
                <w:highlight w:val="none"/>
              </w:rPr>
              <w:t>投标人没有被市场监督管理机关在“国家企业信用信息公示系统”中列入严重违法失信企业名单（黑名单）并在列入期内的证明材料（提供网页查询结果截图，招标人保留查证的权利）。</w:t>
            </w:r>
          </w:p>
          <w:p>
            <w:pPr>
              <w:pStyle w:val="7"/>
              <w:topLinePunct/>
              <w:spacing w:line="400" w:lineRule="exact"/>
              <w:ind w:left="40" w:leftChars="19" w:right="107" w:rightChars="51"/>
              <w:rPr>
                <w:rFonts w:hAnsi="宋体"/>
                <w:color w:val="auto"/>
                <w:kern w:val="2"/>
                <w:sz w:val="21"/>
                <w:szCs w:val="21"/>
                <w:highlight w:val="none"/>
              </w:rPr>
            </w:pPr>
            <w:r>
              <w:rPr>
                <w:rFonts w:hint="eastAsia" w:hAnsi="宋体"/>
                <w:color w:val="auto"/>
                <w:kern w:val="2"/>
                <w:sz w:val="21"/>
                <w:szCs w:val="21"/>
                <w:highlight w:val="none"/>
              </w:rPr>
              <w:t>⑤</w:t>
            </w:r>
            <w:r>
              <w:rPr>
                <w:rFonts w:hint="eastAsia"/>
                <w:color w:val="auto"/>
                <w:sz w:val="21"/>
                <w:szCs w:val="21"/>
                <w:highlight w:val="none"/>
              </w:rPr>
              <w:t>投标人和拟投入本项目的总监理工程师在“进粤企业和人员诚信信息登记平台”录入相关信息并通过数据规范检查的网页截图（若投标人为广东省外进粤建筑企业提供，若投标人为广东省内企业无需提供）；</w:t>
            </w:r>
          </w:p>
          <w:p>
            <w:pPr>
              <w:pStyle w:val="7"/>
              <w:topLinePunct/>
              <w:spacing w:line="400" w:lineRule="exact"/>
              <w:ind w:left="40" w:leftChars="19" w:right="107" w:rightChars="51"/>
              <w:rPr>
                <w:rFonts w:hAnsi="宋体"/>
                <w:color w:val="auto"/>
                <w:kern w:val="2"/>
                <w:sz w:val="21"/>
                <w:szCs w:val="21"/>
                <w:highlight w:val="none"/>
              </w:rPr>
            </w:pPr>
            <w:r>
              <w:rPr>
                <w:rFonts w:hint="eastAsia" w:hAnsi="宋体"/>
                <w:color w:val="auto"/>
                <w:kern w:val="2"/>
                <w:sz w:val="21"/>
                <w:szCs w:val="21"/>
                <w:highlight w:val="none"/>
              </w:rPr>
              <w:t>⑥投标人认为需要提供的其他资料。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8"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3.5.2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u w:val="singl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06"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3.5.3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3.5.5</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近年发生的诉讼</w:t>
            </w:r>
          </w:p>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及仲裁情况的时间要求</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8"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3.6.1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400" w:lineRule="exact"/>
              <w:rPr>
                <w:rFonts w:hAnsi="宋体"/>
                <w:color w:val="auto"/>
                <w:kern w:val="2"/>
                <w:sz w:val="21"/>
                <w:szCs w:val="21"/>
                <w:highlight w:val="none"/>
              </w:rPr>
            </w:pPr>
            <w:r>
              <w:rPr>
                <w:rFonts w:hint="eastAsia" w:hAnsi="宋体"/>
                <w:color w:val="auto"/>
                <w:spacing w:val="-1"/>
                <w:kern w:val="2"/>
                <w:sz w:val="21"/>
                <w:szCs w:val="21"/>
                <w:highlight w:val="none"/>
              </w:rPr>
              <w:t>■</w:t>
            </w:r>
            <w:r>
              <w:rPr>
                <w:rFonts w:hint="eastAsia" w:hAnsi="宋体"/>
                <w:color w:val="auto"/>
                <w:kern w:val="2"/>
                <w:sz w:val="21"/>
                <w:szCs w:val="21"/>
                <w:highlight w:val="none"/>
              </w:rPr>
              <w:t>不允许</w:t>
            </w:r>
          </w:p>
          <w:p>
            <w:pPr>
              <w:snapToGrid w:val="0"/>
              <w:spacing w:line="400" w:lineRule="exact"/>
              <w:rPr>
                <w:rFonts w:ascii="宋体" w:hAnsi="宋体"/>
                <w:color w:val="auto"/>
                <w:szCs w:val="21"/>
                <w:highlight w:val="none"/>
              </w:rPr>
            </w:pPr>
            <w:r>
              <w:rPr>
                <w:rFonts w:hint="eastAsia" w:ascii="宋体" w:hAnsi="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3.7.3A（2）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投标文件副本份数及其他要求</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3.7.3A（3）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投标文件是否需分册装订</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3.7.3（B）</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400" w:lineRule="exact"/>
              <w:rPr>
                <w:rFonts w:hAnsi="宋体"/>
                <w:color w:val="auto"/>
                <w:kern w:val="2"/>
                <w:sz w:val="21"/>
                <w:szCs w:val="21"/>
                <w:highlight w:val="none"/>
                <w:u w:val="single"/>
              </w:rPr>
            </w:pPr>
            <w:r>
              <w:rPr>
                <w:rFonts w:hint="eastAsia" w:hAnsi="宋体"/>
                <w:color w:val="auto"/>
                <w:kern w:val="2"/>
                <w:sz w:val="21"/>
                <w:szCs w:val="21"/>
                <w:highlight w:val="none"/>
                <w:u w:val="single"/>
              </w:rPr>
              <w:t>证书证件需为原件清晰扫描件，并采用单位数字证书，按照招标文件要求在相应位置加盖电子印章。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3.7.3（B）</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adjustRightInd w:val="0"/>
              <w:snapToGrid w:val="0"/>
              <w:spacing w:line="400" w:lineRule="exact"/>
              <w:textAlignment w:val="baseline"/>
              <w:outlineLvl w:val="1"/>
              <w:rPr>
                <w:rFonts w:hAnsi="宋体"/>
                <w:color w:val="auto"/>
                <w:kern w:val="2"/>
                <w:sz w:val="21"/>
                <w:szCs w:val="21"/>
                <w:highlight w:val="none"/>
                <w:u w:val="single"/>
              </w:rPr>
            </w:pPr>
            <w:r>
              <w:rPr>
                <w:rFonts w:hint="eastAsia" w:hAnsi="宋体"/>
                <w:color w:val="auto"/>
                <w:kern w:val="2"/>
                <w:sz w:val="21"/>
                <w:szCs w:val="21"/>
                <w:highlight w:val="none"/>
                <w:u w:val="single"/>
              </w:rPr>
              <w:t>投标文件全部采用电子文档，投标文件所附证书证件均为原件扫描件，并采用单位数字证书，按招标文件要求在相应位置加盖电子印章。投标文件中需个人签字或盖章的，应手签后扫描上传。具体操作详见附件《房屋建筑和市政基础设施工程全流程电子化项目专章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4.1.1（B）</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adjustRightInd w:val="0"/>
              <w:snapToGrid w:val="0"/>
              <w:spacing w:line="400" w:lineRule="exact"/>
              <w:textAlignment w:val="baseline"/>
              <w:outlineLvl w:val="1"/>
              <w:rPr>
                <w:rFonts w:hAnsi="宋体"/>
                <w:color w:val="auto"/>
                <w:kern w:val="2"/>
                <w:sz w:val="21"/>
                <w:szCs w:val="21"/>
                <w:highlight w:val="none"/>
                <w:u w:val="single"/>
              </w:rPr>
            </w:pPr>
            <w:r>
              <w:rPr>
                <w:rFonts w:hint="eastAsia" w:hAnsi="宋体"/>
                <w:color w:val="auto"/>
                <w:kern w:val="2"/>
                <w:sz w:val="21"/>
                <w:szCs w:val="21"/>
                <w:highlight w:val="none"/>
                <w:u w:val="single"/>
              </w:rPr>
              <w:t>网上递交的电子投标文件须进行加密。具体操作详见附件《房屋建筑和市政基础设施工程全流程电子化项目专章》。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4.1.2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封套上应载明</w:t>
            </w:r>
          </w:p>
          <w:p>
            <w:pPr>
              <w:snapToGrid w:val="0"/>
              <w:spacing w:line="400" w:lineRule="exact"/>
              <w:jc w:val="center"/>
              <w:rPr>
                <w:rFonts w:ascii="宋体" w:hAnsi="宋体"/>
                <w:color w:val="auto"/>
                <w:szCs w:val="21"/>
                <w:highlight w:val="none"/>
                <w:shd w:val="clear" w:color="auto" w:fill="D9D9D9"/>
              </w:rPr>
            </w:pPr>
            <w:r>
              <w:rPr>
                <w:rFonts w:hint="eastAsia" w:ascii="宋体" w:hAnsi="宋体"/>
                <w:color w:val="auto"/>
                <w:szCs w:val="21"/>
                <w:highlight w:val="none"/>
              </w:rPr>
              <w:t>的信息</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400" w:lineRule="exact"/>
              <w:ind w:right="174" w:rightChars="83"/>
              <w:rPr>
                <w:rFonts w:hAnsi="宋体"/>
                <w:color w:val="auto"/>
                <w:sz w:val="21"/>
                <w:szCs w:val="21"/>
                <w:highlight w:val="none"/>
                <w:u w:val="single"/>
              </w:rPr>
            </w:pPr>
            <w:r>
              <w:rPr>
                <w:rFonts w:hint="eastAsia" w:hAnsi="宋体"/>
                <w:color w:val="auto"/>
                <w:sz w:val="21"/>
                <w:szCs w:val="21"/>
                <w:highlight w:val="none"/>
              </w:rPr>
              <w:t>招标人名称：</w:t>
            </w:r>
            <w:r>
              <w:rPr>
                <w:rFonts w:hint="eastAsia" w:hAnsi="宋体"/>
                <w:color w:val="auto"/>
                <w:sz w:val="21"/>
                <w:szCs w:val="21"/>
                <w:highlight w:val="none"/>
                <w:u w:val="single"/>
              </w:rPr>
              <w:t>广东粤新文化产业投资有限公司</w:t>
            </w:r>
          </w:p>
          <w:p>
            <w:pPr>
              <w:snapToGrid w:val="0"/>
              <w:spacing w:line="400" w:lineRule="exact"/>
              <w:ind w:right="174" w:rightChars="83"/>
              <w:rPr>
                <w:rFonts w:ascii="宋体" w:hAnsi="宋体"/>
                <w:color w:val="auto"/>
                <w:szCs w:val="21"/>
                <w:highlight w:val="none"/>
                <w:u w:val="single"/>
              </w:rPr>
            </w:pPr>
            <w:r>
              <w:rPr>
                <w:rFonts w:hint="eastAsia" w:ascii="宋体" w:hAnsi="宋体"/>
                <w:color w:val="auto"/>
                <w:szCs w:val="21"/>
                <w:highlight w:val="none"/>
              </w:rPr>
              <w:t>招标人地址：</w:t>
            </w:r>
            <w:r>
              <w:rPr>
                <w:rFonts w:hint="eastAsia" w:ascii="宋体" w:hAnsi="宋体"/>
                <w:color w:val="auto"/>
                <w:szCs w:val="21"/>
                <w:highlight w:val="none"/>
                <w:u w:val="single"/>
              </w:rPr>
              <w:t>广州市海珠区琶洲大道82号宝地广场202室</w:t>
            </w:r>
          </w:p>
          <w:p>
            <w:pPr>
              <w:pStyle w:val="7"/>
              <w:topLinePunct/>
              <w:snapToGrid w:val="0"/>
              <w:spacing w:line="400" w:lineRule="exact"/>
              <w:ind w:right="174" w:rightChars="83"/>
              <w:rPr>
                <w:rFonts w:hAnsi="宋体"/>
                <w:color w:val="auto"/>
                <w:sz w:val="21"/>
                <w:szCs w:val="21"/>
                <w:highlight w:val="none"/>
              </w:rPr>
            </w:pPr>
            <w:r>
              <w:rPr>
                <w:rFonts w:hint="eastAsia" w:hAnsi="宋体"/>
                <w:color w:val="auto"/>
                <w:sz w:val="21"/>
                <w:szCs w:val="21"/>
                <w:highlight w:val="none"/>
                <w:u w:val="single"/>
              </w:rPr>
              <w:t>岭南文化创意产业园项目一期工程施工监理</w:t>
            </w:r>
            <w:r>
              <w:rPr>
                <w:rFonts w:hint="eastAsia" w:hAnsi="宋体"/>
                <w:color w:val="auto"/>
                <w:sz w:val="21"/>
                <w:szCs w:val="21"/>
                <w:highlight w:val="none"/>
              </w:rPr>
              <w:t>投标文件</w:t>
            </w:r>
          </w:p>
          <w:p>
            <w:pPr>
              <w:pStyle w:val="7"/>
              <w:topLinePunct/>
              <w:snapToGrid w:val="0"/>
              <w:spacing w:line="400" w:lineRule="exact"/>
              <w:ind w:right="174" w:rightChars="83"/>
              <w:rPr>
                <w:rFonts w:hAnsi="宋体"/>
                <w:color w:val="auto"/>
                <w:sz w:val="21"/>
                <w:szCs w:val="21"/>
                <w:highlight w:val="none"/>
                <w:u w:val="single"/>
              </w:rPr>
            </w:pPr>
            <w:r>
              <w:rPr>
                <w:rFonts w:hint="eastAsia" w:hAnsi="宋体"/>
                <w:color w:val="auto"/>
                <w:sz w:val="21"/>
                <w:szCs w:val="21"/>
                <w:highlight w:val="none"/>
              </w:rPr>
              <w:t>招标项目编号：</w:t>
            </w:r>
          </w:p>
          <w:p>
            <w:pPr>
              <w:pStyle w:val="7"/>
              <w:topLinePunct/>
              <w:snapToGrid w:val="0"/>
              <w:spacing w:line="400" w:lineRule="exact"/>
              <w:rPr>
                <w:rFonts w:hAnsi="宋体"/>
                <w:color w:val="auto"/>
                <w:kern w:val="2"/>
                <w:sz w:val="21"/>
                <w:szCs w:val="21"/>
                <w:highlight w:val="none"/>
              </w:rPr>
            </w:pPr>
            <w:r>
              <w:rPr>
                <w:rFonts w:hint="eastAsia" w:hAnsi="宋体"/>
                <w:color w:val="auto"/>
                <w:sz w:val="21"/>
                <w:szCs w:val="21"/>
                <w:highlight w:val="none"/>
                <w:u w:val="single"/>
              </w:rPr>
              <w:t>在2023年  月  日  时  分</w:t>
            </w:r>
            <w:r>
              <w:rPr>
                <w:rFonts w:hint="eastAsia" w:hAnsi="宋体"/>
                <w:color w:val="auto"/>
                <w:sz w:val="21"/>
                <w:szCs w:val="21"/>
                <w:highlight w:val="none"/>
              </w:rPr>
              <w:t>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4.2.1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投标截止时间</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u w:val="single"/>
              </w:rPr>
              <w:t xml:space="preserve"> 2023</w:t>
            </w:r>
            <w:r>
              <w:rPr>
                <w:rFonts w:hint="eastAsia" w:ascii="宋体" w:hAnsi="宋体"/>
                <w:color w:val="auto"/>
                <w:szCs w:val="21"/>
                <w:highlight w:val="none"/>
              </w:rPr>
              <w:t>年月日时分</w:t>
            </w:r>
            <w:r>
              <w:rPr>
                <w:rFonts w:hint="eastAsia" w:ascii="宋体" w:hAnsi="宋体" w:cs="宋体"/>
                <w:color w:val="auto"/>
                <w:szCs w:val="21"/>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s="宋体"/>
                <w:color w:val="auto"/>
                <w:sz w:val="24"/>
                <w:szCs w:val="24"/>
                <w:highlight w:val="none"/>
              </w:rPr>
              <w:t>4.2.2（A）</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s="宋体"/>
                <w:color w:val="auto"/>
                <w:sz w:val="21"/>
                <w:szCs w:val="21"/>
                <w:highlight w:val="none"/>
              </w:rPr>
              <w:t>递交投标文件地点</w:t>
            </w:r>
          </w:p>
        </w:tc>
        <w:tc>
          <w:tcPr>
            <w:tcW w:w="6310"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left"/>
              <w:rPr>
                <w:rFonts w:ascii="宋体" w:hAnsi="宋体" w:cs="宋体"/>
                <w:color w:val="auto"/>
                <w:szCs w:val="21"/>
                <w:highlight w:val="none"/>
                <w:u w:val="single"/>
              </w:rPr>
            </w:pPr>
            <w:r>
              <w:rPr>
                <w:rFonts w:ascii="宋体" w:hAnsi="宋体" w:cs="宋体"/>
                <w:color w:val="auto"/>
                <w:szCs w:val="21"/>
                <w:highlight w:val="none"/>
                <w:u w:val="single"/>
              </w:rPr>
              <w:t xml:space="preserve">1.递交方式：网上递交投标文件 </w:t>
            </w:r>
          </w:p>
          <w:p>
            <w:pPr>
              <w:widowControl/>
              <w:spacing w:line="360" w:lineRule="auto"/>
              <w:jc w:val="left"/>
              <w:rPr>
                <w:rFonts w:ascii="宋体" w:hAnsi="宋体" w:cs="宋体"/>
                <w:color w:val="auto"/>
                <w:szCs w:val="21"/>
                <w:highlight w:val="none"/>
                <w:u w:val="single"/>
              </w:rPr>
            </w:pPr>
            <w:r>
              <w:rPr>
                <w:rFonts w:ascii="宋体" w:hAnsi="宋体" w:cs="宋体"/>
                <w:color w:val="auto"/>
                <w:szCs w:val="21"/>
                <w:highlight w:val="none"/>
                <w:u w:val="single"/>
              </w:rPr>
              <w:t xml:space="preserve">2.递交投标文件的起始时间：  年  月  日   时  分。 </w:t>
            </w:r>
          </w:p>
          <w:p>
            <w:pPr>
              <w:widowControl/>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截止时间：</w:t>
            </w:r>
            <w:r>
              <w:rPr>
                <w:rFonts w:ascii="宋体" w:hAnsi="宋体" w:cs="宋体"/>
                <w:color w:val="auto"/>
                <w:szCs w:val="21"/>
                <w:highlight w:val="none"/>
                <w:u w:val="single"/>
              </w:rPr>
              <w:t>202</w:t>
            </w:r>
            <w:r>
              <w:rPr>
                <w:rFonts w:hint="eastAsia" w:ascii="宋体" w:hAnsi="宋体" w:cs="宋体"/>
                <w:color w:val="auto"/>
                <w:szCs w:val="21"/>
                <w:highlight w:val="none"/>
                <w:u w:val="single"/>
              </w:rPr>
              <w:t>3</w:t>
            </w:r>
            <w:r>
              <w:rPr>
                <w:rFonts w:ascii="宋体" w:hAnsi="宋体" w:cs="宋体"/>
                <w:color w:val="auto"/>
                <w:szCs w:val="21"/>
                <w:highlight w:val="none"/>
                <w:u w:val="single"/>
              </w:rPr>
              <w:t xml:space="preserve">年  </w:t>
            </w:r>
            <w:r>
              <w:rPr>
                <w:rFonts w:hint="eastAsia" w:ascii="宋体" w:hAnsi="宋体" w:cs="宋体"/>
                <w:color w:val="auto"/>
                <w:szCs w:val="21"/>
                <w:highlight w:val="none"/>
                <w:u w:val="single"/>
              </w:rPr>
              <w:t>月日时分</w:t>
            </w:r>
          </w:p>
          <w:p>
            <w:pPr>
              <w:widowControl/>
              <w:spacing w:line="360" w:lineRule="auto"/>
              <w:jc w:val="left"/>
              <w:rPr>
                <w:rFonts w:ascii="宋体" w:hAnsi="宋体" w:cs="宋体"/>
                <w:color w:val="auto"/>
                <w:szCs w:val="21"/>
                <w:highlight w:val="none"/>
                <w:u w:val="single"/>
              </w:rPr>
            </w:pPr>
            <w:r>
              <w:rPr>
                <w:rFonts w:ascii="宋体" w:hAnsi="宋体" w:cs="宋体"/>
                <w:color w:val="auto"/>
                <w:szCs w:val="21"/>
                <w:highlight w:val="none"/>
                <w:u w:val="single"/>
              </w:rPr>
              <w:t xml:space="preserve">3.地点：广州公共资源交易中心网站。 </w:t>
            </w:r>
          </w:p>
          <w:p>
            <w:pPr>
              <w:widowControl/>
              <w:spacing w:line="360" w:lineRule="auto"/>
              <w:jc w:val="left"/>
              <w:rPr>
                <w:rFonts w:ascii="宋体" w:hAnsi="宋体"/>
                <w:color w:val="auto"/>
                <w:szCs w:val="21"/>
                <w:highlight w:val="none"/>
                <w:u w:val="single"/>
              </w:rPr>
            </w:pPr>
            <w:r>
              <w:rPr>
                <w:rFonts w:ascii="宋体" w:hAnsi="宋体" w:cs="宋体"/>
                <w:color w:val="auto"/>
                <w:szCs w:val="21"/>
                <w:highlight w:val="none"/>
                <w:u w:val="single"/>
              </w:rPr>
              <w:t>4.上述时间及地点是否有改变，请密切留意招标答疑纪要或补充公告（如有）的相关信息，具体时间及场地安排请各投标人密切留意广州</w:t>
            </w:r>
            <w:r>
              <w:rPr>
                <w:rFonts w:hint="eastAsia" w:ascii="宋体" w:hAnsi="宋体" w:cs="宋体"/>
                <w:color w:val="auto"/>
                <w:szCs w:val="21"/>
                <w:highlight w:val="none"/>
                <w:u w:val="single"/>
              </w:rPr>
              <w:t>公共资源交易中心公布本项目的日程安排，投标人可登录广州公共资源交易中心网站首页，点击“交易业务</w:t>
            </w:r>
            <w:r>
              <w:rPr>
                <w:rFonts w:ascii="宋体" w:hAnsi="宋体" w:cs="宋体"/>
                <w:color w:val="auto"/>
                <w:szCs w:val="21"/>
                <w:highlight w:val="none"/>
                <w:u w:val="single"/>
              </w:rPr>
              <w:t>-建设工程”专栏中的“项目查询（日程安排、答疑纪要）”，输入项目编号或项目名称查询最新信息。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01"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4.2.3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400" w:lineRule="exact"/>
              <w:rPr>
                <w:rFonts w:hAnsi="宋体"/>
                <w:color w:val="auto"/>
                <w:kern w:val="2"/>
                <w:sz w:val="21"/>
                <w:szCs w:val="21"/>
                <w:highlight w:val="none"/>
              </w:rPr>
            </w:pPr>
            <w:r>
              <w:rPr>
                <w:rFonts w:hint="eastAsia" w:hAnsi="宋体"/>
                <w:color w:val="auto"/>
                <w:spacing w:val="-1"/>
                <w:kern w:val="2"/>
                <w:sz w:val="21"/>
                <w:szCs w:val="21"/>
                <w:highlight w:val="none"/>
              </w:rPr>
              <w:t>■</w:t>
            </w:r>
            <w:r>
              <w:rPr>
                <w:rFonts w:hint="eastAsia" w:hAnsi="宋体"/>
                <w:color w:val="auto"/>
                <w:kern w:val="2"/>
                <w:sz w:val="21"/>
                <w:szCs w:val="21"/>
                <w:highlight w:val="none"/>
              </w:rPr>
              <w:t>否</w:t>
            </w:r>
          </w:p>
          <w:p>
            <w:pPr>
              <w:pStyle w:val="7"/>
              <w:topLinePunct/>
              <w:snapToGrid w:val="0"/>
              <w:spacing w:line="400" w:lineRule="exact"/>
              <w:rPr>
                <w:rFonts w:hAnsi="宋体"/>
                <w:color w:val="auto"/>
                <w:kern w:val="2"/>
                <w:sz w:val="21"/>
                <w:szCs w:val="21"/>
                <w:highlight w:val="none"/>
              </w:rPr>
            </w:pPr>
            <w:r>
              <w:rPr>
                <w:rFonts w:hint="eastAsia" w:hAnsi="宋体"/>
                <w:color w:val="auto"/>
                <w:kern w:val="2"/>
                <w:sz w:val="21"/>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5.1（B）</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开标时间和地点</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color w:val="auto"/>
                <w:szCs w:val="21"/>
                <w:highlight w:val="none"/>
              </w:rPr>
            </w:pPr>
            <w:r>
              <w:rPr>
                <w:rFonts w:hint="eastAsia"/>
                <w:color w:val="auto"/>
                <w:szCs w:val="21"/>
                <w:highlight w:val="none"/>
              </w:rPr>
              <w:t>开标时间：同投标截止时间</w:t>
            </w:r>
          </w:p>
          <w:p>
            <w:pPr>
              <w:spacing w:line="400" w:lineRule="exact"/>
              <w:rPr>
                <w:color w:val="auto"/>
                <w:szCs w:val="21"/>
                <w:highlight w:val="none"/>
              </w:rPr>
            </w:pPr>
            <w:r>
              <w:rPr>
                <w:rFonts w:hint="eastAsia"/>
                <w:color w:val="auto"/>
                <w:szCs w:val="21"/>
                <w:highlight w:val="none"/>
              </w:rPr>
              <w:t>开标地点：</w:t>
            </w:r>
            <w:r>
              <w:rPr>
                <w:rFonts w:hint="eastAsia"/>
                <w:color w:val="auto"/>
                <w:szCs w:val="21"/>
                <w:highlight w:val="none"/>
                <w:u w:val="single"/>
              </w:rPr>
              <w:t>广州公共资源交易中心（广州市天河区天润</w:t>
            </w:r>
            <w:r>
              <w:rPr>
                <w:rFonts w:hint="eastAsia" w:ascii="宋体" w:hAnsi="宋体"/>
                <w:color w:val="auto"/>
                <w:szCs w:val="21"/>
                <w:highlight w:val="none"/>
                <w:u w:val="single"/>
              </w:rPr>
              <w:t>路333</w:t>
            </w:r>
            <w:r>
              <w:rPr>
                <w:rFonts w:hint="eastAsia"/>
                <w:color w:val="auto"/>
                <w:szCs w:val="21"/>
                <w:highlight w:val="none"/>
                <w:u w:val="single"/>
              </w:rPr>
              <w:t>号）</w:t>
            </w:r>
          </w:p>
          <w:p>
            <w:pPr>
              <w:snapToGrid w:val="0"/>
              <w:spacing w:line="400" w:lineRule="exact"/>
              <w:rPr>
                <w:rFonts w:ascii="宋体" w:hAnsi="宋体"/>
                <w:color w:val="auto"/>
                <w:szCs w:val="21"/>
                <w:highlight w:val="none"/>
              </w:rPr>
            </w:pPr>
            <w:r>
              <w:rPr>
                <w:rFonts w:hint="eastAsia"/>
                <w:color w:val="auto"/>
                <w:szCs w:val="21"/>
                <w:highlight w:val="none"/>
                <w:u w:val="single"/>
              </w:rPr>
              <w:t>详见广州公共资源交易中心网站信息</w:t>
            </w:r>
            <w:r>
              <w:rPr>
                <w:rFonts w:hint="eastAsia"/>
                <w:color w:val="auto"/>
                <w:szCs w:val="21"/>
                <w:highlight w:val="none"/>
              </w:rPr>
              <w:t>，</w:t>
            </w:r>
            <w:r>
              <w:rPr>
                <w:rFonts w:hint="eastAsia" w:ascii="宋体" w:hAnsi="宋体"/>
                <w:color w:val="auto"/>
                <w:szCs w:val="21"/>
                <w:highlight w:val="none"/>
              </w:rPr>
              <w:t>并邀请所有投标人的法定代表人（单位负责人）或其委托代理人准时参加。开标时，投标人代表有权出席开标会，也可以自主决定不参加开标会，若投标人代表对开标过程提出异议，该投标人代表须同时出示本人身份证原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56" w:hRule="atLeast"/>
          <w:jc w:val="center"/>
        </w:trPr>
        <w:tc>
          <w:tcPr>
            <w:tcW w:w="958" w:type="dxa"/>
            <w:vMerge w:val="restart"/>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5.2（B）</w:t>
            </w:r>
          </w:p>
          <w:p>
            <w:pPr>
              <w:snapToGrid w:val="0"/>
              <w:spacing w:line="400" w:lineRule="exact"/>
              <w:jc w:val="center"/>
              <w:rPr>
                <w:rFonts w:ascii="宋体" w:hAnsi="宋体"/>
                <w:color w:val="auto"/>
                <w:szCs w:val="21"/>
                <w:highlight w:val="none"/>
              </w:rPr>
            </w:pPr>
          </w:p>
        </w:tc>
        <w:tc>
          <w:tcPr>
            <w:tcW w:w="2411" w:type="dxa"/>
            <w:vMerge w:val="restart"/>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开标程序</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rPr>
              <w:t>电子招投标项目开标按下列程序进行：</w:t>
            </w:r>
          </w:p>
          <w:p>
            <w:pPr>
              <w:snapToGrid w:val="0"/>
              <w:spacing w:line="400" w:lineRule="exact"/>
              <w:rPr>
                <w:rFonts w:ascii="宋体" w:hAnsi="宋体"/>
                <w:color w:val="auto"/>
                <w:szCs w:val="21"/>
                <w:highlight w:val="none"/>
              </w:rPr>
            </w:pPr>
            <w:r>
              <w:rPr>
                <w:rFonts w:hint="eastAsia" w:ascii="宋体" w:hAnsi="宋体"/>
                <w:color w:val="auto"/>
                <w:szCs w:val="21"/>
                <w:highlight w:val="none"/>
              </w:rPr>
              <w:t>5.2.1主持人按下列程序进行开标：</w:t>
            </w:r>
          </w:p>
          <w:p>
            <w:pPr>
              <w:snapToGrid w:val="0"/>
              <w:spacing w:line="400" w:lineRule="exact"/>
              <w:rPr>
                <w:rFonts w:ascii="宋体" w:hAnsi="宋体"/>
                <w:color w:val="auto"/>
                <w:szCs w:val="21"/>
                <w:highlight w:val="none"/>
              </w:rPr>
            </w:pPr>
            <w:r>
              <w:rPr>
                <w:rFonts w:hint="eastAsia" w:ascii="宋体" w:hAnsi="宋体"/>
                <w:color w:val="auto"/>
                <w:szCs w:val="21"/>
                <w:highlight w:val="none"/>
              </w:rPr>
              <w:t>（1）宣布开标纪律；</w:t>
            </w:r>
          </w:p>
          <w:p>
            <w:pPr>
              <w:snapToGrid w:val="0"/>
              <w:spacing w:line="400" w:lineRule="exact"/>
              <w:rPr>
                <w:rFonts w:ascii="宋体" w:hAnsi="宋体"/>
                <w:color w:val="auto"/>
                <w:szCs w:val="21"/>
                <w:highlight w:val="none"/>
              </w:rPr>
            </w:pPr>
            <w:r>
              <w:rPr>
                <w:rFonts w:hint="eastAsia" w:ascii="宋体" w:hAnsi="宋体"/>
                <w:color w:val="auto"/>
                <w:szCs w:val="21"/>
                <w:highlight w:val="none"/>
              </w:rPr>
              <w:t>（2）公布在投标截止时间前递交投标文件的投标人名称；</w:t>
            </w:r>
          </w:p>
          <w:p>
            <w:pPr>
              <w:snapToGrid w:val="0"/>
              <w:spacing w:line="400" w:lineRule="exact"/>
              <w:rPr>
                <w:rFonts w:ascii="宋体" w:hAnsi="宋体"/>
                <w:color w:val="auto"/>
                <w:szCs w:val="21"/>
                <w:highlight w:val="none"/>
              </w:rPr>
            </w:pPr>
            <w:r>
              <w:rPr>
                <w:rFonts w:hint="eastAsia" w:ascii="宋体" w:hAnsi="宋体"/>
                <w:color w:val="auto"/>
                <w:szCs w:val="21"/>
                <w:highlight w:val="none"/>
              </w:rPr>
              <w:t>（3）宣布开标人、唱标人、记录人、监标人等有关人员姓名；</w:t>
            </w:r>
          </w:p>
          <w:p>
            <w:pPr>
              <w:snapToGrid w:val="0"/>
              <w:spacing w:line="400" w:lineRule="exact"/>
              <w:rPr>
                <w:rFonts w:ascii="宋体" w:hAnsi="宋体"/>
                <w:color w:val="auto"/>
                <w:szCs w:val="21"/>
                <w:highlight w:val="none"/>
              </w:rPr>
            </w:pPr>
            <w:r>
              <w:rPr>
                <w:rFonts w:hint="eastAsia" w:ascii="宋体" w:hAnsi="宋体"/>
                <w:color w:val="auto"/>
                <w:szCs w:val="21"/>
                <w:highlight w:val="none"/>
              </w:rPr>
              <w:t>（4）（B）投标人通过电子招标投标交易平台对已递交的电子投标文件进行解密，公布招标项目名称、投标人名称、投标保证金的递交情况、</w:t>
            </w:r>
            <w:r>
              <w:rPr>
                <w:rFonts w:hint="eastAsia" w:ascii="宋体" w:hAnsi="宋体" w:cs="楷体"/>
                <w:color w:val="auto"/>
                <w:kern w:val="0"/>
                <w:szCs w:val="21"/>
                <w:highlight w:val="none"/>
              </w:rPr>
              <w:t>投标报价</w:t>
            </w:r>
            <w:r>
              <w:rPr>
                <w:rFonts w:hint="eastAsia" w:ascii="宋体" w:hAnsi="宋体"/>
                <w:color w:val="auto"/>
                <w:szCs w:val="21"/>
                <w:highlight w:val="none"/>
              </w:rPr>
              <w:t>、监理服务期限及其他内容，并记录在案；</w:t>
            </w:r>
          </w:p>
          <w:p>
            <w:pPr>
              <w:snapToGrid w:val="0"/>
              <w:spacing w:line="400" w:lineRule="exact"/>
              <w:rPr>
                <w:rFonts w:ascii="宋体" w:hAnsi="宋体"/>
                <w:color w:val="auto"/>
                <w:szCs w:val="21"/>
                <w:highlight w:val="none"/>
              </w:rPr>
            </w:pPr>
            <w:r>
              <w:rPr>
                <w:rFonts w:hint="eastAsia" w:ascii="宋体" w:hAnsi="宋体"/>
                <w:color w:val="auto"/>
                <w:szCs w:val="21"/>
                <w:highlight w:val="none"/>
              </w:rPr>
              <w:t>（5）（B）投标人代表、招标人代表、监标人、记录人等有关人员在开标记录上签字确认；若有关人员不签字的，不影响开标程序；</w:t>
            </w:r>
          </w:p>
          <w:p>
            <w:pPr>
              <w:snapToGrid w:val="0"/>
              <w:spacing w:line="400" w:lineRule="exact"/>
              <w:rPr>
                <w:rFonts w:ascii="宋体" w:hAnsi="宋体"/>
                <w:color w:val="auto"/>
                <w:szCs w:val="21"/>
                <w:highlight w:val="none"/>
                <w:u w:val="single"/>
              </w:rPr>
            </w:pPr>
            <w:r>
              <w:rPr>
                <w:rFonts w:hint="eastAsia" w:ascii="宋体" w:hAnsi="宋体"/>
                <w:color w:val="auto"/>
                <w:szCs w:val="21"/>
                <w:highlight w:val="none"/>
              </w:rPr>
              <w:t>（6）开标结束。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48" w:hRule="atLeast"/>
          <w:jc w:val="center"/>
        </w:trPr>
        <w:tc>
          <w:tcPr>
            <w:tcW w:w="95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241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rPr>
              <w:t>5.2.2投标截止时间前未完成投标文件传输的，或因投标人之外的原因造成投标文件未解密的，视为投标人撤回其投标文件。因投标人原因造成投标文件未解密的或未在投标截止时间后</w:t>
            </w:r>
            <w:r>
              <w:rPr>
                <w:rFonts w:hint="eastAsia" w:ascii="宋体" w:hAnsi="宋体"/>
                <w:color w:val="auto"/>
                <w:szCs w:val="21"/>
                <w:highlight w:val="none"/>
                <w:u w:val="single"/>
              </w:rPr>
              <w:t>半小时内</w:t>
            </w:r>
            <w:r>
              <w:rPr>
                <w:rFonts w:hint="eastAsia" w:ascii="宋体" w:hAnsi="宋体"/>
                <w:color w:val="auto"/>
                <w:szCs w:val="21"/>
                <w:highlight w:val="none"/>
              </w:rPr>
              <w:t>解密的，视为撤销其投标文件。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958" w:type="dxa"/>
            <w:vMerge w:val="continue"/>
            <w:tcBorders>
              <w:top w:val="single" w:color="auto" w:sz="6" w:space="0"/>
              <w:left w:val="single" w:color="auto" w:sz="4"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2411" w:type="dxa"/>
            <w:vMerge w:val="continue"/>
            <w:tcBorders>
              <w:top w:val="single" w:color="auto" w:sz="6" w:space="0"/>
              <w:left w:val="single" w:color="auto" w:sz="6" w:space="0"/>
              <w:bottom w:val="single" w:color="auto" w:sz="6" w:space="0"/>
              <w:right w:val="single" w:color="auto" w:sz="6" w:space="0"/>
            </w:tcBorders>
            <w:vAlign w:val="center"/>
          </w:tcPr>
          <w:p>
            <w:pPr>
              <w:widowControl/>
              <w:spacing w:line="400" w:lineRule="exact"/>
              <w:jc w:val="left"/>
              <w:rPr>
                <w:rFonts w:ascii="宋体" w:hAnsi="宋体"/>
                <w:color w:val="auto"/>
                <w:szCs w:val="21"/>
                <w:highlight w:val="none"/>
              </w:rPr>
            </w:pP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rPr>
              <w:t>5.2.3开标时，两个（含两个）以上的投标人加密打包投标文件电脑机器特征码一致的，不参与下一程序，并由评标委员会否决其投标。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6.1.1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s="宋体"/>
                <w:color w:val="auto"/>
                <w:szCs w:val="21"/>
                <w:highlight w:val="none"/>
                <w:u w:val="single"/>
              </w:rPr>
              <w:t>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6.3.2</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u w:val="single"/>
              </w:rPr>
            </w:pPr>
            <w:r>
              <w:rPr>
                <w:rFonts w:hint="eastAsia"/>
                <w:color w:val="auto"/>
                <w:szCs w:val="21"/>
                <w:highlight w:val="none"/>
              </w:rPr>
              <w:t>推荐中标候选人：</w:t>
            </w:r>
            <w:r>
              <w:rPr>
                <w:rFonts w:hint="eastAsia" w:ascii="宋体" w:hAnsi="宋体"/>
                <w:color w:val="auto"/>
                <w:szCs w:val="21"/>
                <w:highlight w:val="none"/>
                <w:u w:val="single"/>
              </w:rPr>
              <w:t>3</w:t>
            </w:r>
            <w:r>
              <w:rPr>
                <w:rFonts w:hint="eastAsia"/>
                <w:color w:val="auto"/>
                <w:szCs w:val="21"/>
                <w:highlight w:val="none"/>
                <w:u w:val="single"/>
              </w:rPr>
              <w:t>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7.1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ind w:left="34" w:right="108"/>
              <w:rPr>
                <w:rFonts w:ascii="宋体" w:hAnsi="宋体"/>
                <w:color w:val="auto"/>
                <w:szCs w:val="21"/>
                <w:highlight w:val="none"/>
                <w:u w:val="single"/>
              </w:rPr>
            </w:pPr>
            <w:r>
              <w:rPr>
                <w:rFonts w:hint="eastAsia" w:ascii="宋体" w:hAnsi="宋体"/>
                <w:color w:val="auto"/>
                <w:szCs w:val="21"/>
                <w:highlight w:val="none"/>
              </w:rPr>
              <w:t>公示媒介：</w:t>
            </w:r>
            <w:r>
              <w:rPr>
                <w:rFonts w:hint="eastAsia" w:ascii="宋体" w:hAnsi="宋体"/>
                <w:bCs/>
                <w:color w:val="auto"/>
                <w:szCs w:val="21"/>
                <w:highlight w:val="none"/>
                <w:u w:val="single"/>
              </w:rPr>
              <w:t>中国招标投标公共服务平台、广东省招标投标监管网、广州公共资源交易中心网</w:t>
            </w:r>
          </w:p>
          <w:p>
            <w:pPr>
              <w:snapToGrid w:val="0"/>
              <w:spacing w:line="400" w:lineRule="exact"/>
              <w:ind w:left="34" w:right="106"/>
              <w:rPr>
                <w:rFonts w:ascii="宋体" w:hAnsi="宋体"/>
                <w:color w:val="auto"/>
                <w:szCs w:val="21"/>
                <w:highlight w:val="none"/>
              </w:rPr>
            </w:pPr>
            <w:r>
              <w:rPr>
                <w:rFonts w:hint="eastAsia" w:ascii="宋体" w:hAnsi="宋体"/>
                <w:color w:val="auto"/>
                <w:szCs w:val="21"/>
                <w:highlight w:val="none"/>
              </w:rPr>
              <w:t>公示期限：</w:t>
            </w:r>
            <w:r>
              <w:rPr>
                <w:rFonts w:hint="eastAsia" w:ascii="宋体" w:hAnsi="宋体"/>
                <w:color w:val="auto"/>
                <w:szCs w:val="21"/>
                <w:highlight w:val="none"/>
                <w:u w:val="single"/>
              </w:rPr>
              <w:t>3</w:t>
            </w:r>
            <w:r>
              <w:rPr>
                <w:rFonts w:hint="eastAsia" w:ascii="宋体" w:hAnsi="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7.4</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6310"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rPr>
                <w:rFonts w:ascii="宋体" w:hAnsi="宋体"/>
                <w:color w:val="auto"/>
                <w:szCs w:val="21"/>
                <w:highlight w:val="none"/>
              </w:rPr>
            </w:pPr>
            <w:r>
              <w:rPr>
                <w:rFonts w:hint="eastAsia" w:ascii="宋体" w:hAnsi="宋体"/>
                <w:color w:val="auto"/>
                <w:szCs w:val="21"/>
                <w:highlight w:val="none"/>
              </w:rPr>
              <w:t>□是</w:t>
            </w:r>
          </w:p>
          <w:p>
            <w:pPr>
              <w:snapToGrid w:val="0"/>
              <w:spacing w:line="400" w:lineRule="exact"/>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7.6.1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履约保证金</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360" w:lineRule="auto"/>
              <w:rPr>
                <w:rFonts w:hAnsi="宋体"/>
                <w:color w:val="auto"/>
                <w:kern w:val="2"/>
                <w:sz w:val="21"/>
                <w:szCs w:val="21"/>
                <w:highlight w:val="none"/>
              </w:rPr>
            </w:pPr>
            <w:r>
              <w:rPr>
                <w:rFonts w:hint="eastAsia" w:hAnsi="宋体"/>
                <w:color w:val="auto"/>
                <w:kern w:val="2"/>
                <w:sz w:val="21"/>
                <w:szCs w:val="21"/>
                <w:highlight w:val="none"/>
              </w:rPr>
              <w:t>是否要求中标人提交履约保证金：</w:t>
            </w:r>
          </w:p>
          <w:p>
            <w:pPr>
              <w:pStyle w:val="7"/>
              <w:topLinePunct/>
              <w:spacing w:line="360" w:lineRule="auto"/>
              <w:ind w:left="40" w:leftChars="19" w:right="107" w:rightChars="51"/>
              <w:rPr>
                <w:rFonts w:hAnsi="宋体"/>
                <w:color w:val="auto"/>
                <w:kern w:val="2"/>
                <w:sz w:val="21"/>
                <w:szCs w:val="21"/>
                <w:highlight w:val="none"/>
              </w:rPr>
            </w:pPr>
            <w:r>
              <w:rPr>
                <w:rFonts w:hint="eastAsia" w:hAnsi="宋体"/>
                <w:color w:val="auto"/>
                <w:spacing w:val="-1"/>
                <w:kern w:val="2"/>
                <w:sz w:val="21"/>
                <w:szCs w:val="21"/>
                <w:highlight w:val="none"/>
              </w:rPr>
              <w:t>■</w:t>
            </w:r>
            <w:r>
              <w:rPr>
                <w:rFonts w:hint="eastAsia" w:hAnsi="宋体"/>
                <w:color w:val="auto"/>
                <w:kern w:val="2"/>
                <w:sz w:val="21"/>
                <w:szCs w:val="21"/>
                <w:highlight w:val="none"/>
              </w:rPr>
              <w:t>要求，履约保证金的形式：</w:t>
            </w:r>
            <w:r>
              <w:rPr>
                <w:rFonts w:hint="eastAsia" w:hAnsi="宋体"/>
                <w:color w:val="auto"/>
                <w:kern w:val="2"/>
                <w:sz w:val="21"/>
                <w:szCs w:val="21"/>
                <w:highlight w:val="none"/>
                <w:u w:val="single"/>
              </w:rPr>
              <w:t>银行保函</w:t>
            </w:r>
          </w:p>
          <w:p>
            <w:pPr>
              <w:spacing w:line="360" w:lineRule="auto"/>
              <w:rPr>
                <w:rFonts w:ascii="宋体" w:hAnsi="宋体"/>
                <w:color w:val="auto"/>
                <w:highlight w:val="none"/>
              </w:rPr>
            </w:pPr>
            <w:r>
              <w:rPr>
                <w:rFonts w:hint="eastAsia" w:ascii="宋体" w:hAnsi="宋体"/>
                <w:color w:val="auto"/>
                <w:szCs w:val="21"/>
                <w:highlight w:val="none"/>
              </w:rPr>
              <w:t>履约保证金的金额：</w:t>
            </w:r>
            <w:r>
              <w:rPr>
                <w:rFonts w:hint="eastAsia" w:ascii="宋体" w:hAnsi="宋体"/>
                <w:color w:val="auto"/>
                <w:szCs w:val="21"/>
                <w:highlight w:val="none"/>
                <w:u w:val="single"/>
              </w:rPr>
              <w:t>中标价款</w:t>
            </w:r>
            <w:r>
              <w:rPr>
                <w:rFonts w:ascii="宋体" w:hAnsi="宋体"/>
                <w:color w:val="auto"/>
                <w:szCs w:val="21"/>
                <w:highlight w:val="none"/>
                <w:u w:val="single"/>
              </w:rPr>
              <w:t>10%</w:t>
            </w:r>
            <w:r>
              <w:rPr>
                <w:rFonts w:hint="eastAsia" w:ascii="宋体" w:hAnsi="宋体"/>
                <w:color w:val="auto"/>
                <w:szCs w:val="21"/>
                <w:highlight w:val="none"/>
                <w:u w:val="single"/>
              </w:rPr>
              <w:t>的履约银行保函。</w:t>
            </w:r>
          </w:p>
          <w:p>
            <w:pPr>
              <w:pStyle w:val="17"/>
              <w:topLinePunct/>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履约保函到期但本项目工程缺陷责任期未满的，无论何种原因，投标人承诺无条件续保。</w:t>
            </w:r>
          </w:p>
          <w:p>
            <w:pPr>
              <w:pStyle w:val="7"/>
              <w:topLinePunct/>
              <w:snapToGrid w:val="0"/>
              <w:spacing w:line="360" w:lineRule="auto"/>
              <w:rPr>
                <w:rFonts w:hAnsi="宋体"/>
                <w:color w:val="auto"/>
                <w:kern w:val="2"/>
                <w:sz w:val="21"/>
                <w:szCs w:val="21"/>
                <w:highlight w:val="none"/>
              </w:rPr>
            </w:pPr>
            <w:r>
              <w:rPr>
                <w:rFonts w:hint="eastAsia" w:hAnsi="宋体"/>
                <w:color w:val="auto"/>
                <w:kern w:val="2"/>
                <w:sz w:val="21"/>
                <w:szCs w:val="21"/>
                <w:highlight w:val="none"/>
              </w:rPr>
              <w:t>□不要求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7.6.3</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hint="eastAsia" w:ascii="宋体" w:hAnsi="宋体"/>
                <w:color w:val="auto"/>
                <w:szCs w:val="21"/>
                <w:highlight w:val="none"/>
              </w:rPr>
            </w:pPr>
            <w:r>
              <w:rPr>
                <w:rFonts w:hint="eastAsia" w:hAnsi="宋体"/>
                <w:color w:val="auto"/>
                <w:kern w:val="2"/>
                <w:sz w:val="21"/>
                <w:szCs w:val="21"/>
                <w:highlight w:val="none"/>
              </w:rPr>
              <w:t>支付担保</w:t>
            </w:r>
          </w:p>
        </w:tc>
        <w:tc>
          <w:tcPr>
            <w:tcW w:w="6310" w:type="dxa"/>
            <w:tcBorders>
              <w:top w:val="single" w:color="auto" w:sz="6" w:space="0"/>
              <w:left w:val="single" w:color="auto" w:sz="6" w:space="0"/>
              <w:bottom w:val="single" w:color="auto" w:sz="6" w:space="0"/>
              <w:right w:val="single" w:color="auto" w:sz="4" w:space="0"/>
            </w:tcBorders>
            <w:vAlign w:val="center"/>
          </w:tcPr>
          <w:p>
            <w:pPr>
              <w:pStyle w:val="7"/>
              <w:topLinePunct/>
              <w:snapToGrid w:val="0"/>
              <w:spacing w:line="360" w:lineRule="auto"/>
              <w:rPr>
                <w:rFonts w:hint="eastAsia" w:hAnsi="宋体"/>
                <w:color w:val="auto"/>
                <w:kern w:val="2"/>
                <w:sz w:val="21"/>
                <w:szCs w:val="21"/>
                <w:highlight w:val="none"/>
              </w:rPr>
            </w:pPr>
            <w:r>
              <w:rPr>
                <w:rFonts w:hint="eastAsia" w:hAnsi="宋体"/>
                <w:color w:val="auto"/>
                <w:kern w:val="2"/>
                <w:sz w:val="21"/>
                <w:szCs w:val="21"/>
                <w:highlight w:val="none"/>
              </w:rPr>
              <w:t>招标人须向承包人提交支付担保，采用担保的形式，金额与履约担保一致，具体按合同约定。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9</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□否</w:t>
            </w:r>
          </w:p>
          <w:p>
            <w:pPr>
              <w:spacing w:line="400" w:lineRule="exact"/>
              <w:rPr>
                <w:rFonts w:ascii="宋体" w:hAnsi="宋体"/>
                <w:color w:val="auto"/>
                <w:szCs w:val="21"/>
                <w:highlight w:val="none"/>
              </w:rPr>
            </w:pPr>
            <w:r>
              <w:rPr>
                <w:rFonts w:hint="eastAsia" w:ascii="宋体" w:hAnsi="宋体"/>
                <w:color w:val="auto"/>
                <w:szCs w:val="21"/>
                <w:highlight w:val="none"/>
              </w:rPr>
              <w:t>■是，具体要求：</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1、具体操作详见附件</w:t>
            </w:r>
            <w:r>
              <w:rPr>
                <w:rFonts w:hint="eastAsia" w:ascii="宋体" w:hAnsi="宋体"/>
                <w:color w:val="auto"/>
                <w:szCs w:val="21"/>
                <w:highlight w:val="none"/>
                <w:u w:val="single"/>
              </w:rPr>
              <w:t>《房屋建筑和市政基础设施工程全流程电子化项目专章》</w:t>
            </w:r>
            <w:r>
              <w:rPr>
                <w:rFonts w:hint="eastAsia" w:ascii="宋体" w:hAnsi="宋体"/>
                <w:color w:val="auto"/>
                <w:szCs w:val="21"/>
                <w:highlight w:val="none"/>
              </w:rPr>
              <w:t>。</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2、现场提交投标文件光盘备用</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投标人将按</w:t>
            </w:r>
            <w:r>
              <w:rPr>
                <w:rFonts w:hint="eastAsia" w:ascii="宋体" w:hAnsi="宋体"/>
                <w:color w:val="auto"/>
                <w:szCs w:val="21"/>
                <w:highlight w:val="none"/>
                <w:u w:val="single"/>
              </w:rPr>
              <w:t>《房屋建筑和市政基础设施工程全流程电子化项目专章》</w:t>
            </w:r>
            <w:r>
              <w:rPr>
                <w:rFonts w:hint="eastAsia" w:ascii="宋体" w:hAnsi="宋体"/>
                <w:color w:val="auto"/>
                <w:szCs w:val="21"/>
                <w:highlight w:val="none"/>
              </w:rPr>
              <w:t>的操作方法制作的非加密的电子投标文件刻入光盘（1份），在</w:t>
            </w:r>
            <w:r>
              <w:rPr>
                <w:rFonts w:hint="eastAsia" w:ascii="宋体" w:hAnsi="宋体"/>
                <w:b/>
                <w:color w:val="auto"/>
                <w:szCs w:val="21"/>
                <w:highlight w:val="none"/>
              </w:rPr>
              <w:t>开标现场</w:t>
            </w:r>
            <w:r>
              <w:rPr>
                <w:rFonts w:hint="eastAsia" w:ascii="宋体" w:hAnsi="宋体"/>
                <w:color w:val="auto"/>
                <w:szCs w:val="21"/>
                <w:highlight w:val="none"/>
              </w:rPr>
              <w:t>（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3、补救方案</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（1）投标文件解密失败的补救方案：</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在规定时间内，因投标人之外原因导致的电子投标文件解密失败，在开标现场读取光盘内容，继续开标程序。评标委员会对其投标文件的评审以光盘内容为准。</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（2）评标时突发情况的补救方案</w:t>
            </w:r>
          </w:p>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若遇不可抗力发生（如：网络瘫痪、服务器损坏、交易系统故障短期无法恢复等因素），由评标委员会开启现场递交的全部投标文件光盘，并按光盘内容进行评审。</w:t>
            </w:r>
          </w:p>
          <w:p>
            <w:pPr>
              <w:spacing w:line="400" w:lineRule="exact"/>
              <w:rPr>
                <w:rFonts w:ascii="宋体" w:hAnsi="宋体"/>
                <w:color w:val="auto"/>
                <w:szCs w:val="21"/>
                <w:highlight w:val="none"/>
              </w:rPr>
            </w:pPr>
            <w:r>
              <w:rPr>
                <w:rFonts w:hint="eastAsia" w:ascii="宋体" w:hAnsi="宋体"/>
                <w:color w:val="auto"/>
                <w:szCs w:val="21"/>
                <w:highlight w:val="none"/>
              </w:rPr>
              <w:t>（3）除发生上述情况外，开标评标均以投标人通过交易平台网上递交的电子投标文件为准。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10</w:t>
            </w:r>
          </w:p>
        </w:tc>
        <w:tc>
          <w:tcPr>
            <w:tcW w:w="8721" w:type="dxa"/>
            <w:gridSpan w:val="2"/>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left"/>
              <w:rPr>
                <w:rFonts w:ascii="宋体" w:hAnsi="宋体"/>
                <w:color w:val="auto"/>
                <w:szCs w:val="21"/>
                <w:highlight w:val="none"/>
              </w:rPr>
            </w:pPr>
            <w:r>
              <w:rPr>
                <w:rFonts w:hint="eastAsia" w:ascii="宋体" w:hAnsi="宋体"/>
                <w:color w:val="auto"/>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10.1</w:t>
            </w:r>
          </w:p>
        </w:tc>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特别提醒</w:t>
            </w:r>
          </w:p>
        </w:tc>
        <w:tc>
          <w:tcPr>
            <w:tcW w:w="6310" w:type="dxa"/>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s="宋体"/>
                <w:color w:val="auto"/>
                <w:kern w:val="0"/>
                <w:szCs w:val="21"/>
                <w:highlight w:val="none"/>
                <w:shd w:val="clear" w:color="auto" w:fill="FFFFFF"/>
              </w:rPr>
            </w:pPr>
            <w:r>
              <w:rPr>
                <w:rFonts w:ascii="宋体" w:hAnsi="宋体" w:cs="宋体"/>
                <w:color w:val="auto"/>
                <w:kern w:val="0"/>
                <w:szCs w:val="21"/>
                <w:highlight w:val="none"/>
                <w:shd w:val="clear" w:color="auto" w:fill="FFFFFF"/>
              </w:rPr>
              <w:t>1、投标人在本项目招标人的工程项目中存在下列行为的，将被拒绝一定时期内参与我单位后续工程投标。（注：拒绝投标时限由招标人</w:t>
            </w:r>
            <w:r>
              <w:rPr>
                <w:rFonts w:hint="eastAsia" w:ascii="宋体" w:hAnsi="宋体" w:cs="宋体"/>
                <w:color w:val="auto"/>
                <w:kern w:val="0"/>
                <w:szCs w:val="21"/>
                <w:highlight w:val="none"/>
                <w:shd w:val="clear" w:color="auto" w:fill="FFFFFF"/>
              </w:rPr>
              <w:t>视严重程度确定，最低三个月起，自招标人发出通知之日起计）：</w:t>
            </w:r>
          </w:p>
          <w:p>
            <w:pPr>
              <w:spacing w:line="360" w:lineRule="auto"/>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1）将中标工程转包或者违法分包的；</w:t>
            </w:r>
          </w:p>
          <w:p>
            <w:pPr>
              <w:spacing w:line="360" w:lineRule="auto"/>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2）在中标工程中不执行质量、安全生产相关规定的，造成质量或安全事故的；</w:t>
            </w:r>
          </w:p>
          <w:p>
            <w:pPr>
              <w:spacing w:line="360" w:lineRule="auto"/>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w:t>
            </w:r>
            <w:r>
              <w:rPr>
                <w:rFonts w:ascii="宋体" w:hAnsi="宋体" w:cs="宋体"/>
                <w:color w:val="auto"/>
                <w:kern w:val="0"/>
                <w:szCs w:val="21"/>
                <w:highlight w:val="none"/>
                <w:shd w:val="clear" w:color="auto" w:fill="FFFFFF"/>
              </w:rPr>
              <w:t>3）存在围标或串标情形的；</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4）存在弄虚作假骗取中标情形的；</w:t>
            </w:r>
          </w:p>
          <w:p>
            <w:pPr>
              <w:spacing w:line="360" w:lineRule="auto"/>
              <w:rPr>
                <w:rFonts w:ascii="宋体" w:hAnsi="宋体" w:cs="宋体"/>
                <w:color w:val="auto"/>
                <w:szCs w:val="21"/>
                <w:highlight w:val="none"/>
              </w:rPr>
            </w:pPr>
            <w:r>
              <w:rPr>
                <w:rFonts w:ascii="宋体" w:hAnsi="宋体" w:cs="宋体"/>
                <w:color w:val="auto"/>
                <w:szCs w:val="21"/>
                <w:highlight w:val="none"/>
              </w:rPr>
              <w:t>2、投标人有下列情形的，将自愿接受：通报批评，记录不良行为，列入黑名单，并暂停企业参加省属代建项目招投标活动一年。造成当次招标流标等严重后果的，列入黑名单，并暂停企业参加省属代建项目招投标活动二年。</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1）投标人在规定的投标有效期内撤销或修改其投标文件；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2）投标人提供了虚假的证明材料；</w:t>
            </w:r>
          </w:p>
          <w:p>
            <w:pPr>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3）中标候选人放弃中标；</w:t>
            </w:r>
          </w:p>
          <w:p>
            <w:pPr>
              <w:spacing w:line="360" w:lineRule="auto"/>
              <w:rPr>
                <w:rFonts w:ascii="宋体" w:hAnsi="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4）中标人在收到中标通知书后，无正当理由拒签合同或未按招标文件规定提交履约担保。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13"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10.3</w:t>
            </w:r>
          </w:p>
        </w:tc>
        <w:tc>
          <w:tcPr>
            <w:tcW w:w="24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招标失败的情形</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kern w:val="0"/>
                <w:szCs w:val="21"/>
                <w:highlight w:val="none"/>
              </w:rPr>
            </w:pPr>
            <w:r>
              <w:rPr>
                <w:rFonts w:hint="eastAsia" w:ascii="宋体" w:hAnsi="宋体"/>
                <w:color w:val="auto"/>
                <w:szCs w:val="21"/>
                <w:highlight w:val="none"/>
              </w:rPr>
              <w:t>本项目采用资格后审方式，资格审查与评标同时进行，通过形式评审、资格审查、响应性评审的投标申请人不足</w:t>
            </w:r>
            <w:r>
              <w:rPr>
                <w:rFonts w:hint="eastAsia" w:ascii="宋体" w:hAnsi="宋体"/>
                <w:b/>
                <w:color w:val="auto"/>
                <w:szCs w:val="21"/>
                <w:highlight w:val="none"/>
              </w:rPr>
              <w:t>3名</w:t>
            </w:r>
            <w:r>
              <w:rPr>
                <w:rFonts w:hint="eastAsia" w:ascii="宋体" w:hAnsi="宋体"/>
                <w:color w:val="auto"/>
                <w:szCs w:val="21"/>
                <w:highlight w:val="none"/>
              </w:rPr>
              <w:t>时为招标失败。招标人分析招标失败原因，修正招标方案，报有关管理部门核准后，重新组织招标。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10.4</w:t>
            </w:r>
          </w:p>
        </w:tc>
        <w:tc>
          <w:tcPr>
            <w:tcW w:w="2411" w:type="dxa"/>
            <w:tcBorders>
              <w:top w:val="single" w:color="auto" w:sz="6" w:space="0"/>
              <w:left w:val="single" w:color="auto" w:sz="6" w:space="0"/>
              <w:bottom w:val="single" w:color="auto" w:sz="6" w:space="0"/>
              <w:right w:val="single" w:color="auto" w:sz="6"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第一中标候选人放弃中标资格情形</w:t>
            </w:r>
          </w:p>
        </w:tc>
        <w:tc>
          <w:tcPr>
            <w:tcW w:w="6310" w:type="dxa"/>
            <w:tcBorders>
              <w:top w:val="single" w:color="auto" w:sz="6" w:space="0"/>
              <w:left w:val="single" w:color="auto" w:sz="6" w:space="0"/>
              <w:bottom w:val="single" w:color="auto" w:sz="6" w:space="0"/>
              <w:right w:val="single" w:color="auto" w:sz="4" w:space="0"/>
            </w:tcBorders>
            <w:vAlign w:val="center"/>
          </w:tcPr>
          <w:p>
            <w:pPr>
              <w:widowControl/>
              <w:shd w:val="clear" w:color="auto" w:fill="FFFFFF"/>
              <w:spacing w:line="400" w:lineRule="exact"/>
              <w:rPr>
                <w:rFonts w:ascii="宋体" w:hAnsi="宋体"/>
                <w:color w:val="auto"/>
                <w:kern w:val="0"/>
                <w:szCs w:val="21"/>
                <w:highlight w:val="none"/>
              </w:rPr>
            </w:pPr>
            <w:r>
              <w:rPr>
                <w:rFonts w:hint="eastAsia" w:ascii="宋体" w:hAnsi="宋体"/>
                <w:color w:val="auto"/>
                <w:szCs w:val="21"/>
                <w:highlight w:val="none"/>
                <w:u w:val="single"/>
              </w:rPr>
              <w:t>排名第一的中标候选人放弃中标、因不可抗力不能履行合同、不按照招标文件要求提交履约保证金，或者被查实存在影响中标结果的违法行为等情形，不符合中标条件的，招标人可以按照招标文件第三章第3.4.1款确定的推荐中标候选人原则依次确定其他中标候选人为中标人，也可以重新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5"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宋体" w:hAnsi="宋体"/>
                <w:color w:val="auto"/>
                <w:szCs w:val="21"/>
                <w:highlight w:val="none"/>
              </w:rPr>
            </w:pPr>
            <w:r>
              <w:rPr>
                <w:rFonts w:hint="eastAsia" w:ascii="宋体" w:hAnsi="宋体"/>
                <w:color w:val="auto"/>
                <w:szCs w:val="21"/>
                <w:highlight w:val="none"/>
              </w:rPr>
              <w:t>10.5</w:t>
            </w:r>
          </w:p>
        </w:tc>
        <w:tc>
          <w:tcPr>
            <w:tcW w:w="2411" w:type="dxa"/>
            <w:tcBorders>
              <w:top w:val="single" w:color="auto" w:sz="6" w:space="0"/>
              <w:left w:val="single" w:color="auto" w:sz="6" w:space="0"/>
              <w:bottom w:val="single" w:color="auto" w:sz="6" w:space="0"/>
              <w:right w:val="single" w:color="auto" w:sz="6" w:space="0"/>
            </w:tcBorders>
            <w:vAlign w:val="center"/>
          </w:tcPr>
          <w:p>
            <w:pPr>
              <w:spacing w:line="400" w:lineRule="exact"/>
              <w:ind w:right="174" w:rightChars="83"/>
              <w:jc w:val="center"/>
              <w:rPr>
                <w:rFonts w:ascii="宋体" w:hAnsi="宋体"/>
                <w:color w:val="auto"/>
                <w:szCs w:val="21"/>
                <w:highlight w:val="none"/>
              </w:rPr>
            </w:pPr>
            <w:r>
              <w:rPr>
                <w:rFonts w:hint="eastAsia" w:ascii="宋体" w:hAnsi="宋体"/>
                <w:color w:val="auto"/>
                <w:szCs w:val="21"/>
                <w:highlight w:val="none"/>
              </w:rPr>
              <w:t>中标候选人公示要求</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ind w:right="174" w:rightChars="83"/>
              <w:rPr>
                <w:rFonts w:ascii="宋体" w:hAnsi="宋体"/>
                <w:color w:val="auto"/>
                <w:szCs w:val="21"/>
                <w:highlight w:val="none"/>
              </w:rPr>
            </w:pPr>
            <w:r>
              <w:rPr>
                <w:rFonts w:hint="eastAsia" w:ascii="宋体" w:hAnsi="宋体"/>
                <w:color w:val="auto"/>
                <w:szCs w:val="21"/>
                <w:highlight w:val="none"/>
                <w:u w:val="single"/>
              </w:rPr>
              <w:t>在产生中标候选人后，招标人将中标候选人的投标文件商务部分的电子版（报价清单、方案等涉及商业秘密的内容除外）在广州公共资源交易中心网站公开。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8" w:type="dxa"/>
            <w:tcBorders>
              <w:top w:val="single" w:color="auto" w:sz="6" w:space="0"/>
              <w:left w:val="single" w:color="auto" w:sz="4" w:space="0"/>
              <w:bottom w:val="single" w:color="auto" w:sz="6" w:space="0"/>
              <w:right w:val="single" w:color="auto" w:sz="6" w:space="0"/>
            </w:tcBorders>
            <w:vAlign w:val="center"/>
          </w:tcPr>
          <w:p>
            <w:pPr>
              <w:spacing w:line="400" w:lineRule="exact"/>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6</w:t>
            </w:r>
          </w:p>
        </w:tc>
        <w:tc>
          <w:tcPr>
            <w:tcW w:w="2411" w:type="dxa"/>
            <w:tcBorders>
              <w:top w:val="single" w:color="auto" w:sz="6" w:space="0"/>
              <w:left w:val="single" w:color="auto" w:sz="6" w:space="0"/>
              <w:bottom w:val="single" w:color="auto" w:sz="6" w:space="0"/>
              <w:right w:val="single" w:color="auto" w:sz="6" w:space="0"/>
            </w:tcBorders>
            <w:vAlign w:val="center"/>
          </w:tcPr>
          <w:p>
            <w:pPr>
              <w:spacing w:line="400" w:lineRule="exact"/>
              <w:ind w:right="174" w:rightChars="83"/>
              <w:jc w:val="center"/>
              <w:rPr>
                <w:rFonts w:ascii="宋体" w:hAnsi="宋体"/>
                <w:color w:val="auto"/>
                <w:szCs w:val="21"/>
                <w:highlight w:val="none"/>
              </w:rPr>
            </w:pPr>
            <w:r>
              <w:rPr>
                <w:rFonts w:hint="eastAsia" w:ascii="宋体" w:hAnsi="宋体" w:cs="宋体"/>
                <w:color w:val="auto"/>
                <w:szCs w:val="21"/>
                <w:highlight w:val="none"/>
              </w:rPr>
              <w:t>提交纸质投标文件要求</w:t>
            </w:r>
          </w:p>
        </w:tc>
        <w:tc>
          <w:tcPr>
            <w:tcW w:w="6310" w:type="dxa"/>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auto"/>
                <w:szCs w:val="21"/>
                <w:highlight w:val="none"/>
                <w:u w:val="single"/>
              </w:rPr>
            </w:pPr>
            <w:r>
              <w:rPr>
                <w:rFonts w:hint="eastAsia" w:ascii="宋体" w:hAnsi="宋体" w:cs="宋体"/>
                <w:color w:val="auto"/>
                <w:szCs w:val="21"/>
                <w:highlight w:val="none"/>
              </w:rPr>
              <w:t>在中标公示结束后</w:t>
            </w:r>
            <w:r>
              <w:rPr>
                <w:rFonts w:ascii="宋体" w:hAnsi="宋体" w:cs="宋体"/>
                <w:color w:val="auto"/>
                <w:szCs w:val="21"/>
                <w:highlight w:val="none"/>
              </w:rPr>
              <w:t>5个工作日内，第一中标候选人向招标人提交与在广州公共资源交易中心系统上传投标文件内容相同的已盖章的纸质版投标文件一正三副。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465" w:hRule="atLeast"/>
          <w:jc w:val="center"/>
        </w:trPr>
        <w:tc>
          <w:tcPr>
            <w:tcW w:w="958" w:type="dxa"/>
            <w:tcBorders>
              <w:top w:val="single" w:color="auto" w:sz="6" w:space="0"/>
              <w:left w:val="single" w:color="auto" w:sz="4" w:space="0"/>
              <w:bottom w:val="single" w:color="auto" w:sz="4" w:space="0"/>
              <w:right w:val="single" w:color="auto" w:sz="6" w:space="0"/>
            </w:tcBorders>
            <w:vAlign w:val="center"/>
          </w:tcPr>
          <w:p>
            <w:pPr>
              <w:spacing w:line="400" w:lineRule="exact"/>
              <w:jc w:val="center"/>
              <w:rPr>
                <w:rFonts w:hint="eastAsia" w:ascii="宋体" w:hAnsi="宋体" w:eastAsia="宋体"/>
                <w:color w:val="auto"/>
                <w:szCs w:val="21"/>
                <w:highlight w:val="none"/>
                <w:lang w:eastAsia="zh-CN"/>
              </w:rPr>
            </w:pPr>
            <w:r>
              <w:rPr>
                <w:rFonts w:hint="eastAsia" w:ascii="宋体" w:hAnsi="宋体"/>
                <w:color w:val="auto"/>
                <w:szCs w:val="21"/>
                <w:highlight w:val="none"/>
              </w:rPr>
              <w:t>10.</w:t>
            </w:r>
            <w:r>
              <w:rPr>
                <w:rFonts w:hint="eastAsia" w:ascii="宋体" w:hAnsi="宋体"/>
                <w:color w:val="auto"/>
                <w:szCs w:val="21"/>
                <w:highlight w:val="none"/>
                <w:lang w:val="en-US" w:eastAsia="zh-CN"/>
              </w:rPr>
              <w:t>7</w:t>
            </w:r>
          </w:p>
        </w:tc>
        <w:tc>
          <w:tcPr>
            <w:tcW w:w="2411" w:type="dxa"/>
            <w:tcBorders>
              <w:top w:val="single" w:color="auto" w:sz="6" w:space="0"/>
              <w:left w:val="single" w:color="auto" w:sz="6" w:space="0"/>
              <w:bottom w:val="single" w:color="auto" w:sz="4" w:space="0"/>
              <w:right w:val="single" w:color="auto" w:sz="6" w:space="0"/>
            </w:tcBorders>
            <w:vAlign w:val="center"/>
          </w:tcPr>
          <w:p>
            <w:pPr>
              <w:spacing w:line="360" w:lineRule="auto"/>
              <w:ind w:right="174" w:rightChars="83"/>
              <w:jc w:val="center"/>
              <w:rPr>
                <w:rFonts w:ascii="宋体" w:hAnsi="宋体" w:cs="宋体"/>
                <w:color w:val="auto"/>
                <w:szCs w:val="21"/>
                <w:highlight w:val="none"/>
              </w:rPr>
            </w:pPr>
            <w:r>
              <w:rPr>
                <w:rFonts w:hint="eastAsia" w:ascii="宋体" w:hAnsi="宋体" w:cs="宋体"/>
                <w:color w:val="auto"/>
                <w:szCs w:val="21"/>
                <w:highlight w:val="none"/>
              </w:rPr>
              <w:t>其他费用</w:t>
            </w:r>
          </w:p>
        </w:tc>
        <w:tc>
          <w:tcPr>
            <w:tcW w:w="6310" w:type="dxa"/>
            <w:tcBorders>
              <w:top w:val="single" w:color="auto" w:sz="6" w:space="0"/>
              <w:left w:val="single" w:color="auto" w:sz="6" w:space="0"/>
              <w:bottom w:val="single" w:color="auto" w:sz="4" w:space="0"/>
              <w:right w:val="single" w:color="auto" w:sz="4" w:space="0"/>
            </w:tcBorders>
            <w:vAlign w:val="center"/>
          </w:tcPr>
          <w:p>
            <w:pPr>
              <w:widowControl/>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u w:val="single"/>
              </w:rPr>
              <w:t>交易服务费：由中标人支付，根据政府相关文件规定缴纳。</w:t>
            </w:r>
          </w:p>
          <w:p>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u w:val="single"/>
              </w:rPr>
              <w:t>招标代理费：由招标人支付，按照招标人与招标代理签订的招标代理合同约定的内容执行。</w:t>
            </w:r>
          </w:p>
        </w:tc>
      </w:tr>
    </w:tbl>
    <w:p>
      <w:pPr>
        <w:spacing w:before="240" w:beforeLines="100" w:line="360" w:lineRule="auto"/>
        <w:jc w:val="left"/>
        <w:outlineLvl w:val="1"/>
        <w:rPr>
          <w:rFonts w:ascii="宋体" w:hAnsi="宋体"/>
          <w:b/>
          <w:bCs/>
          <w:color w:val="auto"/>
          <w:sz w:val="32"/>
          <w:szCs w:val="32"/>
          <w:highlight w:val="none"/>
        </w:rPr>
      </w:pPr>
      <w:r>
        <w:rPr>
          <w:rFonts w:hint="eastAsia" w:ascii="宋体" w:hAnsi="宋体"/>
          <w:color w:val="auto"/>
          <w:highlight w:val="none"/>
        </w:rPr>
        <w:br w:type="page"/>
      </w:r>
      <w:bookmarkEnd w:id="7"/>
      <w:bookmarkEnd w:id="8"/>
      <w:bookmarkEnd w:id="9"/>
      <w:r>
        <w:rPr>
          <w:rFonts w:hint="eastAsia" w:ascii="宋体" w:hAnsi="宋体"/>
          <w:b/>
          <w:bCs/>
          <w:color w:val="auto"/>
          <w:sz w:val="28"/>
          <w:szCs w:val="32"/>
          <w:highlight w:val="none"/>
        </w:rPr>
        <w:t>第二章 正文详见《中华人民共和国标准监理招标文件》（2017年版）</w:t>
      </w:r>
    </w:p>
    <w:p>
      <w:pPr>
        <w:spacing w:before="260"/>
        <w:outlineLvl w:val="2"/>
        <w:rPr>
          <w:rFonts w:ascii="宋体" w:hAnsi="宋体"/>
          <w:b/>
          <w:color w:val="auto"/>
          <w:sz w:val="32"/>
          <w:szCs w:val="32"/>
          <w:highlight w:val="none"/>
        </w:rPr>
      </w:pPr>
      <w:bookmarkStart w:id="10" w:name="_Toc529196520"/>
      <w:bookmarkStart w:id="11" w:name="_Toc515205193"/>
      <w:r>
        <w:rPr>
          <w:rFonts w:hint="eastAsia" w:ascii="宋体" w:hAnsi="宋体"/>
          <w:b/>
          <w:color w:val="auto"/>
          <w:sz w:val="32"/>
          <w:szCs w:val="32"/>
          <w:highlight w:val="none"/>
        </w:rPr>
        <w:t>1. 总则</w:t>
      </w:r>
      <w:bookmarkEnd w:id="10"/>
      <w:bookmarkEnd w:id="11"/>
    </w:p>
    <w:p>
      <w:pPr>
        <w:spacing w:before="240" w:beforeLines="100" w:after="240" w:afterLines="100"/>
        <w:rPr>
          <w:rFonts w:ascii="宋体" w:hAnsi="宋体"/>
          <w:b/>
          <w:color w:val="auto"/>
          <w:sz w:val="28"/>
          <w:szCs w:val="28"/>
          <w:highlight w:val="none"/>
        </w:rPr>
      </w:pPr>
      <w:bookmarkStart w:id="12" w:name="_Toc529196521"/>
      <w:bookmarkStart w:id="13" w:name="_Toc515205194"/>
      <w:r>
        <w:rPr>
          <w:rFonts w:hint="eastAsia" w:ascii="宋体" w:hAnsi="宋体"/>
          <w:b/>
          <w:color w:val="auto"/>
          <w:sz w:val="28"/>
          <w:szCs w:val="28"/>
          <w:highlight w:val="none"/>
        </w:rPr>
        <w:t>1.1 招标项目概况</w:t>
      </w:r>
      <w:bookmarkEnd w:id="12"/>
      <w:bookmarkEnd w:id="13"/>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1.1.1根据《中华人民共和国招标投标法》、《中华人民共和国招标投标法实施条例》等有关法律、法规和规章的规定，本招标项目已具备招标条件，现对监理进行招标。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招标人：见投标人须知前附表。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招标代理机构：见投标人须知前附表。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 招标项目名称：见投标人须知前附表。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 项目建设地点：见投标人须知前附表。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1.1.6 项目建设规模：见投标人须知前附表。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1.1.7 工程项目施工预计开工日期和建设周期：见投标人须知前附表。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1.1.8 建筑安装工程费/工程概算：见投标人须知前附表。</w:t>
      </w:r>
    </w:p>
    <w:p>
      <w:pPr>
        <w:spacing w:before="240" w:beforeLines="100" w:after="240" w:afterLines="100"/>
        <w:rPr>
          <w:rFonts w:ascii="宋体" w:hAnsi="宋体"/>
          <w:b/>
          <w:color w:val="auto"/>
          <w:sz w:val="28"/>
          <w:szCs w:val="28"/>
          <w:highlight w:val="none"/>
        </w:rPr>
      </w:pPr>
      <w:bookmarkStart w:id="14" w:name="_Toc515205195"/>
      <w:bookmarkStart w:id="15" w:name="_Toc529196522"/>
      <w:r>
        <w:rPr>
          <w:rFonts w:hint="eastAsia" w:ascii="宋体" w:hAnsi="宋体"/>
          <w:b/>
          <w:color w:val="auto"/>
          <w:sz w:val="28"/>
          <w:szCs w:val="28"/>
          <w:highlight w:val="none"/>
        </w:rPr>
        <w:t>1.2 招标项目的资金来源和落实情况</w:t>
      </w:r>
      <w:bookmarkEnd w:id="14"/>
      <w:bookmarkEnd w:id="15"/>
    </w:p>
    <w:p>
      <w:pPr>
        <w:spacing w:line="360" w:lineRule="auto"/>
        <w:ind w:firstLine="420" w:firstLineChars="200"/>
        <w:rPr>
          <w:rFonts w:ascii="宋体" w:hAnsi="宋体"/>
          <w:color w:val="auto"/>
          <w:highlight w:val="none"/>
        </w:rPr>
      </w:pPr>
      <w:r>
        <w:rPr>
          <w:rFonts w:hint="eastAsia" w:ascii="宋体" w:hAnsi="宋体"/>
          <w:color w:val="auto"/>
          <w:highlight w:val="none"/>
        </w:rPr>
        <w:t>1.2.1 资金来源及比例：见投标人须知前附表。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1.2.2 资金落实情况：见投标人须知前附表。</w:t>
      </w:r>
    </w:p>
    <w:p>
      <w:pPr>
        <w:spacing w:before="240" w:beforeLines="100" w:after="240" w:afterLines="100"/>
        <w:rPr>
          <w:rFonts w:ascii="宋体" w:hAnsi="宋体"/>
          <w:b/>
          <w:color w:val="auto"/>
          <w:sz w:val="28"/>
          <w:szCs w:val="28"/>
          <w:highlight w:val="none"/>
        </w:rPr>
      </w:pPr>
      <w:bookmarkStart w:id="16" w:name="_Toc529196523"/>
      <w:bookmarkStart w:id="17" w:name="_Toc515205196"/>
      <w:r>
        <w:rPr>
          <w:rFonts w:hint="eastAsia" w:ascii="宋体" w:hAnsi="宋体"/>
          <w:b/>
          <w:color w:val="auto"/>
          <w:sz w:val="28"/>
          <w:szCs w:val="28"/>
          <w:highlight w:val="none"/>
        </w:rPr>
        <w:t>1.3招标范围、监理服务期限和质量标准</w:t>
      </w:r>
      <w:bookmarkEnd w:id="16"/>
      <w:bookmarkEnd w:id="17"/>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 招标范围：见投标人须知前附表。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 监理服务期限：见投标人须知前附表。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 质量标准：见投标人须知前附表。</w:t>
      </w:r>
    </w:p>
    <w:p>
      <w:pPr>
        <w:spacing w:before="240" w:beforeLines="100" w:after="240" w:afterLines="100"/>
        <w:rPr>
          <w:rFonts w:ascii="宋体" w:hAnsi="宋体"/>
          <w:b/>
          <w:color w:val="auto"/>
          <w:sz w:val="28"/>
          <w:szCs w:val="28"/>
          <w:highlight w:val="none"/>
        </w:rPr>
      </w:pPr>
      <w:bookmarkStart w:id="18" w:name="_Toc529196524"/>
      <w:bookmarkStart w:id="19" w:name="_Toc515205197"/>
      <w:r>
        <w:rPr>
          <w:rFonts w:hint="eastAsia" w:ascii="宋体" w:hAnsi="宋体"/>
          <w:b/>
          <w:color w:val="auto"/>
          <w:sz w:val="28"/>
          <w:szCs w:val="28"/>
          <w:highlight w:val="none"/>
        </w:rPr>
        <w:t>1.4投标人资格要求</w:t>
      </w:r>
      <w:bookmarkEnd w:id="18"/>
      <w:bookmarkEnd w:id="19"/>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 投标人应具备承担本招标项目资质条件、能力和信誉：</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（1）资质要求：见投标人须知前附表；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（2）财务要求：见投标人须知前附表；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（3）业绩要求：见投标人须知前附表；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（4）信誉要求：见投标人须知前附表；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（5）总监理工程师的资格要求：应当具备工程注册监理工程师执业资格（如有），具体要求见投标人须知前附表；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（6）其他主要人员要求：见投标人须知前附表。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（7）试验检测仪器设备要求：见投标人须知前附表。</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（8）其他要求：见投标人须知前附表。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需要提交的相关证明材料见本章第3.5款的规定。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1.4.2投标人须知前附表规定接受联合体投标的，联合体除应符合本章第1.4.1项和投标人须知前附表的要求外，还应遵守以下规定：</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（1）联合体各方应按招标文件提供的格式签订联合体协议书，明确联合体牵头人和各方权利义务，并承诺就中标项目向招标人承担连带责任；</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（2）由同一专业的单位组成的联合体，按照资质等级较低的单位确定资质等级；</w:t>
      </w:r>
    </w:p>
    <w:p>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（3）联合体各方不得再以自己名义单独或参加其他联合体在本招标项目中投标，否则各相关投标均无效。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1.4.3 投标人不得存在下列情形之一：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（1）为招标人不具有独立法人资格的附属机构（单位）；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（2）与招标人存在利害关系且可能影响招标公正性；</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（3）与本招标项目的其他投标人为同一个单位负责人；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（4）与本招标项目的其他投标人存在控股、管理关系；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（5）为本招标项目的代建人；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（6）为本招标项目的招标代理机构；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（7）与本招标项目的代建人或招标代理机构同为一个法定代表人；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（8）与本招标项目的代建人或招标代理机构存在控股或参股关系；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（9）与本招标项目的施工承包人以及建筑材料、建筑构配件和设备供应商有隶属关系或者其他利害关系；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（10）被依法暂停或者取消投标资格；</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（11）被责令停产停业、暂扣或者吊销许可证、暂扣或者吊销执照；</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（12）进入清算程序，或被宣告破产，或其他丧失履约能力的情形；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（13）在最近三年内发生重大监理质量问题（以相关行业主管部门的行政处罚决定或司法机关出具的有关法律文书为准）；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（14）被工商行政管理机关在全国企业信用信息公示系统中列入严重违法失信企业名单；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（15）被最高人民法院在“信用中国”网站（www.creditchina.gov.cn）或各级信用信息共享平台中列入失信被执行人名单；</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（16）在近三年内投标人或其法定代表人、拟委任的总监理工程师有行贿犯罪行为的（以检察机关职务犯罪预防部门出具的查询结果为准）；</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（17）法律法规或投标人须知前附表规定的其他情形。</w:t>
      </w:r>
    </w:p>
    <w:p>
      <w:pPr>
        <w:spacing w:before="240" w:beforeLines="100" w:after="240" w:afterLines="100"/>
        <w:rPr>
          <w:rFonts w:ascii="宋体" w:hAnsi="宋体"/>
          <w:b/>
          <w:color w:val="auto"/>
          <w:sz w:val="28"/>
          <w:szCs w:val="28"/>
          <w:highlight w:val="none"/>
        </w:rPr>
      </w:pPr>
      <w:bookmarkStart w:id="20" w:name="_Toc515205198"/>
      <w:bookmarkStart w:id="21" w:name="_Toc529196525"/>
      <w:r>
        <w:rPr>
          <w:rFonts w:hint="eastAsia" w:ascii="宋体" w:hAnsi="宋体"/>
          <w:b/>
          <w:color w:val="auto"/>
          <w:sz w:val="28"/>
          <w:szCs w:val="28"/>
          <w:highlight w:val="none"/>
        </w:rPr>
        <w:t>1.5 费用承担</w:t>
      </w:r>
      <w:bookmarkEnd w:id="20"/>
      <w:bookmarkEnd w:id="21"/>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pPr>
        <w:spacing w:before="240" w:beforeLines="100" w:after="240" w:afterLines="100"/>
        <w:rPr>
          <w:rFonts w:ascii="宋体" w:hAnsi="宋体"/>
          <w:b/>
          <w:color w:val="auto"/>
          <w:sz w:val="28"/>
          <w:szCs w:val="28"/>
          <w:highlight w:val="none"/>
        </w:rPr>
      </w:pPr>
      <w:bookmarkStart w:id="22" w:name="_Toc515205199"/>
      <w:bookmarkStart w:id="23" w:name="_Toc529196526"/>
      <w:r>
        <w:rPr>
          <w:rFonts w:hint="eastAsia" w:ascii="宋体" w:hAnsi="宋体"/>
          <w:b/>
          <w:color w:val="auto"/>
          <w:sz w:val="28"/>
          <w:szCs w:val="28"/>
          <w:highlight w:val="none"/>
        </w:rPr>
        <w:t>1.6保密</w:t>
      </w:r>
      <w:bookmarkEnd w:id="22"/>
      <w:bookmarkEnd w:id="23"/>
    </w:p>
    <w:p>
      <w:pPr>
        <w:spacing w:line="360" w:lineRule="auto"/>
        <w:ind w:firstLine="420" w:firstLineChars="200"/>
        <w:rPr>
          <w:rFonts w:ascii="宋体" w:hAnsi="宋体"/>
          <w:color w:val="auto"/>
          <w:highlight w:val="none"/>
        </w:rPr>
      </w:pPr>
      <w:r>
        <w:rPr>
          <w:rFonts w:hint="eastAsia" w:ascii="宋体" w:hAnsi="宋体"/>
          <w:color w:val="auto"/>
          <w:highlight w:val="none"/>
        </w:rPr>
        <w:t>参与招标投标活动的各方应对招标文件和投标文件中</w:t>
      </w:r>
      <w:bookmarkStart w:id="24" w:name="_Toc5326"/>
      <w:bookmarkStart w:id="25" w:name="_Toc369531519"/>
      <w:bookmarkStart w:id="26" w:name="_Toc384308214"/>
      <w:bookmarkStart w:id="27" w:name="_Toc352691477"/>
      <w:bookmarkStart w:id="28" w:name="_Toc361508589"/>
      <w:r>
        <w:rPr>
          <w:rFonts w:hint="eastAsia" w:ascii="宋体" w:hAnsi="宋体"/>
          <w:color w:val="auto"/>
          <w:highlight w:val="none"/>
        </w:rPr>
        <w:t>的商业和技术等秘密保密</w:t>
      </w:r>
      <w:bookmarkEnd w:id="24"/>
      <w:bookmarkEnd w:id="25"/>
      <w:bookmarkEnd w:id="26"/>
      <w:bookmarkEnd w:id="27"/>
      <w:bookmarkEnd w:id="28"/>
      <w:r>
        <w:rPr>
          <w:rFonts w:hint="eastAsia" w:ascii="宋体" w:hAnsi="宋体"/>
          <w:color w:val="auto"/>
          <w:highlight w:val="none"/>
        </w:rPr>
        <w:t>，否则应承担相应的法律责任。</w:t>
      </w:r>
    </w:p>
    <w:p>
      <w:pPr>
        <w:spacing w:before="240" w:beforeLines="100" w:after="240" w:afterLines="100"/>
        <w:rPr>
          <w:rFonts w:ascii="宋体" w:hAnsi="宋体"/>
          <w:b/>
          <w:color w:val="auto"/>
          <w:sz w:val="28"/>
          <w:szCs w:val="28"/>
          <w:highlight w:val="none"/>
        </w:rPr>
      </w:pPr>
      <w:bookmarkStart w:id="29" w:name="_Toc515205200"/>
      <w:bookmarkStart w:id="30" w:name="_Toc529196527"/>
      <w:r>
        <w:rPr>
          <w:rFonts w:hint="eastAsia" w:ascii="宋体" w:hAnsi="宋体"/>
          <w:b/>
          <w:color w:val="auto"/>
          <w:sz w:val="28"/>
          <w:szCs w:val="28"/>
          <w:highlight w:val="none"/>
        </w:rPr>
        <w:t>1.7 语言文字</w:t>
      </w:r>
      <w:bookmarkEnd w:id="29"/>
      <w:bookmarkEnd w:id="30"/>
    </w:p>
    <w:p>
      <w:pPr>
        <w:spacing w:line="360" w:lineRule="auto"/>
        <w:ind w:firstLine="420" w:firstLineChars="200"/>
        <w:rPr>
          <w:rFonts w:ascii="宋体" w:hAnsi="宋体"/>
          <w:color w:val="auto"/>
          <w:highlight w:val="none"/>
        </w:rPr>
      </w:pPr>
      <w:r>
        <w:rPr>
          <w:rFonts w:hint="eastAsia" w:ascii="宋体" w:hAnsi="宋体"/>
          <w:color w:val="auto"/>
          <w:highlight w:val="none"/>
        </w:rPr>
        <w:t>招标投标文件使用的语言文字为中文。专用术语使用外文的，应附有中文注释。</w:t>
      </w:r>
    </w:p>
    <w:p>
      <w:pPr>
        <w:spacing w:before="240" w:beforeLines="100" w:after="240" w:afterLines="100"/>
        <w:rPr>
          <w:rFonts w:ascii="宋体" w:hAnsi="宋体"/>
          <w:b/>
          <w:color w:val="auto"/>
          <w:sz w:val="28"/>
          <w:szCs w:val="28"/>
          <w:highlight w:val="none"/>
        </w:rPr>
      </w:pPr>
      <w:bookmarkStart w:id="31" w:name="_Toc529196528"/>
      <w:bookmarkStart w:id="32" w:name="_Toc515205201"/>
      <w:r>
        <w:rPr>
          <w:rFonts w:hint="eastAsia" w:ascii="宋体" w:hAnsi="宋体"/>
          <w:b/>
          <w:color w:val="auto"/>
          <w:sz w:val="28"/>
          <w:szCs w:val="28"/>
          <w:highlight w:val="none"/>
        </w:rPr>
        <w:t>1.8计量单位</w:t>
      </w:r>
      <w:bookmarkEnd w:id="31"/>
      <w:bookmarkEnd w:id="32"/>
    </w:p>
    <w:p>
      <w:pPr>
        <w:spacing w:line="360" w:lineRule="auto"/>
        <w:ind w:firstLine="420" w:firstLineChars="200"/>
        <w:rPr>
          <w:rFonts w:ascii="宋体" w:hAnsi="宋体"/>
          <w:color w:val="auto"/>
          <w:highlight w:val="none"/>
        </w:rPr>
      </w:pPr>
      <w:r>
        <w:rPr>
          <w:rFonts w:hint="eastAsia" w:ascii="宋体" w:hAnsi="宋体"/>
          <w:color w:val="auto"/>
          <w:highlight w:val="none"/>
        </w:rPr>
        <w:t>所有计量均采用中华人民共和国法定计量单位。</w:t>
      </w:r>
    </w:p>
    <w:p>
      <w:pPr>
        <w:spacing w:before="240" w:beforeLines="100" w:after="240" w:afterLines="100"/>
        <w:rPr>
          <w:rFonts w:ascii="宋体" w:hAnsi="宋体"/>
          <w:b/>
          <w:color w:val="auto"/>
          <w:sz w:val="28"/>
          <w:szCs w:val="28"/>
          <w:highlight w:val="none"/>
        </w:rPr>
      </w:pPr>
      <w:bookmarkStart w:id="33" w:name="_Toc300834959"/>
      <w:bookmarkStart w:id="34" w:name="_Toc515205202"/>
      <w:bookmarkStart w:id="35" w:name="_Toc144974507"/>
      <w:bookmarkStart w:id="36" w:name="_Toc361508594"/>
      <w:bookmarkStart w:id="37" w:name="_Toc529196529"/>
      <w:bookmarkStart w:id="38" w:name="_Toc384308219"/>
      <w:bookmarkStart w:id="39" w:name="_Toc247527563"/>
      <w:bookmarkStart w:id="40" w:name="_Toc370676289"/>
      <w:bookmarkStart w:id="41" w:name="_Toc152042315"/>
      <w:bookmarkStart w:id="42" w:name="_Toc482188480"/>
      <w:bookmarkStart w:id="43" w:name="_Toc152045539"/>
      <w:bookmarkStart w:id="44" w:name="_Toc247513962"/>
      <w:bookmarkStart w:id="45" w:name="_Toc391393967"/>
      <w:r>
        <w:rPr>
          <w:rFonts w:hint="eastAsia" w:ascii="宋体" w:hAnsi="宋体"/>
          <w:b/>
          <w:color w:val="auto"/>
          <w:sz w:val="28"/>
          <w:szCs w:val="28"/>
          <w:highlight w:val="none"/>
        </w:rPr>
        <w:t>1.9 踏勘现场</w:t>
      </w:r>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ind w:firstLine="420" w:firstLineChars="200"/>
        <w:rPr>
          <w:rFonts w:ascii="宋体" w:hAnsi="宋体"/>
          <w:color w:val="auto"/>
          <w:highlight w:val="none"/>
        </w:rPr>
      </w:pPr>
      <w:r>
        <w:rPr>
          <w:rFonts w:hint="eastAsia" w:ascii="宋体" w:hAnsi="宋体"/>
          <w:color w:val="auto"/>
          <w:highlight w:val="none"/>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20" w:firstLineChars="200"/>
        <w:rPr>
          <w:rFonts w:ascii="宋体" w:hAnsi="宋体"/>
          <w:color w:val="auto"/>
          <w:highlight w:val="none"/>
        </w:rPr>
      </w:pPr>
      <w:r>
        <w:rPr>
          <w:rFonts w:hint="eastAsia" w:ascii="宋体" w:hAnsi="宋体"/>
          <w:color w:val="auto"/>
          <w:highlight w:val="none"/>
        </w:rPr>
        <w:t>1.9.2 投标人踏勘现场发生的费用自理。</w:t>
      </w:r>
    </w:p>
    <w:p>
      <w:pPr>
        <w:spacing w:line="360" w:lineRule="auto"/>
        <w:ind w:firstLine="420" w:firstLineChars="200"/>
        <w:rPr>
          <w:rFonts w:ascii="宋体" w:hAnsi="宋体"/>
          <w:color w:val="auto"/>
          <w:highlight w:val="none"/>
        </w:rPr>
      </w:pPr>
      <w:r>
        <w:rPr>
          <w:rFonts w:hint="eastAsia" w:ascii="宋体" w:hAnsi="宋体"/>
          <w:color w:val="auto"/>
          <w:highlight w:val="none"/>
        </w:rPr>
        <w:t>1.9.3 除招标人的原因外，投标人自行负责在踏勘现场中所发生的人员伤亡和财产损失。</w:t>
      </w:r>
    </w:p>
    <w:p>
      <w:pPr>
        <w:spacing w:line="360" w:lineRule="auto"/>
        <w:ind w:firstLine="420" w:firstLineChars="200"/>
        <w:rPr>
          <w:rFonts w:ascii="宋体" w:hAnsi="宋体"/>
          <w:color w:val="auto"/>
          <w:highlight w:val="none"/>
        </w:rPr>
      </w:pPr>
      <w:r>
        <w:rPr>
          <w:rFonts w:hint="eastAsia" w:ascii="宋体" w:hAnsi="宋体"/>
          <w:color w:val="auto"/>
          <w:highlight w:val="none"/>
        </w:rPr>
        <w:t>1.9.4 招标人在踏勘现场中介绍的工程场地和相关的周边环境情况，供投标人在编制投标文件时参考，招标人不对投标人据此作出的判断和决策负责。</w:t>
      </w:r>
    </w:p>
    <w:p>
      <w:pPr>
        <w:spacing w:before="240" w:beforeLines="100" w:after="240" w:afterLines="100"/>
        <w:rPr>
          <w:rFonts w:ascii="宋体" w:hAnsi="宋体"/>
          <w:b/>
          <w:color w:val="auto"/>
          <w:sz w:val="28"/>
          <w:szCs w:val="28"/>
          <w:highlight w:val="none"/>
        </w:rPr>
      </w:pPr>
      <w:bookmarkStart w:id="46" w:name="_Toc529196530"/>
      <w:bookmarkStart w:id="47" w:name="_Toc515205203"/>
      <w:r>
        <w:rPr>
          <w:rFonts w:hint="eastAsia" w:ascii="宋体" w:hAnsi="宋体"/>
          <w:b/>
          <w:color w:val="auto"/>
          <w:sz w:val="28"/>
          <w:szCs w:val="28"/>
          <w:highlight w:val="none"/>
        </w:rPr>
        <w:t>1.10投标预备会</w:t>
      </w:r>
      <w:bookmarkEnd w:id="46"/>
      <w:bookmarkEnd w:id="47"/>
    </w:p>
    <w:p>
      <w:pPr>
        <w:spacing w:line="360" w:lineRule="auto"/>
        <w:ind w:firstLine="420" w:firstLineChars="200"/>
        <w:rPr>
          <w:rFonts w:ascii="宋体" w:hAnsi="宋体"/>
          <w:color w:val="auto"/>
          <w:highlight w:val="none"/>
        </w:rPr>
      </w:pPr>
      <w:r>
        <w:rPr>
          <w:rFonts w:hint="eastAsia" w:ascii="宋体" w:hAnsi="宋体"/>
          <w:color w:val="auto"/>
          <w:highlight w:val="none"/>
        </w:rPr>
        <w:t>1.10.1 投标人须知前附表规定召开投标预备会的，招标人按投标人须知前附表规定的时间和地点召开投标预备会，澄清投标人提出的问题。</w:t>
      </w:r>
    </w:p>
    <w:p>
      <w:pPr>
        <w:spacing w:line="360" w:lineRule="auto"/>
        <w:ind w:firstLine="420" w:firstLineChars="200"/>
        <w:rPr>
          <w:rFonts w:ascii="宋体" w:hAnsi="宋体"/>
          <w:color w:val="auto"/>
          <w:highlight w:val="none"/>
        </w:rPr>
      </w:pPr>
      <w:r>
        <w:rPr>
          <w:rFonts w:hint="eastAsia" w:ascii="宋体" w:hAnsi="宋体"/>
          <w:color w:val="auto"/>
          <w:highlight w:val="none"/>
        </w:rPr>
        <w:t>1.10.2 投标人应按投标人须知前附表规定的时间和形式将提出的问题送达招标人，以便招标人在会议期间澄清。</w:t>
      </w:r>
    </w:p>
    <w:p>
      <w:pPr>
        <w:spacing w:line="360" w:lineRule="auto"/>
        <w:ind w:firstLine="420" w:firstLineChars="200"/>
        <w:rPr>
          <w:rFonts w:ascii="宋体" w:hAnsi="宋体"/>
          <w:color w:val="auto"/>
          <w:highlight w:val="none"/>
        </w:rPr>
      </w:pPr>
      <w:r>
        <w:rPr>
          <w:rFonts w:hint="eastAsia" w:ascii="宋体" w:hAnsi="宋体"/>
          <w:color w:val="auto"/>
          <w:highlight w:val="none"/>
        </w:rPr>
        <w:t>1.10.3 投标预备会后，招标人将对投标人所提问题的澄清，以投标人须知前附表规定的形式通知所有购买招标文件的投标人。该澄清内容为招标文件的组成部分。</w:t>
      </w:r>
    </w:p>
    <w:p>
      <w:pPr>
        <w:spacing w:before="240" w:beforeLines="100" w:after="240" w:afterLines="100"/>
        <w:rPr>
          <w:rFonts w:ascii="宋体" w:hAnsi="宋体"/>
          <w:b/>
          <w:color w:val="auto"/>
          <w:sz w:val="28"/>
          <w:szCs w:val="28"/>
          <w:highlight w:val="none"/>
        </w:rPr>
      </w:pPr>
      <w:bookmarkStart w:id="48" w:name="_Toc515205204"/>
      <w:bookmarkStart w:id="49" w:name="_Toc529196531"/>
      <w:r>
        <w:rPr>
          <w:rFonts w:hint="eastAsia" w:ascii="宋体" w:hAnsi="宋体"/>
          <w:b/>
          <w:color w:val="auto"/>
          <w:sz w:val="28"/>
          <w:szCs w:val="28"/>
          <w:highlight w:val="none"/>
        </w:rPr>
        <w:t>1.11 分包</w:t>
      </w:r>
      <w:bookmarkEnd w:id="48"/>
      <w:bookmarkEnd w:id="49"/>
    </w:p>
    <w:p>
      <w:pPr>
        <w:spacing w:line="360" w:lineRule="auto"/>
        <w:ind w:firstLine="420" w:firstLineChars="200"/>
        <w:rPr>
          <w:rFonts w:ascii="宋体" w:hAnsi="宋体"/>
          <w:color w:val="auto"/>
          <w:highlight w:val="none"/>
        </w:rPr>
      </w:pPr>
      <w:r>
        <w:rPr>
          <w:rFonts w:hint="eastAsia" w:ascii="宋体" w:hAnsi="宋体"/>
          <w:color w:val="auto"/>
          <w:highlight w:val="none"/>
        </w:rPr>
        <w:t>本项目严禁分包。</w:t>
      </w:r>
    </w:p>
    <w:p>
      <w:pPr>
        <w:spacing w:before="240" w:beforeLines="100" w:after="240" w:afterLines="100"/>
        <w:rPr>
          <w:rFonts w:ascii="宋体" w:hAnsi="宋体"/>
          <w:b/>
          <w:color w:val="auto"/>
          <w:sz w:val="28"/>
          <w:szCs w:val="28"/>
          <w:highlight w:val="none"/>
        </w:rPr>
      </w:pPr>
      <w:bookmarkStart w:id="50" w:name="_Toc529196532"/>
      <w:bookmarkStart w:id="51" w:name="_Toc515205205"/>
      <w:r>
        <w:rPr>
          <w:rFonts w:hint="eastAsia" w:ascii="宋体" w:hAnsi="宋体"/>
          <w:b/>
          <w:color w:val="auto"/>
          <w:sz w:val="28"/>
          <w:szCs w:val="28"/>
          <w:highlight w:val="none"/>
        </w:rPr>
        <w:t>1.12响应和偏差</w:t>
      </w:r>
      <w:bookmarkEnd w:id="50"/>
      <w:bookmarkEnd w:id="51"/>
    </w:p>
    <w:p>
      <w:pPr>
        <w:spacing w:line="360" w:lineRule="auto"/>
        <w:ind w:firstLine="420" w:firstLineChars="200"/>
        <w:rPr>
          <w:rFonts w:ascii="宋体" w:hAnsi="宋体"/>
          <w:color w:val="auto"/>
          <w:highlight w:val="none"/>
        </w:rPr>
      </w:pPr>
      <w:r>
        <w:rPr>
          <w:rFonts w:hint="eastAsia" w:ascii="宋体" w:hAnsi="宋体"/>
          <w:color w:val="auto"/>
          <w:highlight w:val="none"/>
        </w:rPr>
        <w:t>1.12.1投标文件应当对招标文件的实质性要求和条件作出满足性或更有利于招标人的响应，否则，投标人的投标将被否决。实质性要求和条件见投标人须知前附表。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1.12.2 投标人应根据招标文件的要求提供投标监理大纲等内容以对招标文件作出响应。</w:t>
      </w:r>
    </w:p>
    <w:p>
      <w:pPr>
        <w:spacing w:line="360" w:lineRule="auto"/>
        <w:ind w:firstLine="420" w:firstLineChars="200"/>
        <w:rPr>
          <w:rFonts w:ascii="宋体" w:hAnsi="宋体"/>
          <w:color w:val="auto"/>
          <w:highlight w:val="none"/>
        </w:rPr>
      </w:pPr>
      <w:r>
        <w:rPr>
          <w:rFonts w:hint="eastAsia" w:ascii="宋体" w:hAnsi="宋体"/>
          <w:color w:val="auto"/>
          <w:highlight w:val="none"/>
        </w:rPr>
        <w:t>1.12.3投标人须知前附表允许投标文件偏离招标文件某些要求的，偏差应当符合招标文件规定的偏差范围和幅度。</w:t>
      </w:r>
    </w:p>
    <w:p>
      <w:pPr>
        <w:spacing w:before="260"/>
        <w:outlineLvl w:val="2"/>
        <w:rPr>
          <w:rFonts w:ascii="宋体" w:hAnsi="宋体"/>
          <w:b/>
          <w:color w:val="auto"/>
          <w:sz w:val="32"/>
          <w:szCs w:val="32"/>
          <w:highlight w:val="none"/>
        </w:rPr>
      </w:pPr>
      <w:bookmarkStart w:id="52" w:name="_Toc529196533"/>
      <w:bookmarkStart w:id="53" w:name="_Toc515205206"/>
      <w:r>
        <w:rPr>
          <w:rFonts w:hint="eastAsia" w:ascii="宋体" w:hAnsi="宋体"/>
          <w:b/>
          <w:color w:val="auto"/>
          <w:sz w:val="32"/>
          <w:szCs w:val="32"/>
          <w:highlight w:val="none"/>
        </w:rPr>
        <w:t>2. 招标文件</w:t>
      </w:r>
      <w:bookmarkEnd w:id="52"/>
      <w:bookmarkEnd w:id="53"/>
    </w:p>
    <w:p>
      <w:pPr>
        <w:spacing w:before="240" w:beforeLines="100" w:after="240" w:afterLines="100"/>
        <w:rPr>
          <w:rFonts w:ascii="宋体" w:hAnsi="宋体"/>
          <w:b/>
          <w:color w:val="auto"/>
          <w:sz w:val="28"/>
          <w:szCs w:val="28"/>
          <w:highlight w:val="none"/>
        </w:rPr>
      </w:pPr>
      <w:bookmarkStart w:id="54" w:name="_Toc515205207"/>
      <w:bookmarkStart w:id="55" w:name="_Toc529196534"/>
      <w:r>
        <w:rPr>
          <w:rFonts w:hint="eastAsia" w:ascii="宋体" w:hAnsi="宋体"/>
          <w:b/>
          <w:color w:val="auto"/>
          <w:sz w:val="28"/>
          <w:szCs w:val="28"/>
          <w:highlight w:val="none"/>
        </w:rPr>
        <w:t>2.1 招标文件的组成</w:t>
      </w:r>
      <w:bookmarkEnd w:id="54"/>
      <w:bookmarkEnd w:id="55"/>
    </w:p>
    <w:p>
      <w:pPr>
        <w:spacing w:line="360" w:lineRule="auto"/>
        <w:ind w:firstLine="359" w:firstLineChars="171"/>
        <w:rPr>
          <w:rFonts w:ascii="宋体" w:hAnsi="宋体"/>
          <w:color w:val="auto"/>
          <w:highlight w:val="none"/>
        </w:rPr>
      </w:pPr>
      <w:r>
        <w:rPr>
          <w:rFonts w:hint="eastAsia" w:ascii="宋体" w:hAnsi="宋体"/>
          <w:color w:val="auto"/>
          <w:highlight w:val="none"/>
        </w:rPr>
        <w:t>本招标文件包括：</w:t>
      </w:r>
    </w:p>
    <w:p>
      <w:pPr>
        <w:spacing w:line="360" w:lineRule="auto"/>
        <w:ind w:firstLine="359" w:firstLineChars="171"/>
        <w:rPr>
          <w:rFonts w:ascii="宋体" w:hAnsi="宋体"/>
          <w:color w:val="auto"/>
          <w:highlight w:val="none"/>
        </w:rPr>
      </w:pPr>
      <w:r>
        <w:rPr>
          <w:rFonts w:hint="eastAsia" w:ascii="宋体" w:hAnsi="宋体"/>
          <w:color w:val="auto"/>
          <w:highlight w:val="none"/>
        </w:rPr>
        <w:t>（1）招标公告（或投标邀请书）；</w:t>
      </w:r>
    </w:p>
    <w:p>
      <w:pPr>
        <w:spacing w:line="360" w:lineRule="auto"/>
        <w:ind w:firstLine="359" w:firstLineChars="171"/>
        <w:rPr>
          <w:rFonts w:ascii="宋体" w:hAnsi="宋体"/>
          <w:color w:val="auto"/>
          <w:highlight w:val="none"/>
        </w:rPr>
      </w:pPr>
      <w:r>
        <w:rPr>
          <w:rFonts w:hint="eastAsia" w:ascii="宋体" w:hAnsi="宋体"/>
          <w:color w:val="auto"/>
          <w:highlight w:val="none"/>
        </w:rPr>
        <w:t>（2）投标人须知；</w:t>
      </w:r>
    </w:p>
    <w:p>
      <w:pPr>
        <w:spacing w:line="360" w:lineRule="auto"/>
        <w:ind w:firstLine="359" w:firstLineChars="171"/>
        <w:rPr>
          <w:rFonts w:ascii="宋体" w:hAnsi="宋体"/>
          <w:color w:val="auto"/>
          <w:highlight w:val="none"/>
        </w:rPr>
      </w:pPr>
      <w:r>
        <w:rPr>
          <w:rFonts w:hint="eastAsia" w:ascii="宋体" w:hAnsi="宋体"/>
          <w:color w:val="auto"/>
          <w:highlight w:val="none"/>
        </w:rPr>
        <w:t>（3）评标办法；</w:t>
      </w:r>
    </w:p>
    <w:p>
      <w:pPr>
        <w:spacing w:line="360" w:lineRule="auto"/>
        <w:ind w:firstLine="359" w:firstLineChars="171"/>
        <w:rPr>
          <w:rFonts w:ascii="宋体" w:hAnsi="宋体"/>
          <w:color w:val="auto"/>
          <w:highlight w:val="none"/>
        </w:rPr>
      </w:pPr>
      <w:r>
        <w:rPr>
          <w:rFonts w:hint="eastAsia" w:ascii="宋体" w:hAnsi="宋体"/>
          <w:color w:val="auto"/>
          <w:highlight w:val="none"/>
        </w:rPr>
        <w:t>（4）合同条款及格式；</w:t>
      </w:r>
    </w:p>
    <w:p>
      <w:pPr>
        <w:spacing w:line="360" w:lineRule="auto"/>
        <w:ind w:firstLine="359" w:firstLineChars="171"/>
        <w:rPr>
          <w:rFonts w:ascii="宋体" w:hAnsi="宋体"/>
          <w:color w:val="auto"/>
          <w:highlight w:val="none"/>
        </w:rPr>
      </w:pPr>
      <w:r>
        <w:rPr>
          <w:rFonts w:hint="eastAsia" w:ascii="宋体" w:hAnsi="宋体"/>
          <w:color w:val="auto"/>
          <w:highlight w:val="none"/>
        </w:rPr>
        <w:t>（5）委托人要求；</w:t>
      </w:r>
    </w:p>
    <w:p>
      <w:pPr>
        <w:spacing w:line="360" w:lineRule="auto"/>
        <w:ind w:firstLine="359" w:firstLineChars="171"/>
        <w:rPr>
          <w:rFonts w:ascii="宋体" w:hAnsi="宋体"/>
          <w:color w:val="auto"/>
          <w:highlight w:val="none"/>
        </w:rPr>
      </w:pPr>
      <w:r>
        <w:rPr>
          <w:rFonts w:hint="eastAsia" w:ascii="宋体" w:hAnsi="宋体"/>
          <w:color w:val="auto"/>
          <w:highlight w:val="none"/>
        </w:rPr>
        <w:t>（6）投标文件格式；</w:t>
      </w:r>
    </w:p>
    <w:p>
      <w:pPr>
        <w:spacing w:line="360" w:lineRule="auto"/>
        <w:ind w:firstLine="359" w:firstLineChars="171"/>
        <w:rPr>
          <w:rFonts w:ascii="宋体" w:hAnsi="宋体"/>
          <w:color w:val="auto"/>
          <w:highlight w:val="none"/>
        </w:rPr>
      </w:pPr>
      <w:r>
        <w:rPr>
          <w:rFonts w:hint="eastAsia" w:ascii="宋体" w:hAnsi="宋体"/>
          <w:color w:val="auto"/>
          <w:highlight w:val="none"/>
        </w:rPr>
        <w:t>（7）投标人须知前附表规定的其他资料。</w:t>
      </w:r>
    </w:p>
    <w:p>
      <w:pPr>
        <w:spacing w:line="360" w:lineRule="auto"/>
        <w:ind w:firstLine="420" w:firstLineChars="200"/>
        <w:rPr>
          <w:rFonts w:ascii="宋体" w:hAnsi="宋体"/>
          <w:color w:val="auto"/>
          <w:highlight w:val="none"/>
        </w:rPr>
      </w:pPr>
      <w:r>
        <w:rPr>
          <w:rFonts w:hint="eastAsia" w:ascii="宋体" w:hAnsi="宋体"/>
          <w:color w:val="auto"/>
          <w:highlight w:val="none"/>
        </w:rPr>
        <w:t>根据本章第1.10款、第2.2款和第2.3款对招标文件所作的澄清、修改，构成招标文件的组成部分。</w:t>
      </w:r>
    </w:p>
    <w:p>
      <w:pPr>
        <w:spacing w:before="240" w:beforeLines="100" w:after="240" w:afterLines="100"/>
        <w:rPr>
          <w:rFonts w:ascii="宋体" w:hAnsi="宋体"/>
          <w:b/>
          <w:color w:val="auto"/>
          <w:sz w:val="28"/>
          <w:szCs w:val="28"/>
          <w:highlight w:val="none"/>
        </w:rPr>
      </w:pPr>
      <w:bookmarkStart w:id="56" w:name="_Toc529196535"/>
      <w:bookmarkStart w:id="57" w:name="_Toc515205208"/>
      <w:r>
        <w:rPr>
          <w:rFonts w:hint="eastAsia" w:ascii="宋体" w:hAnsi="宋体"/>
          <w:b/>
          <w:color w:val="auto"/>
          <w:sz w:val="28"/>
          <w:szCs w:val="28"/>
          <w:highlight w:val="none"/>
        </w:rPr>
        <w:t>2.2 招标文件的澄清</w:t>
      </w:r>
      <w:bookmarkEnd w:id="56"/>
      <w:bookmarkEnd w:id="57"/>
    </w:p>
    <w:p>
      <w:pPr>
        <w:spacing w:line="360" w:lineRule="auto"/>
        <w:ind w:firstLine="359" w:firstLineChars="171"/>
        <w:rPr>
          <w:rFonts w:ascii="宋体" w:hAnsi="宋体"/>
          <w:color w:val="auto"/>
          <w:highlight w:val="none"/>
        </w:rPr>
      </w:pPr>
      <w:r>
        <w:rPr>
          <w:rFonts w:hint="eastAsia" w:ascii="宋体" w:hAnsi="宋体"/>
          <w:color w:val="auto"/>
          <w:highlight w:val="none"/>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359" w:firstLineChars="171"/>
        <w:rPr>
          <w:rFonts w:ascii="宋体" w:hAnsi="宋体"/>
          <w:color w:val="auto"/>
          <w:highlight w:val="none"/>
        </w:rPr>
      </w:pPr>
      <w:r>
        <w:rPr>
          <w:rFonts w:hint="eastAsia" w:ascii="宋体" w:hAnsi="宋体"/>
          <w:color w:val="auto"/>
          <w:highlight w:val="none"/>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359" w:firstLineChars="171"/>
        <w:rPr>
          <w:rFonts w:ascii="宋体" w:hAnsi="宋体"/>
          <w:color w:val="auto"/>
          <w:highlight w:val="none"/>
        </w:rPr>
      </w:pPr>
      <w:r>
        <w:rPr>
          <w:rFonts w:hint="eastAsia" w:ascii="宋体" w:hAnsi="宋体"/>
          <w:color w:val="auto"/>
          <w:highlight w:val="none"/>
        </w:rPr>
        <w:t>2.2.3 投标人在收到澄清后，应按投标人须知前附表规定的时间和形式通知招标人，确认已收到该澄清。</w:t>
      </w:r>
    </w:p>
    <w:p>
      <w:pPr>
        <w:spacing w:line="360" w:lineRule="auto"/>
        <w:ind w:firstLine="359" w:firstLineChars="171"/>
        <w:rPr>
          <w:rFonts w:ascii="宋体" w:hAnsi="宋体"/>
          <w:color w:val="auto"/>
          <w:highlight w:val="none"/>
        </w:rPr>
      </w:pPr>
      <w:r>
        <w:rPr>
          <w:rFonts w:hint="eastAsia" w:ascii="宋体" w:hAnsi="宋体"/>
          <w:color w:val="auto"/>
          <w:highlight w:val="none"/>
        </w:rPr>
        <w:t>2.2.4 除非招标人认为确有必要答复，否则，招标人有权拒绝回复投标人在本章第2.2.1项规定的时间后的任何澄清要求。</w:t>
      </w:r>
    </w:p>
    <w:p>
      <w:pPr>
        <w:spacing w:before="240" w:beforeLines="100" w:after="240" w:afterLines="100"/>
        <w:rPr>
          <w:rFonts w:ascii="宋体" w:hAnsi="宋体"/>
          <w:b/>
          <w:color w:val="auto"/>
          <w:sz w:val="28"/>
          <w:szCs w:val="28"/>
          <w:highlight w:val="none"/>
        </w:rPr>
      </w:pPr>
      <w:bookmarkStart w:id="58" w:name="_Toc529196536"/>
      <w:bookmarkStart w:id="59" w:name="_Toc515205209"/>
      <w:bookmarkStart w:id="60" w:name="_Toc352691479"/>
      <w:r>
        <w:rPr>
          <w:rFonts w:hint="eastAsia" w:ascii="宋体" w:hAnsi="宋体"/>
          <w:b/>
          <w:color w:val="auto"/>
          <w:sz w:val="28"/>
          <w:szCs w:val="28"/>
          <w:highlight w:val="none"/>
        </w:rPr>
        <w:t>2.3 招标文件的修</w:t>
      </w:r>
      <w:bookmarkStart w:id="61" w:name="_Toc369531521"/>
      <w:bookmarkStart w:id="62" w:name="_Toc16514"/>
      <w:r>
        <w:rPr>
          <w:rFonts w:hint="eastAsia" w:ascii="宋体" w:hAnsi="宋体"/>
          <w:b/>
          <w:color w:val="auto"/>
          <w:sz w:val="28"/>
          <w:szCs w:val="28"/>
          <w:highlight w:val="none"/>
        </w:rPr>
        <w:t>改</w:t>
      </w:r>
      <w:bookmarkEnd w:id="58"/>
      <w:bookmarkEnd w:id="59"/>
    </w:p>
    <w:p>
      <w:pPr>
        <w:spacing w:line="360" w:lineRule="auto"/>
        <w:ind w:firstLine="359" w:firstLineChars="171"/>
        <w:rPr>
          <w:rFonts w:ascii="宋体" w:hAnsi="宋体"/>
          <w:color w:val="auto"/>
          <w:highlight w:val="none"/>
        </w:rPr>
      </w:pPr>
      <w:r>
        <w:rPr>
          <w:rFonts w:hint="eastAsia" w:ascii="宋体" w:hAnsi="宋体"/>
          <w:color w:val="auto"/>
          <w:highlight w:val="none"/>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0"/>
    <w:bookmarkEnd w:id="61"/>
    <w:bookmarkEnd w:id="62"/>
    <w:p>
      <w:pPr>
        <w:spacing w:line="360" w:lineRule="auto"/>
        <w:ind w:firstLine="359" w:firstLineChars="171"/>
        <w:rPr>
          <w:rFonts w:ascii="宋体" w:hAnsi="宋体"/>
          <w:color w:val="auto"/>
          <w:highlight w:val="none"/>
        </w:rPr>
      </w:pPr>
      <w:r>
        <w:rPr>
          <w:rFonts w:hint="eastAsia" w:ascii="宋体" w:hAnsi="宋体"/>
          <w:color w:val="auto"/>
          <w:highlight w:val="none"/>
        </w:rPr>
        <w:t>2.3.2 投标人收到修改内容</w:t>
      </w:r>
      <w:bookmarkStart w:id="63" w:name="_Toc152045538"/>
      <w:bookmarkStart w:id="64" w:name="_Toc384308218"/>
      <w:bookmarkStart w:id="65" w:name="_Toc24632"/>
      <w:bookmarkStart w:id="66" w:name="_Toc369531524"/>
      <w:bookmarkStart w:id="67" w:name="_Toc247527562"/>
      <w:bookmarkStart w:id="68" w:name="_Toc352691482"/>
      <w:bookmarkStart w:id="69" w:name="_Toc144974506"/>
      <w:bookmarkStart w:id="70" w:name="_Toc152042314"/>
      <w:bookmarkStart w:id="71" w:name="_Toc247513961"/>
      <w:bookmarkStart w:id="72" w:name="_Toc300834958"/>
      <w:bookmarkStart w:id="73" w:name="_Toc361508593"/>
      <w:r>
        <w:rPr>
          <w:rFonts w:hint="eastAsia" w:ascii="宋体" w:hAnsi="宋体"/>
          <w:color w:val="auto"/>
          <w:highlight w:val="none"/>
        </w:rPr>
        <w:t>后，</w:t>
      </w:r>
      <w:bookmarkEnd w:id="63"/>
      <w:bookmarkEnd w:id="64"/>
      <w:bookmarkEnd w:id="65"/>
      <w:bookmarkEnd w:id="66"/>
      <w:bookmarkEnd w:id="67"/>
      <w:bookmarkEnd w:id="68"/>
      <w:bookmarkEnd w:id="69"/>
      <w:bookmarkEnd w:id="70"/>
      <w:bookmarkEnd w:id="71"/>
      <w:bookmarkEnd w:id="72"/>
      <w:bookmarkEnd w:id="73"/>
      <w:bookmarkStart w:id="74" w:name="_Toc300834960"/>
      <w:bookmarkStart w:id="75" w:name="_Toc369531526"/>
      <w:bookmarkStart w:id="76" w:name="_Toc152045540"/>
      <w:bookmarkStart w:id="77" w:name="_Toc384308220"/>
      <w:bookmarkStart w:id="78" w:name="_Toc152042316"/>
      <w:bookmarkStart w:id="79" w:name="_Toc361508595"/>
      <w:bookmarkStart w:id="80" w:name="_Toc144974508"/>
      <w:bookmarkStart w:id="81" w:name="_Toc352691484"/>
      <w:bookmarkStart w:id="82" w:name="_Toc16623"/>
      <w:bookmarkStart w:id="83" w:name="_Toc247513963"/>
      <w:bookmarkStart w:id="84" w:name="_Toc247527564"/>
      <w:r>
        <w:rPr>
          <w:rFonts w:hint="eastAsia" w:ascii="宋体" w:hAnsi="宋体"/>
          <w:color w:val="auto"/>
          <w:highlight w:val="none"/>
        </w:rPr>
        <w:t>应按投标人须知前附表规定的时间和形式通知招标人，确认已收到该修改。</w:t>
      </w:r>
    </w:p>
    <w:p>
      <w:pPr>
        <w:spacing w:before="240" w:beforeLines="100" w:after="240" w:afterLines="100"/>
        <w:rPr>
          <w:rFonts w:ascii="宋体" w:hAnsi="宋体"/>
          <w:b/>
          <w:color w:val="auto"/>
          <w:sz w:val="28"/>
          <w:szCs w:val="28"/>
          <w:highlight w:val="none"/>
        </w:rPr>
      </w:pPr>
      <w:bookmarkStart w:id="85" w:name="_Toc529196537"/>
      <w:bookmarkStart w:id="86" w:name="_Toc515205210"/>
      <w:r>
        <w:rPr>
          <w:rFonts w:hint="eastAsia" w:ascii="宋体" w:hAnsi="宋体"/>
          <w:b/>
          <w:color w:val="auto"/>
          <w:sz w:val="28"/>
          <w:szCs w:val="28"/>
          <w:highlight w:val="none"/>
        </w:rPr>
        <w:t>2.</w:t>
      </w:r>
      <w:bookmarkEnd w:id="74"/>
      <w:bookmarkEnd w:id="75"/>
      <w:bookmarkEnd w:id="76"/>
      <w:bookmarkEnd w:id="77"/>
      <w:bookmarkEnd w:id="78"/>
      <w:bookmarkEnd w:id="79"/>
      <w:bookmarkEnd w:id="80"/>
      <w:bookmarkEnd w:id="81"/>
      <w:bookmarkEnd w:id="82"/>
      <w:bookmarkEnd w:id="83"/>
      <w:bookmarkEnd w:id="84"/>
      <w:r>
        <w:rPr>
          <w:rFonts w:hint="eastAsia" w:ascii="宋体" w:hAnsi="宋体"/>
          <w:b/>
          <w:color w:val="auto"/>
          <w:sz w:val="28"/>
          <w:szCs w:val="28"/>
          <w:highlight w:val="none"/>
        </w:rPr>
        <w:t>4 招标文件的异议</w:t>
      </w:r>
      <w:bookmarkEnd w:id="85"/>
      <w:bookmarkEnd w:id="86"/>
    </w:p>
    <w:p>
      <w:pPr>
        <w:spacing w:line="360" w:lineRule="auto"/>
        <w:ind w:firstLine="359" w:firstLineChars="171"/>
        <w:rPr>
          <w:rFonts w:ascii="宋体" w:hAnsi="宋体"/>
          <w:color w:val="auto"/>
          <w:highlight w:val="none"/>
        </w:rPr>
      </w:pPr>
      <w:r>
        <w:rPr>
          <w:rFonts w:hint="eastAsia" w:ascii="宋体" w:hAnsi="宋体"/>
          <w:color w:val="auto"/>
          <w:highlight w:val="none"/>
        </w:rPr>
        <w:t>投标人或者其他利害关系人对招标文件有异议的，应当在投标截止时间10日前以书面形式提出。招标人将在收到异议之日起3日内作出答复；作出答复前，将暂停招标投标活动。</w:t>
      </w:r>
    </w:p>
    <w:p>
      <w:pPr>
        <w:spacing w:before="260"/>
        <w:outlineLvl w:val="2"/>
        <w:rPr>
          <w:rFonts w:ascii="宋体" w:hAnsi="宋体"/>
          <w:b/>
          <w:color w:val="auto"/>
          <w:sz w:val="32"/>
          <w:szCs w:val="32"/>
          <w:highlight w:val="none"/>
        </w:rPr>
      </w:pPr>
      <w:bookmarkStart w:id="87" w:name="_Toc529196538"/>
      <w:bookmarkStart w:id="88" w:name="_Toc515205211"/>
      <w:r>
        <w:rPr>
          <w:rFonts w:hint="eastAsia" w:ascii="宋体" w:hAnsi="宋体"/>
          <w:b/>
          <w:color w:val="auto"/>
          <w:sz w:val="32"/>
          <w:szCs w:val="32"/>
          <w:highlight w:val="none"/>
        </w:rPr>
        <w:t>3. 投标文件</w:t>
      </w:r>
      <w:bookmarkEnd w:id="87"/>
      <w:bookmarkEnd w:id="88"/>
    </w:p>
    <w:p>
      <w:pPr>
        <w:spacing w:before="240" w:beforeLines="100" w:after="240" w:afterLines="100"/>
        <w:rPr>
          <w:rFonts w:ascii="宋体" w:hAnsi="宋体"/>
          <w:b/>
          <w:color w:val="auto"/>
          <w:sz w:val="28"/>
          <w:szCs w:val="28"/>
          <w:highlight w:val="none"/>
        </w:rPr>
      </w:pPr>
      <w:bookmarkStart w:id="89" w:name="_Toc529196539"/>
      <w:bookmarkStart w:id="90" w:name="_Toc515205212"/>
      <w:r>
        <w:rPr>
          <w:rFonts w:hint="eastAsia" w:ascii="宋体" w:hAnsi="宋体"/>
          <w:b/>
          <w:color w:val="auto"/>
          <w:sz w:val="28"/>
          <w:szCs w:val="28"/>
          <w:highlight w:val="none"/>
        </w:rPr>
        <w:t>3.1 投标文件的组成</w:t>
      </w:r>
      <w:bookmarkEnd w:id="89"/>
      <w:bookmarkEnd w:id="90"/>
    </w:p>
    <w:p>
      <w:pPr>
        <w:spacing w:line="360" w:lineRule="auto"/>
        <w:rPr>
          <w:rFonts w:ascii="宋体" w:hAnsi="宋体"/>
          <w:color w:val="auto"/>
          <w:highlight w:val="none"/>
        </w:rPr>
      </w:pPr>
      <w:r>
        <w:rPr>
          <w:rFonts w:hint="eastAsia" w:ascii="宋体" w:hAnsi="宋体"/>
          <w:color w:val="auto"/>
          <w:sz w:val="24"/>
          <w:highlight w:val="none"/>
        </w:rPr>
        <w:t>　</w:t>
      </w:r>
      <w:r>
        <w:rPr>
          <w:rFonts w:hint="eastAsia" w:ascii="宋体" w:hAnsi="宋体"/>
          <w:color w:val="auto"/>
          <w:highlight w:val="none"/>
        </w:rPr>
        <w:t>　3.1.1 投标文件应包括下列内容：</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（1）投标函及投标函附录；</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（2）法定代表人身份证明或授权委托书；</w:t>
      </w:r>
    </w:p>
    <w:p>
      <w:pPr>
        <w:pStyle w:val="33"/>
        <w:ind w:firstLine="420"/>
        <w:rPr>
          <w:rFonts w:ascii="宋体" w:hAnsi="宋体"/>
          <w:strike/>
          <w:color w:val="auto"/>
          <w:spacing w:val="0"/>
          <w:sz w:val="21"/>
          <w:highlight w:val="none"/>
        </w:rPr>
      </w:pPr>
      <w:r>
        <w:rPr>
          <w:rFonts w:hint="eastAsia" w:ascii="宋体" w:hAnsi="宋体"/>
          <w:strike/>
          <w:color w:val="auto"/>
          <w:spacing w:val="0"/>
          <w:sz w:val="21"/>
          <w:highlight w:val="none"/>
        </w:rPr>
        <w:t>（3）联合体协议书；</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（4）投标保证金</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（5）监理报酬清单</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（6）资格审查资料</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（7）监理大纲；</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（8）投标人须知前附表规定的其他资料；</w:t>
      </w:r>
    </w:p>
    <w:p>
      <w:pPr>
        <w:spacing w:line="360" w:lineRule="auto"/>
        <w:ind w:firstLine="420" w:firstLineChars="200"/>
        <w:rPr>
          <w:rFonts w:ascii="宋体" w:hAnsi="宋体"/>
          <w:color w:val="auto"/>
          <w:highlight w:val="none"/>
        </w:rPr>
      </w:pPr>
      <w:r>
        <w:rPr>
          <w:rFonts w:hint="eastAsia" w:ascii="宋体" w:hAnsi="宋体"/>
          <w:color w:val="auto"/>
          <w:highlight w:val="none"/>
        </w:rPr>
        <w:t>投标人在评标过程中作出的符合法律法规和招标文件规定的澄清确认，构成投标文件的组成部分。</w:t>
      </w:r>
    </w:p>
    <w:p>
      <w:pPr>
        <w:spacing w:line="360" w:lineRule="auto"/>
        <w:ind w:firstLine="359" w:firstLineChars="171"/>
        <w:rPr>
          <w:rFonts w:ascii="宋体" w:hAnsi="宋体"/>
          <w:strike/>
          <w:color w:val="auto"/>
          <w:highlight w:val="none"/>
        </w:rPr>
      </w:pPr>
      <w:r>
        <w:rPr>
          <w:rFonts w:hint="eastAsia" w:ascii="宋体" w:hAnsi="宋体"/>
          <w:strike/>
          <w:color w:val="auto"/>
          <w:highlight w:val="none"/>
        </w:rPr>
        <w:t>3.1.2 投标人须知前附表规定不接受联合体投标的，或投标人没有组成联合体的，投标文件不包括本章第3.1.1（3）目所指的联合体协议书。</w:t>
      </w:r>
    </w:p>
    <w:p>
      <w:pPr>
        <w:spacing w:line="360" w:lineRule="auto"/>
        <w:ind w:firstLine="359" w:firstLineChars="171"/>
        <w:rPr>
          <w:rFonts w:ascii="宋体" w:hAnsi="宋体"/>
          <w:color w:val="auto"/>
          <w:highlight w:val="none"/>
        </w:rPr>
      </w:pPr>
      <w:r>
        <w:rPr>
          <w:rFonts w:hint="eastAsia" w:ascii="宋体" w:hAnsi="宋体"/>
          <w:color w:val="auto"/>
          <w:highlight w:val="none"/>
        </w:rPr>
        <w:t>3.1.3 投标人须知前附表未要求提交投标保证金的，投标文件不包括本章第3.1.1（4）目所指的投标保证金。</w:t>
      </w:r>
    </w:p>
    <w:p>
      <w:pPr>
        <w:spacing w:before="240" w:beforeLines="100" w:after="240" w:afterLines="100"/>
        <w:rPr>
          <w:rFonts w:ascii="宋体" w:hAnsi="宋体"/>
          <w:b/>
          <w:color w:val="auto"/>
          <w:sz w:val="28"/>
          <w:szCs w:val="28"/>
          <w:highlight w:val="none"/>
        </w:rPr>
      </w:pPr>
      <w:bookmarkStart w:id="91" w:name="_Toc514876754"/>
      <w:bookmarkStart w:id="92" w:name="_Toc515205213"/>
      <w:bookmarkStart w:id="93" w:name="_Toc529196540"/>
      <w:r>
        <w:rPr>
          <w:rFonts w:hint="eastAsia" w:ascii="宋体" w:hAnsi="宋体"/>
          <w:b/>
          <w:color w:val="auto"/>
          <w:sz w:val="28"/>
          <w:szCs w:val="28"/>
          <w:highlight w:val="none"/>
        </w:rPr>
        <w:t>3.2 投标报价</w:t>
      </w:r>
      <w:bookmarkEnd w:id="91"/>
      <w:bookmarkEnd w:id="92"/>
      <w:bookmarkEnd w:id="93"/>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3.2.1 投标报价应包括国家规定的增值税税金，除投标人须知前附表另有规定外，增值税税金按一般计税方法计算。投标人应按第六章“投标文件格式”的要求在投标函中进行报价并填写监理报酬清单。</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3.2.2 投标人应充分了解该项目的总体情况以及影响投标报价的其他要素。</w:t>
      </w:r>
    </w:p>
    <w:p>
      <w:pPr>
        <w:pStyle w:val="33"/>
        <w:ind w:firstLine="420"/>
        <w:rPr>
          <w:rFonts w:ascii="宋体" w:hAnsi="宋体"/>
          <w:color w:val="auto"/>
          <w:spacing w:val="0"/>
          <w:sz w:val="21"/>
          <w:highlight w:val="none"/>
        </w:rPr>
      </w:pPr>
      <w:r>
        <w:rPr>
          <w:rFonts w:hint="eastAsia" w:ascii="宋体" w:hAnsi="宋体"/>
          <w:color w:val="auto"/>
          <w:spacing w:val="0"/>
          <w:sz w:val="21"/>
          <w:highlight w:val="none"/>
        </w:rPr>
        <w:t>3.2.3本项目的报价方式见投标人须知前附表。投标人在投标截止时间前修改投标函中的投标报价总额，应同时修改投标文件“监理报酬清单”中的相应报价。此修改须符合本章第 4.3 款的有关要求。</w:t>
      </w:r>
    </w:p>
    <w:p>
      <w:pPr>
        <w:spacing w:line="360" w:lineRule="auto"/>
        <w:ind w:firstLine="420" w:firstLineChars="200"/>
        <w:rPr>
          <w:rFonts w:ascii="宋体" w:hAnsi="宋体"/>
          <w:color w:val="auto"/>
          <w:highlight w:val="none"/>
        </w:rPr>
      </w:pPr>
      <w:r>
        <w:rPr>
          <w:rFonts w:hint="eastAsia" w:ascii="宋体" w:hAnsi="宋体"/>
          <w:color w:val="auto"/>
          <w:highlight w:val="none"/>
        </w:rPr>
        <w:t>3.2.4．招标人设有最高投标限价的，投标人的投标报价不得超过最高投标限价，最高投标限价在投标人须知前附表中载明。</w:t>
      </w:r>
    </w:p>
    <w:p>
      <w:pPr>
        <w:spacing w:line="360" w:lineRule="auto"/>
        <w:ind w:firstLine="420" w:firstLineChars="200"/>
        <w:rPr>
          <w:rFonts w:ascii="宋体" w:hAnsi="宋体"/>
          <w:color w:val="auto"/>
          <w:highlight w:val="none"/>
        </w:rPr>
      </w:pPr>
      <w:r>
        <w:rPr>
          <w:rFonts w:hint="eastAsia" w:ascii="宋体" w:hAnsi="宋体"/>
          <w:color w:val="auto"/>
          <w:highlight w:val="none"/>
        </w:rPr>
        <w:t>3.2.5 投标报价的其他要求见投标人须知前附表3.2.5。</w:t>
      </w:r>
    </w:p>
    <w:p>
      <w:pPr>
        <w:spacing w:before="240" w:beforeLines="100" w:after="240" w:afterLines="100"/>
        <w:rPr>
          <w:rFonts w:ascii="宋体" w:hAnsi="宋体"/>
          <w:b/>
          <w:color w:val="auto"/>
          <w:sz w:val="28"/>
          <w:szCs w:val="28"/>
          <w:highlight w:val="none"/>
        </w:rPr>
      </w:pPr>
      <w:bookmarkStart w:id="94" w:name="_Toc515205214"/>
      <w:bookmarkStart w:id="95" w:name="_Toc529196541"/>
      <w:r>
        <w:rPr>
          <w:rFonts w:hint="eastAsia" w:ascii="宋体" w:hAnsi="宋体"/>
          <w:b/>
          <w:color w:val="auto"/>
          <w:sz w:val="28"/>
          <w:szCs w:val="28"/>
          <w:highlight w:val="none"/>
        </w:rPr>
        <w:t>3.3 投标有效期</w:t>
      </w:r>
      <w:bookmarkEnd w:id="94"/>
      <w:bookmarkEnd w:id="95"/>
    </w:p>
    <w:p>
      <w:pPr>
        <w:spacing w:line="360" w:lineRule="auto"/>
        <w:ind w:firstLine="420" w:firstLineChars="200"/>
        <w:rPr>
          <w:rFonts w:ascii="宋体" w:hAnsi="宋体"/>
          <w:color w:val="auto"/>
          <w:highlight w:val="none"/>
        </w:rPr>
      </w:pPr>
      <w:r>
        <w:rPr>
          <w:rFonts w:hint="eastAsia" w:ascii="宋体" w:hAnsi="宋体"/>
          <w:color w:val="auto"/>
          <w:highlight w:val="none"/>
        </w:rPr>
        <w:t>3.3.1 除投标人须知前附表另有规定外，投标有效期为90天。</w:t>
      </w:r>
    </w:p>
    <w:p>
      <w:pPr>
        <w:spacing w:line="360" w:lineRule="auto"/>
        <w:ind w:firstLine="420" w:firstLineChars="200"/>
        <w:rPr>
          <w:rFonts w:ascii="宋体" w:hAnsi="宋体"/>
          <w:color w:val="auto"/>
          <w:highlight w:val="none"/>
        </w:rPr>
      </w:pPr>
      <w:r>
        <w:rPr>
          <w:rFonts w:hint="eastAsia" w:ascii="宋体" w:hAnsi="宋体"/>
          <w:color w:val="auto"/>
          <w:highlight w:val="none"/>
        </w:rPr>
        <w:t>3.3.2 在投标有效期内，投标人撤销投标文件的，应承担招标文件和法律规定的责任。</w:t>
      </w:r>
    </w:p>
    <w:p>
      <w:pPr>
        <w:spacing w:line="360" w:lineRule="auto"/>
        <w:ind w:firstLine="420" w:firstLineChars="200"/>
        <w:rPr>
          <w:rFonts w:ascii="宋体" w:hAnsi="宋体"/>
          <w:color w:val="auto"/>
          <w:highlight w:val="none"/>
        </w:rPr>
      </w:pPr>
      <w:r>
        <w:rPr>
          <w:rFonts w:hint="eastAsia" w:ascii="宋体" w:hAnsi="宋体"/>
          <w:color w:val="auto"/>
          <w:highlight w:val="none"/>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spacing w:before="240" w:beforeLines="100" w:after="240" w:afterLines="100"/>
        <w:rPr>
          <w:rFonts w:ascii="宋体" w:hAnsi="宋体"/>
          <w:b/>
          <w:color w:val="auto"/>
          <w:sz w:val="28"/>
          <w:szCs w:val="28"/>
          <w:highlight w:val="none"/>
        </w:rPr>
      </w:pPr>
      <w:bookmarkStart w:id="96" w:name="_Toc529196542"/>
      <w:bookmarkStart w:id="97" w:name="_Toc515205215"/>
      <w:r>
        <w:rPr>
          <w:rFonts w:hint="eastAsia" w:ascii="宋体" w:hAnsi="宋体"/>
          <w:b/>
          <w:color w:val="auto"/>
          <w:sz w:val="28"/>
          <w:szCs w:val="28"/>
          <w:highlight w:val="none"/>
        </w:rPr>
        <w:t>3.4 投标保证金</w:t>
      </w:r>
      <w:bookmarkEnd w:id="96"/>
      <w:bookmarkEnd w:id="97"/>
    </w:p>
    <w:p>
      <w:pPr>
        <w:snapToGrid w:val="0"/>
        <w:spacing w:line="360" w:lineRule="auto"/>
        <w:ind w:firstLine="420" w:firstLineChars="200"/>
        <w:rPr>
          <w:rFonts w:ascii="宋体" w:hAnsi="宋体" w:cs="宋体"/>
          <w:color w:val="auto"/>
          <w:szCs w:val="21"/>
          <w:highlight w:val="none"/>
        </w:rPr>
      </w:pPr>
      <w:bookmarkStart w:id="98" w:name="_Toc515205216"/>
      <w:bookmarkStart w:id="99" w:name="_Toc529196543"/>
      <w:r>
        <w:rPr>
          <w:rFonts w:hint="eastAsia" w:ascii="宋体" w:hAnsi="宋体" w:cs="宋体"/>
          <w:color w:val="auto"/>
          <w:szCs w:val="21"/>
          <w:highlight w:val="none"/>
        </w:rPr>
        <w:t>3.4.1 投标人在递交投标文件的同时，应按投标人须知前附表规定的金额</w:t>
      </w:r>
      <w:bookmarkStart w:id="100" w:name="_Toc247513969"/>
      <w:bookmarkStart w:id="101" w:name="_Toc384308226"/>
      <w:bookmarkStart w:id="102" w:name="_Toc369531532"/>
      <w:bookmarkStart w:id="103" w:name="_Toc152042321"/>
      <w:bookmarkStart w:id="104" w:name="_Toc247527570"/>
      <w:bookmarkStart w:id="105" w:name="_Toc361508601"/>
      <w:bookmarkStart w:id="106" w:name="_Toc152045545"/>
      <w:bookmarkStart w:id="107" w:name="_Toc4592"/>
      <w:bookmarkStart w:id="108" w:name="_Toc300834966"/>
      <w:bookmarkStart w:id="109" w:name="_Toc144974513"/>
      <w:bookmarkStart w:id="110" w:name="_Toc352691489"/>
      <w:r>
        <w:rPr>
          <w:rFonts w:hint="eastAsia" w:ascii="宋体" w:hAnsi="宋体" w:cs="宋体"/>
          <w:color w:val="auto"/>
          <w:szCs w:val="21"/>
          <w:highlight w:val="none"/>
        </w:rPr>
        <w:t>、形式和第六章“投标文</w:t>
      </w:r>
      <w:bookmarkEnd w:id="100"/>
      <w:bookmarkEnd w:id="101"/>
      <w:bookmarkEnd w:id="102"/>
      <w:bookmarkEnd w:id="103"/>
      <w:bookmarkEnd w:id="104"/>
      <w:bookmarkEnd w:id="105"/>
      <w:bookmarkEnd w:id="106"/>
      <w:bookmarkEnd w:id="107"/>
      <w:bookmarkEnd w:id="108"/>
      <w:bookmarkEnd w:id="109"/>
      <w:bookmarkEnd w:id="110"/>
      <w:r>
        <w:rPr>
          <w:rFonts w:hint="eastAsia" w:ascii="宋体" w:hAnsi="宋体" w:cs="宋体"/>
          <w:color w:val="auto"/>
          <w:szCs w:val="21"/>
          <w:highlight w:val="none"/>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3.4.2 投标人不按本章第3.4.1项</w:t>
      </w:r>
      <w:bookmarkStart w:id="111" w:name="_Toc384308227"/>
      <w:bookmarkStart w:id="112" w:name="_Toc369531533"/>
      <w:bookmarkStart w:id="113" w:name="_Toc29025"/>
      <w:bookmarkStart w:id="114" w:name="_Toc361508602"/>
      <w:bookmarkStart w:id="115" w:name="_Toc352691490"/>
      <w:r>
        <w:rPr>
          <w:rFonts w:hint="eastAsia" w:ascii="宋体" w:hAnsi="宋体" w:cs="宋体"/>
          <w:color w:val="auto"/>
          <w:szCs w:val="21"/>
          <w:highlight w:val="none"/>
        </w:rPr>
        <w:t>要求提交投标保证金的，</w:t>
      </w:r>
      <w:bookmarkEnd w:id="111"/>
      <w:bookmarkEnd w:id="112"/>
      <w:bookmarkEnd w:id="113"/>
      <w:bookmarkEnd w:id="114"/>
      <w:bookmarkEnd w:id="115"/>
      <w:r>
        <w:rPr>
          <w:rFonts w:hint="eastAsia" w:ascii="宋体" w:hAnsi="宋体" w:cs="宋体"/>
          <w:color w:val="auto"/>
          <w:szCs w:val="21"/>
          <w:highlight w:val="none"/>
        </w:rPr>
        <w:t>评标委员会将否决其投标。</w:t>
      </w:r>
    </w:p>
    <w:p>
      <w:pPr>
        <w:snapToGrid w:val="0"/>
        <w:spacing w:line="360" w:lineRule="auto"/>
        <w:ind w:firstLine="420" w:firstLineChars="200"/>
        <w:jc w:val="left"/>
        <w:rPr>
          <w:rFonts w:ascii="宋体" w:hAnsi="宋体" w:cs="宋体"/>
          <w:color w:val="auto"/>
          <w:szCs w:val="21"/>
          <w:highlight w:val="none"/>
        </w:rPr>
      </w:pPr>
      <w:bookmarkStart w:id="116" w:name="OLE_LINK9"/>
      <w:bookmarkStart w:id="117" w:name="OLE_LINK10"/>
      <w:r>
        <w:rPr>
          <w:rFonts w:hint="eastAsia" w:ascii="宋体" w:hAnsi="宋体" w:cs="宋体"/>
          <w:color w:val="auto"/>
          <w:szCs w:val="21"/>
          <w:highlight w:val="none"/>
        </w:rPr>
        <w:t>3.4.3 招标人最迟将在与中标人</w:t>
      </w:r>
      <w:bookmarkStart w:id="118" w:name="_Toc14751"/>
      <w:bookmarkStart w:id="119" w:name="_Toc352691491"/>
      <w:bookmarkStart w:id="120" w:name="_Toc384308228"/>
      <w:bookmarkStart w:id="121" w:name="_Toc152042322"/>
      <w:bookmarkStart w:id="122" w:name="_Toc247527571"/>
      <w:bookmarkStart w:id="123" w:name="_Toc144974514"/>
      <w:bookmarkStart w:id="124" w:name="_Toc247513970"/>
      <w:bookmarkStart w:id="125" w:name="_Toc300834967"/>
      <w:bookmarkStart w:id="126" w:name="_Toc361508603"/>
      <w:bookmarkStart w:id="127" w:name="_Toc369531534"/>
      <w:bookmarkStart w:id="128" w:name="_Toc152045546"/>
      <w:r>
        <w:rPr>
          <w:rFonts w:hint="eastAsia" w:ascii="宋体" w:hAnsi="宋体" w:cs="宋体"/>
          <w:color w:val="auto"/>
          <w:szCs w:val="21"/>
          <w:highlight w:val="none"/>
        </w:rPr>
        <w:t>签订合同后5日</w:t>
      </w:r>
      <w:bookmarkEnd w:id="118"/>
      <w:bookmarkEnd w:id="119"/>
      <w:bookmarkEnd w:id="120"/>
      <w:bookmarkEnd w:id="121"/>
      <w:bookmarkEnd w:id="122"/>
      <w:bookmarkEnd w:id="123"/>
      <w:bookmarkEnd w:id="124"/>
      <w:bookmarkEnd w:id="125"/>
      <w:bookmarkEnd w:id="126"/>
      <w:bookmarkEnd w:id="127"/>
      <w:bookmarkEnd w:id="128"/>
      <w:r>
        <w:rPr>
          <w:rFonts w:hint="eastAsia" w:ascii="宋体" w:hAnsi="宋体" w:cs="宋体"/>
          <w:color w:val="auto"/>
          <w:szCs w:val="21"/>
          <w:highlight w:val="none"/>
        </w:rPr>
        <w:t>内</w:t>
      </w:r>
      <w:bookmarkStart w:id="129" w:name="_Toc17952"/>
      <w:bookmarkStart w:id="130" w:name="_Toc300834968"/>
      <w:bookmarkStart w:id="131" w:name="_Toc247513971"/>
      <w:bookmarkStart w:id="132" w:name="_Toc152042323"/>
      <w:bookmarkStart w:id="133" w:name="_Toc247527572"/>
      <w:bookmarkStart w:id="134" w:name="_Toc352691492"/>
      <w:bookmarkStart w:id="135" w:name="_Toc369531535"/>
      <w:bookmarkStart w:id="136" w:name="_Toc361508604"/>
      <w:bookmarkStart w:id="137" w:name="_Toc152045547"/>
      <w:bookmarkStart w:id="138" w:name="_Toc384308229"/>
      <w:bookmarkStart w:id="139" w:name="_Toc144974515"/>
      <w:r>
        <w:rPr>
          <w:rFonts w:hint="eastAsia" w:ascii="宋体" w:hAnsi="宋体" w:cs="宋体"/>
          <w:color w:val="auto"/>
          <w:szCs w:val="21"/>
          <w:highlight w:val="none"/>
        </w:rPr>
        <w:t>，向未中标的投标人和中</w:t>
      </w:r>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color w:val="auto"/>
          <w:szCs w:val="21"/>
          <w:highlight w:val="none"/>
        </w:rPr>
        <w:t>标人退还投标保证金。</w:t>
      </w:r>
      <w:bookmarkEnd w:id="116"/>
      <w:bookmarkEnd w:id="117"/>
    </w:p>
    <w:p>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3.4.4 有下列情形之一的，投标保证金将不予退还：</w:t>
      </w:r>
    </w:p>
    <w:p>
      <w:pPr>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（1）投标人在投标有效期内撤销投标文件；</w:t>
      </w:r>
    </w:p>
    <w:p>
      <w:pPr>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（2）中标人在收到中标通知书后，无正当理由不与招标人订立合同，在签订合同时向招标人提出附加条件，或者不按照招标文件要求提交履约保证金；</w:t>
      </w:r>
    </w:p>
    <w:p>
      <w:pPr>
        <w:snapToGrid w:val="0"/>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（3）发生投标人须知前附表规定的其他可以不予退还投标保证金的情形。</w:t>
      </w:r>
    </w:p>
    <w:p>
      <w:pPr>
        <w:spacing w:before="240" w:beforeLines="100" w:after="240" w:afterLines="100"/>
        <w:rPr>
          <w:rFonts w:ascii="宋体" w:hAnsi="宋体"/>
          <w:b/>
          <w:strike/>
          <w:color w:val="auto"/>
          <w:sz w:val="28"/>
          <w:szCs w:val="28"/>
          <w:highlight w:val="none"/>
        </w:rPr>
      </w:pPr>
      <w:r>
        <w:rPr>
          <w:rFonts w:hint="eastAsia" w:ascii="宋体" w:hAnsi="宋体"/>
          <w:b/>
          <w:strike/>
          <w:color w:val="auto"/>
          <w:sz w:val="28"/>
          <w:szCs w:val="28"/>
          <w:highlight w:val="none"/>
        </w:rPr>
        <w:t>3.5 资格审查资料（适用于已进行资格预审的）</w:t>
      </w:r>
      <w:bookmarkEnd w:id="98"/>
      <w:bookmarkEnd w:id="99"/>
    </w:p>
    <w:p>
      <w:pPr>
        <w:spacing w:line="360" w:lineRule="auto"/>
        <w:ind w:firstLine="567" w:firstLineChars="270"/>
        <w:rPr>
          <w:rFonts w:ascii="宋体" w:hAnsi="宋体" w:cs="宋体"/>
          <w:strike/>
          <w:color w:val="auto"/>
          <w:highlight w:val="none"/>
        </w:rPr>
      </w:pPr>
      <w:r>
        <w:rPr>
          <w:rFonts w:hint="eastAsia" w:ascii="宋体" w:hAnsi="宋体" w:cs="宋体"/>
          <w:strike/>
          <w:color w:val="auto"/>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spacing w:before="240" w:beforeLines="100" w:after="240" w:afterLines="100"/>
        <w:rPr>
          <w:rFonts w:ascii="宋体" w:hAnsi="宋体"/>
          <w:b/>
          <w:color w:val="auto"/>
          <w:sz w:val="28"/>
          <w:szCs w:val="28"/>
          <w:highlight w:val="none"/>
        </w:rPr>
      </w:pPr>
      <w:bookmarkStart w:id="140" w:name="_Toc529196544"/>
      <w:bookmarkStart w:id="141" w:name="_Toc515205217"/>
      <w:r>
        <w:rPr>
          <w:rFonts w:hint="eastAsia" w:ascii="宋体" w:hAnsi="宋体"/>
          <w:b/>
          <w:color w:val="auto"/>
          <w:sz w:val="28"/>
          <w:szCs w:val="28"/>
          <w:highlight w:val="none"/>
        </w:rPr>
        <w:t>3.5 资格审查资料（适用于未进行资格预审的）</w:t>
      </w:r>
      <w:bookmarkEnd w:id="140"/>
      <w:bookmarkEnd w:id="141"/>
    </w:p>
    <w:p>
      <w:pPr>
        <w:spacing w:line="360" w:lineRule="auto"/>
        <w:ind w:firstLine="420" w:firstLineChars="200"/>
        <w:rPr>
          <w:rFonts w:ascii="宋体" w:hAnsi="宋体"/>
          <w:color w:val="auto"/>
          <w:highlight w:val="none"/>
        </w:rPr>
      </w:pPr>
      <w:r>
        <w:rPr>
          <w:rFonts w:hint="eastAsia" w:ascii="宋体" w:hAnsi="宋体"/>
          <w:color w:val="auto"/>
          <w:highlight w:val="none"/>
        </w:rPr>
        <w:t>除投标人须知前附表另有规定外，投标人应按下列规定提供资格审查资料，以证明其满足本章第 1.4 款规定的资质、财务、业绩、信誉等要求。</w:t>
      </w:r>
    </w:p>
    <w:p>
      <w:pPr>
        <w:spacing w:line="360" w:lineRule="auto"/>
        <w:ind w:firstLine="420" w:firstLineChars="200"/>
        <w:rPr>
          <w:rFonts w:ascii="宋体" w:hAnsi="宋体"/>
          <w:color w:val="auto"/>
          <w:highlight w:val="none"/>
        </w:rPr>
      </w:pPr>
      <w:r>
        <w:rPr>
          <w:rFonts w:hint="eastAsia" w:ascii="宋体" w:hAnsi="宋体"/>
          <w:color w:val="auto"/>
          <w:highlight w:val="none"/>
        </w:rPr>
        <w:t>3.5.1 “投标人基本情况表”应附投标人营业执照和组织机构代码证的复印件（按照“三证合一”或“五证合一”登记制度进行登记的，可仅提供营业执照复印件）、投标人监理资质证书副本等材料的复印件。</w:t>
      </w:r>
    </w:p>
    <w:p>
      <w:pPr>
        <w:spacing w:line="360" w:lineRule="auto"/>
        <w:ind w:firstLine="420" w:firstLineChars="200"/>
        <w:rPr>
          <w:rFonts w:ascii="宋体" w:hAnsi="宋体"/>
          <w:color w:val="auto"/>
          <w:highlight w:val="none"/>
        </w:rPr>
      </w:pPr>
      <w:r>
        <w:rPr>
          <w:rFonts w:hint="eastAsia" w:ascii="宋体" w:hAnsi="宋体"/>
          <w:color w:val="auto"/>
          <w:highlight w:val="none"/>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spacing w:line="360" w:lineRule="auto"/>
        <w:ind w:firstLine="420" w:firstLineChars="200"/>
        <w:rPr>
          <w:rFonts w:ascii="宋体" w:hAnsi="宋体"/>
          <w:color w:val="auto"/>
          <w:highlight w:val="none"/>
        </w:rPr>
      </w:pPr>
      <w:r>
        <w:rPr>
          <w:rFonts w:hint="eastAsia" w:ascii="宋体" w:hAnsi="宋体"/>
          <w:color w:val="auto"/>
          <w:highlight w:val="none"/>
        </w:rPr>
        <w:t>3.5.3 “近年完成的类似监理项目情况表”应附中标通知书和（或）合同协议书、委托人出具的证明文件；具体时间要求见投标人须知前附表，每张表格只填写一个项目，并标明序号。</w:t>
      </w:r>
    </w:p>
    <w:p>
      <w:pPr>
        <w:spacing w:line="360" w:lineRule="auto"/>
        <w:ind w:firstLine="420" w:firstLineChars="200"/>
        <w:rPr>
          <w:rFonts w:ascii="宋体" w:hAnsi="宋体"/>
          <w:color w:val="auto"/>
          <w:highlight w:val="none"/>
        </w:rPr>
      </w:pPr>
      <w:r>
        <w:rPr>
          <w:rFonts w:hint="eastAsia" w:ascii="宋体" w:hAnsi="宋体"/>
          <w:color w:val="auto"/>
          <w:highlight w:val="none"/>
        </w:rPr>
        <w:t>3.5.4 “正在监理和新承接的项目情况表”应附中标通知书和（或）合同协议书复印件。每张表格只填写一个项目，并标明序号。</w:t>
      </w:r>
    </w:p>
    <w:p>
      <w:pPr>
        <w:spacing w:line="360" w:lineRule="auto"/>
        <w:ind w:firstLine="420" w:firstLineChars="200"/>
        <w:rPr>
          <w:rFonts w:ascii="宋体" w:hAnsi="宋体"/>
          <w:color w:val="auto"/>
          <w:highlight w:val="none"/>
        </w:rPr>
      </w:pPr>
      <w:r>
        <w:rPr>
          <w:rFonts w:hint="eastAsia" w:ascii="宋体" w:hAnsi="宋体"/>
          <w:color w:val="auto"/>
          <w:highlight w:val="none"/>
        </w:rPr>
        <w:t>3.5.5 “近年发生的诉讼及仲裁情况”应说明投标人败诉的监理合同的相关情况，并附法院或仲裁机构作出的判决、裁决等有关法律文书复印件，具体时间要求见投标人须知前附表。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3.5.6 “监理项目管理团队人员信息表”应填报满足本章第 1.4.1 项规定的总监理工程师和其他主要人员的相关信息。“主要人员简历表”中总监理工程师应附身份证、学历证、职称证、注册监</w:t>
      </w:r>
      <w:bookmarkStart w:id="142" w:name="page28"/>
      <w:bookmarkEnd w:id="142"/>
      <w:r>
        <w:rPr>
          <w:rFonts w:hint="eastAsia" w:ascii="宋体" w:hAnsi="宋体"/>
          <w:color w:val="auto"/>
          <w:highlight w:val="none"/>
        </w:rPr>
        <w:t>理工程师执业证书和社保缴费证明复印件，管理过的项目业绩须附合同协议书复印件；其他主要人员应附身份证、学历证、职称证、有关证书和社保缴费证明复印件。</w:t>
      </w:r>
    </w:p>
    <w:p>
      <w:pPr>
        <w:spacing w:line="360" w:lineRule="auto"/>
        <w:ind w:firstLine="420" w:firstLineChars="200"/>
        <w:rPr>
          <w:rFonts w:ascii="宋体" w:hAnsi="宋体"/>
          <w:color w:val="auto"/>
          <w:highlight w:val="none"/>
        </w:rPr>
      </w:pPr>
      <w:r>
        <w:rPr>
          <w:rFonts w:hint="eastAsia" w:ascii="宋体" w:hAnsi="宋体"/>
          <w:color w:val="auto"/>
          <w:highlight w:val="none"/>
        </w:rPr>
        <w:t>3.5.7 “拟投入本项目的主要试验检测仪器设备表”应填报满足本章第 1.4.1 项规定的试验检测仪器设备。</w:t>
      </w:r>
    </w:p>
    <w:p>
      <w:pPr>
        <w:spacing w:line="360" w:lineRule="auto"/>
        <w:ind w:firstLine="420" w:firstLineChars="200"/>
        <w:rPr>
          <w:rFonts w:ascii="宋体" w:hAnsi="宋体"/>
          <w:color w:val="auto"/>
          <w:highlight w:val="none"/>
        </w:rPr>
      </w:pPr>
      <w:r>
        <w:rPr>
          <w:rFonts w:hint="eastAsia" w:ascii="宋体" w:hAnsi="宋体"/>
          <w:color w:val="auto"/>
          <w:highlight w:val="none"/>
        </w:rPr>
        <w:t>3.5.8 投标人须知前附表规定接受联合体投标的，本章第 3.5.1 项至第 3.5.7 项规定的表格和资料应包括联合体各方相关情况。</w:t>
      </w:r>
    </w:p>
    <w:p>
      <w:pPr>
        <w:spacing w:before="240" w:beforeLines="100" w:after="240" w:afterLines="100"/>
        <w:rPr>
          <w:rFonts w:ascii="宋体" w:hAnsi="宋体"/>
          <w:b/>
          <w:color w:val="auto"/>
          <w:sz w:val="28"/>
          <w:szCs w:val="28"/>
          <w:highlight w:val="none"/>
        </w:rPr>
      </w:pPr>
      <w:bookmarkStart w:id="143" w:name="_Toc529196545"/>
      <w:bookmarkStart w:id="144" w:name="_Toc515205218"/>
      <w:r>
        <w:rPr>
          <w:rFonts w:hint="eastAsia" w:ascii="宋体" w:hAnsi="宋体"/>
          <w:b/>
          <w:color w:val="auto"/>
          <w:sz w:val="28"/>
          <w:szCs w:val="28"/>
          <w:highlight w:val="none"/>
        </w:rPr>
        <w:t>3.6 备选投标方案</w:t>
      </w:r>
      <w:bookmarkEnd w:id="143"/>
      <w:bookmarkEnd w:id="144"/>
    </w:p>
    <w:p>
      <w:pPr>
        <w:spacing w:line="360" w:lineRule="auto"/>
        <w:ind w:firstLine="420" w:firstLineChars="200"/>
        <w:rPr>
          <w:rFonts w:ascii="宋体" w:hAnsi="宋体"/>
          <w:color w:val="auto"/>
          <w:highlight w:val="none"/>
        </w:rPr>
      </w:pPr>
      <w:r>
        <w:rPr>
          <w:rFonts w:hint="eastAsia" w:ascii="宋体" w:hAnsi="宋体"/>
          <w:color w:val="auto"/>
          <w:highlight w:val="none"/>
        </w:rPr>
        <w:t>3.6.1 除投标人须知前附表规定允许外，投标人不得递交备选投标方案，否则其投标将被否决。</w:t>
      </w:r>
    </w:p>
    <w:p>
      <w:pPr>
        <w:spacing w:line="360" w:lineRule="auto"/>
        <w:ind w:firstLine="420" w:firstLineChars="200"/>
        <w:rPr>
          <w:rFonts w:ascii="宋体" w:hAnsi="宋体"/>
          <w:color w:val="auto"/>
          <w:highlight w:val="none"/>
        </w:rPr>
      </w:pPr>
      <w:r>
        <w:rPr>
          <w:rFonts w:hint="eastAsia" w:ascii="宋体" w:hAnsi="宋体"/>
          <w:color w:val="auto"/>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20" w:firstLineChars="200"/>
        <w:rPr>
          <w:rFonts w:ascii="宋体" w:hAnsi="宋体"/>
          <w:color w:val="auto"/>
          <w:highlight w:val="none"/>
        </w:rPr>
      </w:pPr>
      <w:r>
        <w:rPr>
          <w:rFonts w:hint="eastAsia" w:ascii="宋体" w:hAnsi="宋体"/>
          <w:color w:val="auto"/>
          <w:highlight w:val="none"/>
        </w:rPr>
        <w:t>3.6.3 投标人提供两个或两个以上投标报价，或者在投标文件中提供一个报价，但同时提供两个或两个以上</w:t>
      </w:r>
      <w:bookmarkStart w:id="145" w:name="_Toc29902"/>
      <w:bookmarkStart w:id="146" w:name="_Toc352691495"/>
      <w:bookmarkStart w:id="147" w:name="_Toc369531538"/>
      <w:bookmarkStart w:id="148" w:name="_Toc361508607"/>
      <w:bookmarkStart w:id="149" w:name="_Toc300834971"/>
      <w:bookmarkStart w:id="150" w:name="_Toc384308232"/>
      <w:bookmarkStart w:id="151" w:name="_Toc152042326"/>
      <w:bookmarkStart w:id="152" w:name="_Toc152045550"/>
      <w:bookmarkStart w:id="153" w:name="_Toc144974518"/>
      <w:bookmarkStart w:id="154" w:name="_Toc247527575"/>
      <w:bookmarkStart w:id="155" w:name="_Toc247513974"/>
      <w:r>
        <w:rPr>
          <w:rFonts w:hint="eastAsia" w:ascii="宋体" w:hAnsi="宋体"/>
          <w:color w:val="auto"/>
          <w:highlight w:val="none"/>
        </w:rPr>
        <w:t>监理方案的</w:t>
      </w:r>
      <w:bookmarkEnd w:id="145"/>
      <w:bookmarkEnd w:id="146"/>
      <w:bookmarkEnd w:id="147"/>
      <w:bookmarkEnd w:id="148"/>
      <w:bookmarkEnd w:id="149"/>
      <w:bookmarkEnd w:id="150"/>
      <w:bookmarkEnd w:id="151"/>
      <w:bookmarkEnd w:id="152"/>
      <w:bookmarkEnd w:id="153"/>
      <w:bookmarkEnd w:id="154"/>
      <w:bookmarkEnd w:id="155"/>
      <w:r>
        <w:rPr>
          <w:rFonts w:hint="eastAsia" w:ascii="宋体" w:hAnsi="宋体"/>
          <w:color w:val="auto"/>
          <w:highlight w:val="none"/>
        </w:rPr>
        <w:t>，视为提供备选方案。</w:t>
      </w:r>
    </w:p>
    <w:p>
      <w:pPr>
        <w:spacing w:before="240" w:beforeLines="100" w:after="240" w:afterLines="100"/>
        <w:rPr>
          <w:rFonts w:ascii="宋体" w:hAnsi="宋体"/>
          <w:b/>
          <w:color w:val="auto"/>
          <w:sz w:val="28"/>
          <w:szCs w:val="28"/>
          <w:highlight w:val="none"/>
        </w:rPr>
      </w:pPr>
      <w:bookmarkStart w:id="156" w:name="_Toc529196546"/>
      <w:bookmarkStart w:id="157" w:name="_Toc515205219"/>
      <w:r>
        <w:rPr>
          <w:rFonts w:hint="eastAsia" w:ascii="宋体" w:hAnsi="宋体"/>
          <w:b/>
          <w:color w:val="auto"/>
          <w:sz w:val="28"/>
          <w:szCs w:val="28"/>
          <w:highlight w:val="none"/>
        </w:rPr>
        <w:t>3.7 投标文件的编制</w:t>
      </w:r>
      <w:bookmarkEnd w:id="156"/>
      <w:bookmarkEnd w:id="157"/>
    </w:p>
    <w:p>
      <w:pPr>
        <w:spacing w:line="360" w:lineRule="auto"/>
        <w:ind w:firstLine="420" w:firstLineChars="200"/>
        <w:rPr>
          <w:rFonts w:ascii="宋体" w:hAnsi="宋体"/>
          <w:color w:val="auto"/>
          <w:highlight w:val="none"/>
        </w:rPr>
      </w:pPr>
      <w:r>
        <w:rPr>
          <w:rFonts w:hint="eastAsia" w:ascii="宋体" w:hAnsi="宋体"/>
          <w:color w:val="auto"/>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20" w:firstLineChars="200"/>
        <w:rPr>
          <w:rFonts w:ascii="宋体" w:hAnsi="宋体"/>
          <w:color w:val="auto"/>
          <w:highlight w:val="none"/>
        </w:rPr>
      </w:pPr>
      <w:r>
        <w:rPr>
          <w:rFonts w:hint="eastAsia" w:ascii="宋体" w:hAnsi="宋体"/>
          <w:color w:val="auto"/>
          <w:highlight w:val="none"/>
        </w:rPr>
        <w:t>3.7.2 投标文件应当对招标文件有关监理服务期限、投标有效期、委托人要求、招标范围等实质性内容作出响应。</w:t>
      </w:r>
    </w:p>
    <w:p>
      <w:pPr>
        <w:spacing w:line="360" w:lineRule="auto"/>
        <w:ind w:firstLine="420" w:firstLineChars="200"/>
        <w:rPr>
          <w:rFonts w:ascii="宋体" w:hAnsi="宋体"/>
          <w:color w:val="auto"/>
          <w:highlight w:val="none"/>
        </w:rPr>
      </w:pPr>
      <w:r>
        <w:rPr>
          <w:rFonts w:hint="eastAsia" w:ascii="宋体" w:hAnsi="宋体"/>
          <w:color w:val="auto"/>
          <w:highlight w:val="none"/>
        </w:rPr>
        <w:t>3.7.3（A）（1）投标文件应用不褪色的材料书写或打印，投标函、投标函附录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spacing w:line="360" w:lineRule="auto"/>
        <w:ind w:firstLine="420" w:firstLineChars="200"/>
        <w:rPr>
          <w:rFonts w:ascii="宋体" w:hAnsi="宋体"/>
          <w:color w:val="auto"/>
          <w:highlight w:val="none"/>
        </w:rPr>
      </w:pPr>
      <w:r>
        <w:rPr>
          <w:rFonts w:hint="eastAsia" w:ascii="宋体" w:hAnsi="宋体"/>
          <w:color w:val="auto"/>
          <w:highlight w:val="none"/>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spacing w:line="360" w:lineRule="auto"/>
        <w:ind w:firstLine="420" w:firstLineChars="200"/>
        <w:rPr>
          <w:rFonts w:ascii="宋体" w:hAnsi="宋体"/>
          <w:color w:val="auto"/>
          <w:highlight w:val="none"/>
        </w:rPr>
      </w:pPr>
      <w:r>
        <w:rPr>
          <w:rFonts w:hint="eastAsia" w:ascii="宋体" w:hAnsi="宋体"/>
          <w:color w:val="auto"/>
          <w:highlight w:val="none"/>
        </w:rPr>
        <w:t>（3）投标文件的正本与副本应分别装订，并编制目录，投标文件需分册装订的，具体分册装订要求见投标人须知前附表规定。</w:t>
      </w:r>
    </w:p>
    <w:p>
      <w:pPr>
        <w:spacing w:line="360" w:lineRule="auto"/>
        <w:ind w:firstLine="420" w:firstLineChars="200"/>
        <w:rPr>
          <w:rFonts w:ascii="宋体" w:hAnsi="宋体"/>
          <w:color w:val="auto"/>
          <w:highlight w:val="none"/>
        </w:rPr>
      </w:pPr>
      <w:bookmarkStart w:id="158" w:name="_Toc514946914"/>
      <w:r>
        <w:rPr>
          <w:rFonts w:hint="eastAsia" w:ascii="宋体" w:hAnsi="宋体"/>
          <w:color w:val="auto"/>
          <w:highlight w:val="none"/>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58"/>
    </w:p>
    <w:p>
      <w:pPr>
        <w:spacing w:before="260"/>
        <w:outlineLvl w:val="2"/>
        <w:rPr>
          <w:rFonts w:ascii="宋体" w:hAnsi="宋体"/>
          <w:b/>
          <w:color w:val="auto"/>
          <w:sz w:val="32"/>
          <w:szCs w:val="32"/>
          <w:highlight w:val="none"/>
        </w:rPr>
      </w:pPr>
      <w:bookmarkStart w:id="159" w:name="_Toc515205220"/>
      <w:bookmarkStart w:id="160" w:name="_Toc529196547"/>
      <w:r>
        <w:rPr>
          <w:rFonts w:hint="eastAsia" w:ascii="宋体" w:hAnsi="宋体"/>
          <w:b/>
          <w:color w:val="auto"/>
          <w:sz w:val="32"/>
          <w:szCs w:val="32"/>
          <w:highlight w:val="none"/>
        </w:rPr>
        <w:t>4. 投标</w:t>
      </w:r>
      <w:bookmarkEnd w:id="159"/>
      <w:bookmarkEnd w:id="160"/>
    </w:p>
    <w:p>
      <w:pPr>
        <w:spacing w:before="240" w:beforeLines="100" w:after="240" w:afterLines="100"/>
        <w:rPr>
          <w:rFonts w:ascii="宋体" w:hAnsi="宋体"/>
          <w:b/>
          <w:color w:val="auto"/>
          <w:sz w:val="28"/>
          <w:szCs w:val="28"/>
          <w:highlight w:val="none"/>
        </w:rPr>
      </w:pPr>
      <w:bookmarkStart w:id="161" w:name="_Toc515205221"/>
      <w:bookmarkStart w:id="162" w:name="_Toc529196548"/>
      <w:r>
        <w:rPr>
          <w:rFonts w:hint="eastAsia" w:ascii="宋体" w:hAnsi="宋体"/>
          <w:b/>
          <w:color w:val="auto"/>
          <w:sz w:val="28"/>
          <w:szCs w:val="28"/>
          <w:highlight w:val="none"/>
        </w:rPr>
        <w:t>4.1 投标文件的密封和标记</w:t>
      </w:r>
      <w:bookmarkEnd w:id="161"/>
      <w:bookmarkEnd w:id="162"/>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4.1.1 （A）投标文件应密封包装，并在封套的封口处加盖投标人单位章或由投标人的法定代表人或其授权的代理人签字。</w:t>
      </w:r>
    </w:p>
    <w:p>
      <w:pPr>
        <w:spacing w:line="360" w:lineRule="auto"/>
        <w:ind w:firstLine="420" w:firstLineChars="200"/>
        <w:rPr>
          <w:rFonts w:ascii="宋体" w:hAnsi="宋体"/>
          <w:color w:val="auto"/>
          <w:highlight w:val="none"/>
        </w:rPr>
      </w:pPr>
      <w:r>
        <w:rPr>
          <w:rFonts w:hint="eastAsia" w:ascii="宋体" w:hAnsi="宋体"/>
          <w:color w:val="auto"/>
          <w:highlight w:val="none"/>
        </w:rPr>
        <w:t>4.1.1 （B）投标人应当按照招标文件和电子招标投标交易平台的要求加密投标文件，具体要求见投标人须知前附表。</w:t>
      </w:r>
    </w:p>
    <w:p>
      <w:pPr>
        <w:snapToGrid w:val="0"/>
        <w:spacing w:line="360" w:lineRule="auto"/>
        <w:ind w:firstLine="420" w:firstLineChars="200"/>
        <w:rPr>
          <w:rFonts w:ascii="宋体" w:hAnsi="宋体" w:cs="宋体"/>
          <w:color w:val="auto"/>
          <w:szCs w:val="21"/>
          <w:highlight w:val="none"/>
          <w:u w:val="single"/>
        </w:rPr>
      </w:pPr>
      <w:bookmarkStart w:id="163" w:name="_Toc515205222"/>
      <w:bookmarkStart w:id="164" w:name="_Toc529196549"/>
      <w:r>
        <w:rPr>
          <w:rFonts w:hint="eastAsia" w:ascii="宋体" w:hAnsi="宋体" w:cs="宋体"/>
          <w:color w:val="auto"/>
          <w:szCs w:val="21"/>
          <w:highlight w:val="none"/>
          <w:u w:val="single"/>
        </w:rPr>
        <w:t>4.</w:t>
      </w:r>
      <w:r>
        <w:rPr>
          <w:rFonts w:ascii="宋体" w:hAnsi="宋体" w:cs="宋体"/>
          <w:color w:val="auto"/>
          <w:szCs w:val="21"/>
          <w:highlight w:val="none"/>
          <w:u w:val="single"/>
        </w:rPr>
        <w:t>1.2</w:t>
      </w:r>
      <w:r>
        <w:rPr>
          <w:rFonts w:hint="eastAsia" w:ascii="宋体" w:hAnsi="宋体" w:cs="宋体"/>
          <w:color w:val="auto"/>
          <w:szCs w:val="21"/>
          <w:highlight w:val="none"/>
          <w:u w:val="single"/>
        </w:rPr>
        <w:t>网上递交的电子投标文件须进行加密。</w:t>
      </w:r>
    </w:p>
    <w:p>
      <w:pPr>
        <w:snapToGrid w:val="0"/>
        <w:spacing w:line="360" w:lineRule="auto"/>
        <w:ind w:firstLine="420" w:firstLineChars="200"/>
        <w:rPr>
          <w:rFonts w:ascii="宋体" w:hAnsi="宋体" w:cs="宋体"/>
          <w:color w:val="auto"/>
          <w:szCs w:val="21"/>
          <w:highlight w:val="none"/>
          <w:u w:val="single"/>
        </w:rPr>
      </w:pPr>
      <w:r>
        <w:rPr>
          <w:rFonts w:ascii="宋体" w:hAnsi="宋体" w:cs="宋体"/>
          <w:color w:val="auto"/>
          <w:szCs w:val="21"/>
          <w:highlight w:val="none"/>
          <w:u w:val="single"/>
        </w:rPr>
        <w:t>4.1.3</w:t>
      </w:r>
      <w:r>
        <w:rPr>
          <w:rFonts w:hint="eastAsia" w:ascii="宋体" w:hAnsi="宋体" w:cs="宋体"/>
          <w:color w:val="auto"/>
          <w:szCs w:val="21"/>
          <w:highlight w:val="none"/>
          <w:u w:val="single"/>
        </w:rPr>
        <w:t>投标文件封套上应写明的内容见投标人须知前附表。</w:t>
      </w:r>
    </w:p>
    <w:p>
      <w:pPr>
        <w:snapToGrid w:val="0"/>
        <w:spacing w:line="360" w:lineRule="auto"/>
        <w:ind w:firstLine="420" w:firstLineChars="200"/>
        <w:rPr>
          <w:rFonts w:ascii="宋体" w:hAnsi="宋体" w:cs="宋体"/>
          <w:color w:val="auto"/>
          <w:szCs w:val="21"/>
          <w:highlight w:val="none"/>
          <w:u w:val="single"/>
        </w:rPr>
      </w:pPr>
      <w:r>
        <w:rPr>
          <w:rFonts w:ascii="宋体" w:hAnsi="宋体" w:cs="宋体"/>
          <w:color w:val="auto"/>
          <w:szCs w:val="21"/>
          <w:highlight w:val="none"/>
          <w:u w:val="single"/>
        </w:rPr>
        <w:t>4.1.4</w:t>
      </w:r>
      <w:r>
        <w:rPr>
          <w:rFonts w:hint="eastAsia" w:ascii="宋体" w:hAnsi="宋体" w:cs="宋体"/>
          <w:color w:val="auto"/>
          <w:szCs w:val="21"/>
          <w:highlight w:val="none"/>
          <w:u w:val="single"/>
        </w:rPr>
        <w:t>未按本章第</w:t>
      </w:r>
      <w:r>
        <w:rPr>
          <w:rFonts w:ascii="宋体" w:hAnsi="宋体" w:cs="宋体"/>
          <w:color w:val="auto"/>
          <w:szCs w:val="21"/>
          <w:highlight w:val="none"/>
          <w:u w:val="single"/>
        </w:rPr>
        <w:t>4.1.1</w:t>
      </w:r>
      <w:r>
        <w:rPr>
          <w:rFonts w:hint="eastAsia" w:ascii="宋体" w:hAnsi="宋体" w:cs="宋体"/>
          <w:color w:val="auto"/>
          <w:szCs w:val="21"/>
          <w:highlight w:val="none"/>
          <w:u w:val="single"/>
        </w:rPr>
        <w:t>项要求密封的投标文件，招标人将予以拒收。</w:t>
      </w:r>
    </w:p>
    <w:p>
      <w:pPr>
        <w:spacing w:before="240" w:beforeLines="100" w:after="240" w:afterLines="100"/>
        <w:rPr>
          <w:rFonts w:ascii="宋体" w:hAnsi="宋体"/>
          <w:b/>
          <w:color w:val="auto"/>
          <w:sz w:val="28"/>
          <w:szCs w:val="28"/>
          <w:highlight w:val="none"/>
        </w:rPr>
      </w:pPr>
      <w:r>
        <w:rPr>
          <w:rFonts w:hint="eastAsia" w:ascii="宋体" w:hAnsi="宋体"/>
          <w:b/>
          <w:color w:val="auto"/>
          <w:sz w:val="28"/>
          <w:szCs w:val="28"/>
          <w:highlight w:val="none"/>
        </w:rPr>
        <w:t>4.2 投标文件的递交</w:t>
      </w:r>
      <w:bookmarkEnd w:id="163"/>
      <w:bookmarkEnd w:id="164"/>
    </w:p>
    <w:p>
      <w:pPr>
        <w:spacing w:line="360" w:lineRule="auto"/>
        <w:ind w:firstLine="420" w:firstLineChars="200"/>
        <w:rPr>
          <w:rFonts w:ascii="宋体" w:hAnsi="宋体"/>
          <w:color w:val="auto"/>
          <w:highlight w:val="none"/>
        </w:rPr>
      </w:pPr>
      <w:r>
        <w:rPr>
          <w:rFonts w:hint="eastAsia" w:ascii="宋体" w:hAnsi="宋体"/>
          <w:color w:val="auto"/>
          <w:highlight w:val="none"/>
        </w:rPr>
        <w:t>4.2.1 投标人应在投标人须知前附表规定的投标截止时间前递交投标文件。</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4.2.2 （A）投标人递交投标文件的地点：见投标人须知前附表。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4.2.2 （B）投标人通过下载招标文件的电子招标投标交易平台递交电子投标文件。</w:t>
      </w:r>
    </w:p>
    <w:p>
      <w:pPr>
        <w:spacing w:line="360" w:lineRule="auto"/>
        <w:ind w:firstLine="420" w:firstLineChars="200"/>
        <w:rPr>
          <w:rFonts w:ascii="宋体" w:hAnsi="宋体"/>
          <w:color w:val="auto"/>
          <w:highlight w:val="none"/>
        </w:rPr>
      </w:pPr>
      <w:r>
        <w:rPr>
          <w:rFonts w:hint="eastAsia" w:ascii="宋体" w:hAnsi="宋体"/>
          <w:color w:val="auto"/>
          <w:highlight w:val="none"/>
        </w:rPr>
        <w:t>4.2.3 除投标人须知前附表另有规定外，投标人所递交的投标文件不予退还。</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4.2.4 （A）招标人收到投标文件后，向投标人出具签收凭证。</w:t>
      </w:r>
    </w:p>
    <w:p>
      <w:pPr>
        <w:spacing w:line="360" w:lineRule="auto"/>
        <w:ind w:firstLine="420" w:firstLineChars="200"/>
        <w:rPr>
          <w:rFonts w:ascii="宋体" w:hAnsi="宋体"/>
          <w:color w:val="auto"/>
          <w:highlight w:val="none"/>
        </w:rPr>
      </w:pPr>
      <w:r>
        <w:rPr>
          <w:rFonts w:hint="eastAsia" w:ascii="宋体" w:hAnsi="宋体"/>
          <w:color w:val="auto"/>
          <w:highlight w:val="none"/>
        </w:rPr>
        <w:t>4.2.4 （B）投标人完成电子投标文件上传后，电子招标投标交易平台即时向投标人发出递交回执通知。递交时间以递交回执通知载明的传输完成时间为准。</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4.2.5 （A）逾期送达的投标文件，招标人将予以拒收。</w:t>
      </w:r>
    </w:p>
    <w:p>
      <w:pPr>
        <w:spacing w:line="360" w:lineRule="auto"/>
        <w:ind w:firstLine="420" w:firstLineChars="200"/>
        <w:jc w:val="left"/>
        <w:rPr>
          <w:rFonts w:ascii="宋体" w:hAnsi="宋体"/>
          <w:color w:val="auto"/>
          <w:highlight w:val="none"/>
        </w:rPr>
      </w:pPr>
      <w:r>
        <w:rPr>
          <w:rFonts w:hint="eastAsia" w:ascii="宋体" w:hAnsi="宋体"/>
          <w:color w:val="auto"/>
          <w:highlight w:val="none"/>
        </w:rPr>
        <w:t>4.2.5 （B）逾期送达的投标文件，电子招标投标交易平台将予以拒收。</w:t>
      </w:r>
    </w:p>
    <w:p>
      <w:pPr>
        <w:spacing w:before="240" w:beforeLines="100" w:after="240" w:afterLines="100"/>
        <w:rPr>
          <w:rFonts w:ascii="宋体" w:hAnsi="宋体"/>
          <w:b/>
          <w:color w:val="auto"/>
          <w:sz w:val="28"/>
          <w:szCs w:val="28"/>
          <w:highlight w:val="none"/>
        </w:rPr>
      </w:pPr>
      <w:bookmarkStart w:id="165" w:name="_Toc529196550"/>
      <w:bookmarkStart w:id="166" w:name="_Toc515205223"/>
      <w:r>
        <w:rPr>
          <w:rFonts w:hint="eastAsia" w:ascii="宋体" w:hAnsi="宋体"/>
          <w:b/>
          <w:color w:val="auto"/>
          <w:sz w:val="28"/>
          <w:szCs w:val="28"/>
          <w:highlight w:val="none"/>
        </w:rPr>
        <w:t>4.3 投标文件的修改与撤回</w:t>
      </w:r>
      <w:bookmarkEnd w:id="165"/>
      <w:bookmarkEnd w:id="166"/>
    </w:p>
    <w:p>
      <w:pPr>
        <w:spacing w:line="360" w:lineRule="auto"/>
        <w:ind w:firstLine="420" w:firstLineChars="200"/>
        <w:rPr>
          <w:rFonts w:ascii="宋体" w:hAnsi="宋体"/>
          <w:color w:val="auto"/>
          <w:highlight w:val="none"/>
        </w:rPr>
      </w:pPr>
      <w:r>
        <w:rPr>
          <w:rFonts w:hint="eastAsia" w:ascii="宋体" w:hAnsi="宋体"/>
          <w:color w:val="auto"/>
          <w:highlight w:val="none"/>
        </w:rPr>
        <w:t>4.3.1 在本章第4.2.1项规定的投标截止时间前，投标人可以修改或撤回已递交的投标文件，但应以书面形式通知招标人。</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4.3.2 （A）投标人修改或撤回已递交投标文件的书面通知应按照本章第3.7.3（A）项的要求签字或盖章。招标人收到书面通知后，向投标人出具签收凭证。</w:t>
      </w:r>
    </w:p>
    <w:p>
      <w:pPr>
        <w:spacing w:line="360" w:lineRule="auto"/>
        <w:ind w:firstLine="420" w:firstLineChars="200"/>
        <w:rPr>
          <w:rFonts w:ascii="宋体" w:hAnsi="宋体"/>
          <w:color w:val="auto"/>
          <w:highlight w:val="none"/>
        </w:rPr>
      </w:pPr>
      <w:r>
        <w:rPr>
          <w:rFonts w:hint="eastAsia" w:ascii="宋体" w:hAnsi="宋体"/>
          <w:color w:val="auto"/>
          <w:highlight w:val="none"/>
        </w:rPr>
        <w:t>4.3.2 （B）投标人修改或撤回已递交投标文件的通知，应按照本章第3.7.3（B）项的要求加盖电子印章。电子招标投标交易平台收到通知后，即时向投标人发出确认回执通知。</w:t>
      </w:r>
    </w:p>
    <w:p>
      <w:pPr>
        <w:spacing w:line="360" w:lineRule="auto"/>
        <w:ind w:firstLine="420" w:firstLineChars="200"/>
        <w:rPr>
          <w:rFonts w:ascii="宋体" w:hAnsi="宋体"/>
          <w:color w:val="auto"/>
          <w:highlight w:val="none"/>
        </w:rPr>
      </w:pPr>
      <w:r>
        <w:rPr>
          <w:rFonts w:hint="eastAsia" w:ascii="宋体" w:hAnsi="宋体"/>
          <w:color w:val="auto"/>
          <w:highlight w:val="none"/>
        </w:rPr>
        <w:t>4.3.3 投标人撤回投标文件的，招标人自收到投标人书面撤回通知之日起5日内退还已收取的投标保证金。</w:t>
      </w:r>
    </w:p>
    <w:p>
      <w:pPr>
        <w:spacing w:line="360" w:lineRule="auto"/>
        <w:ind w:firstLine="420" w:firstLineChars="200"/>
        <w:rPr>
          <w:rFonts w:ascii="宋体" w:hAnsi="宋体"/>
          <w:color w:val="auto"/>
          <w:highlight w:val="none"/>
        </w:rPr>
      </w:pPr>
      <w:r>
        <w:rPr>
          <w:rFonts w:hint="eastAsia" w:ascii="宋体" w:hAnsi="宋体"/>
          <w:color w:val="auto"/>
          <w:highlight w:val="none"/>
        </w:rPr>
        <w:t>4.3.</w:t>
      </w:r>
      <w:bookmarkStart w:id="167" w:name="_Toc19203"/>
      <w:bookmarkStart w:id="168" w:name="_Toc369531541"/>
      <w:bookmarkStart w:id="169" w:name="_Toc152045553"/>
      <w:bookmarkStart w:id="170" w:name="_Toc361508610"/>
      <w:bookmarkStart w:id="171" w:name="_Toc247513977"/>
      <w:bookmarkStart w:id="172" w:name="_Toc384308235"/>
      <w:bookmarkStart w:id="173" w:name="_Toc247527578"/>
      <w:bookmarkStart w:id="174" w:name="_Toc352691497"/>
      <w:bookmarkStart w:id="175" w:name="_Toc152042329"/>
      <w:bookmarkStart w:id="176" w:name="_Toc300834974"/>
      <w:bookmarkStart w:id="177" w:name="_Toc144974521"/>
      <w:r>
        <w:rPr>
          <w:rFonts w:hint="eastAsia" w:ascii="宋体" w:hAnsi="宋体"/>
          <w:color w:val="auto"/>
          <w:highlight w:val="none"/>
        </w:rPr>
        <w:t>4 修改的内容为投标</w:t>
      </w:r>
      <w:bookmarkEnd w:id="167"/>
      <w:bookmarkEnd w:id="168"/>
      <w:bookmarkEnd w:id="169"/>
      <w:bookmarkEnd w:id="170"/>
      <w:bookmarkEnd w:id="171"/>
      <w:bookmarkEnd w:id="172"/>
      <w:bookmarkEnd w:id="173"/>
      <w:bookmarkEnd w:id="174"/>
      <w:bookmarkEnd w:id="175"/>
      <w:bookmarkEnd w:id="176"/>
      <w:bookmarkEnd w:id="177"/>
      <w:r>
        <w:rPr>
          <w:rFonts w:hint="eastAsia" w:ascii="宋体" w:hAnsi="宋体"/>
          <w:color w:val="auto"/>
          <w:highlight w:val="none"/>
        </w:rPr>
        <w:t>文件的组成部分。修改的投标文件应按照本章第3条、第4条的规定进行编制、密封、标记和递交，并标明“修改”字样。</w:t>
      </w:r>
    </w:p>
    <w:p>
      <w:pPr>
        <w:spacing w:before="260"/>
        <w:outlineLvl w:val="2"/>
        <w:rPr>
          <w:rFonts w:ascii="宋体" w:hAnsi="宋体"/>
          <w:b/>
          <w:color w:val="auto"/>
          <w:sz w:val="32"/>
          <w:szCs w:val="32"/>
          <w:highlight w:val="none"/>
        </w:rPr>
      </w:pPr>
      <w:bookmarkStart w:id="178" w:name="_Toc529196551"/>
      <w:bookmarkStart w:id="179" w:name="_Toc515205224"/>
      <w:r>
        <w:rPr>
          <w:rFonts w:hint="eastAsia" w:ascii="宋体" w:hAnsi="宋体"/>
          <w:b/>
          <w:color w:val="auto"/>
          <w:sz w:val="32"/>
          <w:szCs w:val="32"/>
          <w:highlight w:val="none"/>
        </w:rPr>
        <w:t>5. 开标</w:t>
      </w:r>
      <w:bookmarkEnd w:id="178"/>
      <w:bookmarkEnd w:id="179"/>
    </w:p>
    <w:p>
      <w:pPr>
        <w:spacing w:before="240" w:beforeLines="100" w:after="240" w:afterLines="100"/>
        <w:rPr>
          <w:rFonts w:ascii="宋体" w:hAnsi="宋体"/>
          <w:b/>
          <w:strike/>
          <w:color w:val="auto"/>
          <w:sz w:val="28"/>
          <w:szCs w:val="28"/>
          <w:highlight w:val="none"/>
        </w:rPr>
      </w:pPr>
      <w:bookmarkStart w:id="180" w:name="_Toc515205225"/>
      <w:bookmarkStart w:id="181" w:name="_Toc529196552"/>
      <w:r>
        <w:rPr>
          <w:rFonts w:hint="eastAsia" w:ascii="宋体" w:hAnsi="宋体"/>
          <w:b/>
          <w:strike/>
          <w:color w:val="auto"/>
          <w:sz w:val="28"/>
          <w:szCs w:val="28"/>
          <w:highlight w:val="none"/>
        </w:rPr>
        <w:t>5.1 开标时间和地点（A）</w:t>
      </w:r>
      <w:bookmarkEnd w:id="180"/>
      <w:bookmarkEnd w:id="181"/>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招标人在本章第4.2.1项规定的投标截止时间（开标时间）和投标人须知前附表规定的地点公开开标，并邀请所有投标人的法定代表人或其委托代理人准时参加。</w:t>
      </w:r>
    </w:p>
    <w:p>
      <w:pPr>
        <w:spacing w:before="240" w:beforeLines="100" w:after="240" w:afterLines="100"/>
        <w:rPr>
          <w:rFonts w:ascii="宋体" w:hAnsi="宋体"/>
          <w:b/>
          <w:color w:val="auto"/>
          <w:sz w:val="28"/>
          <w:szCs w:val="28"/>
          <w:highlight w:val="none"/>
        </w:rPr>
      </w:pPr>
      <w:bookmarkStart w:id="182" w:name="_Toc515205226"/>
      <w:bookmarkStart w:id="183" w:name="_Toc529196553"/>
      <w:r>
        <w:rPr>
          <w:rFonts w:hint="eastAsia" w:ascii="宋体" w:hAnsi="宋体"/>
          <w:b/>
          <w:color w:val="auto"/>
          <w:sz w:val="28"/>
          <w:szCs w:val="28"/>
          <w:highlight w:val="none"/>
        </w:rPr>
        <w:t>5.1 开标时间和地点（B）</w:t>
      </w:r>
      <w:bookmarkEnd w:id="182"/>
      <w:bookmarkEnd w:id="183"/>
    </w:p>
    <w:p>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u w:val="single"/>
        </w:rPr>
        <w:t>招标人在本章第 4.2.1 项规定的投标截止时间（开标时间），通过电子招标投标交易平台公开开标；开标地点在广州公共资源交易中心（广州市天河区天润路333号），详见广州公共资源交易中心公布本项目的日程安排，投标人可登录广州公共资源交易中心网站首页，点击“交易业务-建设工程”专栏中的“项目查询（日程安排、答疑纪要）”，输入项目编号或项目名称查询最新信息。开标时，投标人代表有权出席开标会，也可以自主决定不参加开标会，若投标人代表对开标过程提出异议，该投标人代表须同时出示本人身份证原件。</w:t>
      </w:r>
    </w:p>
    <w:p>
      <w:pPr>
        <w:spacing w:before="240" w:beforeLines="100" w:after="240" w:afterLines="100"/>
        <w:rPr>
          <w:rFonts w:ascii="宋体" w:hAnsi="宋体"/>
          <w:b/>
          <w:color w:val="auto"/>
          <w:sz w:val="28"/>
          <w:szCs w:val="28"/>
          <w:highlight w:val="none"/>
        </w:rPr>
      </w:pPr>
      <w:bookmarkStart w:id="184" w:name="_Toc529196554"/>
      <w:bookmarkStart w:id="185" w:name="_Toc515205227"/>
      <w:r>
        <w:rPr>
          <w:rFonts w:hint="eastAsia" w:ascii="宋体" w:hAnsi="宋体"/>
          <w:b/>
          <w:color w:val="auto"/>
          <w:sz w:val="28"/>
          <w:szCs w:val="28"/>
          <w:highlight w:val="none"/>
        </w:rPr>
        <w:t>5.2 开标程序</w:t>
      </w:r>
      <w:bookmarkEnd w:id="184"/>
      <w:bookmarkEnd w:id="185"/>
    </w:p>
    <w:p>
      <w:pPr>
        <w:spacing w:line="360" w:lineRule="auto"/>
        <w:ind w:firstLine="420" w:firstLineChars="200"/>
        <w:rPr>
          <w:rFonts w:ascii="宋体" w:hAnsi="宋体"/>
          <w:color w:val="auto"/>
          <w:highlight w:val="none"/>
        </w:rPr>
      </w:pPr>
      <w:r>
        <w:rPr>
          <w:rFonts w:hint="eastAsia" w:ascii="宋体" w:hAnsi="宋体"/>
          <w:color w:val="auto"/>
          <w:highlight w:val="none"/>
        </w:rPr>
        <w:t>主持人按下列程序进行开标：</w:t>
      </w:r>
    </w:p>
    <w:p>
      <w:pPr>
        <w:spacing w:line="360" w:lineRule="auto"/>
        <w:ind w:firstLine="420" w:firstLineChars="200"/>
        <w:rPr>
          <w:rFonts w:ascii="宋体" w:hAnsi="宋体"/>
          <w:color w:val="auto"/>
          <w:highlight w:val="none"/>
        </w:rPr>
      </w:pPr>
      <w:r>
        <w:rPr>
          <w:rFonts w:hint="eastAsia" w:ascii="宋体" w:hAnsi="宋体"/>
          <w:color w:val="auto"/>
          <w:highlight w:val="none"/>
        </w:rPr>
        <w:t>（1）宣布开标纪律；</w:t>
      </w:r>
    </w:p>
    <w:p>
      <w:pPr>
        <w:spacing w:line="360" w:lineRule="auto"/>
        <w:ind w:firstLine="420" w:firstLineChars="200"/>
        <w:rPr>
          <w:rFonts w:ascii="宋体" w:hAnsi="宋体"/>
          <w:color w:val="auto"/>
          <w:highlight w:val="none"/>
        </w:rPr>
      </w:pPr>
      <w:r>
        <w:rPr>
          <w:rFonts w:hint="eastAsia" w:ascii="宋体" w:hAnsi="宋体"/>
          <w:color w:val="auto"/>
          <w:highlight w:val="none"/>
        </w:rPr>
        <w:t>（2）公布在投标截止时间前递交投标文件的投标人名称；</w:t>
      </w:r>
    </w:p>
    <w:p>
      <w:pPr>
        <w:spacing w:line="360" w:lineRule="auto"/>
        <w:ind w:firstLine="420" w:firstLineChars="200"/>
        <w:rPr>
          <w:rFonts w:ascii="宋体" w:hAnsi="宋体"/>
          <w:color w:val="auto"/>
          <w:highlight w:val="none"/>
        </w:rPr>
      </w:pPr>
      <w:r>
        <w:rPr>
          <w:rFonts w:hint="eastAsia" w:ascii="宋体" w:hAnsi="宋体"/>
          <w:color w:val="auto"/>
          <w:highlight w:val="none"/>
        </w:rPr>
        <w:t>（3）宣布</w:t>
      </w:r>
      <w:bookmarkStart w:id="186" w:name="_Toc369531542"/>
      <w:bookmarkStart w:id="187" w:name="_Toc152042330"/>
      <w:bookmarkStart w:id="188" w:name="_Toc144974522"/>
      <w:bookmarkStart w:id="189" w:name="_Toc152045554"/>
      <w:bookmarkStart w:id="190" w:name="_Toc300834975"/>
      <w:bookmarkStart w:id="191" w:name="_Toc247513978"/>
      <w:bookmarkStart w:id="192" w:name="_Toc22119"/>
      <w:bookmarkStart w:id="193" w:name="_Toc352691498"/>
      <w:bookmarkStart w:id="194" w:name="_Toc361508611"/>
      <w:bookmarkStart w:id="195" w:name="_Toc247527579"/>
      <w:bookmarkStart w:id="196" w:name="_Toc384308236"/>
      <w:r>
        <w:rPr>
          <w:rFonts w:hint="eastAsia" w:ascii="宋体" w:hAnsi="宋体"/>
          <w:color w:val="auto"/>
          <w:highlight w:val="none"/>
        </w:rPr>
        <w:t>开标人、唱标人、记录人</w:t>
      </w:r>
      <w:bookmarkEnd w:id="186"/>
      <w:bookmarkEnd w:id="187"/>
      <w:bookmarkEnd w:id="188"/>
      <w:bookmarkEnd w:id="189"/>
      <w:bookmarkEnd w:id="190"/>
      <w:bookmarkEnd w:id="191"/>
      <w:bookmarkEnd w:id="192"/>
      <w:bookmarkEnd w:id="193"/>
      <w:bookmarkEnd w:id="194"/>
      <w:bookmarkEnd w:id="195"/>
      <w:bookmarkEnd w:id="196"/>
      <w:r>
        <w:rPr>
          <w:rFonts w:hint="eastAsia" w:ascii="宋体" w:hAnsi="宋体"/>
          <w:color w:val="auto"/>
          <w:highlight w:val="none"/>
        </w:rPr>
        <w:t>、监标人等有关人员姓名；</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（4）（A）检查投标文件的密封情况，按照投标人须知前附表规定的开标顺序当众开标，公布招标项目名称、投标人名称、投标保证金的递交情况、投标报价、监理服务期限及其他内容，并记录在案；</w:t>
      </w:r>
    </w:p>
    <w:p>
      <w:pPr>
        <w:spacing w:line="360" w:lineRule="auto"/>
        <w:ind w:firstLine="420" w:firstLineChars="200"/>
        <w:rPr>
          <w:rFonts w:ascii="宋体" w:hAnsi="宋体"/>
          <w:color w:val="auto"/>
          <w:highlight w:val="none"/>
        </w:rPr>
      </w:pPr>
      <w:r>
        <w:rPr>
          <w:rFonts w:hint="eastAsia" w:ascii="宋体" w:hAnsi="宋体"/>
          <w:color w:val="auto"/>
          <w:highlight w:val="none"/>
        </w:rPr>
        <w:t>（4）（B）投标人通过电子招标投标交易平台对已递交的电子投标文件进行解密，公布招标项目名称、投标人名称、投标保证金的递交情况、投标报价、监理服务期限及其他内容，并记录在案；</w:t>
      </w:r>
    </w:p>
    <w:p>
      <w:pPr>
        <w:spacing w:line="360" w:lineRule="auto"/>
        <w:ind w:firstLine="420" w:firstLineChars="200"/>
        <w:rPr>
          <w:rFonts w:ascii="宋体" w:hAnsi="宋体"/>
          <w:strike/>
          <w:color w:val="auto"/>
          <w:highlight w:val="none"/>
        </w:rPr>
      </w:pPr>
      <w:r>
        <w:rPr>
          <w:rFonts w:hint="eastAsia" w:ascii="宋体" w:hAnsi="宋体"/>
          <w:strike/>
          <w:color w:val="auto"/>
          <w:highlight w:val="none"/>
        </w:rPr>
        <w:t>（5）（A）投标人代表、招标人代表、监标人、记录人等有关人员在开标记录上签字确认；</w:t>
      </w:r>
    </w:p>
    <w:p>
      <w:pPr>
        <w:spacing w:line="360" w:lineRule="auto"/>
        <w:ind w:firstLine="420" w:firstLineChars="200"/>
        <w:rPr>
          <w:rFonts w:ascii="宋体" w:hAnsi="宋体"/>
          <w:color w:val="auto"/>
          <w:highlight w:val="none"/>
        </w:rPr>
      </w:pPr>
      <w:r>
        <w:rPr>
          <w:rFonts w:hint="eastAsia" w:ascii="宋体" w:hAnsi="宋体"/>
          <w:color w:val="auto"/>
          <w:highlight w:val="none"/>
        </w:rPr>
        <w:t>（5）（B）投标人代表、招标人代表、监标人、记录人等有关人员使用本人的电子印章在开标记录上签字确认；</w:t>
      </w:r>
    </w:p>
    <w:p>
      <w:pPr>
        <w:spacing w:line="360" w:lineRule="auto"/>
        <w:ind w:firstLine="420" w:firstLineChars="200"/>
        <w:rPr>
          <w:rFonts w:ascii="宋体" w:hAnsi="宋体"/>
          <w:color w:val="auto"/>
          <w:highlight w:val="none"/>
        </w:rPr>
      </w:pPr>
      <w:r>
        <w:rPr>
          <w:rFonts w:hint="eastAsia" w:ascii="宋体" w:hAnsi="宋体"/>
          <w:color w:val="auto"/>
          <w:highlight w:val="none"/>
        </w:rPr>
        <w:t>（6）开标结束。</w:t>
      </w:r>
    </w:p>
    <w:p>
      <w:pPr>
        <w:spacing w:before="240" w:beforeLines="100" w:after="240" w:afterLines="100"/>
        <w:rPr>
          <w:rFonts w:ascii="宋体" w:hAnsi="宋体"/>
          <w:b/>
          <w:color w:val="auto"/>
          <w:sz w:val="28"/>
          <w:szCs w:val="28"/>
          <w:highlight w:val="none"/>
        </w:rPr>
      </w:pPr>
      <w:bookmarkStart w:id="197" w:name="_Toc529196555"/>
      <w:bookmarkStart w:id="198" w:name="_Toc515205228"/>
      <w:r>
        <w:rPr>
          <w:rFonts w:hint="eastAsia" w:ascii="宋体" w:hAnsi="宋体"/>
          <w:b/>
          <w:color w:val="auto"/>
          <w:sz w:val="28"/>
          <w:szCs w:val="28"/>
          <w:highlight w:val="none"/>
        </w:rPr>
        <w:t>5.3 开标异议</w:t>
      </w:r>
      <w:bookmarkEnd w:id="197"/>
      <w:bookmarkEnd w:id="198"/>
    </w:p>
    <w:p>
      <w:pPr>
        <w:spacing w:line="360" w:lineRule="auto"/>
        <w:ind w:firstLine="359" w:firstLineChars="171"/>
        <w:rPr>
          <w:rFonts w:ascii="宋体" w:hAnsi="宋体"/>
          <w:color w:val="auto"/>
          <w:highlight w:val="none"/>
        </w:rPr>
      </w:pPr>
      <w:r>
        <w:rPr>
          <w:rFonts w:hint="eastAsia" w:ascii="宋体" w:hAnsi="宋体"/>
          <w:color w:val="auto"/>
          <w:highlight w:val="none"/>
        </w:rPr>
        <w:t>投标人对开标有异议的，应当在开标现场提出，招标人当场作出答复，并制作记录。</w:t>
      </w:r>
    </w:p>
    <w:p>
      <w:pPr>
        <w:spacing w:before="260"/>
        <w:outlineLvl w:val="2"/>
        <w:rPr>
          <w:rFonts w:ascii="宋体" w:hAnsi="宋体"/>
          <w:b/>
          <w:color w:val="auto"/>
          <w:sz w:val="32"/>
          <w:szCs w:val="32"/>
          <w:highlight w:val="none"/>
        </w:rPr>
      </w:pPr>
      <w:bookmarkStart w:id="199" w:name="_Toc515205229"/>
      <w:bookmarkStart w:id="200" w:name="_Toc529196556"/>
      <w:r>
        <w:rPr>
          <w:rFonts w:hint="eastAsia" w:ascii="宋体" w:hAnsi="宋体"/>
          <w:b/>
          <w:color w:val="auto"/>
          <w:sz w:val="32"/>
          <w:szCs w:val="32"/>
          <w:highlight w:val="none"/>
        </w:rPr>
        <w:t>6. 评标</w:t>
      </w:r>
      <w:bookmarkEnd w:id="199"/>
      <w:bookmarkEnd w:id="200"/>
    </w:p>
    <w:p>
      <w:pPr>
        <w:spacing w:before="240" w:beforeLines="100" w:after="240" w:afterLines="100"/>
        <w:rPr>
          <w:rFonts w:ascii="宋体" w:hAnsi="宋体"/>
          <w:b/>
          <w:color w:val="auto"/>
          <w:sz w:val="28"/>
          <w:szCs w:val="28"/>
          <w:highlight w:val="none"/>
        </w:rPr>
      </w:pPr>
      <w:bookmarkStart w:id="201" w:name="_Toc529196557"/>
      <w:bookmarkStart w:id="202" w:name="_Toc515205230"/>
      <w:r>
        <w:rPr>
          <w:rFonts w:hint="eastAsia" w:ascii="宋体" w:hAnsi="宋体"/>
          <w:b/>
          <w:color w:val="auto"/>
          <w:sz w:val="28"/>
          <w:szCs w:val="28"/>
          <w:highlight w:val="none"/>
        </w:rPr>
        <w:t>6.1 评标委员会</w:t>
      </w:r>
      <w:bookmarkEnd w:id="201"/>
      <w:bookmarkEnd w:id="202"/>
    </w:p>
    <w:p>
      <w:pPr>
        <w:spacing w:line="360" w:lineRule="auto"/>
        <w:ind w:firstLine="420" w:firstLineChars="200"/>
        <w:rPr>
          <w:rFonts w:ascii="宋体" w:hAnsi="宋体"/>
          <w:color w:val="auto"/>
          <w:highlight w:val="none"/>
        </w:rPr>
      </w:pPr>
      <w:r>
        <w:rPr>
          <w:rFonts w:hint="eastAsia" w:ascii="宋体" w:hAnsi="宋体"/>
          <w:color w:val="auto"/>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6.1.2 评标委员会成员有下列情形之一的，应当回避：</w:t>
      </w:r>
    </w:p>
    <w:p>
      <w:pPr>
        <w:spacing w:line="360" w:lineRule="auto"/>
        <w:ind w:firstLine="718" w:firstLineChars="342"/>
        <w:rPr>
          <w:rFonts w:ascii="宋体" w:hAnsi="宋体"/>
          <w:color w:val="auto"/>
          <w:highlight w:val="none"/>
        </w:rPr>
      </w:pPr>
      <w:r>
        <w:rPr>
          <w:rFonts w:hint="eastAsia" w:ascii="宋体" w:hAnsi="宋体"/>
          <w:color w:val="auto"/>
          <w:highlight w:val="none"/>
        </w:rPr>
        <w:t>（1）投标人或投标人主要负责人的近亲属；</w:t>
      </w:r>
    </w:p>
    <w:p>
      <w:pPr>
        <w:spacing w:line="360" w:lineRule="auto"/>
        <w:ind w:firstLine="718" w:firstLineChars="342"/>
        <w:rPr>
          <w:rFonts w:ascii="宋体" w:hAnsi="宋体"/>
          <w:color w:val="auto"/>
          <w:highlight w:val="none"/>
        </w:rPr>
      </w:pPr>
      <w:r>
        <w:rPr>
          <w:rFonts w:hint="eastAsia" w:ascii="宋体" w:hAnsi="宋体"/>
          <w:color w:val="auto"/>
          <w:highlight w:val="none"/>
        </w:rPr>
        <w:t>（2）项目主管部门或者行政监督部门的人员；</w:t>
      </w:r>
    </w:p>
    <w:p>
      <w:pPr>
        <w:spacing w:line="360" w:lineRule="auto"/>
        <w:ind w:firstLine="718" w:firstLineChars="342"/>
        <w:rPr>
          <w:rFonts w:ascii="宋体" w:hAnsi="宋体"/>
          <w:color w:val="auto"/>
          <w:highlight w:val="none"/>
        </w:rPr>
      </w:pPr>
      <w:r>
        <w:rPr>
          <w:rFonts w:hint="eastAsia" w:ascii="宋体" w:hAnsi="宋体"/>
          <w:color w:val="auto"/>
          <w:highlight w:val="none"/>
        </w:rPr>
        <w:t>（3）与投标人有经济利益关系，可能影响对投标公正评审的；</w:t>
      </w:r>
    </w:p>
    <w:p>
      <w:pPr>
        <w:spacing w:line="360" w:lineRule="auto"/>
        <w:ind w:firstLine="718" w:firstLineChars="342"/>
        <w:rPr>
          <w:rFonts w:ascii="宋体" w:hAnsi="宋体"/>
          <w:color w:val="auto"/>
          <w:highlight w:val="none"/>
        </w:rPr>
      </w:pPr>
      <w:r>
        <w:rPr>
          <w:rFonts w:hint="eastAsia" w:ascii="宋体" w:hAnsi="宋体"/>
          <w:color w:val="auto"/>
          <w:highlight w:val="none"/>
        </w:rPr>
        <w:t>（4）曾因在招标、评</w:t>
      </w:r>
      <w:bookmarkStart w:id="203" w:name="_Toc300834976"/>
      <w:bookmarkStart w:id="204" w:name="_Toc384308237"/>
      <w:bookmarkStart w:id="205" w:name="_Toc152042331"/>
      <w:bookmarkStart w:id="206" w:name="_Toc352691499"/>
      <w:bookmarkStart w:id="207" w:name="_Toc6230"/>
      <w:bookmarkStart w:id="208" w:name="_Toc152045555"/>
      <w:bookmarkStart w:id="209" w:name="_Toc361508612"/>
      <w:bookmarkStart w:id="210" w:name="_Toc247513979"/>
      <w:bookmarkStart w:id="211" w:name="_Toc144974523"/>
      <w:bookmarkStart w:id="212" w:name="_Toc369531543"/>
      <w:bookmarkStart w:id="213" w:name="_Toc247527580"/>
      <w:r>
        <w:rPr>
          <w:rFonts w:hint="eastAsia" w:ascii="宋体" w:hAnsi="宋体"/>
          <w:color w:val="auto"/>
          <w:highlight w:val="none"/>
        </w:rPr>
        <w:t>标以及其他</w:t>
      </w:r>
      <w:bookmarkEnd w:id="203"/>
      <w:bookmarkEnd w:id="204"/>
      <w:bookmarkEnd w:id="205"/>
      <w:bookmarkEnd w:id="206"/>
      <w:bookmarkEnd w:id="207"/>
      <w:bookmarkEnd w:id="208"/>
      <w:bookmarkEnd w:id="209"/>
      <w:bookmarkEnd w:id="210"/>
      <w:bookmarkEnd w:id="211"/>
      <w:bookmarkEnd w:id="212"/>
      <w:bookmarkEnd w:id="213"/>
      <w:r>
        <w:rPr>
          <w:rFonts w:hint="eastAsia" w:ascii="宋体" w:hAnsi="宋体"/>
          <w:color w:val="auto"/>
          <w:highlight w:val="none"/>
        </w:rPr>
        <w:t>与</w:t>
      </w:r>
      <w:bookmarkStart w:id="214" w:name="_Toc247527581"/>
      <w:bookmarkStart w:id="215" w:name="_Toc369531544"/>
      <w:bookmarkStart w:id="216" w:name="_Toc144974524"/>
      <w:bookmarkStart w:id="217" w:name="_Toc384308238"/>
      <w:bookmarkStart w:id="218" w:name="_Toc361508613"/>
      <w:bookmarkStart w:id="219" w:name="_Toc300834977"/>
      <w:bookmarkStart w:id="220" w:name="_Toc152042332"/>
      <w:bookmarkStart w:id="221" w:name="_Toc247513980"/>
      <w:bookmarkStart w:id="222" w:name="_Toc152045556"/>
      <w:bookmarkStart w:id="223" w:name="_Toc17703"/>
      <w:bookmarkStart w:id="224" w:name="_Toc352691500"/>
      <w:r>
        <w:rPr>
          <w:rFonts w:hint="eastAsia" w:ascii="宋体" w:hAnsi="宋体"/>
          <w:color w:val="auto"/>
          <w:highlight w:val="none"/>
        </w:rPr>
        <w:t>招标投标有关活动中从事违法行</w:t>
      </w:r>
      <w:bookmarkEnd w:id="214"/>
      <w:bookmarkEnd w:id="215"/>
      <w:bookmarkEnd w:id="216"/>
      <w:bookmarkEnd w:id="217"/>
      <w:bookmarkEnd w:id="218"/>
      <w:bookmarkEnd w:id="219"/>
      <w:bookmarkEnd w:id="220"/>
      <w:bookmarkEnd w:id="221"/>
      <w:bookmarkEnd w:id="222"/>
      <w:bookmarkEnd w:id="223"/>
      <w:bookmarkEnd w:id="224"/>
      <w:r>
        <w:rPr>
          <w:rFonts w:hint="eastAsia" w:ascii="宋体" w:hAnsi="宋体"/>
          <w:color w:val="auto"/>
          <w:highlight w:val="none"/>
        </w:rPr>
        <w:t>为而受过行政处罚或刑事处罚的；</w:t>
      </w:r>
    </w:p>
    <w:p>
      <w:pPr>
        <w:spacing w:line="360" w:lineRule="auto"/>
        <w:ind w:firstLine="718" w:firstLineChars="342"/>
        <w:rPr>
          <w:rFonts w:ascii="宋体" w:hAnsi="宋体"/>
          <w:color w:val="auto"/>
          <w:highlight w:val="none"/>
        </w:rPr>
      </w:pPr>
      <w:r>
        <w:rPr>
          <w:rFonts w:hint="eastAsia" w:ascii="宋体" w:hAnsi="宋体"/>
          <w:color w:val="auto"/>
          <w:highlight w:val="none"/>
        </w:rPr>
        <w:t>（5）与投标人有其他利害关系。</w:t>
      </w:r>
    </w:p>
    <w:p>
      <w:pPr>
        <w:spacing w:line="360" w:lineRule="auto"/>
        <w:ind w:firstLine="420" w:firstLineChars="200"/>
        <w:rPr>
          <w:rFonts w:ascii="宋体" w:hAnsi="宋体"/>
          <w:color w:val="auto"/>
          <w:highlight w:val="none"/>
        </w:rPr>
      </w:pPr>
      <w:r>
        <w:rPr>
          <w:rFonts w:hint="eastAsia" w:ascii="宋体" w:hAnsi="宋体"/>
          <w:color w:val="auto"/>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pPr>
        <w:spacing w:before="240" w:beforeLines="100" w:after="240" w:afterLines="100"/>
        <w:rPr>
          <w:rFonts w:ascii="宋体" w:hAnsi="宋体"/>
          <w:b/>
          <w:color w:val="auto"/>
          <w:sz w:val="28"/>
          <w:szCs w:val="28"/>
          <w:highlight w:val="none"/>
        </w:rPr>
      </w:pPr>
      <w:bookmarkStart w:id="225" w:name="_Toc515205231"/>
      <w:bookmarkStart w:id="226" w:name="_Toc529196558"/>
      <w:r>
        <w:rPr>
          <w:rFonts w:hint="eastAsia" w:ascii="宋体" w:hAnsi="宋体"/>
          <w:b/>
          <w:color w:val="auto"/>
          <w:sz w:val="28"/>
          <w:szCs w:val="28"/>
          <w:highlight w:val="none"/>
        </w:rPr>
        <w:t>6.2 评标原则</w:t>
      </w:r>
      <w:bookmarkEnd w:id="225"/>
      <w:bookmarkEnd w:id="226"/>
    </w:p>
    <w:p>
      <w:pPr>
        <w:spacing w:line="360" w:lineRule="auto"/>
        <w:ind w:firstLine="420" w:firstLineChars="200"/>
        <w:rPr>
          <w:rFonts w:ascii="宋体" w:hAnsi="宋体"/>
          <w:color w:val="auto"/>
          <w:highlight w:val="none"/>
        </w:rPr>
      </w:pPr>
      <w:r>
        <w:rPr>
          <w:rFonts w:hint="eastAsia" w:ascii="宋体" w:hAnsi="宋体"/>
          <w:color w:val="auto"/>
          <w:highlight w:val="none"/>
        </w:rPr>
        <w:t>评标活动遵循公平、公正、科学和择优的原</w:t>
      </w:r>
      <w:bookmarkStart w:id="227" w:name="_Toc361508614"/>
      <w:bookmarkStart w:id="228" w:name="_Toc300834978"/>
      <w:bookmarkStart w:id="229" w:name="_Toc247513981"/>
      <w:bookmarkStart w:id="230" w:name="_Toc18949"/>
      <w:bookmarkStart w:id="231" w:name="_Toc152045557"/>
      <w:bookmarkStart w:id="232" w:name="_Toc152042333"/>
      <w:bookmarkStart w:id="233" w:name="_Toc144974525"/>
      <w:bookmarkStart w:id="234" w:name="_Toc247527582"/>
      <w:bookmarkStart w:id="235" w:name="_Toc369531545"/>
      <w:bookmarkStart w:id="236" w:name="_Toc352691501"/>
      <w:bookmarkStart w:id="237" w:name="_Toc384308239"/>
      <w:r>
        <w:rPr>
          <w:rFonts w:hint="eastAsia" w:ascii="宋体" w:hAnsi="宋体"/>
          <w:color w:val="auto"/>
          <w:highlight w:val="none"/>
        </w:rPr>
        <w:t>则。</w:t>
      </w:r>
    </w:p>
    <w:p>
      <w:pPr>
        <w:spacing w:before="240" w:beforeLines="100" w:after="240" w:afterLines="100"/>
        <w:rPr>
          <w:rFonts w:ascii="宋体" w:hAnsi="宋体"/>
          <w:b/>
          <w:color w:val="auto"/>
          <w:sz w:val="28"/>
          <w:szCs w:val="28"/>
          <w:highlight w:val="none"/>
        </w:rPr>
      </w:pPr>
      <w:bookmarkStart w:id="238" w:name="_Toc515205232"/>
      <w:bookmarkStart w:id="239" w:name="_Toc529196559"/>
      <w:r>
        <w:rPr>
          <w:rFonts w:hint="eastAsia" w:ascii="宋体" w:hAnsi="宋体"/>
          <w:b/>
          <w:color w:val="auto"/>
          <w:sz w:val="28"/>
          <w:szCs w:val="28"/>
          <w:highlight w:val="none"/>
        </w:rPr>
        <w:t>6.3 评标</w:t>
      </w:r>
      <w:bookmarkEnd w:id="238"/>
      <w:bookmarkEnd w:id="239"/>
    </w:p>
    <w:p>
      <w:pPr>
        <w:spacing w:line="360" w:lineRule="auto"/>
        <w:ind w:firstLine="420" w:firstLineChars="200"/>
        <w:rPr>
          <w:rFonts w:ascii="宋体" w:hAnsi="宋体"/>
          <w:color w:val="auto"/>
          <w:highlight w:val="none"/>
        </w:rPr>
      </w:pPr>
      <w:r>
        <w:rPr>
          <w:rFonts w:hint="eastAsia" w:ascii="宋体" w:hAnsi="宋体"/>
          <w:color w:val="auto"/>
          <w:highlight w:val="none"/>
        </w:rPr>
        <w:t>6</w:t>
      </w:r>
      <w:bookmarkEnd w:id="227"/>
      <w:bookmarkEnd w:id="228"/>
      <w:bookmarkEnd w:id="229"/>
      <w:bookmarkEnd w:id="230"/>
      <w:bookmarkEnd w:id="231"/>
      <w:bookmarkEnd w:id="232"/>
      <w:bookmarkEnd w:id="233"/>
      <w:bookmarkEnd w:id="234"/>
      <w:bookmarkEnd w:id="235"/>
      <w:bookmarkEnd w:id="236"/>
      <w:bookmarkEnd w:id="237"/>
      <w:r>
        <w:rPr>
          <w:rFonts w:hint="eastAsia" w:ascii="宋体" w:hAnsi="宋体"/>
          <w:color w:val="auto"/>
          <w:highlight w:val="none"/>
        </w:rPr>
        <w:t>.3.1评标委员会按照第三章“评标办法”规定的方法、评审因素、标准和程序对投标文件进行评审。第三章“评标办法”没有规定的方法、评审因素和标准，不作为评标依据。</w:t>
      </w:r>
    </w:p>
    <w:p>
      <w:pPr>
        <w:spacing w:line="360" w:lineRule="auto"/>
        <w:ind w:firstLine="420" w:firstLineChars="200"/>
        <w:rPr>
          <w:rFonts w:ascii="宋体" w:hAnsi="宋体"/>
          <w:color w:val="auto"/>
          <w:highlight w:val="none"/>
        </w:rPr>
      </w:pPr>
      <w:r>
        <w:rPr>
          <w:rFonts w:hint="eastAsia" w:ascii="宋体" w:hAnsi="宋体"/>
          <w:color w:val="auto"/>
          <w:highlight w:val="none"/>
        </w:rPr>
        <w:t>6.3.2评标完成后，评标委员会应当向招标人提交书面评标报告和中标候选人名单。评标委员会推荐中标</w:t>
      </w:r>
      <w:bookmarkStart w:id="240" w:name="_Toc300834979"/>
      <w:bookmarkStart w:id="241" w:name="_Toc352691502"/>
      <w:bookmarkStart w:id="242" w:name="_Toc361508615"/>
      <w:bookmarkStart w:id="243" w:name="_Toc152042334"/>
      <w:bookmarkStart w:id="244" w:name="_Toc144974526"/>
      <w:bookmarkStart w:id="245" w:name="_Toc384308240"/>
      <w:bookmarkStart w:id="246" w:name="_Toc369531546"/>
      <w:bookmarkStart w:id="247" w:name="_Toc247513982"/>
      <w:bookmarkStart w:id="248" w:name="_Toc247527583"/>
      <w:bookmarkStart w:id="249" w:name="_Toc12259"/>
      <w:bookmarkStart w:id="250" w:name="_Toc152045558"/>
      <w:r>
        <w:rPr>
          <w:rFonts w:hint="eastAsia" w:ascii="宋体" w:hAnsi="宋体"/>
          <w:color w:val="auto"/>
          <w:highlight w:val="none"/>
        </w:rPr>
        <w:t>候选人的人数见投标人须知前附</w:t>
      </w:r>
      <w:bookmarkEnd w:id="240"/>
      <w:bookmarkEnd w:id="241"/>
      <w:bookmarkEnd w:id="242"/>
      <w:bookmarkEnd w:id="243"/>
      <w:bookmarkEnd w:id="244"/>
      <w:bookmarkEnd w:id="245"/>
      <w:bookmarkEnd w:id="246"/>
      <w:bookmarkEnd w:id="247"/>
      <w:bookmarkEnd w:id="248"/>
      <w:bookmarkEnd w:id="249"/>
      <w:bookmarkEnd w:id="250"/>
      <w:r>
        <w:rPr>
          <w:rFonts w:hint="eastAsia" w:ascii="宋体" w:hAnsi="宋体"/>
          <w:color w:val="auto"/>
          <w:highlight w:val="none"/>
        </w:rPr>
        <w:t>表。</w:t>
      </w:r>
    </w:p>
    <w:p>
      <w:pPr>
        <w:spacing w:before="260"/>
        <w:outlineLvl w:val="2"/>
        <w:rPr>
          <w:rFonts w:ascii="宋体" w:hAnsi="宋体"/>
          <w:b/>
          <w:color w:val="auto"/>
          <w:sz w:val="32"/>
          <w:szCs w:val="32"/>
          <w:highlight w:val="none"/>
        </w:rPr>
      </w:pPr>
      <w:bookmarkStart w:id="251" w:name="_Toc529196560"/>
      <w:bookmarkStart w:id="252" w:name="_Toc515205233"/>
      <w:r>
        <w:rPr>
          <w:rFonts w:hint="eastAsia" w:ascii="宋体" w:hAnsi="宋体"/>
          <w:b/>
          <w:color w:val="auto"/>
          <w:sz w:val="32"/>
          <w:szCs w:val="32"/>
          <w:highlight w:val="none"/>
        </w:rPr>
        <w:t>7. 合同授予</w:t>
      </w:r>
      <w:bookmarkEnd w:id="251"/>
      <w:bookmarkEnd w:id="252"/>
    </w:p>
    <w:p>
      <w:pPr>
        <w:spacing w:before="240" w:beforeLines="100" w:after="240" w:afterLines="100"/>
        <w:rPr>
          <w:rFonts w:ascii="宋体" w:hAnsi="宋体"/>
          <w:b/>
          <w:color w:val="auto"/>
          <w:sz w:val="28"/>
          <w:szCs w:val="28"/>
          <w:highlight w:val="none"/>
        </w:rPr>
      </w:pPr>
      <w:bookmarkStart w:id="253" w:name="_Toc515205234"/>
      <w:bookmarkStart w:id="254" w:name="_Toc529196561"/>
      <w:r>
        <w:rPr>
          <w:rFonts w:hint="eastAsia" w:ascii="宋体" w:hAnsi="宋体"/>
          <w:b/>
          <w:color w:val="auto"/>
          <w:sz w:val="28"/>
          <w:szCs w:val="28"/>
          <w:highlight w:val="none"/>
        </w:rPr>
        <w:t>7.1 中标候选人公示</w:t>
      </w:r>
      <w:bookmarkEnd w:id="253"/>
      <w:bookmarkEnd w:id="254"/>
    </w:p>
    <w:p>
      <w:pPr>
        <w:spacing w:line="360" w:lineRule="auto"/>
        <w:ind w:firstLine="420" w:firstLineChars="200"/>
        <w:rPr>
          <w:rFonts w:ascii="宋体" w:hAnsi="宋体"/>
          <w:color w:val="auto"/>
          <w:highlight w:val="none"/>
        </w:rPr>
      </w:pPr>
      <w:r>
        <w:rPr>
          <w:rFonts w:hint="eastAsia" w:ascii="宋体" w:hAnsi="宋体"/>
          <w:color w:val="auto"/>
          <w:highlight w:val="none"/>
        </w:rPr>
        <w:t>招标人在收到评标报告之日起3日内，按照投标人须知前附表规定的公示媒介和期限公示中标候选人，公示期不得少于3天。</w:t>
      </w:r>
    </w:p>
    <w:p>
      <w:pPr>
        <w:spacing w:before="240" w:beforeLines="100" w:after="240" w:afterLines="100"/>
        <w:rPr>
          <w:rFonts w:ascii="宋体" w:hAnsi="宋体"/>
          <w:b/>
          <w:color w:val="auto"/>
          <w:sz w:val="28"/>
          <w:szCs w:val="28"/>
          <w:highlight w:val="none"/>
        </w:rPr>
      </w:pPr>
      <w:bookmarkStart w:id="255" w:name="_Toc529196562"/>
      <w:bookmarkStart w:id="256" w:name="_Toc515205235"/>
      <w:r>
        <w:rPr>
          <w:rFonts w:hint="eastAsia" w:ascii="宋体" w:hAnsi="宋体"/>
          <w:b/>
          <w:color w:val="auto"/>
          <w:sz w:val="28"/>
          <w:szCs w:val="28"/>
          <w:highlight w:val="none"/>
        </w:rPr>
        <w:t>7.2 评标结果异议</w:t>
      </w:r>
      <w:bookmarkEnd w:id="255"/>
      <w:bookmarkEnd w:id="256"/>
    </w:p>
    <w:p>
      <w:pPr>
        <w:spacing w:line="360" w:lineRule="auto"/>
        <w:ind w:firstLine="420" w:firstLineChars="200"/>
        <w:rPr>
          <w:rFonts w:ascii="宋体" w:hAnsi="宋体"/>
          <w:color w:val="auto"/>
          <w:highlight w:val="none"/>
        </w:rPr>
      </w:pPr>
      <w:r>
        <w:rPr>
          <w:rFonts w:hint="eastAsia" w:ascii="宋体" w:hAnsi="宋体"/>
          <w:color w:val="auto"/>
          <w:highlight w:val="none"/>
        </w:rPr>
        <w:t>投标人或者其他利</w:t>
      </w:r>
      <w:bookmarkStart w:id="257" w:name="_Toc384308243"/>
      <w:bookmarkStart w:id="258" w:name="_Toc300834982"/>
      <w:bookmarkStart w:id="259" w:name="_Toc352691505"/>
      <w:bookmarkStart w:id="260" w:name="_Toc369531549"/>
      <w:bookmarkStart w:id="261" w:name="_Toc247527586"/>
      <w:bookmarkStart w:id="262" w:name="_Toc152042337"/>
      <w:bookmarkStart w:id="263" w:name="_Toc30095"/>
      <w:bookmarkStart w:id="264" w:name="_Toc152045561"/>
      <w:bookmarkStart w:id="265" w:name="_Toc144974529"/>
      <w:bookmarkStart w:id="266" w:name="_Toc361508618"/>
      <w:bookmarkStart w:id="267" w:name="_Toc247513985"/>
      <w:r>
        <w:rPr>
          <w:rFonts w:hint="eastAsia" w:ascii="宋体" w:hAnsi="宋体"/>
          <w:color w:val="auto"/>
          <w:highlight w:val="none"/>
        </w:rPr>
        <w:t>害关系人对评标结</w:t>
      </w:r>
      <w:bookmarkEnd w:id="257"/>
      <w:bookmarkEnd w:id="258"/>
      <w:bookmarkEnd w:id="259"/>
      <w:bookmarkEnd w:id="260"/>
      <w:bookmarkEnd w:id="261"/>
      <w:bookmarkEnd w:id="262"/>
      <w:bookmarkEnd w:id="263"/>
      <w:bookmarkEnd w:id="264"/>
      <w:bookmarkEnd w:id="265"/>
      <w:bookmarkEnd w:id="266"/>
      <w:bookmarkEnd w:id="267"/>
      <w:r>
        <w:rPr>
          <w:rFonts w:hint="eastAsia" w:ascii="宋体" w:hAnsi="宋体"/>
          <w:color w:val="auto"/>
          <w:highlight w:val="none"/>
        </w:rPr>
        <w:t>果有异议的，应当在中标候选人公示期间提出。招标人将在收到异议之日起3日内作出答复；作出答复前，将暂停招标投标活动。</w:t>
      </w:r>
    </w:p>
    <w:p>
      <w:pPr>
        <w:spacing w:before="240" w:beforeLines="100" w:after="240" w:afterLines="100"/>
        <w:rPr>
          <w:rFonts w:ascii="宋体" w:hAnsi="宋体"/>
          <w:b/>
          <w:color w:val="auto"/>
          <w:sz w:val="28"/>
          <w:szCs w:val="28"/>
          <w:highlight w:val="none"/>
        </w:rPr>
      </w:pPr>
      <w:bookmarkStart w:id="268" w:name="_Toc515205236"/>
      <w:bookmarkStart w:id="269" w:name="_Toc529196563"/>
      <w:r>
        <w:rPr>
          <w:rFonts w:hint="eastAsia" w:ascii="宋体" w:hAnsi="宋体"/>
          <w:b/>
          <w:color w:val="auto"/>
          <w:sz w:val="28"/>
          <w:szCs w:val="28"/>
          <w:highlight w:val="none"/>
        </w:rPr>
        <w:t>7.3 中标候选人履约能力审查</w:t>
      </w:r>
      <w:bookmarkEnd w:id="268"/>
      <w:bookmarkEnd w:id="269"/>
    </w:p>
    <w:p>
      <w:pPr>
        <w:spacing w:line="360" w:lineRule="auto"/>
        <w:ind w:firstLine="420" w:firstLineChars="200"/>
        <w:rPr>
          <w:rFonts w:ascii="宋体" w:hAnsi="宋体"/>
          <w:color w:val="auto"/>
          <w:highlight w:val="none"/>
        </w:rPr>
      </w:pPr>
      <w:r>
        <w:rPr>
          <w:rFonts w:hint="eastAsia" w:ascii="宋体" w:hAnsi="宋体"/>
          <w:color w:val="auto"/>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spacing w:before="240" w:beforeLines="100" w:after="240" w:afterLines="100"/>
        <w:rPr>
          <w:rFonts w:ascii="宋体" w:hAnsi="宋体"/>
          <w:b/>
          <w:color w:val="auto"/>
          <w:sz w:val="28"/>
          <w:szCs w:val="28"/>
          <w:highlight w:val="none"/>
        </w:rPr>
      </w:pPr>
      <w:bookmarkStart w:id="270" w:name="_Toc529196564"/>
      <w:bookmarkStart w:id="271" w:name="_Toc515205237"/>
      <w:r>
        <w:rPr>
          <w:rFonts w:hint="eastAsia" w:ascii="宋体" w:hAnsi="宋体"/>
          <w:b/>
          <w:color w:val="auto"/>
          <w:sz w:val="28"/>
          <w:szCs w:val="28"/>
          <w:highlight w:val="none"/>
        </w:rPr>
        <w:t>7.4 定标</w:t>
      </w:r>
      <w:bookmarkEnd w:id="270"/>
      <w:bookmarkEnd w:id="271"/>
    </w:p>
    <w:p>
      <w:pPr>
        <w:spacing w:line="360" w:lineRule="auto"/>
        <w:ind w:firstLine="420" w:firstLineChars="200"/>
        <w:rPr>
          <w:rFonts w:ascii="宋体" w:hAnsi="宋体"/>
          <w:color w:val="auto"/>
          <w:highlight w:val="none"/>
        </w:rPr>
      </w:pPr>
      <w:r>
        <w:rPr>
          <w:rFonts w:hint="eastAsia" w:ascii="宋体" w:hAnsi="宋体"/>
          <w:color w:val="auto"/>
          <w:highlight w:val="none"/>
        </w:rPr>
        <w:t>按照投标人须知前附表的规定，招标人或招标人授权的评标委员会依法确定中标人。</w:t>
      </w:r>
    </w:p>
    <w:p>
      <w:pPr>
        <w:spacing w:before="240" w:beforeLines="100" w:after="240" w:afterLines="100"/>
        <w:rPr>
          <w:rFonts w:ascii="宋体" w:hAnsi="宋体"/>
          <w:b/>
          <w:color w:val="auto"/>
          <w:sz w:val="28"/>
          <w:szCs w:val="28"/>
          <w:highlight w:val="none"/>
        </w:rPr>
      </w:pPr>
      <w:bookmarkStart w:id="272" w:name="_Toc529196565"/>
      <w:bookmarkStart w:id="273" w:name="_Toc515205238"/>
      <w:r>
        <w:rPr>
          <w:rFonts w:hint="eastAsia" w:ascii="宋体" w:hAnsi="宋体"/>
          <w:b/>
          <w:color w:val="auto"/>
          <w:sz w:val="28"/>
          <w:szCs w:val="28"/>
          <w:highlight w:val="none"/>
        </w:rPr>
        <w:t>7.5 中标通知</w:t>
      </w:r>
      <w:bookmarkEnd w:id="272"/>
      <w:bookmarkEnd w:id="273"/>
    </w:p>
    <w:p>
      <w:pPr>
        <w:spacing w:line="360" w:lineRule="auto"/>
        <w:ind w:firstLine="420" w:firstLineChars="200"/>
        <w:rPr>
          <w:rFonts w:ascii="宋体" w:hAnsi="宋体"/>
          <w:color w:val="auto"/>
          <w:highlight w:val="none"/>
        </w:rPr>
      </w:pPr>
      <w:r>
        <w:rPr>
          <w:rFonts w:hint="eastAsia" w:ascii="宋体" w:hAnsi="宋体"/>
          <w:color w:val="auto"/>
          <w:highlight w:val="none"/>
        </w:rPr>
        <w:t>在本章第3.3款规定的投标有效期内，招标人以书面形式向中标人发出中标</w:t>
      </w:r>
      <w:bookmarkStart w:id="274" w:name="_Toc300834983"/>
      <w:bookmarkStart w:id="275" w:name="_Toc352691506"/>
      <w:bookmarkStart w:id="276" w:name="_Toc5668"/>
      <w:bookmarkStart w:id="277" w:name="_Toc384308244"/>
      <w:bookmarkStart w:id="278" w:name="_Toc369531550"/>
      <w:bookmarkStart w:id="279" w:name="_Toc361508619"/>
      <w:r>
        <w:rPr>
          <w:rFonts w:hint="eastAsia" w:ascii="宋体" w:hAnsi="宋体"/>
          <w:color w:val="auto"/>
          <w:highlight w:val="none"/>
        </w:rPr>
        <w:t>通知书，同时将中</w:t>
      </w:r>
      <w:bookmarkEnd w:id="274"/>
      <w:bookmarkEnd w:id="275"/>
      <w:bookmarkEnd w:id="276"/>
      <w:bookmarkEnd w:id="277"/>
      <w:bookmarkEnd w:id="278"/>
      <w:bookmarkEnd w:id="279"/>
      <w:r>
        <w:rPr>
          <w:rFonts w:hint="eastAsia" w:ascii="宋体" w:hAnsi="宋体"/>
          <w:color w:val="auto"/>
          <w:highlight w:val="none"/>
        </w:rPr>
        <w:t>标结果通知未中标的投标人。</w:t>
      </w:r>
    </w:p>
    <w:p>
      <w:pPr>
        <w:spacing w:before="240" w:beforeLines="100" w:after="240" w:afterLines="100"/>
        <w:rPr>
          <w:rFonts w:ascii="宋体" w:hAnsi="宋体"/>
          <w:b/>
          <w:color w:val="auto"/>
          <w:sz w:val="28"/>
          <w:szCs w:val="28"/>
          <w:highlight w:val="none"/>
        </w:rPr>
      </w:pPr>
      <w:bookmarkStart w:id="280" w:name="_Toc515205239"/>
      <w:bookmarkStart w:id="281" w:name="_Toc529196566"/>
      <w:r>
        <w:rPr>
          <w:rFonts w:hint="eastAsia" w:ascii="宋体" w:hAnsi="宋体"/>
          <w:b/>
          <w:color w:val="auto"/>
          <w:sz w:val="28"/>
          <w:szCs w:val="28"/>
          <w:highlight w:val="none"/>
        </w:rPr>
        <w:t>7.6 履约保证金</w:t>
      </w:r>
      <w:bookmarkEnd w:id="280"/>
      <w:bookmarkEnd w:id="281"/>
    </w:p>
    <w:p>
      <w:pPr>
        <w:spacing w:line="360" w:lineRule="auto"/>
        <w:ind w:firstLine="420" w:firstLineChars="200"/>
        <w:rPr>
          <w:rFonts w:ascii="宋体" w:hAnsi="宋体"/>
          <w:color w:val="auto"/>
          <w:highlight w:val="none"/>
        </w:rPr>
      </w:pPr>
      <w:r>
        <w:rPr>
          <w:rFonts w:hint="eastAsia" w:ascii="宋体" w:hAnsi="宋体"/>
          <w:color w:val="auto"/>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7.6.2 中标人不能按本章第7.6.1项要求提交履约保证金的，视为放弃中标，其投标保证金不予退还，给招标人造成的损失超过投标保证金数额的，中标人还应当对超过部分予以赔偿。</w:t>
      </w:r>
    </w:p>
    <w:p>
      <w:pPr>
        <w:pStyle w:val="2"/>
        <w:rPr>
          <w:rFonts w:hint="default" w:eastAsia="宋体"/>
          <w:lang w:val="en-US" w:eastAsia="zh-CN"/>
        </w:rPr>
      </w:pPr>
      <w:r>
        <w:rPr>
          <w:rFonts w:hint="eastAsia" w:ascii="宋体" w:hAnsi="宋体"/>
          <w:color w:val="auto"/>
          <w:highlight w:val="none"/>
          <w:lang w:val="en-US" w:eastAsia="zh-CN"/>
        </w:rPr>
        <w:t>7.6.3支付担保金额及提交方式详见投标人须知前附表。</w:t>
      </w:r>
    </w:p>
    <w:p>
      <w:pPr>
        <w:spacing w:before="240" w:beforeLines="100" w:after="240" w:afterLines="100"/>
        <w:rPr>
          <w:rFonts w:ascii="宋体" w:hAnsi="宋体"/>
          <w:b/>
          <w:color w:val="auto"/>
          <w:sz w:val="28"/>
          <w:szCs w:val="28"/>
          <w:highlight w:val="none"/>
        </w:rPr>
      </w:pPr>
      <w:bookmarkStart w:id="282" w:name="_Toc529196567"/>
      <w:bookmarkStart w:id="283" w:name="_Toc515205240"/>
      <w:r>
        <w:rPr>
          <w:rFonts w:hint="eastAsia" w:ascii="宋体" w:hAnsi="宋体"/>
          <w:b/>
          <w:color w:val="auto"/>
          <w:sz w:val="28"/>
          <w:szCs w:val="28"/>
          <w:highlight w:val="none"/>
        </w:rPr>
        <w:t>7.7 签订合同</w:t>
      </w:r>
      <w:bookmarkEnd w:id="282"/>
      <w:bookmarkEnd w:id="283"/>
    </w:p>
    <w:p>
      <w:pPr>
        <w:spacing w:line="360" w:lineRule="auto"/>
        <w:ind w:firstLine="420" w:firstLineChars="200"/>
        <w:rPr>
          <w:rFonts w:ascii="宋体" w:hAnsi="宋体"/>
          <w:color w:val="auto"/>
          <w:highlight w:val="none"/>
        </w:rPr>
      </w:pPr>
      <w:r>
        <w:rPr>
          <w:rFonts w:hint="eastAsia" w:ascii="宋体" w:hAnsi="宋体"/>
          <w:color w:val="auto"/>
          <w:highlight w:val="none"/>
        </w:rPr>
        <w:t>7.7.1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line="360" w:lineRule="auto"/>
        <w:ind w:firstLine="420" w:firstLineChars="200"/>
        <w:rPr>
          <w:rFonts w:ascii="宋体" w:hAnsi="宋体"/>
          <w:color w:val="auto"/>
          <w:highlight w:val="none"/>
        </w:rPr>
      </w:pPr>
      <w:r>
        <w:rPr>
          <w:rFonts w:hint="eastAsia" w:ascii="宋体" w:hAnsi="宋体"/>
          <w:color w:val="auto"/>
          <w:highlight w:val="none"/>
        </w:rPr>
        <w:t>7.7.2 发出中标通知书后，招标人无正当理由拒签合同，或者在签订合同时向中标人提出附加条件的，招标人向中标人退还投标保证金；给中标人造成损失的，还应当赔偿损失。</w:t>
      </w:r>
    </w:p>
    <w:p>
      <w:pPr>
        <w:spacing w:line="360" w:lineRule="auto"/>
        <w:ind w:firstLine="420" w:firstLineChars="200"/>
        <w:rPr>
          <w:rFonts w:ascii="宋体" w:hAnsi="宋体"/>
          <w:color w:val="auto"/>
          <w:highlight w:val="none"/>
        </w:rPr>
      </w:pPr>
      <w:r>
        <w:rPr>
          <w:rFonts w:hint="eastAsia" w:ascii="宋体" w:hAnsi="宋体"/>
          <w:color w:val="auto"/>
          <w:highlight w:val="none"/>
        </w:rPr>
        <w:t>7.7.3联合体中标的，联合体各方应当共同与招标人签订合同，就中标项目向招标人承担连带责任。</w:t>
      </w:r>
    </w:p>
    <w:p>
      <w:pPr>
        <w:spacing w:before="260"/>
        <w:outlineLvl w:val="2"/>
        <w:rPr>
          <w:color w:val="auto"/>
          <w:highlight w:val="none"/>
        </w:rPr>
      </w:pPr>
      <w:bookmarkStart w:id="284" w:name="_Toc24067"/>
      <w:bookmarkStart w:id="285" w:name="_Toc384308252"/>
      <w:bookmarkStart w:id="286" w:name="_Toc361508627"/>
      <w:bookmarkStart w:id="287" w:name="_Toc529196568"/>
      <w:bookmarkStart w:id="288" w:name="_Toc515205241"/>
      <w:bookmarkStart w:id="289" w:name="_Toc152042344"/>
      <w:bookmarkStart w:id="290" w:name="_Toc300834991"/>
      <w:bookmarkStart w:id="291" w:name="_Toc247513992"/>
      <w:bookmarkStart w:id="292" w:name="_Toc144974536"/>
      <w:bookmarkStart w:id="293" w:name="_Toc247527593"/>
      <w:bookmarkStart w:id="294" w:name="_Toc152045568"/>
      <w:r>
        <w:rPr>
          <w:rFonts w:hint="eastAsia" w:ascii="宋体" w:hAnsi="宋体"/>
          <w:b/>
          <w:color w:val="auto"/>
          <w:sz w:val="32"/>
          <w:szCs w:val="32"/>
          <w:highlight w:val="none"/>
        </w:rPr>
        <w:t>8.</w:t>
      </w:r>
      <w:bookmarkEnd w:id="284"/>
      <w:bookmarkEnd w:id="285"/>
      <w:bookmarkEnd w:id="286"/>
      <w:r>
        <w:rPr>
          <w:rFonts w:hint="eastAsia" w:ascii="宋体" w:hAnsi="宋体"/>
          <w:b/>
          <w:color w:val="auto"/>
          <w:sz w:val="32"/>
          <w:szCs w:val="32"/>
          <w:highlight w:val="none"/>
        </w:rPr>
        <w:t>纪律和监督</w:t>
      </w:r>
      <w:bookmarkEnd w:id="287"/>
      <w:bookmarkEnd w:id="288"/>
    </w:p>
    <w:p>
      <w:pPr>
        <w:spacing w:before="240" w:beforeLines="100" w:after="240" w:afterLines="100"/>
        <w:rPr>
          <w:rFonts w:ascii="宋体" w:hAnsi="宋体"/>
          <w:b/>
          <w:color w:val="auto"/>
          <w:sz w:val="28"/>
          <w:szCs w:val="28"/>
          <w:highlight w:val="none"/>
        </w:rPr>
      </w:pPr>
      <w:bookmarkStart w:id="295" w:name="_Toc515205242"/>
      <w:bookmarkStart w:id="296" w:name="_Toc529196569"/>
      <w:r>
        <w:rPr>
          <w:rFonts w:hint="eastAsia" w:ascii="宋体" w:hAnsi="宋体"/>
          <w:b/>
          <w:color w:val="auto"/>
          <w:sz w:val="28"/>
          <w:szCs w:val="28"/>
          <w:highlight w:val="none"/>
        </w:rPr>
        <w:t>8.1 对招标人的纪律要求</w:t>
      </w:r>
      <w:bookmarkEnd w:id="295"/>
      <w:bookmarkEnd w:id="296"/>
    </w:p>
    <w:p>
      <w:pPr>
        <w:spacing w:line="360" w:lineRule="auto"/>
        <w:ind w:firstLine="420" w:firstLineChars="200"/>
        <w:rPr>
          <w:rFonts w:ascii="宋体" w:hAnsi="宋体"/>
          <w:color w:val="auto"/>
          <w:highlight w:val="none"/>
        </w:rPr>
      </w:pPr>
      <w:r>
        <w:rPr>
          <w:rFonts w:hint="eastAsia" w:ascii="宋体" w:hAnsi="宋体"/>
          <w:color w:val="auto"/>
          <w:highlight w:val="none"/>
        </w:rPr>
        <w:t>招标人不得泄露招标投标活动中应当保密的情况和资料，不得与投标人串通损害国家利益、社会公共利益或者他人合法权益。</w:t>
      </w:r>
    </w:p>
    <w:p>
      <w:pPr>
        <w:spacing w:before="240" w:beforeLines="100" w:after="240" w:afterLines="100"/>
        <w:rPr>
          <w:rFonts w:ascii="宋体" w:hAnsi="宋体"/>
          <w:b/>
          <w:color w:val="auto"/>
          <w:sz w:val="28"/>
          <w:szCs w:val="28"/>
          <w:highlight w:val="none"/>
        </w:rPr>
      </w:pPr>
      <w:bookmarkStart w:id="297" w:name="_Toc515205243"/>
      <w:bookmarkStart w:id="298" w:name="_Toc529196570"/>
      <w:r>
        <w:rPr>
          <w:rFonts w:hint="eastAsia" w:ascii="宋体" w:hAnsi="宋体"/>
          <w:b/>
          <w:color w:val="auto"/>
          <w:sz w:val="28"/>
          <w:szCs w:val="28"/>
          <w:highlight w:val="none"/>
        </w:rPr>
        <w:t>8.2 对投标人的纪律要求</w:t>
      </w:r>
      <w:bookmarkEnd w:id="297"/>
      <w:bookmarkEnd w:id="298"/>
    </w:p>
    <w:p>
      <w:pPr>
        <w:spacing w:line="360" w:lineRule="auto"/>
        <w:ind w:firstLine="420" w:firstLineChars="200"/>
        <w:rPr>
          <w:rFonts w:ascii="宋体" w:hAnsi="宋体"/>
          <w:color w:val="auto"/>
          <w:highlight w:val="none"/>
        </w:rPr>
      </w:pPr>
      <w:r>
        <w:rPr>
          <w:rFonts w:hint="eastAsia" w:ascii="宋体" w:hAnsi="宋体"/>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before="240" w:beforeLines="100" w:after="240" w:afterLines="100"/>
        <w:rPr>
          <w:rFonts w:ascii="宋体" w:hAnsi="宋体"/>
          <w:b/>
          <w:color w:val="auto"/>
          <w:sz w:val="28"/>
          <w:szCs w:val="28"/>
          <w:highlight w:val="none"/>
        </w:rPr>
      </w:pPr>
      <w:bookmarkStart w:id="299" w:name="_Toc515205244"/>
      <w:bookmarkStart w:id="300" w:name="_Toc529196571"/>
      <w:r>
        <w:rPr>
          <w:rFonts w:hint="eastAsia" w:ascii="宋体" w:hAnsi="宋体"/>
          <w:b/>
          <w:color w:val="auto"/>
          <w:sz w:val="28"/>
          <w:szCs w:val="28"/>
          <w:highlight w:val="none"/>
        </w:rPr>
        <w:t>8.3 对评标委员会成员的纪律要求</w:t>
      </w:r>
      <w:bookmarkEnd w:id="299"/>
      <w:bookmarkEnd w:id="300"/>
    </w:p>
    <w:p>
      <w:pPr>
        <w:spacing w:line="360" w:lineRule="auto"/>
        <w:ind w:firstLine="420" w:firstLineChars="200"/>
        <w:rPr>
          <w:rFonts w:ascii="宋体" w:hAnsi="宋体"/>
          <w:color w:val="auto"/>
          <w:highlight w:val="none"/>
        </w:rPr>
      </w:pPr>
      <w:r>
        <w:rPr>
          <w:rFonts w:hint="eastAsia" w:ascii="宋体" w:hAnsi="宋体"/>
          <w:color w:val="auto"/>
          <w:highlight w:val="none"/>
        </w:rPr>
        <w:t>评标委员会成员不得收受他人的财物或者其他好处，不得向他人透露对投标文件的评审</w:t>
      </w:r>
      <w:bookmarkStart w:id="301" w:name="_Toc361508628"/>
      <w:bookmarkStart w:id="302" w:name="_Toc384308253"/>
      <w:bookmarkStart w:id="303" w:name="_Toc13644"/>
      <w:bookmarkStart w:id="304" w:name="_Toc352691515"/>
      <w:bookmarkStart w:id="305" w:name="_Toc369531559"/>
      <w:r>
        <w:rPr>
          <w:rFonts w:hint="eastAsia" w:ascii="宋体" w:hAnsi="宋体"/>
          <w:color w:val="auto"/>
          <w:highlight w:val="none"/>
        </w:rPr>
        <w:t>和比较、中标候选人</w:t>
      </w:r>
      <w:bookmarkEnd w:id="289"/>
      <w:bookmarkEnd w:id="290"/>
      <w:bookmarkEnd w:id="291"/>
      <w:bookmarkEnd w:id="292"/>
      <w:bookmarkEnd w:id="293"/>
      <w:bookmarkEnd w:id="294"/>
      <w:bookmarkEnd w:id="301"/>
      <w:bookmarkEnd w:id="302"/>
      <w:bookmarkEnd w:id="303"/>
      <w:bookmarkEnd w:id="304"/>
      <w:bookmarkEnd w:id="305"/>
      <w:r>
        <w:rPr>
          <w:rFonts w:hint="eastAsia" w:ascii="宋体" w:hAnsi="宋体"/>
          <w:color w:val="auto"/>
          <w:highlight w:val="none"/>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before="240" w:beforeLines="100" w:after="240" w:afterLines="100"/>
        <w:rPr>
          <w:rFonts w:ascii="宋体" w:hAnsi="宋体"/>
          <w:b/>
          <w:color w:val="auto"/>
          <w:sz w:val="28"/>
          <w:szCs w:val="28"/>
          <w:highlight w:val="none"/>
        </w:rPr>
      </w:pPr>
      <w:bookmarkStart w:id="306" w:name="_Toc515205245"/>
      <w:bookmarkStart w:id="307" w:name="_Toc529196572"/>
      <w:r>
        <w:rPr>
          <w:rFonts w:hint="eastAsia" w:ascii="宋体" w:hAnsi="宋体"/>
          <w:b/>
          <w:color w:val="auto"/>
          <w:sz w:val="28"/>
          <w:szCs w:val="28"/>
          <w:highlight w:val="none"/>
        </w:rPr>
        <w:t>8.4 对与评标活动有关的工作人员的纪律要求</w:t>
      </w:r>
      <w:bookmarkEnd w:id="306"/>
      <w:bookmarkEnd w:id="307"/>
    </w:p>
    <w:p>
      <w:pPr>
        <w:spacing w:line="360" w:lineRule="auto"/>
        <w:ind w:firstLine="420" w:firstLineChars="200"/>
        <w:rPr>
          <w:rFonts w:ascii="宋体" w:hAnsi="宋体"/>
          <w:color w:val="auto"/>
          <w:highlight w:val="none"/>
        </w:rPr>
      </w:pPr>
      <w:r>
        <w:rPr>
          <w:rFonts w:hint="eastAsia" w:ascii="宋体" w:hAnsi="宋体"/>
          <w:color w:val="auto"/>
          <w:highlight w:val="none"/>
        </w:rPr>
        <w:t>与评标活动有关的工作人员不得收受他人的财物或者其他好处，不得向他人透露对投标文件</w:t>
      </w:r>
      <w:bookmarkStart w:id="308" w:name="_Toc384308254"/>
      <w:bookmarkStart w:id="309" w:name="_Toc352691516"/>
      <w:bookmarkStart w:id="310" w:name="_Toc144974537"/>
      <w:bookmarkStart w:id="311" w:name="_Toc19429"/>
      <w:bookmarkStart w:id="312" w:name="_Toc152045569"/>
      <w:bookmarkStart w:id="313" w:name="_Toc361508629"/>
      <w:bookmarkStart w:id="314" w:name="_Toc369531560"/>
      <w:bookmarkStart w:id="315" w:name="_Toc152042345"/>
      <w:bookmarkStart w:id="316" w:name="_Toc300834992"/>
      <w:bookmarkStart w:id="317" w:name="_Toc247513993"/>
      <w:bookmarkStart w:id="318" w:name="_Toc247527594"/>
      <w:r>
        <w:rPr>
          <w:rFonts w:hint="eastAsia" w:ascii="宋体" w:hAnsi="宋体"/>
          <w:color w:val="auto"/>
          <w:highlight w:val="none"/>
        </w:rPr>
        <w:t>的评审和比较、中标</w:t>
      </w:r>
      <w:bookmarkEnd w:id="308"/>
      <w:bookmarkEnd w:id="309"/>
      <w:bookmarkEnd w:id="310"/>
      <w:bookmarkEnd w:id="311"/>
      <w:bookmarkEnd w:id="312"/>
      <w:bookmarkEnd w:id="313"/>
      <w:bookmarkEnd w:id="314"/>
      <w:bookmarkEnd w:id="315"/>
      <w:bookmarkEnd w:id="316"/>
      <w:bookmarkEnd w:id="317"/>
      <w:bookmarkEnd w:id="318"/>
      <w:r>
        <w:rPr>
          <w:rFonts w:hint="eastAsia" w:ascii="宋体" w:hAnsi="宋体"/>
          <w:color w:val="auto"/>
          <w:highlight w:val="none"/>
        </w:rPr>
        <w:t>候选人的推荐情况以及评标有关的其他情况。在评标活动中，与评标活动有关的工作人员不得擅离职守，影响评标程序正常进行。</w:t>
      </w:r>
    </w:p>
    <w:p>
      <w:pPr>
        <w:spacing w:before="240" w:beforeLines="100" w:after="240" w:afterLines="100"/>
        <w:rPr>
          <w:rFonts w:ascii="宋体" w:hAnsi="宋体"/>
          <w:b/>
          <w:color w:val="auto"/>
          <w:sz w:val="28"/>
          <w:szCs w:val="28"/>
          <w:highlight w:val="none"/>
        </w:rPr>
      </w:pPr>
      <w:bookmarkStart w:id="319" w:name="_Toc529196573"/>
      <w:bookmarkStart w:id="320" w:name="_Toc515205246"/>
      <w:r>
        <w:rPr>
          <w:rFonts w:hint="eastAsia" w:ascii="宋体" w:hAnsi="宋体"/>
          <w:b/>
          <w:color w:val="auto"/>
          <w:sz w:val="28"/>
          <w:szCs w:val="28"/>
          <w:highlight w:val="none"/>
        </w:rPr>
        <w:t>8.5 投诉</w:t>
      </w:r>
      <w:bookmarkEnd w:id="319"/>
      <w:bookmarkEnd w:id="320"/>
    </w:p>
    <w:p>
      <w:pPr>
        <w:spacing w:line="360" w:lineRule="auto"/>
        <w:ind w:firstLine="420" w:firstLineChars="200"/>
        <w:rPr>
          <w:rFonts w:ascii="宋体" w:hAnsi="宋体"/>
          <w:color w:val="auto"/>
          <w:highlight w:val="none"/>
        </w:rPr>
      </w:pPr>
      <w:r>
        <w:rPr>
          <w:rFonts w:hint="eastAsia" w:ascii="宋体" w:hAnsi="宋体"/>
          <w:color w:val="auto"/>
          <w:highlight w:val="none"/>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20" w:firstLineChars="200"/>
        <w:rPr>
          <w:rFonts w:ascii="宋体" w:hAnsi="宋体"/>
          <w:color w:val="auto"/>
          <w:highlight w:val="none"/>
        </w:rPr>
      </w:pPr>
      <w:r>
        <w:rPr>
          <w:rFonts w:hint="eastAsia" w:ascii="宋体" w:hAnsi="宋体"/>
          <w:color w:val="auto"/>
          <w:highlight w:val="none"/>
        </w:rPr>
        <w:t>8.5.2 投标人或者其他利害关系人对招标文件、开标和评标结果提出投诉的，应当按照投标人须知第2.4款、第5.3款和第7.2款的规定先向招标人提出异议。异议答复期间</w:t>
      </w:r>
      <w:bookmarkStart w:id="321" w:name="_Toc361508630"/>
      <w:bookmarkStart w:id="322" w:name="_Toc144974538"/>
      <w:bookmarkStart w:id="323" w:name="_Toc247513994"/>
      <w:bookmarkStart w:id="324" w:name="_Toc384308255"/>
      <w:bookmarkStart w:id="325" w:name="_Toc369531561"/>
      <w:bookmarkStart w:id="326" w:name="_Toc12776"/>
      <w:bookmarkStart w:id="327" w:name="_Toc152045570"/>
      <w:bookmarkStart w:id="328" w:name="_Toc247527595"/>
      <w:bookmarkStart w:id="329" w:name="_Toc352691517"/>
      <w:bookmarkStart w:id="330" w:name="_Toc300834993"/>
      <w:bookmarkStart w:id="331" w:name="_Toc152042346"/>
      <w:r>
        <w:rPr>
          <w:rFonts w:hint="eastAsia" w:ascii="宋体" w:hAnsi="宋体"/>
          <w:color w:val="auto"/>
          <w:highlight w:val="none"/>
        </w:rPr>
        <w:t>不计算在第8.5.</w:t>
      </w:r>
      <w:bookmarkEnd w:id="321"/>
      <w:bookmarkEnd w:id="322"/>
      <w:bookmarkEnd w:id="323"/>
      <w:bookmarkEnd w:id="324"/>
      <w:bookmarkEnd w:id="325"/>
      <w:bookmarkEnd w:id="326"/>
      <w:bookmarkEnd w:id="327"/>
      <w:bookmarkEnd w:id="328"/>
      <w:bookmarkEnd w:id="329"/>
      <w:bookmarkEnd w:id="330"/>
      <w:bookmarkEnd w:id="331"/>
      <w:r>
        <w:rPr>
          <w:rFonts w:hint="eastAsia" w:ascii="宋体" w:hAnsi="宋体"/>
          <w:color w:val="auto"/>
          <w:highlight w:val="none"/>
        </w:rPr>
        <w:t>1项规定的期限内。</w:t>
      </w:r>
    </w:p>
    <w:p>
      <w:pPr>
        <w:spacing w:before="260"/>
        <w:outlineLvl w:val="2"/>
        <w:rPr>
          <w:rFonts w:ascii="宋体" w:hAnsi="宋体"/>
          <w:b/>
          <w:color w:val="auto"/>
          <w:sz w:val="32"/>
          <w:szCs w:val="32"/>
          <w:highlight w:val="none"/>
        </w:rPr>
      </w:pPr>
      <w:bookmarkStart w:id="332" w:name="_Toc477134992"/>
      <w:bookmarkStart w:id="333" w:name="_Toc529196574"/>
      <w:bookmarkStart w:id="334" w:name="_Toc515205247"/>
      <w:r>
        <w:rPr>
          <w:rFonts w:hint="eastAsia" w:ascii="宋体" w:hAnsi="宋体"/>
          <w:b/>
          <w:color w:val="auto"/>
          <w:sz w:val="32"/>
          <w:szCs w:val="32"/>
          <w:highlight w:val="none"/>
        </w:rPr>
        <w:t>9. 是否采用电子招标投标</w:t>
      </w:r>
      <w:bookmarkEnd w:id="332"/>
      <w:bookmarkEnd w:id="333"/>
      <w:bookmarkEnd w:id="334"/>
    </w:p>
    <w:p>
      <w:pPr>
        <w:spacing w:before="240" w:beforeLines="100" w:line="360" w:lineRule="auto"/>
        <w:ind w:firstLine="420" w:firstLineChars="200"/>
        <w:rPr>
          <w:rFonts w:ascii="宋体" w:hAnsi="宋体"/>
          <w:color w:val="auto"/>
          <w:highlight w:val="none"/>
        </w:rPr>
      </w:pPr>
      <w:r>
        <w:rPr>
          <w:rFonts w:hint="eastAsia" w:ascii="宋体" w:hAnsi="宋体"/>
          <w:color w:val="auto"/>
          <w:highlight w:val="none"/>
        </w:rPr>
        <w:t>本招标项目是否采用电子招标投标方式，见投标人须知前附表。</w:t>
      </w:r>
    </w:p>
    <w:p>
      <w:pPr>
        <w:spacing w:before="260"/>
        <w:outlineLvl w:val="2"/>
        <w:rPr>
          <w:rFonts w:ascii="宋体" w:hAnsi="宋体"/>
          <w:b/>
          <w:color w:val="auto"/>
          <w:sz w:val="32"/>
          <w:szCs w:val="32"/>
          <w:highlight w:val="none"/>
        </w:rPr>
      </w:pPr>
      <w:bookmarkStart w:id="335" w:name="_Toc515205248"/>
      <w:bookmarkStart w:id="336" w:name="_Toc529196575"/>
      <w:r>
        <w:rPr>
          <w:rFonts w:hint="eastAsia" w:ascii="宋体" w:hAnsi="宋体"/>
          <w:b/>
          <w:color w:val="auto"/>
          <w:sz w:val="32"/>
          <w:szCs w:val="32"/>
          <w:highlight w:val="none"/>
        </w:rPr>
        <w:t>10. 需要补充的其他内容</w:t>
      </w:r>
      <w:bookmarkEnd w:id="335"/>
      <w:bookmarkEnd w:id="336"/>
    </w:p>
    <w:p>
      <w:pPr>
        <w:spacing w:before="240" w:beforeLines="100"/>
        <w:ind w:firstLine="420" w:firstLineChars="200"/>
        <w:rPr>
          <w:rFonts w:ascii="宋体" w:hAnsi="宋体"/>
          <w:color w:val="auto"/>
          <w:sz w:val="18"/>
          <w:highlight w:val="none"/>
        </w:rPr>
      </w:pPr>
      <w:r>
        <w:rPr>
          <w:rFonts w:hint="eastAsia" w:ascii="宋体" w:hAnsi="宋体"/>
          <w:color w:val="auto"/>
          <w:highlight w:val="none"/>
        </w:rPr>
        <w:t>见投标人须知前附表。</w:t>
      </w:r>
    </w:p>
    <w:p>
      <w:pPr>
        <w:widowControl/>
        <w:jc w:val="left"/>
        <w:rPr>
          <w:color w:val="auto"/>
          <w:highlight w:val="none"/>
        </w:rPr>
        <w:sectPr>
          <w:pgSz w:w="12240" w:h="15840"/>
          <w:pgMar w:top="1440" w:right="1800" w:bottom="1440" w:left="1800" w:header="0" w:footer="567" w:gutter="0"/>
          <w:cols w:space="720" w:num="1"/>
          <w:rtlGutter w:val="1"/>
          <w:docGrid w:linePitch="286" w:charSpace="0"/>
        </w:sectPr>
      </w:pPr>
    </w:p>
    <w:p>
      <w:pPr>
        <w:spacing w:line="2" w:lineRule="exact"/>
        <w:rPr>
          <w:rFonts w:eastAsia="Times New Roman"/>
          <w:color w:val="auto"/>
          <w:highlight w:val="none"/>
        </w:rPr>
      </w:pPr>
    </w:p>
    <w:p>
      <w:pPr>
        <w:spacing w:after="240"/>
        <w:rPr>
          <w:b/>
          <w:color w:val="auto"/>
          <w:sz w:val="28"/>
          <w:highlight w:val="none"/>
        </w:rPr>
      </w:pPr>
      <w:bookmarkStart w:id="337" w:name="_Toc535938714"/>
      <w:bookmarkStart w:id="338" w:name="_Toc529196576"/>
      <w:bookmarkStart w:id="339" w:name="_Toc530470624"/>
      <w:r>
        <w:rPr>
          <w:rFonts w:hint="eastAsia"/>
          <w:b/>
          <w:color w:val="auto"/>
          <w:sz w:val="28"/>
          <w:szCs w:val="20"/>
          <w:highlight w:val="none"/>
        </w:rPr>
        <w:t>附件一：开标记录表</w:t>
      </w:r>
      <w:bookmarkEnd w:id="337"/>
      <w:bookmarkEnd w:id="338"/>
      <w:bookmarkEnd w:id="339"/>
      <w:r>
        <w:rPr>
          <w:rFonts w:hint="eastAsia"/>
          <w:b/>
          <w:color w:val="auto"/>
          <w:sz w:val="28"/>
          <w:highlight w:val="none"/>
        </w:rPr>
        <w:t>（按广州公共资源交易中心系统导出为准）</w:t>
      </w:r>
    </w:p>
    <w:p>
      <w:pPr>
        <w:spacing w:line="440" w:lineRule="exact"/>
        <w:jc w:val="center"/>
        <w:rPr>
          <w:rFonts w:ascii="宋体" w:hAnsi="宋体"/>
          <w:b/>
          <w:color w:val="auto"/>
          <w:sz w:val="28"/>
          <w:highlight w:val="none"/>
        </w:rPr>
      </w:pPr>
      <w:r>
        <w:rPr>
          <w:rFonts w:hint="eastAsia" w:ascii="宋体" w:hAnsi="宋体"/>
          <w:b/>
          <w:color w:val="auto"/>
          <w:sz w:val="28"/>
          <w:highlight w:val="none"/>
        </w:rPr>
        <w:t>开标记录表</w:t>
      </w:r>
    </w:p>
    <w:p>
      <w:pPr>
        <w:spacing w:before="120" w:beforeLines="50" w:after="120" w:afterLines="50" w:line="400" w:lineRule="exact"/>
        <w:ind w:right="525"/>
        <w:jc w:val="left"/>
        <w:rPr>
          <w:rFonts w:ascii="宋体" w:hAnsi="宋体"/>
          <w:color w:val="auto"/>
          <w:sz w:val="24"/>
          <w:szCs w:val="24"/>
          <w:highlight w:val="none"/>
        </w:rPr>
      </w:pPr>
      <w:r>
        <w:rPr>
          <w:rFonts w:hint="eastAsia" w:ascii="宋体" w:hAnsi="宋体"/>
          <w:color w:val="auto"/>
          <w:sz w:val="24"/>
          <w:szCs w:val="24"/>
          <w:highlight w:val="none"/>
        </w:rPr>
        <w:t>开标时间：年月日时分</w:t>
      </w:r>
    </w:p>
    <w:p>
      <w:pPr>
        <w:spacing w:before="120" w:beforeLines="50" w:after="120" w:afterLines="50" w:line="400" w:lineRule="exact"/>
        <w:ind w:right="420"/>
        <w:jc w:val="left"/>
        <w:rPr>
          <w:rFonts w:ascii="宋体" w:hAnsi="宋体"/>
          <w:color w:val="auto"/>
          <w:sz w:val="24"/>
          <w:szCs w:val="24"/>
          <w:highlight w:val="none"/>
        </w:rPr>
      </w:pPr>
      <w:r>
        <w:rPr>
          <w:rFonts w:hint="eastAsia" w:ascii="宋体" w:hAnsi="宋体"/>
          <w:color w:val="auto"/>
          <w:sz w:val="24"/>
          <w:szCs w:val="24"/>
          <w:highlight w:val="none"/>
        </w:rPr>
        <w:t>项目名称：</w:t>
      </w:r>
    </w:p>
    <w:tbl>
      <w:tblPr>
        <w:tblStyle w:val="22"/>
        <w:tblW w:w="9752" w:type="dxa"/>
        <w:tblInd w:w="0" w:type="dxa"/>
        <w:tblLayout w:type="fixed"/>
        <w:tblCellMar>
          <w:top w:w="0" w:type="dxa"/>
          <w:left w:w="108" w:type="dxa"/>
          <w:bottom w:w="0" w:type="dxa"/>
          <w:right w:w="108" w:type="dxa"/>
        </w:tblCellMar>
      </w:tblPr>
      <w:tblGrid>
        <w:gridCol w:w="488"/>
        <w:gridCol w:w="896"/>
        <w:gridCol w:w="709"/>
        <w:gridCol w:w="851"/>
        <w:gridCol w:w="993"/>
        <w:gridCol w:w="851"/>
        <w:gridCol w:w="849"/>
        <w:gridCol w:w="1134"/>
        <w:gridCol w:w="1131"/>
        <w:gridCol w:w="705"/>
        <w:gridCol w:w="1145"/>
      </w:tblGrid>
      <w:tr>
        <w:tblPrEx>
          <w:tblCellMar>
            <w:top w:w="0" w:type="dxa"/>
            <w:left w:w="108" w:type="dxa"/>
            <w:bottom w:w="0" w:type="dxa"/>
            <w:right w:w="108" w:type="dxa"/>
          </w:tblCellMar>
        </w:tblPrEx>
        <w:trPr>
          <w:trHeight w:val="850"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序号</w:t>
            </w:r>
          </w:p>
        </w:tc>
        <w:tc>
          <w:tcPr>
            <w:tcW w:w="896"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投标人</w:t>
            </w:r>
          </w:p>
        </w:tc>
        <w:tc>
          <w:tcPr>
            <w:tcW w:w="70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密封情况</w:t>
            </w:r>
          </w:p>
        </w:tc>
        <w:tc>
          <w:tcPr>
            <w:tcW w:w="85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strike/>
                <w:color w:val="auto"/>
                <w:highlight w:val="none"/>
              </w:rPr>
              <w:t>投标保证金</w:t>
            </w:r>
          </w:p>
        </w:tc>
        <w:tc>
          <w:tcPr>
            <w:tcW w:w="993" w:type="dxa"/>
            <w:tcBorders>
              <w:top w:val="single" w:color="auto" w:sz="4" w:space="0"/>
              <w:left w:val="single" w:color="auto" w:sz="4" w:space="0"/>
              <w:bottom w:val="single" w:color="auto" w:sz="4" w:space="0"/>
              <w:right w:val="single" w:color="auto" w:sz="4" w:space="0"/>
            </w:tcBorders>
            <w:vAlign w:val="center"/>
          </w:tcPr>
          <w:p>
            <w:pPr>
              <w:spacing w:line="276" w:lineRule="auto"/>
              <w:ind w:right="-13" w:rightChars="-6"/>
              <w:jc w:val="center"/>
              <w:rPr>
                <w:rFonts w:ascii="宋体" w:hAnsi="宋体"/>
                <w:color w:val="auto"/>
                <w:highlight w:val="none"/>
              </w:rPr>
            </w:pPr>
            <w:r>
              <w:rPr>
                <w:rFonts w:hint="eastAsia" w:ascii="宋体" w:hAnsi="宋体"/>
                <w:color w:val="auto"/>
                <w:highlight w:val="none"/>
              </w:rPr>
              <w:t>投标报价（元）</w:t>
            </w:r>
          </w:p>
        </w:tc>
        <w:tc>
          <w:tcPr>
            <w:tcW w:w="85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总监理工程师</w:t>
            </w:r>
          </w:p>
        </w:tc>
        <w:tc>
          <w:tcPr>
            <w:tcW w:w="84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监理服务期限</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投标文件递交情况</w:t>
            </w:r>
          </w:p>
        </w:tc>
        <w:tc>
          <w:tcPr>
            <w:tcW w:w="1131"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投标文件解密情况</w:t>
            </w:r>
          </w:p>
        </w:tc>
        <w:tc>
          <w:tcPr>
            <w:tcW w:w="70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备注</w:t>
            </w:r>
          </w:p>
        </w:tc>
        <w:tc>
          <w:tcPr>
            <w:tcW w:w="1145"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olor w:val="auto"/>
                <w:highlight w:val="none"/>
              </w:rPr>
            </w:pPr>
            <w:r>
              <w:rPr>
                <w:rFonts w:hint="eastAsia" w:ascii="宋体" w:hAnsi="宋体"/>
                <w:color w:val="auto"/>
                <w:highlight w:val="none"/>
              </w:rPr>
              <w:t>投标人</w:t>
            </w:r>
          </w:p>
          <w:p>
            <w:pPr>
              <w:spacing w:line="276" w:lineRule="auto"/>
              <w:jc w:val="center"/>
              <w:rPr>
                <w:rFonts w:ascii="宋体" w:hAnsi="宋体"/>
                <w:color w:val="auto"/>
                <w:highlight w:val="none"/>
              </w:rPr>
            </w:pPr>
            <w:r>
              <w:rPr>
                <w:rFonts w:hint="eastAsia" w:ascii="宋体" w:hAnsi="宋体"/>
                <w:color w:val="auto"/>
                <w:highlight w:val="none"/>
              </w:rPr>
              <w:t>代表签名</w:t>
            </w: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rPr>
          <w:trHeight w:val="502" w:hRule="atLeast"/>
        </w:trPr>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48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9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84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3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70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c>
          <w:tcPr>
            <w:tcW w:w="114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r>
        <w:tblPrEx>
          <w:tblCellMar>
            <w:top w:w="0" w:type="dxa"/>
            <w:left w:w="108" w:type="dxa"/>
            <w:bottom w:w="0" w:type="dxa"/>
            <w:right w:w="108" w:type="dxa"/>
          </w:tblCellMar>
        </w:tblPrEx>
        <w:tc>
          <w:tcPr>
            <w:tcW w:w="2093"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r>
              <w:rPr>
                <w:rFonts w:hint="eastAsia" w:ascii="宋体" w:hAnsi="宋体"/>
                <w:color w:val="auto"/>
                <w:highlight w:val="none"/>
              </w:rPr>
              <w:t>最高投标限价：</w:t>
            </w:r>
          </w:p>
        </w:tc>
        <w:tc>
          <w:tcPr>
            <w:tcW w:w="7659" w:type="dxa"/>
            <w:gridSpan w:val="8"/>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olor w:val="auto"/>
                <w:highlight w:val="none"/>
              </w:rPr>
            </w:pPr>
          </w:p>
        </w:tc>
      </w:tr>
    </w:tbl>
    <w:p>
      <w:pPr>
        <w:spacing w:line="440" w:lineRule="exact"/>
        <w:rPr>
          <w:rFonts w:ascii="宋体" w:hAnsi="宋体"/>
          <w:color w:val="auto"/>
          <w:highlight w:val="none"/>
        </w:rPr>
      </w:pPr>
    </w:p>
    <w:p>
      <w:pPr>
        <w:spacing w:line="620" w:lineRule="exact"/>
        <w:rPr>
          <w:rFonts w:ascii="宋体" w:hAnsi="宋体"/>
          <w:color w:val="auto"/>
          <w:sz w:val="24"/>
          <w:szCs w:val="24"/>
          <w:highlight w:val="none"/>
        </w:rPr>
      </w:pPr>
      <w:r>
        <w:rPr>
          <w:rFonts w:hint="eastAsia" w:ascii="宋体" w:hAnsi="宋体"/>
          <w:color w:val="auto"/>
          <w:sz w:val="24"/>
          <w:szCs w:val="24"/>
          <w:highlight w:val="none"/>
        </w:rPr>
        <w:t>招标人代表：记录人：监标人：</w:t>
      </w:r>
    </w:p>
    <w:p>
      <w:pPr>
        <w:wordWrap w:val="0"/>
        <w:spacing w:line="620" w:lineRule="exact"/>
        <w:jc w:val="right"/>
        <w:rPr>
          <w:rFonts w:ascii="宋体" w:hAnsi="宋体"/>
          <w:color w:val="auto"/>
          <w:sz w:val="24"/>
          <w:szCs w:val="24"/>
          <w:highlight w:val="none"/>
        </w:rPr>
      </w:pPr>
      <w:r>
        <w:rPr>
          <w:rFonts w:hint="eastAsia" w:ascii="宋体" w:hAnsi="宋体"/>
          <w:color w:val="auto"/>
          <w:sz w:val="24"/>
          <w:szCs w:val="24"/>
          <w:highlight w:val="none"/>
        </w:rPr>
        <w:t xml:space="preserve">   年月日</w:t>
      </w:r>
    </w:p>
    <w:p>
      <w:pPr>
        <w:rPr>
          <w:rFonts w:ascii="宋体" w:hAnsi="宋体"/>
          <w:color w:val="auto"/>
          <w:highlight w:val="none"/>
        </w:rPr>
      </w:pPr>
      <w:bookmarkStart w:id="340" w:name="_Toc529196577"/>
    </w:p>
    <w:p>
      <w:pPr>
        <w:rPr>
          <w:rFonts w:ascii="宋体" w:hAnsi="宋体"/>
          <w:color w:val="auto"/>
          <w:highlight w:val="none"/>
        </w:rPr>
      </w:pPr>
    </w:p>
    <w:p>
      <w:pPr>
        <w:spacing w:after="240"/>
        <w:rPr>
          <w:b/>
          <w:color w:val="auto"/>
          <w:sz w:val="28"/>
          <w:szCs w:val="20"/>
          <w:highlight w:val="none"/>
        </w:rPr>
      </w:pPr>
      <w:r>
        <w:rPr>
          <w:rFonts w:hint="eastAsia" w:ascii="宋体" w:hAnsi="宋体"/>
          <w:b/>
          <w:color w:val="auto"/>
          <w:sz w:val="28"/>
          <w:szCs w:val="20"/>
          <w:highlight w:val="none"/>
        </w:rPr>
        <w:br w:type="page"/>
      </w:r>
      <w:bookmarkStart w:id="341" w:name="_Toc530470625"/>
      <w:bookmarkStart w:id="342" w:name="_Toc535938715"/>
      <w:r>
        <w:rPr>
          <w:rFonts w:hint="eastAsia"/>
          <w:b/>
          <w:color w:val="auto"/>
          <w:sz w:val="28"/>
          <w:szCs w:val="20"/>
          <w:highlight w:val="none"/>
        </w:rPr>
        <w:t>附件二：问题澄清通知（按广州公共资源交易中心问题澄清通知格式）</w:t>
      </w:r>
      <w:bookmarkEnd w:id="340"/>
      <w:bookmarkEnd w:id="341"/>
      <w:bookmarkEnd w:id="342"/>
      <w:bookmarkStart w:id="343" w:name="_Toc152042355"/>
      <w:bookmarkStart w:id="344" w:name="_Toc144974546"/>
    </w:p>
    <w:p>
      <w:pPr>
        <w:spacing w:after="240"/>
        <w:rPr>
          <w:b/>
          <w:color w:val="auto"/>
          <w:sz w:val="28"/>
          <w:szCs w:val="20"/>
          <w:highlight w:val="none"/>
        </w:rPr>
      </w:pPr>
      <w:bookmarkStart w:id="345" w:name="_Toc530470626"/>
      <w:bookmarkStart w:id="346" w:name="_Toc529196578"/>
      <w:bookmarkStart w:id="347" w:name="_Toc535938716"/>
      <w:r>
        <w:rPr>
          <w:rFonts w:hint="eastAsia"/>
          <w:b/>
          <w:color w:val="auto"/>
          <w:sz w:val="28"/>
          <w:szCs w:val="20"/>
          <w:highlight w:val="none"/>
        </w:rPr>
        <w:t>附件三：问题的澄清</w:t>
      </w:r>
      <w:bookmarkEnd w:id="343"/>
      <w:bookmarkStart w:id="348" w:name="_Toc247514003"/>
      <w:bookmarkStart w:id="349" w:name="_Toc361508637"/>
      <w:bookmarkStart w:id="350" w:name="_Toc247527604"/>
      <w:bookmarkStart w:id="351" w:name="_Toc369531568"/>
      <w:bookmarkStart w:id="352" w:name="_Toc152045579"/>
      <w:bookmarkStart w:id="353" w:name="_Toc384308263"/>
      <w:bookmarkStart w:id="354" w:name="_Toc352691524"/>
      <w:bookmarkStart w:id="355" w:name="_Toc152042356"/>
      <w:bookmarkStart w:id="356" w:name="_Toc3622"/>
      <w:bookmarkStart w:id="357" w:name="_Toc300834999"/>
      <w:r>
        <w:rPr>
          <w:rFonts w:hint="eastAsia"/>
          <w:b/>
          <w:color w:val="auto"/>
          <w:sz w:val="28"/>
          <w:szCs w:val="20"/>
          <w:highlight w:val="none"/>
        </w:rPr>
        <w:t>（按广州公共资源交易中心问题澄清格式）</w:t>
      </w:r>
      <w:bookmarkEnd w:id="345"/>
      <w:bookmarkEnd w:id="346"/>
      <w:bookmarkEnd w:id="347"/>
    </w:p>
    <w:bookmarkEnd w:id="344"/>
    <w:bookmarkEnd w:id="348"/>
    <w:bookmarkEnd w:id="349"/>
    <w:bookmarkEnd w:id="350"/>
    <w:bookmarkEnd w:id="351"/>
    <w:bookmarkEnd w:id="352"/>
    <w:bookmarkEnd w:id="353"/>
    <w:bookmarkEnd w:id="354"/>
    <w:bookmarkEnd w:id="355"/>
    <w:bookmarkEnd w:id="356"/>
    <w:bookmarkEnd w:id="357"/>
    <w:p>
      <w:pPr>
        <w:spacing w:after="240"/>
        <w:rPr>
          <w:b/>
          <w:color w:val="auto"/>
          <w:sz w:val="28"/>
          <w:szCs w:val="20"/>
          <w:highlight w:val="none"/>
        </w:rPr>
      </w:pPr>
      <w:bookmarkStart w:id="358" w:name="_Toc492300623"/>
      <w:bookmarkStart w:id="359" w:name="_Toc529196579"/>
      <w:bookmarkStart w:id="360" w:name="_Toc535938718"/>
      <w:bookmarkStart w:id="361" w:name="_Toc530470627"/>
      <w:r>
        <w:rPr>
          <w:rFonts w:hint="eastAsia"/>
          <w:b/>
          <w:color w:val="auto"/>
          <w:sz w:val="28"/>
          <w:szCs w:val="20"/>
          <w:highlight w:val="none"/>
        </w:rPr>
        <w:t>附件四：中标通知书</w:t>
      </w:r>
      <w:bookmarkEnd w:id="358"/>
      <w:r>
        <w:rPr>
          <w:rFonts w:hint="eastAsia"/>
          <w:b/>
          <w:color w:val="auto"/>
          <w:sz w:val="28"/>
          <w:szCs w:val="20"/>
          <w:highlight w:val="none"/>
        </w:rPr>
        <w:t>（按广州公共资源交易中心中标通知书格式）</w:t>
      </w:r>
      <w:bookmarkEnd w:id="359"/>
      <w:bookmarkEnd w:id="360"/>
      <w:bookmarkEnd w:id="361"/>
    </w:p>
    <w:p>
      <w:pPr>
        <w:spacing w:after="240"/>
        <w:rPr>
          <w:b/>
          <w:color w:val="auto"/>
          <w:sz w:val="28"/>
          <w:szCs w:val="20"/>
          <w:highlight w:val="none"/>
        </w:rPr>
      </w:pPr>
      <w:bookmarkStart w:id="362" w:name="_Toc492300625"/>
      <w:bookmarkStart w:id="363" w:name="_Toc492300624"/>
      <w:bookmarkStart w:id="364" w:name="_Toc535938719"/>
      <w:bookmarkStart w:id="365" w:name="_Toc530470628"/>
      <w:bookmarkStart w:id="366" w:name="_Toc529196580"/>
      <w:r>
        <w:rPr>
          <w:rFonts w:hint="eastAsia"/>
          <w:b/>
          <w:color w:val="auto"/>
          <w:sz w:val="28"/>
          <w:szCs w:val="20"/>
          <w:highlight w:val="none"/>
        </w:rPr>
        <w:t>附件五：</w:t>
      </w:r>
      <w:bookmarkEnd w:id="362"/>
      <w:r>
        <w:rPr>
          <w:rFonts w:hint="eastAsia"/>
          <w:b/>
          <w:color w:val="auto"/>
          <w:sz w:val="28"/>
          <w:szCs w:val="20"/>
          <w:highlight w:val="none"/>
        </w:rPr>
        <w:t>中标结果通知书</w:t>
      </w:r>
      <w:bookmarkEnd w:id="363"/>
      <w:r>
        <w:rPr>
          <w:rFonts w:hint="eastAsia"/>
          <w:b/>
          <w:color w:val="auto"/>
          <w:sz w:val="28"/>
          <w:szCs w:val="20"/>
          <w:highlight w:val="none"/>
        </w:rPr>
        <w:t>（按广州公共资源交易中心中标结果通知书格式）</w:t>
      </w:r>
      <w:bookmarkEnd w:id="364"/>
      <w:bookmarkEnd w:id="365"/>
      <w:bookmarkEnd w:id="366"/>
    </w:p>
    <w:p>
      <w:pPr>
        <w:spacing w:after="240"/>
        <w:rPr>
          <w:b/>
          <w:color w:val="auto"/>
          <w:sz w:val="28"/>
          <w:szCs w:val="20"/>
          <w:highlight w:val="none"/>
        </w:rPr>
      </w:pPr>
      <w:r>
        <w:rPr>
          <w:rFonts w:hint="eastAsia"/>
          <w:b/>
          <w:color w:val="auto"/>
          <w:sz w:val="28"/>
          <w:szCs w:val="20"/>
          <w:highlight w:val="none"/>
        </w:rPr>
        <w:t>附件六：确认通知（按广州公共资源交易中心确认通知格式）</w:t>
      </w:r>
    </w:p>
    <w:p>
      <w:pPr>
        <w:rPr>
          <w:rFonts w:ascii="宋体" w:hAnsi="宋体"/>
          <w:color w:val="auto"/>
          <w:highlight w:val="none"/>
        </w:rPr>
      </w:pPr>
    </w:p>
    <w:p>
      <w:pPr>
        <w:spacing w:line="240" w:lineRule="exact"/>
        <w:ind w:left="1800" w:firstLine="137"/>
        <w:rPr>
          <w:rFonts w:ascii="宋体" w:hAnsi="宋体"/>
          <w:color w:val="auto"/>
          <w:highlight w:val="none"/>
        </w:rPr>
      </w:pPr>
    </w:p>
    <w:p>
      <w:pPr>
        <w:rPr>
          <w:rFonts w:ascii="宋体" w:hAnsi="宋体"/>
          <w:color w:val="auto"/>
          <w:highlight w:val="none"/>
        </w:rPr>
      </w:pPr>
    </w:p>
    <w:p>
      <w:pPr>
        <w:pStyle w:val="3"/>
        <w:keepNext w:val="0"/>
        <w:keepLines w:val="0"/>
        <w:spacing w:line="240" w:lineRule="auto"/>
        <w:jc w:val="center"/>
        <w:rPr>
          <w:rFonts w:ascii="宋体" w:hAnsi="宋体"/>
          <w:color w:val="auto"/>
          <w:highlight w:val="none"/>
        </w:rPr>
      </w:pPr>
      <w:r>
        <w:rPr>
          <w:rFonts w:hint="eastAsia" w:ascii="宋体" w:hAnsi="宋体"/>
          <w:b w:val="0"/>
          <w:color w:val="auto"/>
          <w:highlight w:val="none"/>
        </w:rPr>
        <w:br w:type="page"/>
      </w:r>
      <w:bookmarkStart w:id="367" w:name="_Toc63769815"/>
      <w:r>
        <w:rPr>
          <w:rFonts w:hint="eastAsia" w:ascii="宋体" w:hAnsi="宋体"/>
          <w:color w:val="auto"/>
          <w:highlight w:val="none"/>
        </w:rPr>
        <w:t>第三章 评标办法（综合评估法）</w:t>
      </w:r>
      <w:bookmarkEnd w:id="367"/>
    </w:p>
    <w:p>
      <w:pPr>
        <w:pStyle w:val="4"/>
        <w:jc w:val="center"/>
        <w:rPr>
          <w:rFonts w:ascii="宋体" w:hAnsi="宋体" w:eastAsia="宋体"/>
          <w:color w:val="auto"/>
          <w:sz w:val="32"/>
          <w:szCs w:val="30"/>
          <w:highlight w:val="none"/>
        </w:rPr>
      </w:pPr>
      <w:bookmarkStart w:id="368" w:name="_Toc529196582"/>
      <w:bookmarkStart w:id="369" w:name="_Toc535938721"/>
      <w:r>
        <w:rPr>
          <w:rFonts w:hint="eastAsia" w:ascii="宋体" w:hAnsi="宋体" w:eastAsia="宋体"/>
          <w:color w:val="auto"/>
          <w:sz w:val="32"/>
          <w:szCs w:val="30"/>
          <w:highlight w:val="none"/>
        </w:rPr>
        <w:t>评标办法前附表</w:t>
      </w:r>
      <w:bookmarkEnd w:id="368"/>
      <w:bookmarkEnd w:id="369"/>
    </w:p>
    <w:tbl>
      <w:tblPr>
        <w:tblStyle w:val="22"/>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6"/>
        <w:gridCol w:w="1090"/>
        <w:gridCol w:w="2551"/>
        <w:gridCol w:w="4678"/>
        <w:tblGridChange w:id="0">
          <w:tblGrid>
            <w:gridCol w:w="817"/>
            <w:gridCol w:w="186"/>
            <w:gridCol w:w="1090"/>
            <w:gridCol w:w="2551"/>
            <w:gridCol w:w="467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3"/>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条款号</w:t>
            </w:r>
          </w:p>
        </w:tc>
        <w:tc>
          <w:tcPr>
            <w:tcW w:w="2551" w:type="dxa"/>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评审因素</w:t>
            </w:r>
          </w:p>
        </w:tc>
        <w:tc>
          <w:tcPr>
            <w:tcW w:w="4678" w:type="dxa"/>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03" w:type="dxa"/>
            <w:gridSpan w:val="2"/>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1</w:t>
            </w:r>
          </w:p>
        </w:tc>
        <w:tc>
          <w:tcPr>
            <w:tcW w:w="1090"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评标方法</w:t>
            </w: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中标候选人排序方法</w:t>
            </w:r>
          </w:p>
        </w:tc>
        <w:tc>
          <w:tcPr>
            <w:tcW w:w="4678" w:type="dxa"/>
            <w:tcBorders>
              <w:tl2br w:val="nil"/>
              <w:tr2bl w:val="nil"/>
            </w:tcBorders>
            <w:vAlign w:val="center"/>
          </w:tcPr>
          <w:p>
            <w:pPr>
              <w:ind w:firstLine="420" w:firstLineChars="200"/>
              <w:rPr>
                <w:rFonts w:ascii="宋体" w:hAnsi="宋体" w:cs="宋体"/>
                <w:color w:val="auto"/>
                <w:highlight w:val="none"/>
                <w:u w:val="single"/>
              </w:rPr>
            </w:pPr>
            <w:r>
              <w:rPr>
                <w:rFonts w:hint="eastAsia" w:ascii="宋体" w:hAnsi="宋体" w:cs="宋体"/>
                <w:color w:val="auto"/>
                <w:szCs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综合得分相等时，以投标报价低的优先；报价也相等的，以监理大纲得分高的优先；如仍存在相同情况，则对具有相同情况的投标人，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restart"/>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2.1.1</w:t>
            </w:r>
          </w:p>
        </w:tc>
        <w:tc>
          <w:tcPr>
            <w:tcW w:w="1090" w:type="dxa"/>
            <w:vMerge w:val="restart"/>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形式评审标准</w:t>
            </w: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投标人名称</w:t>
            </w:r>
          </w:p>
        </w:tc>
        <w:tc>
          <w:tcPr>
            <w:tcW w:w="4678" w:type="dxa"/>
            <w:tcBorders>
              <w:tl2br w:val="nil"/>
              <w:tr2bl w:val="nil"/>
            </w:tcBorders>
            <w:vAlign w:val="center"/>
          </w:tcPr>
          <w:p>
            <w:pPr>
              <w:rPr>
                <w:rFonts w:ascii="宋体" w:hAnsi="宋体" w:cs="宋体"/>
                <w:color w:val="auto"/>
                <w:highlight w:val="none"/>
              </w:rPr>
            </w:pPr>
            <w:r>
              <w:rPr>
                <w:rFonts w:hint="eastAsia" w:ascii="宋体" w:hAnsi="宋体" w:cs="宋体"/>
                <w:color w:val="auto"/>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投标函及投标函附录签字盖章</w:t>
            </w:r>
          </w:p>
        </w:tc>
        <w:tc>
          <w:tcPr>
            <w:tcW w:w="4678" w:type="dxa"/>
            <w:tcBorders>
              <w:tl2br w:val="nil"/>
              <w:tr2bl w:val="nil"/>
            </w:tcBorders>
            <w:vAlign w:val="center"/>
          </w:tcPr>
          <w:p>
            <w:pPr>
              <w:ind w:firstLine="420" w:firstLineChars="200"/>
              <w:rPr>
                <w:rFonts w:ascii="宋体" w:hAnsi="宋体" w:cs="宋体"/>
                <w:color w:val="auto"/>
                <w:highlight w:val="none"/>
              </w:rPr>
            </w:pPr>
            <w:r>
              <w:rPr>
                <w:rFonts w:hint="eastAsia" w:ascii="宋体" w:hAnsi="宋体" w:cs="宋体"/>
                <w:color w:val="auto"/>
                <w:highlight w:val="none"/>
              </w:rPr>
              <w:t>有法定代表人或被授权人签字（或盖章）并加盖单位章。由法定代表人签字（或盖章）的，应附法定代表人身份证明，由被授权人签字或盖章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投标文件格式</w:t>
            </w:r>
          </w:p>
        </w:tc>
        <w:tc>
          <w:tcPr>
            <w:tcW w:w="4678" w:type="dxa"/>
            <w:tcBorders>
              <w:tl2br w:val="nil"/>
              <w:tr2bl w:val="nil"/>
            </w:tcBorders>
            <w:vAlign w:val="center"/>
          </w:tcPr>
          <w:p>
            <w:pPr>
              <w:rPr>
                <w:rFonts w:ascii="宋体" w:hAnsi="宋体" w:cs="宋体"/>
                <w:color w:val="auto"/>
                <w:sz w:val="24"/>
                <w:highlight w:val="none"/>
                <w:u w:val="single"/>
              </w:rPr>
            </w:pPr>
            <w:r>
              <w:rPr>
                <w:rFonts w:hint="eastAsia" w:ascii="宋体" w:hAnsi="宋体" w:cs="宋体"/>
                <w:color w:val="auto"/>
                <w:kern w:val="0"/>
                <w:szCs w:val="21"/>
                <w:highlight w:val="none"/>
                <w:u w:val="single"/>
              </w:rPr>
              <w:t>符合第六章“投标文件格式”格式一、</w:t>
            </w:r>
            <w:r>
              <w:rPr>
                <w:rFonts w:hint="eastAsia" w:ascii="宋体" w:hAnsi="宋体" w:cs="宋体"/>
                <w:color w:val="auto"/>
                <w:kern w:val="0"/>
                <w:szCs w:val="21"/>
                <w:highlight w:val="none"/>
                <w:u w:val="single"/>
                <w:lang w:val="en-US" w:eastAsia="zh-CN"/>
              </w:rPr>
              <w:t>格式四、</w:t>
            </w:r>
            <w:r>
              <w:rPr>
                <w:rFonts w:hint="eastAsia" w:ascii="宋体" w:hAnsi="宋体" w:cs="宋体"/>
                <w:color w:val="auto"/>
                <w:kern w:val="0"/>
                <w:szCs w:val="21"/>
                <w:highlight w:val="none"/>
                <w:u w:val="single"/>
              </w:rPr>
              <w:t>格式六、格式七的规定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spacing w:val="-7"/>
                <w:highlight w:val="none"/>
              </w:rPr>
              <w:t>备选投标方案</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不接受备选投标方案。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林泽鑫" w:date="2023-02-16T14:45:3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cantSplit/>
          <w:trHeight w:val="175" w:hRule="atLeast"/>
          <w:jc w:val="center"/>
          <w:trPrChange w:id="1" w:author="林泽鑫" w:date="2023-02-16T14:45:30Z">
            <w:trPr>
              <w:cantSplit/>
              <w:jc w:val="center"/>
            </w:trPr>
          </w:trPrChange>
        </w:trPr>
        <w:tc>
          <w:tcPr>
            <w:tcW w:w="1003" w:type="dxa"/>
            <w:gridSpan w:val="2"/>
            <w:vMerge w:val="continue"/>
            <w:tcBorders>
              <w:tl2br w:val="nil"/>
              <w:tr2bl w:val="nil"/>
            </w:tcBorders>
            <w:vAlign w:val="center"/>
            <w:tcPrChange w:id="2" w:author="林泽鑫" w:date="2023-02-16T14:45:30Z">
              <w:tcPr>
                <w:tcW w:w="1003" w:type="dxa"/>
                <w:gridSpan w:val="2"/>
                <w:vMerge w:val="continue"/>
                <w:tcBorders>
                  <w:tl2br w:val="nil"/>
                  <w:tr2bl w:val="nil"/>
                </w:tcBorders>
                <w:vAlign w:val="center"/>
                <w:tcPrChange w:id="3" w:author="林泽鑫" w:date="2023-02-16T14:45:30Z">
                  <w:tcPr>
                    <w:tcW w:w="1003" w:type="dxa"/>
                    <w:vMerge w:val="continue"/>
                    <w:tcBorders>
                      <w:tl2br w:val="nil"/>
                      <w:tr2bl w:val="nil"/>
                    </w:tcBorders>
                    <w:vAlign w:val="center"/>
                  </w:tcPr>
                </w:tcPrChange>
              </w:tcPr>
            </w:tcPrChange>
          </w:tcPr>
          <w:p>
            <w:pPr>
              <w:widowControl/>
              <w:jc w:val="left"/>
              <w:rPr>
                <w:rFonts w:ascii="宋体" w:hAnsi="宋体" w:cs="宋体"/>
                <w:color w:val="auto"/>
                <w:highlight w:val="none"/>
              </w:rPr>
            </w:pPr>
          </w:p>
        </w:tc>
        <w:tc>
          <w:tcPr>
            <w:tcW w:w="1090" w:type="dxa"/>
            <w:vMerge w:val="continue"/>
            <w:tcBorders>
              <w:tl2br w:val="nil"/>
              <w:tr2bl w:val="nil"/>
            </w:tcBorders>
            <w:vAlign w:val="center"/>
            <w:tcPrChange w:id="4" w:author="林泽鑫" w:date="2023-02-16T14:45:30Z">
              <w:tcPr>
                <w:tcW w:w="1090" w:type="dxa"/>
                <w:vMerge w:val="continue"/>
                <w:tcBorders>
                  <w:tl2br w:val="nil"/>
                  <w:tr2bl w:val="nil"/>
                </w:tcBorders>
                <w:vAlign w:val="center"/>
                <w:tcPrChange w:id="5" w:author="林泽鑫" w:date="2023-02-16T14:45:30Z">
                  <w:tcPr>
                    <w:tcW w:w="1090" w:type="dxa"/>
                    <w:vMerge w:val="continue"/>
                    <w:tcBorders>
                      <w:tl2br w:val="nil"/>
                      <w:tr2bl w:val="nil"/>
                    </w:tcBorders>
                    <w:vAlign w:val="center"/>
                  </w:tcPr>
                </w:tcPrChange>
              </w:tcPr>
            </w:tcPrChange>
          </w:tcPr>
          <w:p>
            <w:pPr>
              <w:widowControl/>
              <w:jc w:val="left"/>
              <w:rPr>
                <w:rFonts w:ascii="宋体" w:hAnsi="宋体" w:cs="宋体"/>
                <w:color w:val="auto"/>
                <w:highlight w:val="none"/>
              </w:rPr>
            </w:pPr>
          </w:p>
        </w:tc>
        <w:tc>
          <w:tcPr>
            <w:tcW w:w="2551" w:type="dxa"/>
            <w:tcBorders>
              <w:tl2br w:val="nil"/>
              <w:tr2bl w:val="nil"/>
            </w:tcBorders>
            <w:vAlign w:val="center"/>
            <w:tcPrChange w:id="6" w:author="林泽鑫" w:date="2023-02-16T14:45:30Z">
              <w:tcPr>
                <w:tcW w:w="2551" w:type="dxa"/>
                <w:tcBorders>
                  <w:tl2br w:val="nil"/>
                  <w:tr2bl w:val="nil"/>
                </w:tcBorders>
                <w:vAlign w:val="center"/>
                <w:tcPrChange w:id="7" w:author="林泽鑫" w:date="2023-02-16T14:45:30Z">
                  <w:tcPr>
                    <w:tcW w:w="2551" w:type="dxa"/>
                    <w:tcBorders>
                      <w:tl2br w:val="nil"/>
                      <w:tr2bl w:val="nil"/>
                    </w:tcBorders>
                    <w:vAlign w:val="center"/>
                  </w:tcPr>
                </w:tcPrChange>
              </w:tcPr>
            </w:tcPrChange>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kern w:val="0"/>
                <w:szCs w:val="21"/>
                <w:highlight w:val="none"/>
              </w:rPr>
              <w:t>联合体投标人</w:t>
            </w:r>
          </w:p>
        </w:tc>
        <w:tc>
          <w:tcPr>
            <w:tcW w:w="4678" w:type="dxa"/>
            <w:tcBorders>
              <w:tl2br w:val="nil"/>
              <w:tr2bl w:val="nil"/>
            </w:tcBorders>
            <w:vAlign w:val="center"/>
            <w:tcPrChange w:id="8" w:author="林泽鑫" w:date="2023-02-16T14:45:30Z">
              <w:tcPr>
                <w:tcW w:w="4678" w:type="dxa"/>
                <w:tcBorders>
                  <w:tl2br w:val="nil"/>
                  <w:tr2bl w:val="nil"/>
                </w:tcBorders>
                <w:vAlign w:val="center"/>
                <w:tcPrChange w:id="9" w:author="林泽鑫" w:date="2023-02-16T14:45:30Z">
                  <w:tcPr>
                    <w:tcW w:w="4678" w:type="dxa"/>
                    <w:tcBorders>
                      <w:tl2br w:val="nil"/>
                      <w:tr2bl w:val="nil"/>
                    </w:tcBorders>
                    <w:vAlign w:val="center"/>
                  </w:tcPr>
                </w:tcPrChange>
              </w:tcPr>
            </w:tcPrChange>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highlight w:val="none"/>
                <w:u w:val="single"/>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投标人机器码</w:t>
            </w:r>
          </w:p>
        </w:tc>
        <w:tc>
          <w:tcPr>
            <w:tcW w:w="4678" w:type="dxa"/>
            <w:tcBorders>
              <w:tl2br w:val="nil"/>
              <w:tr2bl w:val="nil"/>
            </w:tcBorders>
            <w:vAlign w:val="center"/>
          </w:tcPr>
          <w:p>
            <w:pPr>
              <w:rPr>
                <w:rFonts w:ascii="宋体" w:hAnsi="宋体" w:cs="宋体"/>
                <w:color w:val="auto"/>
                <w:highlight w:val="none"/>
              </w:rPr>
            </w:pPr>
            <w:r>
              <w:rPr>
                <w:rFonts w:hint="eastAsia" w:ascii="宋体" w:hAnsi="宋体" w:cs="宋体"/>
                <w:color w:val="auto"/>
                <w:highlight w:val="none"/>
              </w:rPr>
              <w:t>不同投标人机器码相同，视为不合格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restart"/>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2.1.2</w:t>
            </w:r>
          </w:p>
        </w:tc>
        <w:tc>
          <w:tcPr>
            <w:tcW w:w="1090" w:type="dxa"/>
            <w:vMerge w:val="restart"/>
            <w:tcBorders>
              <w:tl2br w:val="nil"/>
              <w:tr2bl w:val="nil"/>
            </w:tcBorders>
            <w:vAlign w:val="center"/>
          </w:tcPr>
          <w:p>
            <w:pPr>
              <w:jc w:val="center"/>
              <w:rPr>
                <w:rFonts w:ascii="宋体" w:hAnsi="宋体" w:cs="宋体"/>
                <w:color w:val="auto"/>
                <w:highlight w:val="none"/>
              </w:rPr>
            </w:pPr>
            <w:r>
              <w:rPr>
                <w:rFonts w:hint="eastAsia" w:ascii="宋体" w:hAnsi="宋体" w:cs="宋体"/>
                <w:color w:val="auto"/>
                <w:kern w:val="0"/>
                <w:szCs w:val="21"/>
                <w:highlight w:val="none"/>
              </w:rPr>
              <w:t>资格评审标准</w:t>
            </w: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营业执照和组织机构代码证</w:t>
            </w:r>
          </w:p>
        </w:tc>
        <w:tc>
          <w:tcPr>
            <w:tcW w:w="4678" w:type="dxa"/>
            <w:tcBorders>
              <w:tl2br w:val="nil"/>
              <w:tr2bl w:val="nil"/>
            </w:tcBorders>
            <w:vAlign w:val="center"/>
          </w:tcPr>
          <w:p>
            <w:pPr>
              <w:widowControl/>
              <w:spacing w:before="100" w:beforeAutospacing="1" w:after="100" w:afterAutospacing="1"/>
              <w:rPr>
                <w:rFonts w:ascii="宋体" w:hAnsi="宋体" w:cs="宋体"/>
                <w:color w:val="auto"/>
                <w:highlight w:val="none"/>
              </w:rPr>
            </w:pPr>
            <w:r>
              <w:rPr>
                <w:rFonts w:hint="eastAsia" w:ascii="宋体" w:hAnsi="宋体" w:cs="宋体"/>
                <w:color w:val="auto"/>
                <w:highlight w:val="none"/>
              </w:rPr>
              <w:t>符合第二章“投标人须知”第3.5.1项规定，具备有效的营业执照和组织机构代码证。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highlight w:val="none"/>
              </w:rPr>
              <w:t>资质要求</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财务要求</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highlight w:val="none"/>
              </w:rPr>
              <w:t>业绩要求</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信誉要求</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highlight w:val="none"/>
              </w:rPr>
              <w:t>总监理工程师</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highlight w:val="none"/>
              </w:rPr>
              <w:t>其他主要人员</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highlight w:val="none"/>
              </w:rPr>
              <w:t>试验检测仪器设备</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highlight w:val="none"/>
              </w:rPr>
              <w:t>其他要求</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highlight w:val="none"/>
              </w:rPr>
            </w:pPr>
            <w:r>
              <w:rPr>
                <w:rFonts w:hint="eastAsia" w:ascii="宋体" w:hAnsi="宋体" w:cs="宋体"/>
                <w:color w:val="auto"/>
                <w:highlight w:val="none"/>
              </w:rPr>
              <w:t>联合体投标人</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highlight w:val="none"/>
              </w:rPr>
            </w:pPr>
            <w:r>
              <w:rPr>
                <w:rFonts w:hint="eastAsia" w:ascii="宋体" w:hAnsi="宋体" w:cs="宋体"/>
                <w:color w:val="auto"/>
                <w:highlight w:val="none"/>
              </w:rPr>
              <w:t>符合第二章“投标人须知”第1.4.2项规定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widowControl/>
              <w:spacing w:before="100" w:beforeAutospacing="1" w:after="100" w:afterAutospacing="1"/>
              <w:jc w:val="center"/>
              <w:rPr>
                <w:rFonts w:ascii="宋体" w:hAnsi="宋体" w:cs="宋体"/>
                <w:color w:val="auto"/>
                <w:kern w:val="0"/>
                <w:szCs w:val="21"/>
                <w:highlight w:val="none"/>
              </w:rPr>
            </w:pPr>
            <w:r>
              <w:rPr>
                <w:rFonts w:hint="eastAsia" w:ascii="宋体" w:hAnsi="宋体" w:cs="宋体"/>
                <w:color w:val="auto"/>
                <w:highlight w:val="none"/>
              </w:rPr>
              <w:t>不存在禁止投标的情形</w:t>
            </w:r>
          </w:p>
        </w:tc>
        <w:tc>
          <w:tcPr>
            <w:tcW w:w="4678" w:type="dxa"/>
            <w:tcBorders>
              <w:tl2br w:val="nil"/>
              <w:tr2bl w:val="nil"/>
            </w:tcBorders>
            <w:vAlign w:val="center"/>
          </w:tcPr>
          <w:p>
            <w:pPr>
              <w:widowControl/>
              <w:spacing w:before="100" w:beforeAutospacing="1" w:after="100" w:afterAutospacing="1"/>
              <w:jc w:val="left"/>
              <w:rPr>
                <w:rFonts w:ascii="宋体" w:hAnsi="宋体" w:cs="宋体"/>
                <w:color w:val="auto"/>
                <w:kern w:val="0"/>
                <w:szCs w:val="21"/>
                <w:highlight w:val="none"/>
              </w:rPr>
            </w:pPr>
            <w:r>
              <w:rPr>
                <w:rFonts w:hint="eastAsia" w:ascii="宋体" w:hAnsi="宋体" w:cs="宋体"/>
                <w:color w:val="auto"/>
                <w:highlight w:val="none"/>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restart"/>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2.1.3</w:t>
            </w:r>
          </w:p>
        </w:tc>
        <w:tc>
          <w:tcPr>
            <w:tcW w:w="1090" w:type="dxa"/>
            <w:vMerge w:val="restart"/>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响应性评审标准</w:t>
            </w: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投标文件</w:t>
            </w:r>
          </w:p>
        </w:tc>
        <w:tc>
          <w:tcPr>
            <w:tcW w:w="4678" w:type="dxa"/>
            <w:tcBorders>
              <w:tl2br w:val="nil"/>
              <w:tr2bl w:val="nil"/>
            </w:tcBorders>
            <w:vAlign w:val="center"/>
          </w:tcPr>
          <w:p>
            <w:pPr>
              <w:rPr>
                <w:rFonts w:ascii="宋体" w:hAnsi="宋体" w:cs="宋体"/>
                <w:color w:val="auto"/>
                <w:highlight w:val="none"/>
              </w:rPr>
            </w:pPr>
            <w:r>
              <w:rPr>
                <w:rFonts w:hint="eastAsia" w:ascii="宋体" w:hAnsi="宋体" w:cs="宋体"/>
                <w:color w:val="auto"/>
                <w:highlight w:val="none"/>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投标报价</w:t>
            </w:r>
          </w:p>
        </w:tc>
        <w:tc>
          <w:tcPr>
            <w:tcW w:w="4678" w:type="dxa"/>
            <w:tcBorders>
              <w:tl2br w:val="nil"/>
              <w:tr2bl w:val="nil"/>
            </w:tcBorders>
            <w:vAlign w:val="center"/>
          </w:tcPr>
          <w:p>
            <w:pPr>
              <w:rPr>
                <w:rFonts w:ascii="宋体" w:hAnsi="宋体" w:cs="宋体"/>
                <w:color w:val="auto"/>
                <w:highlight w:val="none"/>
              </w:rPr>
            </w:pPr>
            <w:r>
              <w:rPr>
                <w:rFonts w:hint="eastAsia" w:ascii="宋体" w:hAnsi="宋体" w:cs="宋体"/>
                <w:color w:val="auto"/>
                <w:highlight w:val="none"/>
              </w:rPr>
              <w:t>符合第二章“投标人须知”第3.2款规定</w:t>
            </w:r>
            <w:r>
              <w:rPr>
                <w:rFonts w:hint="eastAsia" w:ascii="宋体" w:hAnsi="宋体" w:cs="宋体"/>
                <w:color w:val="auto"/>
                <w:highlight w:val="none"/>
                <w:u w:val="single"/>
              </w:rPr>
              <w:t>，</w:t>
            </w:r>
            <w:r>
              <w:rPr>
                <w:rFonts w:hint="eastAsia" w:ascii="宋体" w:hAnsi="宋体" w:cs="宋体"/>
                <w:color w:val="auto"/>
                <w:szCs w:val="21"/>
                <w:highlight w:val="none"/>
                <w:u w:val="single"/>
              </w:rPr>
              <w:t>对同一招标项目没有出现：两个或以上的投标报价且修正无依据。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投标内容</w:t>
            </w:r>
          </w:p>
        </w:tc>
        <w:tc>
          <w:tcPr>
            <w:tcW w:w="4678" w:type="dxa"/>
            <w:tcBorders>
              <w:tl2br w:val="nil"/>
              <w:tr2bl w:val="nil"/>
            </w:tcBorders>
            <w:vAlign w:val="center"/>
          </w:tcPr>
          <w:p>
            <w:pPr>
              <w:rPr>
                <w:rFonts w:ascii="宋体" w:hAnsi="宋体" w:cs="宋体"/>
                <w:color w:val="auto"/>
                <w:highlight w:val="none"/>
              </w:rPr>
            </w:pPr>
            <w:r>
              <w:rPr>
                <w:rFonts w:hint="eastAsia" w:ascii="宋体" w:hAnsi="宋体" w:cs="宋体"/>
                <w:color w:val="auto"/>
                <w:highlight w:val="none"/>
              </w:rPr>
              <w:t>符合第二章“投标人须知”第1.3.1项规定</w:t>
            </w:r>
            <w:r>
              <w:rPr>
                <w:rFonts w:hint="eastAsia" w:ascii="宋体" w:hAnsi="宋体" w:cs="宋体"/>
                <w:color w:val="auto"/>
                <w:highlight w:val="none"/>
                <w:u w:val="single"/>
              </w:rPr>
              <w:t>，投标文件按规定的格式填写，内容齐全或关键字迹清晰、容易辩认；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监理服务期限</w:t>
            </w:r>
          </w:p>
        </w:tc>
        <w:tc>
          <w:tcPr>
            <w:tcW w:w="4678" w:type="dxa"/>
            <w:tcBorders>
              <w:tl2br w:val="nil"/>
              <w:tr2bl w:val="nil"/>
            </w:tcBorders>
            <w:vAlign w:val="center"/>
          </w:tcPr>
          <w:p>
            <w:pPr>
              <w:rPr>
                <w:rFonts w:ascii="宋体" w:hAnsi="宋体" w:cs="宋体"/>
                <w:color w:val="auto"/>
                <w:highlight w:val="none"/>
              </w:rPr>
            </w:pPr>
            <w:r>
              <w:rPr>
                <w:rFonts w:hint="eastAsia" w:ascii="宋体" w:hAnsi="宋体" w:cs="宋体"/>
                <w:color w:val="auto"/>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质量标准</w:t>
            </w:r>
          </w:p>
        </w:tc>
        <w:tc>
          <w:tcPr>
            <w:tcW w:w="4678" w:type="dxa"/>
            <w:tcBorders>
              <w:tl2br w:val="nil"/>
              <w:tr2bl w:val="nil"/>
            </w:tcBorders>
            <w:vAlign w:val="center"/>
          </w:tcPr>
          <w:p>
            <w:pPr>
              <w:rPr>
                <w:rFonts w:ascii="宋体" w:hAnsi="宋体" w:cs="宋体"/>
                <w:color w:val="auto"/>
                <w:highlight w:val="none"/>
              </w:rPr>
            </w:pPr>
            <w:r>
              <w:rPr>
                <w:rFonts w:hint="eastAsia" w:ascii="宋体" w:hAnsi="宋体" w:cs="宋体"/>
                <w:color w:val="auto"/>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tcPr>
          <w:p>
            <w:pPr>
              <w:jc w:val="center"/>
              <w:rPr>
                <w:rFonts w:ascii="宋体" w:hAnsi="宋体" w:cs="宋体"/>
                <w:color w:val="auto"/>
                <w:highlight w:val="none"/>
              </w:rPr>
            </w:pPr>
            <w:r>
              <w:rPr>
                <w:rFonts w:hint="eastAsia" w:ascii="宋体" w:hAnsi="宋体" w:cs="宋体"/>
                <w:color w:val="auto"/>
                <w:highlight w:val="none"/>
              </w:rPr>
              <w:t>投标有效期</w:t>
            </w:r>
          </w:p>
        </w:tc>
        <w:tc>
          <w:tcPr>
            <w:tcW w:w="4678" w:type="dxa"/>
            <w:tcBorders>
              <w:tl2br w:val="nil"/>
              <w:tr2bl w:val="nil"/>
            </w:tcBorders>
          </w:tcPr>
          <w:p>
            <w:pPr>
              <w:rPr>
                <w:rFonts w:ascii="宋体" w:hAnsi="宋体" w:cs="宋体"/>
                <w:color w:val="auto"/>
                <w:highlight w:val="none"/>
              </w:rPr>
            </w:pPr>
            <w:r>
              <w:rPr>
                <w:rFonts w:hint="eastAsia" w:ascii="宋体" w:hAnsi="宋体" w:cs="宋体"/>
                <w:color w:val="auto"/>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olor w:val="auto"/>
                <w:highlight w:val="none"/>
              </w:rPr>
              <w:t>投标保证金</w:t>
            </w:r>
          </w:p>
        </w:tc>
        <w:tc>
          <w:tcPr>
            <w:tcW w:w="4678" w:type="dxa"/>
            <w:tcBorders>
              <w:tl2br w:val="nil"/>
              <w:tr2bl w:val="nil"/>
            </w:tcBorders>
          </w:tcPr>
          <w:p>
            <w:pPr>
              <w:rPr>
                <w:rFonts w:ascii="宋体" w:hAnsi="宋体" w:cs="宋体"/>
                <w:color w:val="auto"/>
                <w:highlight w:val="none"/>
              </w:rPr>
            </w:pPr>
            <w:r>
              <w:rPr>
                <w:rFonts w:hint="eastAsia" w:ascii="宋体" w:hAnsi="宋体"/>
                <w:color w:val="auto"/>
                <w:highlight w:val="none"/>
              </w:rPr>
              <w:t>符合第二章“投标人须知”第</w:t>
            </w:r>
            <w:r>
              <w:rPr>
                <w:rFonts w:ascii="宋体" w:hAnsi="宋体"/>
                <w:color w:val="auto"/>
                <w:highlight w:val="none"/>
              </w:rPr>
              <w:t xml:space="preserve"> 3.4.1 </w:t>
            </w:r>
            <w:r>
              <w:rPr>
                <w:rFonts w:hint="eastAsia" w:ascii="宋体" w:hAnsi="宋体"/>
                <w:color w:val="auto"/>
                <w:highlight w:val="none"/>
              </w:rPr>
              <w:t>项规定；其缴纳情况以广州公共资源交易中心数据库记录的信息为准。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1003" w:type="dxa"/>
            <w:gridSpan w:val="2"/>
            <w:vMerge w:val="continue"/>
            <w:tcBorders>
              <w:tl2br w:val="nil"/>
              <w:tr2bl w:val="nil"/>
            </w:tcBorders>
            <w:vAlign w:val="center"/>
          </w:tcPr>
          <w:p>
            <w:pPr>
              <w:widowControl/>
              <w:jc w:val="left"/>
              <w:rPr>
                <w:rFonts w:ascii="宋体" w:hAnsi="宋体" w:cs="宋体"/>
                <w:color w:val="auto"/>
                <w:highlight w:val="none"/>
              </w:rPr>
            </w:pPr>
          </w:p>
        </w:tc>
        <w:tc>
          <w:tcPr>
            <w:tcW w:w="1090" w:type="dxa"/>
            <w:vMerge w:val="continue"/>
            <w:tcBorders>
              <w:tl2br w:val="nil"/>
              <w:tr2bl w:val="nil"/>
            </w:tcBorders>
            <w:vAlign w:val="center"/>
          </w:tcPr>
          <w:p>
            <w:pPr>
              <w:widowControl/>
              <w:jc w:val="left"/>
              <w:rPr>
                <w:rFonts w:ascii="宋体" w:hAnsi="宋体" w:cs="宋体"/>
                <w:color w:val="auto"/>
                <w:highlight w:val="none"/>
              </w:rPr>
            </w:pP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串通投标情形</w:t>
            </w:r>
          </w:p>
        </w:tc>
        <w:tc>
          <w:tcPr>
            <w:tcW w:w="4678" w:type="dxa"/>
            <w:tcBorders>
              <w:tl2br w:val="nil"/>
              <w:tr2bl w:val="nil"/>
            </w:tcBorders>
          </w:tcPr>
          <w:p>
            <w:pPr>
              <w:rPr>
                <w:rFonts w:ascii="宋体" w:hAnsi="宋体" w:cs="宋体"/>
                <w:color w:val="auto"/>
                <w:highlight w:val="none"/>
              </w:rPr>
            </w:pPr>
            <w:r>
              <w:rPr>
                <w:rFonts w:hint="eastAsia" w:ascii="宋体" w:hAnsi="宋体" w:cs="宋体"/>
                <w:color w:val="auto"/>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3" w:type="dxa"/>
            <w:gridSpan w:val="3"/>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条款号</w:t>
            </w:r>
          </w:p>
        </w:tc>
        <w:tc>
          <w:tcPr>
            <w:tcW w:w="2551" w:type="dxa"/>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条款内容</w:t>
            </w:r>
          </w:p>
        </w:tc>
        <w:tc>
          <w:tcPr>
            <w:tcW w:w="4678" w:type="dxa"/>
            <w:tcBorders>
              <w:tl2br w:val="nil"/>
              <w:tr2bl w:val="nil"/>
            </w:tcBorders>
            <w:vAlign w:val="center"/>
          </w:tcPr>
          <w:p>
            <w:pPr>
              <w:jc w:val="center"/>
              <w:rPr>
                <w:rFonts w:ascii="宋体" w:hAnsi="宋体" w:cs="宋体"/>
                <w:b/>
                <w:color w:val="auto"/>
                <w:highlight w:val="none"/>
              </w:rPr>
            </w:pPr>
            <w:r>
              <w:rPr>
                <w:rFonts w:hint="eastAsia" w:ascii="宋体" w:hAnsi="宋体" w:cs="宋体"/>
                <w:b/>
                <w:color w:val="auto"/>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93" w:type="dxa"/>
            <w:gridSpan w:val="3"/>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2.2.1</w:t>
            </w: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分值构成</w:t>
            </w:r>
          </w:p>
          <w:p>
            <w:pPr>
              <w:jc w:val="center"/>
              <w:rPr>
                <w:rFonts w:ascii="宋体" w:hAnsi="宋体" w:cs="宋体"/>
                <w:color w:val="auto"/>
                <w:highlight w:val="none"/>
              </w:rPr>
            </w:pPr>
            <w:r>
              <w:rPr>
                <w:rFonts w:hint="eastAsia" w:ascii="宋体" w:hAnsi="宋体" w:cs="宋体"/>
                <w:color w:val="auto"/>
                <w:highlight w:val="none"/>
              </w:rPr>
              <w:t>(总分100分)</w:t>
            </w:r>
          </w:p>
        </w:tc>
        <w:tc>
          <w:tcPr>
            <w:tcW w:w="4678" w:type="dxa"/>
            <w:tcBorders>
              <w:tl2br w:val="nil"/>
              <w:tr2bl w:val="nil"/>
            </w:tcBorders>
            <w:vAlign w:val="center"/>
          </w:tcPr>
          <w:p>
            <w:pPr>
              <w:ind w:left="-2" w:leftChars="-1"/>
              <w:rPr>
                <w:rFonts w:ascii="宋体" w:hAnsi="宋体" w:cs="宋体"/>
                <w:color w:val="auto"/>
                <w:szCs w:val="21"/>
                <w:highlight w:val="none"/>
              </w:rPr>
            </w:pPr>
            <w:r>
              <w:rPr>
                <w:rFonts w:hint="eastAsia" w:ascii="宋体" w:hAnsi="宋体" w:cs="宋体"/>
                <w:color w:val="auto"/>
                <w:szCs w:val="21"/>
                <w:highlight w:val="none"/>
              </w:rPr>
              <w:t>A.资信业绩部分</w:t>
            </w:r>
            <w:r>
              <w:rPr>
                <w:rFonts w:hint="eastAsia" w:ascii="宋体" w:hAnsi="宋体" w:cs="宋体"/>
                <w:color w:val="auto"/>
                <w:szCs w:val="21"/>
                <w:highlight w:val="none"/>
                <w:u w:val="single"/>
              </w:rPr>
              <w:t>40分</w:t>
            </w:r>
          </w:p>
          <w:p>
            <w:pPr>
              <w:ind w:left="-2" w:leftChars="-1"/>
              <w:rPr>
                <w:rFonts w:ascii="宋体" w:hAnsi="宋体" w:cs="宋体"/>
                <w:color w:val="auto"/>
                <w:szCs w:val="21"/>
                <w:highlight w:val="none"/>
              </w:rPr>
            </w:pPr>
            <w:r>
              <w:rPr>
                <w:rFonts w:hint="eastAsia" w:ascii="宋体" w:hAnsi="宋体" w:cs="宋体"/>
                <w:color w:val="auto"/>
                <w:szCs w:val="21"/>
                <w:highlight w:val="none"/>
              </w:rPr>
              <w:t>B.监理大纲部分</w:t>
            </w:r>
            <w:r>
              <w:rPr>
                <w:rFonts w:ascii="宋体" w:hAnsi="宋体" w:cs="宋体"/>
                <w:color w:val="auto"/>
                <w:szCs w:val="21"/>
                <w:highlight w:val="none"/>
                <w:u w:val="single"/>
              </w:rPr>
              <w:t>30</w:t>
            </w:r>
            <w:r>
              <w:rPr>
                <w:rFonts w:hint="eastAsia" w:ascii="宋体" w:hAnsi="宋体" w:cs="宋体"/>
                <w:color w:val="auto"/>
                <w:szCs w:val="21"/>
                <w:highlight w:val="none"/>
              </w:rPr>
              <w:t>分</w:t>
            </w:r>
          </w:p>
          <w:p>
            <w:pPr>
              <w:ind w:left="-2" w:leftChars="-1"/>
              <w:rPr>
                <w:rFonts w:ascii="宋体" w:hAnsi="宋体" w:cs="宋体"/>
                <w:color w:val="auto"/>
                <w:szCs w:val="21"/>
                <w:highlight w:val="none"/>
              </w:rPr>
            </w:pPr>
            <w:r>
              <w:rPr>
                <w:rFonts w:hint="eastAsia" w:ascii="宋体" w:hAnsi="宋体" w:cs="宋体"/>
                <w:color w:val="auto"/>
                <w:szCs w:val="21"/>
                <w:highlight w:val="none"/>
              </w:rPr>
              <w:t>C.投标报价</w:t>
            </w:r>
            <w:r>
              <w:rPr>
                <w:rFonts w:hint="eastAsia" w:ascii="宋体" w:hAnsi="宋体" w:cs="宋体"/>
                <w:color w:val="auto"/>
                <w:szCs w:val="21"/>
                <w:highlight w:val="none"/>
                <w:u w:val="single"/>
              </w:rPr>
              <w:t>30</w:t>
            </w:r>
            <w:r>
              <w:rPr>
                <w:rFonts w:hint="eastAsia" w:ascii="宋体" w:hAnsi="宋体" w:cs="宋体"/>
                <w:color w:val="auto"/>
                <w:szCs w:val="21"/>
                <w:highlight w:val="none"/>
              </w:rPr>
              <w:t>分</w:t>
            </w:r>
          </w:p>
          <w:p>
            <w:pPr>
              <w:ind w:left="-2" w:leftChars="-1"/>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093" w:type="dxa"/>
            <w:gridSpan w:val="3"/>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2.2.2</w:t>
            </w: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评标基准价计算方法</w:t>
            </w:r>
          </w:p>
        </w:tc>
        <w:tc>
          <w:tcPr>
            <w:tcW w:w="4678" w:type="dxa"/>
            <w:tcBorders>
              <w:tl2br w:val="nil"/>
              <w:tr2bl w:val="nil"/>
            </w:tcBorders>
            <w:vAlign w:val="center"/>
          </w:tcPr>
          <w:p>
            <w:pPr>
              <w:spacing w:before="72" w:beforeLines="30" w:after="72" w:afterLines="30" w:line="320" w:lineRule="exact"/>
              <w:ind w:right="63" w:rightChars="3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评标委员会按照下列方法计算评标基准价：</w:t>
            </w:r>
          </w:p>
          <w:p>
            <w:pPr>
              <w:numPr>
                <w:ilvl w:val="255"/>
                <w:numId w:val="0"/>
              </w:numPr>
              <w:spacing w:before="72" w:beforeLines="30" w:after="72" w:afterLines="30" w:line="320" w:lineRule="exact"/>
              <w:ind w:left="21" w:leftChars="10" w:right="63" w:rightChars="3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1、投标报价不超过本项目有效最高投标报价。</w:t>
            </w:r>
          </w:p>
          <w:p>
            <w:pPr>
              <w:numPr>
                <w:ilvl w:val="255"/>
                <w:numId w:val="0"/>
              </w:numPr>
              <w:spacing w:before="72" w:beforeLines="30" w:after="72" w:afterLines="30" w:line="320" w:lineRule="exact"/>
              <w:ind w:left="21" w:leftChars="10" w:right="63" w:rightChars="30"/>
              <w:jc w:val="left"/>
              <w:rPr>
                <w:rFonts w:asciiTheme="minorEastAsia" w:hAnsiTheme="minorEastAsia" w:eastAsiaTheme="minorEastAsia" w:cstheme="minorEastAsia"/>
                <w:color w:val="auto"/>
                <w:highlight w:val="none"/>
              </w:rPr>
            </w:pPr>
            <w:r>
              <w:rPr>
                <w:rFonts w:hint="eastAsia" w:hAnsi="宋体" w:cs="宋体"/>
                <w:color w:val="auto"/>
                <w:szCs w:val="21"/>
                <w:highlight w:val="none"/>
              </w:rPr>
              <w:t>2、参与评标基准价计算的有效投标报价的平均值：</w:t>
            </w:r>
          </w:p>
          <w:p>
            <w:pPr>
              <w:numPr>
                <w:ilvl w:val="255"/>
                <w:numId w:val="0"/>
              </w:numPr>
              <w:spacing w:before="72" w:beforeLines="30" w:after="72" w:afterLines="30" w:line="320" w:lineRule="exact"/>
              <w:ind w:right="63" w:rightChars="3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（1）若通过初步评审并在参与评标基准价计算的投标报价范围内的投标人小于或等于五个的，直接对初步评审通过的投标人的投标报价进行计算算术平均值；</w:t>
            </w:r>
          </w:p>
          <w:p>
            <w:pPr>
              <w:numPr>
                <w:ilvl w:val="255"/>
                <w:numId w:val="0"/>
              </w:numPr>
              <w:spacing w:before="72" w:beforeLines="30" w:after="72" w:afterLines="30" w:line="320" w:lineRule="exact"/>
              <w:ind w:right="63" w:rightChars="3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（2）若通过初步评审并在参与评标基准价计算的投标报价范围内的投标人大于五个的，对初步评审通过的投标人的投标报价，按照下列方法计算投标人投标报价的有效平均值：</w:t>
            </w:r>
          </w:p>
          <w:p>
            <w:pPr>
              <w:spacing w:before="72" w:beforeLines="30" w:after="72" w:afterLines="30"/>
              <w:ind w:left="840" w:leftChars="400" w:right="63" w:rightChars="3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设 </w:t>
            </w:r>
            <w:r>
              <w:rPr>
                <w:rFonts w:hint="eastAsia" w:asciiTheme="minorEastAsia" w:hAnsiTheme="minorEastAsia" w:eastAsiaTheme="minorEastAsia" w:cstheme="minorEastAsia"/>
                <w:color w:val="auto"/>
                <w:highlight w:val="none"/>
              </w:rPr>
              <w:object>
                <v:shape id="_x0000_i1025" o:spt="75" type="#_x0000_t75" style="height:36.15pt;width:180.1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p>
            <w:pPr>
              <w:spacing w:before="72" w:beforeLines="30" w:after="72" w:afterLines="30" w:line="320" w:lineRule="exact"/>
              <w:ind w:left="840" w:leftChars="400" w:right="63" w:rightChars="3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其中Int为取整函数，不进行四舍五入。评标委员会将通过初步评审的投标人的投标报价按由低至高的顺序进行排序，去掉排名最靠前的N个投标人的投标报价以及排名最靠后的N个投标人的投标报价之后，再对剩余投标人的投标报价取算术平均值。</w:t>
            </w:r>
          </w:p>
          <w:p>
            <w:pPr>
              <w:numPr>
                <w:ilvl w:val="255"/>
                <w:numId w:val="0"/>
              </w:numPr>
              <w:spacing w:before="72" w:beforeLines="30" w:after="72" w:afterLines="30" w:line="320" w:lineRule="exact"/>
              <w:ind w:left="21" w:leftChars="10" w:right="63" w:rightChars="3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3、评标基准价的计算：</w:t>
            </w:r>
          </w:p>
          <w:p>
            <w:pPr>
              <w:numPr>
                <w:ilvl w:val="255"/>
                <w:numId w:val="0"/>
              </w:numPr>
              <w:spacing w:before="72" w:beforeLines="30" w:after="72" w:afterLines="30" w:line="320" w:lineRule="exact"/>
              <w:ind w:right="63" w:rightChars="3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（1）评标基准价=M×有效最高投标报价+P×有效投标报价的平均值；</w:t>
            </w:r>
          </w:p>
          <w:p>
            <w:pPr>
              <w:numPr>
                <w:ilvl w:val="255"/>
                <w:numId w:val="0"/>
              </w:numPr>
              <w:spacing w:before="72" w:beforeLines="30" w:after="72" w:afterLines="30" w:line="320" w:lineRule="exact"/>
              <w:ind w:right="63" w:rightChars="3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（2）M可选择0.5、0.6、0.7；P可选择0.5、0.4、0.3，即M+P=1；本次招标M取0.</w:t>
            </w:r>
            <w:r>
              <w:rPr>
                <w:rFonts w:asciiTheme="minorEastAsia" w:hAnsiTheme="minorEastAsia" w:eastAsiaTheme="minorEastAsia" w:cstheme="minorEastAsia"/>
                <w:color w:val="auto"/>
                <w:highlight w:val="none"/>
              </w:rPr>
              <w:t>7</w:t>
            </w:r>
            <w:r>
              <w:rPr>
                <w:rFonts w:hint="eastAsia" w:asciiTheme="minorEastAsia" w:hAnsiTheme="minorEastAsia" w:eastAsiaTheme="minorEastAsia" w:cstheme="minorEastAsia"/>
                <w:color w:val="auto"/>
                <w:highlight w:val="none"/>
              </w:rPr>
              <w:t>，P取0.</w:t>
            </w:r>
            <w:r>
              <w:rPr>
                <w:rFonts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highlight w:val="none"/>
              </w:rPr>
              <w:t>。</w:t>
            </w:r>
          </w:p>
          <w:p>
            <w:pPr>
              <w:spacing w:before="72" w:beforeLines="30" w:after="72" w:afterLines="30"/>
              <w:ind w:right="63" w:rightChars="30" w:firstLine="420" w:firstLineChars="200"/>
              <w:jc w:val="left"/>
              <w:rPr>
                <w:color w:val="auto"/>
                <w:highlight w:val="none"/>
              </w:rPr>
            </w:pPr>
            <w:r>
              <w:rPr>
                <w:rFonts w:hint="eastAsia" w:asciiTheme="minorEastAsia" w:hAnsiTheme="minorEastAsia" w:eastAsiaTheme="minorEastAsia" w:cstheme="minorEastAsia"/>
                <w:color w:val="auto"/>
                <w:highlight w:val="none"/>
              </w:rPr>
              <w:t>评标基准价确定后，随后的评审中无论出现何种情形，该基准价不作调整。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93" w:type="dxa"/>
            <w:gridSpan w:val="3"/>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2.2.3</w:t>
            </w:r>
          </w:p>
        </w:tc>
        <w:tc>
          <w:tcPr>
            <w:tcW w:w="2551" w:type="dxa"/>
            <w:tcBorders>
              <w:tl2br w:val="nil"/>
              <w:tr2bl w:val="nil"/>
            </w:tcBorders>
            <w:vAlign w:val="center"/>
          </w:tcPr>
          <w:p>
            <w:pPr>
              <w:jc w:val="center"/>
              <w:rPr>
                <w:rFonts w:ascii="宋体" w:hAnsi="宋体" w:cs="宋体"/>
                <w:color w:val="auto"/>
                <w:highlight w:val="none"/>
              </w:rPr>
            </w:pPr>
            <w:r>
              <w:rPr>
                <w:rFonts w:hint="eastAsia" w:ascii="宋体" w:hAnsi="宋体" w:cs="宋体"/>
                <w:color w:val="auto"/>
                <w:highlight w:val="none"/>
              </w:rPr>
              <w:t>投标报价的偏差率</w:t>
            </w:r>
          </w:p>
          <w:p>
            <w:pPr>
              <w:jc w:val="center"/>
              <w:rPr>
                <w:rFonts w:ascii="宋体" w:hAnsi="宋体" w:cs="宋体"/>
                <w:color w:val="auto"/>
                <w:highlight w:val="none"/>
              </w:rPr>
            </w:pPr>
            <w:r>
              <w:rPr>
                <w:rFonts w:hint="eastAsia" w:ascii="宋体" w:hAnsi="宋体" w:cs="宋体"/>
                <w:color w:val="auto"/>
                <w:highlight w:val="none"/>
              </w:rPr>
              <w:t>计算公式</w:t>
            </w:r>
          </w:p>
        </w:tc>
        <w:tc>
          <w:tcPr>
            <w:tcW w:w="4678" w:type="dxa"/>
            <w:tcBorders>
              <w:tl2br w:val="nil"/>
              <w:tr2bl w:val="nil"/>
            </w:tcBorders>
            <w:vAlign w:val="center"/>
          </w:tcPr>
          <w:p>
            <w:pPr>
              <w:rPr>
                <w:rFonts w:ascii="宋体" w:hAnsi="宋体" w:cs="宋体"/>
                <w:b/>
                <w:color w:val="auto"/>
                <w:highlight w:val="none"/>
                <w:u w:val="single"/>
              </w:rPr>
            </w:pPr>
            <w:r>
              <w:rPr>
                <w:rFonts w:hint="eastAsia" w:ascii="宋体" w:hAnsi="宋体" w:cs="宋体"/>
                <w:color w:val="auto"/>
                <w:highlight w:val="none"/>
                <w:u w:val="single"/>
              </w:rPr>
              <w:t>偏差率=100% ×|（投标人有效投标报价-评标基准价）|/评标基准价（偏差率以四舍五入保留1位小数点</w:t>
            </w:r>
            <w:r>
              <w:rPr>
                <w:rFonts w:hint="eastAsia" w:ascii="宋体" w:hAnsi="宋体" w:cs="宋体"/>
                <w:color w:val="auto"/>
                <w:szCs w:val="21"/>
                <w:highlight w:val="none"/>
                <w:u w:val="single"/>
              </w:rPr>
              <w:t>，报价偏差率不足1%的，按直线内插法计算投标报价得分</w:t>
            </w:r>
            <w:r>
              <w:rPr>
                <w:rFonts w:hint="eastAsia" w:ascii="宋体" w:hAnsi="宋体" w:cs="宋体"/>
                <w:color w:val="auto"/>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restart"/>
            <w:tcBorders>
              <w:tl2br w:val="nil"/>
              <w:tr2bl w:val="nil"/>
            </w:tcBorders>
            <w:shd w:val="clear" w:color="auto" w:fill="auto"/>
            <w:vAlign w:val="center"/>
          </w:tcPr>
          <w:p>
            <w:pPr>
              <w:widowControl/>
              <w:jc w:val="left"/>
              <w:rPr>
                <w:rFonts w:ascii="宋体" w:hAnsi="宋体" w:cs="宋体"/>
                <w:color w:val="auto"/>
                <w:kern w:val="0"/>
                <w:szCs w:val="21"/>
                <w:highlight w:val="none"/>
              </w:rPr>
            </w:pPr>
            <w:r>
              <w:rPr>
                <w:color w:val="auto"/>
                <w:szCs w:val="21"/>
                <w:highlight w:val="none"/>
              </w:rPr>
              <w:t>2.2.4</w:t>
            </w:r>
            <w:r>
              <w:rPr>
                <w:rFonts w:hint="eastAsia"/>
                <w:color w:val="auto"/>
                <w:szCs w:val="21"/>
                <w:highlight w:val="none"/>
              </w:rPr>
              <w:t>（</w:t>
            </w:r>
            <w:r>
              <w:rPr>
                <w:rFonts w:hint="eastAsia"/>
                <w:color w:val="auto"/>
                <w:szCs w:val="21"/>
                <w:highlight w:val="none"/>
                <w:lang w:val="en-US" w:eastAsia="zh-CN"/>
              </w:rPr>
              <w:t>1</w:t>
            </w:r>
            <w:r>
              <w:rPr>
                <w:rFonts w:hint="eastAsia"/>
                <w:color w:val="auto"/>
                <w:szCs w:val="21"/>
                <w:highlight w:val="none"/>
              </w:rPr>
              <w:t>）</w:t>
            </w:r>
          </w:p>
        </w:tc>
        <w:tc>
          <w:tcPr>
            <w:tcW w:w="1276" w:type="dxa"/>
            <w:gridSpan w:val="2"/>
            <w:vMerge w:val="restart"/>
            <w:tcBorders>
              <w:tl2br w:val="nil"/>
              <w:tr2bl w:val="nil"/>
            </w:tcBorders>
            <w:shd w:val="clear" w:color="auto" w:fill="auto"/>
            <w:vAlign w:val="center"/>
          </w:tcPr>
          <w:p>
            <w:pPr>
              <w:widowControl/>
              <w:jc w:val="left"/>
              <w:rPr>
                <w:rFonts w:ascii="宋体" w:hAnsi="宋体" w:cs="宋体"/>
                <w:color w:val="auto"/>
                <w:szCs w:val="21"/>
                <w:highlight w:val="none"/>
              </w:rPr>
            </w:pPr>
            <w:r>
              <w:rPr>
                <w:rFonts w:hint="eastAsia" w:ascii="宋体" w:hAnsi="宋体" w:cs="宋体"/>
                <w:color w:val="auto"/>
                <w:szCs w:val="21"/>
                <w:highlight w:val="none"/>
              </w:rPr>
              <w:t>资信业绩部分</w:t>
            </w:r>
          </w:p>
        </w:tc>
        <w:tc>
          <w:tcPr>
            <w:tcW w:w="2551" w:type="dxa"/>
            <w:tcBorders>
              <w:tl2br w:val="nil"/>
              <w:tr2bl w:val="nil"/>
            </w:tcBorders>
            <w:shd w:val="clear" w:color="auto" w:fill="FFFFFF"/>
            <w:vAlign w:val="center"/>
          </w:tcPr>
          <w:p>
            <w:pPr>
              <w:tabs>
                <w:tab w:val="left" w:pos="425"/>
              </w:tabs>
              <w:spacing w:before="48" w:beforeLines="20" w:after="48" w:afterLines="20" w:line="360" w:lineRule="exact"/>
              <w:ind w:left="21" w:leftChars="10" w:right="21" w:rightChars="10"/>
              <w:jc w:val="center"/>
              <w:rPr>
                <w:rFonts w:ascii="宋体" w:hAnsi="宋体" w:cstheme="minorEastAsia"/>
                <w:color w:val="auto"/>
                <w:sz w:val="21"/>
                <w:szCs w:val="21"/>
                <w:highlight w:val="none"/>
              </w:rPr>
            </w:pPr>
            <w:r>
              <w:rPr>
                <w:rFonts w:hint="eastAsia" w:asciiTheme="minorEastAsia" w:hAnsiTheme="minorEastAsia" w:eastAsiaTheme="minorEastAsia" w:cstheme="minorEastAsia"/>
                <w:color w:val="auto"/>
                <w:szCs w:val="21"/>
                <w:highlight w:val="none"/>
              </w:rPr>
              <w:t>体系认证（</w:t>
            </w:r>
            <w:r>
              <w:rPr>
                <w:rFonts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szCs w:val="21"/>
                <w:highlight w:val="none"/>
              </w:rPr>
              <w:t>分）</w:t>
            </w:r>
          </w:p>
        </w:tc>
        <w:tc>
          <w:tcPr>
            <w:tcW w:w="4678" w:type="dxa"/>
            <w:tcBorders>
              <w:tl2br w:val="nil"/>
              <w:tr2bl w:val="nil"/>
            </w:tcBorders>
            <w:shd w:val="clear" w:color="auto" w:fill="FFFFFF"/>
            <w:vAlign w:val="center"/>
          </w:tcPr>
          <w:p>
            <w:pPr>
              <w:pStyle w:val="8"/>
              <w:spacing w:before="24" w:beforeLines="10" w:after="24" w:afterLines="10" w:line="380" w:lineRule="exact"/>
              <w:ind w:left="16" w:hanging="16" w:hangingChars="8"/>
              <w:rPr>
                <w:rFonts w:hint="eastAsia" w:ascii="宋体" w:hAnsi="宋体" w:cstheme="minorEastAsia"/>
                <w:color w:val="auto"/>
                <w:kern w:val="2"/>
                <w:sz w:val="21"/>
                <w:szCs w:val="21"/>
                <w:highlight w:val="none"/>
              </w:rPr>
            </w:pPr>
            <w:r>
              <w:rPr>
                <w:rFonts w:hint="eastAsia" w:ascii="宋体" w:hAnsi="宋体" w:cstheme="minorEastAsia"/>
                <w:color w:val="auto"/>
                <w:kern w:val="2"/>
                <w:sz w:val="21"/>
                <w:szCs w:val="21"/>
                <w:highlight w:val="none"/>
              </w:rPr>
              <w:t>投标人具有有效期内并年检合格的质量管理认证证书、环境管理体系认证证书、职业健康安全管理体系认证证书、服务质量评价体系认证证书、履约能力评价体系认证证书、信息安全管理体系认证证书、诚信管理体系认证证书，每个得1分，本项最高得4分。</w:t>
            </w:r>
          </w:p>
          <w:p>
            <w:pPr>
              <w:pStyle w:val="8"/>
              <w:spacing w:before="24" w:beforeLines="10" w:after="24" w:afterLines="10" w:line="380" w:lineRule="exact"/>
              <w:ind w:left="439" w:hanging="438" w:hangingChars="209"/>
              <w:rPr>
                <w:rFonts w:ascii="宋体" w:hAnsi="宋体" w:cstheme="minorEastAsia"/>
                <w:color w:val="auto"/>
                <w:kern w:val="2"/>
                <w:sz w:val="21"/>
                <w:szCs w:val="21"/>
                <w:highlight w:val="none"/>
              </w:rPr>
            </w:pPr>
            <w:r>
              <w:rPr>
                <w:rFonts w:hint="eastAsia" w:ascii="宋体" w:hAnsi="宋体" w:cstheme="minorEastAsia"/>
                <w:color w:val="auto"/>
                <w:kern w:val="2"/>
                <w:sz w:val="21"/>
                <w:szCs w:val="21"/>
                <w:highlight w:val="none"/>
              </w:rPr>
              <w:t>注：提供相关证书扫描件作为评审依据。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817" w:type="dxa"/>
            <w:vMerge w:val="continue"/>
            <w:tcBorders>
              <w:tl2br w:val="nil"/>
              <w:tr2bl w:val="nil"/>
            </w:tcBorders>
            <w:shd w:val="clear" w:color="auto" w:fill="auto"/>
            <w:vAlign w:val="center"/>
          </w:tcPr>
          <w:p>
            <w:pPr>
              <w:widowControl/>
              <w:jc w:val="left"/>
              <w:rPr>
                <w:rFonts w:ascii="宋体" w:hAnsi="宋体" w:cs="宋体"/>
                <w:color w:val="auto"/>
                <w:kern w:val="0"/>
                <w:szCs w:val="21"/>
                <w:highlight w:val="none"/>
              </w:rPr>
            </w:pPr>
          </w:p>
        </w:tc>
        <w:tc>
          <w:tcPr>
            <w:tcW w:w="1276" w:type="dxa"/>
            <w:gridSpan w:val="2"/>
            <w:vMerge w:val="continue"/>
            <w:tcBorders>
              <w:tl2br w:val="nil"/>
              <w:tr2bl w:val="nil"/>
            </w:tcBorders>
            <w:shd w:val="clear" w:color="auto" w:fill="auto"/>
            <w:vAlign w:val="center"/>
          </w:tcPr>
          <w:p>
            <w:pPr>
              <w:widowControl/>
              <w:jc w:val="left"/>
              <w:rPr>
                <w:rFonts w:ascii="宋体" w:hAnsi="宋体" w:cs="宋体"/>
                <w:color w:val="auto"/>
                <w:szCs w:val="21"/>
                <w:highlight w:val="none"/>
              </w:rPr>
            </w:pPr>
          </w:p>
        </w:tc>
        <w:tc>
          <w:tcPr>
            <w:tcW w:w="2551" w:type="dxa"/>
            <w:tcBorders>
              <w:tl2br w:val="nil"/>
              <w:tr2bl w:val="nil"/>
            </w:tcBorders>
            <w:shd w:val="clear" w:color="auto" w:fill="FFFFFF"/>
            <w:vAlign w:val="center"/>
          </w:tcPr>
          <w:p>
            <w:pPr>
              <w:tabs>
                <w:tab w:val="left" w:pos="425"/>
              </w:tabs>
              <w:spacing w:before="48" w:beforeLines="20" w:after="48" w:afterLines="20" w:line="360" w:lineRule="exact"/>
              <w:ind w:left="21" w:leftChars="10" w:right="21" w:rightChars="10"/>
              <w:jc w:val="center"/>
              <w:rPr>
                <w:rFonts w:ascii="宋体" w:hAnsi="宋体" w:cstheme="minorEastAsia"/>
                <w:color w:val="auto"/>
                <w:szCs w:val="21"/>
                <w:highlight w:val="none"/>
              </w:rPr>
            </w:pPr>
            <w:r>
              <w:rPr>
                <w:rFonts w:hint="eastAsia" w:ascii="宋体" w:hAnsi="宋体" w:cstheme="minorEastAsia"/>
                <w:color w:val="auto"/>
                <w:szCs w:val="21"/>
                <w:highlight w:val="none"/>
              </w:rPr>
              <w:t>企业资信（</w:t>
            </w:r>
            <w:r>
              <w:rPr>
                <w:rFonts w:ascii="宋体" w:hAnsi="宋体" w:cstheme="minorEastAsia"/>
                <w:color w:val="auto"/>
                <w:szCs w:val="21"/>
                <w:highlight w:val="none"/>
              </w:rPr>
              <w:t>8</w:t>
            </w:r>
            <w:r>
              <w:rPr>
                <w:rFonts w:hint="eastAsia" w:ascii="宋体" w:hAnsi="宋体" w:cstheme="minorEastAsia"/>
                <w:color w:val="auto"/>
                <w:szCs w:val="21"/>
                <w:highlight w:val="none"/>
              </w:rPr>
              <w:t>分）</w:t>
            </w:r>
          </w:p>
        </w:tc>
        <w:tc>
          <w:tcPr>
            <w:tcW w:w="4678" w:type="dxa"/>
            <w:tcBorders>
              <w:tl2br w:val="nil"/>
              <w:tr2bl w:val="nil"/>
            </w:tcBorders>
            <w:shd w:val="clear" w:color="auto" w:fill="FFFFFF"/>
            <w:vAlign w:val="center"/>
          </w:tcPr>
          <w:p>
            <w:pPr>
              <w:numPr>
                <w:ilvl w:val="255"/>
                <w:numId w:val="0"/>
              </w:numPr>
              <w:tabs>
                <w:tab w:val="left" w:pos="425"/>
              </w:tabs>
              <w:spacing w:before="24" w:beforeLines="10" w:after="24" w:afterLines="10" w:line="380" w:lineRule="exact"/>
              <w:ind w:right="21" w:rightChars="10"/>
              <w:jc w:val="left"/>
              <w:rPr>
                <w:rFonts w:ascii="宋体" w:hAnsi="宋体" w:cstheme="minorEastAsia"/>
                <w:color w:val="auto"/>
                <w:sz w:val="21"/>
                <w:szCs w:val="20"/>
                <w:highlight w:val="none"/>
              </w:rPr>
            </w:pPr>
            <w:r>
              <w:rPr>
                <w:rFonts w:hint="eastAsia" w:ascii="宋体" w:hAnsi="宋体" w:cstheme="minorEastAsia"/>
                <w:color w:val="auto"/>
                <w:sz w:val="21"/>
                <w:szCs w:val="20"/>
                <w:highlight w:val="none"/>
              </w:rPr>
              <w:t>（</w:t>
            </w:r>
            <w:r>
              <w:rPr>
                <w:rFonts w:ascii="宋体" w:hAnsi="宋体" w:cstheme="minorEastAsia"/>
                <w:color w:val="auto"/>
                <w:sz w:val="21"/>
                <w:szCs w:val="20"/>
                <w:highlight w:val="none"/>
              </w:rPr>
              <w:t>1）2018年1月1日至今，投标人获得过省级或以上政府颁发的</w:t>
            </w:r>
            <w:r>
              <w:rPr>
                <w:rFonts w:hint="eastAsia" w:ascii="宋体" w:hAnsi="宋体" w:cstheme="minorEastAsia"/>
                <w:color w:val="auto"/>
                <w:szCs w:val="20"/>
                <w:highlight w:val="none"/>
              </w:rPr>
              <w:t>与建</w:t>
            </w:r>
            <w:r>
              <w:rPr>
                <w:rFonts w:hint="eastAsia" w:ascii="宋体" w:hAnsi="宋体" w:cstheme="minorEastAsia"/>
                <w:color w:val="auto"/>
                <w:szCs w:val="20"/>
                <w:highlight w:val="none"/>
                <w:lang w:val="en-US" w:eastAsia="zh-CN"/>
              </w:rPr>
              <w:t>设</w:t>
            </w:r>
            <w:r>
              <w:rPr>
                <w:rFonts w:hint="eastAsia" w:ascii="宋体" w:hAnsi="宋体" w:cstheme="minorEastAsia"/>
                <w:color w:val="auto"/>
                <w:szCs w:val="20"/>
                <w:highlight w:val="none"/>
              </w:rPr>
              <w:t>工程相关的</w:t>
            </w:r>
            <w:r>
              <w:rPr>
                <w:rFonts w:hint="eastAsia" w:ascii="宋体" w:hAnsi="宋体" w:cstheme="minorEastAsia"/>
                <w:color w:val="auto"/>
                <w:sz w:val="21"/>
                <w:szCs w:val="20"/>
                <w:highlight w:val="none"/>
              </w:rPr>
              <w:t>科学技术奖项的，得</w:t>
            </w:r>
            <w:r>
              <w:rPr>
                <w:rFonts w:ascii="宋体" w:hAnsi="宋体" w:cstheme="minorEastAsia"/>
                <w:color w:val="auto"/>
                <w:sz w:val="21"/>
                <w:szCs w:val="20"/>
                <w:highlight w:val="none"/>
              </w:rPr>
              <w:t>5</w:t>
            </w:r>
            <w:r>
              <w:rPr>
                <w:rFonts w:hint="eastAsia" w:ascii="宋体" w:hAnsi="宋体" w:cstheme="minorEastAsia"/>
                <w:color w:val="auto"/>
                <w:sz w:val="21"/>
                <w:szCs w:val="20"/>
                <w:highlight w:val="none"/>
              </w:rPr>
              <w:t>分。科学技术奖项包括：科学技术奖、自然科学奖、技术发明奖、科技进步奖和科学技术合作奖。</w:t>
            </w:r>
          </w:p>
          <w:p>
            <w:pPr>
              <w:numPr>
                <w:ilvl w:val="255"/>
                <w:numId w:val="0"/>
              </w:numPr>
              <w:tabs>
                <w:tab w:val="left" w:pos="425"/>
              </w:tabs>
              <w:spacing w:before="24" w:beforeLines="10" w:after="24" w:afterLines="10" w:line="380" w:lineRule="exact"/>
              <w:ind w:right="21" w:rightChars="10"/>
              <w:jc w:val="left"/>
              <w:rPr>
                <w:rFonts w:ascii="宋体" w:hAnsi="宋体" w:cstheme="minorEastAsia"/>
                <w:color w:val="auto"/>
                <w:sz w:val="21"/>
                <w:szCs w:val="20"/>
                <w:highlight w:val="none"/>
              </w:rPr>
            </w:pPr>
            <w:r>
              <w:rPr>
                <w:rFonts w:hint="eastAsia" w:ascii="宋体" w:hAnsi="宋体" w:cstheme="minorEastAsia"/>
                <w:color w:val="auto"/>
                <w:sz w:val="21"/>
                <w:szCs w:val="20"/>
                <w:highlight w:val="none"/>
              </w:rPr>
              <w:t>（</w:t>
            </w:r>
            <w:r>
              <w:rPr>
                <w:rFonts w:ascii="宋体" w:hAnsi="宋体" w:cstheme="minorEastAsia"/>
                <w:color w:val="auto"/>
                <w:sz w:val="21"/>
                <w:szCs w:val="20"/>
                <w:highlight w:val="none"/>
              </w:rPr>
              <w:t>2）2018年1月1日至今，投标人获得“纳税信用等级A级”证书每次得1.5分，最多得3分；没有不得分。</w:t>
            </w:r>
          </w:p>
          <w:p>
            <w:pPr>
              <w:numPr>
                <w:ilvl w:val="255"/>
                <w:numId w:val="0"/>
              </w:numPr>
              <w:tabs>
                <w:tab w:val="left" w:pos="425"/>
              </w:tabs>
              <w:spacing w:before="24" w:beforeLines="10" w:after="24" w:afterLines="10" w:line="380" w:lineRule="exact"/>
              <w:ind w:right="21" w:rightChars="10"/>
              <w:jc w:val="left"/>
              <w:rPr>
                <w:rFonts w:ascii="宋体" w:hAnsi="宋体" w:cstheme="minorEastAsia"/>
                <w:color w:val="auto"/>
                <w:szCs w:val="20"/>
                <w:highlight w:val="none"/>
              </w:rPr>
            </w:pPr>
            <w:r>
              <w:rPr>
                <w:rFonts w:hint="eastAsia" w:ascii="宋体" w:hAnsi="宋体" w:cstheme="minorEastAsia"/>
                <w:color w:val="auto"/>
                <w:sz w:val="21"/>
                <w:szCs w:val="20"/>
                <w:highlight w:val="none"/>
              </w:rPr>
              <w:t>注：本项满分</w:t>
            </w:r>
            <w:r>
              <w:rPr>
                <w:rFonts w:ascii="宋体" w:hAnsi="宋体" w:cstheme="minorEastAsia"/>
                <w:color w:val="auto"/>
                <w:sz w:val="21"/>
                <w:szCs w:val="20"/>
                <w:highlight w:val="none"/>
              </w:rPr>
              <w:t>8</w:t>
            </w:r>
            <w:r>
              <w:rPr>
                <w:rFonts w:hint="eastAsia" w:ascii="宋体" w:hAnsi="宋体" w:cstheme="minorEastAsia"/>
                <w:color w:val="auto"/>
                <w:sz w:val="21"/>
                <w:szCs w:val="20"/>
                <w:highlight w:val="none"/>
              </w:rPr>
              <w:t>分。提供相关证书扫描件作为评审依据</w:t>
            </w:r>
            <w:r>
              <w:rPr>
                <w:rFonts w:hint="eastAsia" w:ascii="宋体" w:hAnsi="宋体" w:cstheme="minorEastAsia"/>
                <w:color w:val="auto"/>
                <w:szCs w:val="20"/>
                <w:highlight w:val="none"/>
              </w:rPr>
              <w:t>，</w:t>
            </w:r>
            <w:r>
              <w:rPr>
                <w:rFonts w:hint="eastAsia" w:ascii="宋体" w:hAnsi="宋体" w:cstheme="minorEastAsia"/>
                <w:color w:val="auto"/>
                <w:sz w:val="21"/>
                <w:szCs w:val="20"/>
                <w:highlight w:val="none"/>
              </w:rPr>
              <w:t>时间以证书颁发时间为准。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817" w:type="dxa"/>
            <w:vMerge w:val="continue"/>
            <w:tcBorders>
              <w:tl2br w:val="nil"/>
              <w:tr2bl w:val="nil"/>
            </w:tcBorders>
            <w:shd w:val="clear" w:color="auto" w:fill="auto"/>
            <w:vAlign w:val="center"/>
          </w:tcPr>
          <w:p>
            <w:pPr>
              <w:widowControl/>
              <w:jc w:val="left"/>
              <w:rPr>
                <w:rFonts w:ascii="宋体" w:hAnsi="宋体" w:cs="宋体"/>
                <w:color w:val="auto"/>
                <w:kern w:val="0"/>
                <w:szCs w:val="21"/>
                <w:highlight w:val="none"/>
              </w:rPr>
            </w:pPr>
          </w:p>
        </w:tc>
        <w:tc>
          <w:tcPr>
            <w:tcW w:w="1276" w:type="dxa"/>
            <w:gridSpan w:val="2"/>
            <w:vMerge w:val="continue"/>
            <w:tcBorders>
              <w:tl2br w:val="nil"/>
              <w:tr2bl w:val="nil"/>
            </w:tcBorders>
            <w:shd w:val="clear" w:color="auto" w:fill="auto"/>
            <w:vAlign w:val="center"/>
          </w:tcPr>
          <w:p>
            <w:pPr>
              <w:widowControl/>
              <w:jc w:val="left"/>
              <w:rPr>
                <w:rFonts w:ascii="宋体" w:hAnsi="宋体" w:cs="宋体"/>
                <w:color w:val="auto"/>
                <w:szCs w:val="21"/>
                <w:highlight w:val="none"/>
              </w:rPr>
            </w:pPr>
          </w:p>
        </w:tc>
        <w:tc>
          <w:tcPr>
            <w:tcW w:w="2551" w:type="dxa"/>
            <w:tcBorders>
              <w:tl2br w:val="nil"/>
              <w:tr2bl w:val="nil"/>
            </w:tcBorders>
            <w:shd w:val="clear" w:color="auto" w:fill="FFFFFF"/>
            <w:vAlign w:val="center"/>
          </w:tcPr>
          <w:p>
            <w:pPr>
              <w:tabs>
                <w:tab w:val="left" w:pos="425"/>
              </w:tabs>
              <w:spacing w:before="48" w:beforeLines="20" w:after="48" w:afterLines="20" w:line="360" w:lineRule="exact"/>
              <w:ind w:left="21" w:leftChars="10" w:right="21" w:rightChars="10"/>
              <w:jc w:val="center"/>
              <w:rPr>
                <w:rFonts w:ascii="宋体" w:hAnsi="宋体"/>
                <w:color w:val="auto"/>
                <w:szCs w:val="21"/>
                <w:highlight w:val="none"/>
              </w:rPr>
            </w:pPr>
            <w:r>
              <w:rPr>
                <w:rFonts w:hint="eastAsia" w:ascii="宋体" w:hAnsi="宋体" w:cstheme="minorEastAsia"/>
                <w:color w:val="auto"/>
                <w:szCs w:val="21"/>
                <w:highlight w:val="none"/>
              </w:rPr>
              <w:t>工程奖项（4分）</w:t>
            </w:r>
          </w:p>
        </w:tc>
        <w:tc>
          <w:tcPr>
            <w:tcW w:w="4678" w:type="dxa"/>
            <w:tcBorders>
              <w:tl2br w:val="nil"/>
              <w:tr2bl w:val="nil"/>
            </w:tcBorders>
            <w:shd w:val="clear" w:color="auto" w:fill="FFFFFF"/>
            <w:vAlign w:val="center"/>
          </w:tcPr>
          <w:p>
            <w:pPr>
              <w:numPr>
                <w:ilvl w:val="255"/>
                <w:numId w:val="0"/>
              </w:numPr>
              <w:tabs>
                <w:tab w:val="left" w:pos="425"/>
              </w:tabs>
              <w:spacing w:before="24" w:beforeLines="10" w:after="24" w:afterLines="10" w:line="380" w:lineRule="exact"/>
              <w:ind w:right="21" w:rightChars="10"/>
              <w:jc w:val="left"/>
              <w:rPr>
                <w:rFonts w:ascii="宋体" w:hAnsi="宋体" w:cstheme="minorEastAsia"/>
                <w:color w:val="auto"/>
                <w:szCs w:val="21"/>
                <w:highlight w:val="none"/>
              </w:rPr>
            </w:pPr>
            <w:bookmarkStart w:id="523" w:name="_GoBack"/>
            <w:r>
              <w:rPr>
                <w:rFonts w:hint="eastAsia" w:ascii="宋体" w:hAnsi="宋体" w:cstheme="minorEastAsia"/>
                <w:color w:val="auto"/>
                <w:szCs w:val="21"/>
                <w:highlight w:val="none"/>
              </w:rPr>
              <w:t>201</w:t>
            </w:r>
            <w:r>
              <w:rPr>
                <w:rFonts w:ascii="宋体" w:hAnsi="宋体" w:cstheme="minorEastAsia"/>
                <w:color w:val="auto"/>
                <w:szCs w:val="21"/>
                <w:highlight w:val="none"/>
              </w:rPr>
              <w:t>8</w:t>
            </w:r>
            <w:r>
              <w:rPr>
                <w:rFonts w:hint="eastAsia" w:ascii="宋体" w:hAnsi="宋体" w:cstheme="minorEastAsia"/>
                <w:color w:val="auto"/>
                <w:szCs w:val="21"/>
                <w:highlight w:val="none"/>
              </w:rPr>
              <w:t>年</w:t>
            </w:r>
            <w:r>
              <w:rPr>
                <w:rFonts w:ascii="宋体" w:hAnsi="宋体" w:cstheme="minorEastAsia"/>
                <w:color w:val="auto"/>
                <w:szCs w:val="21"/>
                <w:highlight w:val="none"/>
              </w:rPr>
              <w:t>1</w:t>
            </w:r>
            <w:r>
              <w:rPr>
                <w:rFonts w:hint="eastAsia" w:ascii="宋体" w:hAnsi="宋体" w:cstheme="minorEastAsia"/>
                <w:color w:val="auto"/>
                <w:szCs w:val="21"/>
                <w:highlight w:val="none"/>
              </w:rPr>
              <w:t>月1日至今，投标人所监理的工程项目获得国家级建设监理协会或施工企业管理协会或建筑业协会或建设主管部门颁发的工程质量类奖项的得</w:t>
            </w:r>
            <w:r>
              <w:rPr>
                <w:rFonts w:ascii="宋体" w:hAnsi="宋体" w:cstheme="minorEastAsia"/>
                <w:color w:val="auto"/>
                <w:szCs w:val="21"/>
                <w:highlight w:val="none"/>
              </w:rPr>
              <w:t>4</w:t>
            </w:r>
            <w:r>
              <w:rPr>
                <w:rFonts w:hint="eastAsia" w:ascii="宋体" w:hAnsi="宋体" w:cstheme="minorEastAsia"/>
                <w:color w:val="auto"/>
                <w:szCs w:val="21"/>
                <w:highlight w:val="none"/>
              </w:rPr>
              <w:t>分；获得省级建设监理协会或施工企业管理协会或建筑业协会或建设主管部门颁发的工程质量类奖项的，得2分；获得市级建设监理协会或施工企业管理协会或建筑业协会或建设主管部门颁发的工程质量类奖项的，得1分；</w:t>
            </w:r>
          </w:p>
          <w:p>
            <w:pPr>
              <w:pStyle w:val="8"/>
              <w:spacing w:before="24" w:beforeLines="10" w:after="24" w:afterLines="10" w:line="380" w:lineRule="exact"/>
              <w:ind w:left="439" w:hanging="438" w:hangingChars="209"/>
              <w:rPr>
                <w:rFonts w:ascii="宋体" w:hAnsi="宋体" w:cstheme="minorEastAsia"/>
                <w:color w:val="auto"/>
                <w:sz w:val="21"/>
                <w:szCs w:val="21"/>
                <w:highlight w:val="none"/>
              </w:rPr>
            </w:pPr>
            <w:r>
              <w:rPr>
                <w:rFonts w:hint="eastAsia" w:ascii="宋体" w:hAnsi="宋体" w:cstheme="minorEastAsia"/>
                <w:color w:val="auto"/>
                <w:sz w:val="21"/>
                <w:szCs w:val="21"/>
                <w:highlight w:val="none"/>
              </w:rPr>
              <w:t>注：本项满分</w:t>
            </w:r>
            <w:r>
              <w:rPr>
                <w:rFonts w:ascii="宋体" w:hAnsi="宋体" w:cstheme="minorEastAsia"/>
                <w:color w:val="auto"/>
                <w:sz w:val="21"/>
                <w:szCs w:val="21"/>
                <w:highlight w:val="none"/>
              </w:rPr>
              <w:t>4</w:t>
            </w:r>
            <w:r>
              <w:rPr>
                <w:rFonts w:hint="eastAsia" w:ascii="宋体" w:hAnsi="宋体" w:cstheme="minorEastAsia"/>
                <w:color w:val="auto"/>
                <w:sz w:val="21"/>
                <w:szCs w:val="21"/>
                <w:highlight w:val="none"/>
              </w:rPr>
              <w:t>分；提供获奖证书扫描件作为评审依据，以获奖证书或证明文件颁发时间为准，同一项目获多个奖项的按最高奖项计分，不同级别不累计得分，以投标人能获得最高级别得分作为最终得分。</w:t>
            </w:r>
            <w:bookmarkEnd w:id="5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17" w:type="dxa"/>
            <w:vMerge w:val="continue"/>
            <w:tcBorders>
              <w:tl2br w:val="nil"/>
              <w:tr2bl w:val="nil"/>
            </w:tcBorders>
            <w:shd w:val="clear" w:color="auto" w:fill="auto"/>
            <w:vAlign w:val="center"/>
          </w:tcPr>
          <w:p>
            <w:pPr>
              <w:widowControl/>
              <w:jc w:val="left"/>
              <w:rPr>
                <w:rFonts w:ascii="宋体" w:hAnsi="宋体" w:cs="宋体"/>
                <w:color w:val="auto"/>
                <w:kern w:val="0"/>
                <w:szCs w:val="21"/>
                <w:highlight w:val="none"/>
              </w:rPr>
            </w:pPr>
          </w:p>
        </w:tc>
        <w:tc>
          <w:tcPr>
            <w:tcW w:w="1276" w:type="dxa"/>
            <w:gridSpan w:val="2"/>
            <w:vMerge w:val="continue"/>
            <w:tcBorders>
              <w:tl2br w:val="nil"/>
              <w:tr2bl w:val="nil"/>
            </w:tcBorders>
            <w:shd w:val="clear" w:color="auto" w:fill="auto"/>
            <w:vAlign w:val="center"/>
          </w:tcPr>
          <w:p>
            <w:pPr>
              <w:widowControl/>
              <w:jc w:val="left"/>
              <w:rPr>
                <w:rFonts w:ascii="宋体" w:hAnsi="宋体" w:cs="宋体"/>
                <w:color w:val="auto"/>
                <w:szCs w:val="21"/>
                <w:highlight w:val="none"/>
              </w:rPr>
            </w:pPr>
          </w:p>
        </w:tc>
        <w:tc>
          <w:tcPr>
            <w:tcW w:w="2551" w:type="dxa"/>
            <w:tcBorders>
              <w:tl2br w:val="nil"/>
              <w:tr2bl w:val="nil"/>
            </w:tcBorders>
            <w:shd w:val="clear" w:color="auto" w:fill="FFFFFF"/>
            <w:vAlign w:val="center"/>
          </w:tcPr>
          <w:p>
            <w:pPr>
              <w:tabs>
                <w:tab w:val="left" w:pos="425"/>
              </w:tabs>
              <w:spacing w:before="48" w:beforeLines="20" w:after="48" w:afterLines="20" w:line="360" w:lineRule="exact"/>
              <w:ind w:left="21" w:leftChars="10" w:right="21" w:rightChars="10"/>
              <w:jc w:val="center"/>
              <w:rPr>
                <w:rFonts w:ascii="宋体" w:hAnsi="宋体"/>
                <w:color w:val="auto"/>
                <w:szCs w:val="21"/>
                <w:highlight w:val="none"/>
              </w:rPr>
            </w:pPr>
            <w:r>
              <w:rPr>
                <w:rFonts w:hint="eastAsia" w:ascii="宋体" w:hAnsi="宋体" w:cstheme="minorEastAsia"/>
                <w:color w:val="auto"/>
                <w:szCs w:val="21"/>
                <w:highlight w:val="none"/>
              </w:rPr>
              <w:t>企业业绩（</w:t>
            </w:r>
            <w:r>
              <w:rPr>
                <w:rFonts w:ascii="宋体" w:hAnsi="宋体" w:cstheme="minorEastAsia"/>
                <w:color w:val="auto"/>
                <w:szCs w:val="21"/>
                <w:highlight w:val="none"/>
              </w:rPr>
              <w:t>8</w:t>
            </w:r>
            <w:r>
              <w:rPr>
                <w:rFonts w:hint="eastAsia" w:ascii="宋体" w:hAnsi="宋体" w:cstheme="minorEastAsia"/>
                <w:color w:val="auto"/>
                <w:szCs w:val="21"/>
                <w:highlight w:val="none"/>
              </w:rPr>
              <w:t>分）</w:t>
            </w:r>
          </w:p>
        </w:tc>
        <w:tc>
          <w:tcPr>
            <w:tcW w:w="4678" w:type="dxa"/>
            <w:tcBorders>
              <w:tl2br w:val="nil"/>
              <w:tr2bl w:val="nil"/>
            </w:tcBorders>
            <w:shd w:val="clear" w:color="auto" w:fill="FFFFFF"/>
            <w:vAlign w:val="center"/>
          </w:tcPr>
          <w:p>
            <w:pPr>
              <w:numPr>
                <w:ilvl w:val="255"/>
                <w:numId w:val="0"/>
              </w:numPr>
              <w:tabs>
                <w:tab w:val="left" w:pos="425"/>
              </w:tabs>
              <w:spacing w:before="24" w:beforeLines="10" w:after="24" w:afterLines="10" w:line="380" w:lineRule="exact"/>
              <w:ind w:right="21" w:rightChars="10"/>
              <w:jc w:val="left"/>
              <w:rPr>
                <w:rFonts w:ascii="宋体" w:hAnsi="宋体" w:cstheme="minorEastAsia"/>
                <w:color w:val="auto"/>
                <w:szCs w:val="21"/>
                <w:highlight w:val="none"/>
              </w:rPr>
            </w:pPr>
            <w:r>
              <w:rPr>
                <w:rFonts w:hint="eastAsia" w:ascii="宋体" w:hAnsi="宋体" w:cstheme="minorEastAsia"/>
                <w:color w:val="auto"/>
                <w:szCs w:val="21"/>
                <w:highlight w:val="none"/>
              </w:rPr>
              <w:t>201</w:t>
            </w:r>
            <w:r>
              <w:rPr>
                <w:rFonts w:ascii="宋体" w:hAnsi="宋体" w:cstheme="minorEastAsia"/>
                <w:color w:val="auto"/>
                <w:szCs w:val="21"/>
                <w:highlight w:val="none"/>
              </w:rPr>
              <w:t>8</w:t>
            </w:r>
            <w:r>
              <w:rPr>
                <w:rFonts w:hint="eastAsia" w:ascii="宋体" w:hAnsi="宋体" w:cstheme="minorEastAsia"/>
                <w:color w:val="auto"/>
                <w:szCs w:val="21"/>
                <w:highlight w:val="none"/>
              </w:rPr>
              <w:t>年</w:t>
            </w:r>
            <w:r>
              <w:rPr>
                <w:rFonts w:ascii="宋体" w:hAnsi="宋体" w:cstheme="minorEastAsia"/>
                <w:color w:val="auto"/>
                <w:szCs w:val="21"/>
                <w:highlight w:val="none"/>
              </w:rPr>
              <w:t>1</w:t>
            </w:r>
            <w:r>
              <w:rPr>
                <w:rFonts w:hint="eastAsia" w:ascii="宋体" w:hAnsi="宋体" w:cstheme="minorEastAsia"/>
                <w:color w:val="auto"/>
                <w:szCs w:val="21"/>
                <w:highlight w:val="none"/>
              </w:rPr>
              <w:t>月1日至今，投标人完成过总建筑面积＞</w:t>
            </w:r>
            <w:r>
              <w:rPr>
                <w:rFonts w:ascii="宋体" w:hAnsi="宋体" w:cstheme="minorEastAsia"/>
                <w:color w:val="auto"/>
                <w:szCs w:val="21"/>
                <w:highlight w:val="none"/>
              </w:rPr>
              <w:t>23</w:t>
            </w:r>
            <w:r>
              <w:rPr>
                <w:rFonts w:hint="eastAsia" w:ascii="宋体" w:hAnsi="宋体" w:cstheme="minorEastAsia"/>
                <w:color w:val="auto"/>
                <w:szCs w:val="21"/>
                <w:highlight w:val="none"/>
              </w:rPr>
              <w:t>万平方米的房屋建筑工程项目监理业绩，每项得3分；完成过总建筑面积＞</w:t>
            </w:r>
            <w:r>
              <w:rPr>
                <w:rFonts w:ascii="宋体" w:hAnsi="宋体" w:cstheme="minorEastAsia"/>
                <w:color w:val="auto"/>
                <w:szCs w:val="21"/>
                <w:highlight w:val="none"/>
              </w:rPr>
              <w:t>12</w:t>
            </w:r>
            <w:r>
              <w:rPr>
                <w:rFonts w:hint="eastAsia" w:ascii="宋体" w:hAnsi="宋体" w:cstheme="minorEastAsia"/>
                <w:color w:val="auto"/>
                <w:szCs w:val="21"/>
                <w:highlight w:val="none"/>
              </w:rPr>
              <w:t>万平方米的房屋建筑工程项目监理业绩，每项得</w:t>
            </w:r>
            <w:r>
              <w:rPr>
                <w:rFonts w:ascii="宋体" w:hAnsi="宋体" w:cstheme="minorEastAsia"/>
                <w:color w:val="auto"/>
                <w:szCs w:val="21"/>
                <w:highlight w:val="none"/>
              </w:rPr>
              <w:t>2</w:t>
            </w:r>
            <w:r>
              <w:rPr>
                <w:rFonts w:hint="eastAsia" w:ascii="宋体" w:hAnsi="宋体" w:cstheme="minorEastAsia"/>
                <w:color w:val="auto"/>
                <w:szCs w:val="21"/>
                <w:highlight w:val="none"/>
              </w:rPr>
              <w:t>分；完成过总建筑面积＞</w:t>
            </w:r>
            <w:r>
              <w:rPr>
                <w:rFonts w:ascii="宋体" w:hAnsi="宋体" w:cstheme="minorEastAsia"/>
                <w:color w:val="auto"/>
                <w:szCs w:val="21"/>
                <w:highlight w:val="none"/>
              </w:rPr>
              <w:t>6</w:t>
            </w:r>
            <w:r>
              <w:rPr>
                <w:rFonts w:hint="eastAsia" w:ascii="宋体" w:hAnsi="宋体" w:cstheme="minorEastAsia"/>
                <w:color w:val="auto"/>
                <w:szCs w:val="21"/>
                <w:highlight w:val="none"/>
              </w:rPr>
              <w:t>万平方米的房屋建筑工程项目监理业绩，每项得</w:t>
            </w:r>
            <w:r>
              <w:rPr>
                <w:rFonts w:ascii="宋体" w:hAnsi="宋体" w:cstheme="minorEastAsia"/>
                <w:color w:val="auto"/>
                <w:szCs w:val="21"/>
                <w:highlight w:val="none"/>
              </w:rPr>
              <w:t>1</w:t>
            </w:r>
            <w:r>
              <w:rPr>
                <w:rFonts w:hint="eastAsia" w:ascii="宋体" w:hAnsi="宋体" w:cstheme="minorEastAsia"/>
                <w:color w:val="auto"/>
                <w:szCs w:val="21"/>
                <w:highlight w:val="none"/>
              </w:rPr>
              <w:t>分。</w:t>
            </w:r>
          </w:p>
          <w:p>
            <w:pPr>
              <w:pStyle w:val="8"/>
              <w:spacing w:before="24" w:beforeLines="10" w:after="24" w:afterLines="10" w:line="380" w:lineRule="exact"/>
              <w:ind w:left="439" w:hanging="438" w:hangingChars="209"/>
              <w:rPr>
                <w:rFonts w:ascii="宋体" w:hAnsi="宋体" w:cstheme="minorEastAsia"/>
                <w:color w:val="auto"/>
                <w:sz w:val="21"/>
                <w:szCs w:val="21"/>
                <w:highlight w:val="none"/>
              </w:rPr>
            </w:pPr>
            <w:r>
              <w:rPr>
                <w:rFonts w:hint="eastAsia" w:ascii="宋体" w:hAnsi="宋体" w:cstheme="minorEastAsia"/>
                <w:color w:val="auto"/>
                <w:sz w:val="21"/>
                <w:szCs w:val="21"/>
                <w:highlight w:val="none"/>
              </w:rPr>
              <w:t>注：本项满分</w:t>
            </w:r>
            <w:r>
              <w:rPr>
                <w:rFonts w:hint="eastAsia" w:ascii="宋体" w:hAnsi="宋体" w:cstheme="minorEastAsia"/>
                <w:color w:val="auto"/>
                <w:sz w:val="21"/>
                <w:szCs w:val="21"/>
                <w:highlight w:val="none"/>
                <w:lang w:val="en-US" w:eastAsia="zh-CN"/>
              </w:rPr>
              <w:t>8</w:t>
            </w:r>
            <w:r>
              <w:rPr>
                <w:rFonts w:hint="eastAsia" w:ascii="宋体" w:hAnsi="宋体" w:cstheme="minorEastAsia"/>
                <w:color w:val="auto"/>
                <w:sz w:val="21"/>
                <w:szCs w:val="21"/>
                <w:highlight w:val="none"/>
              </w:rPr>
              <w:t>分；</w:t>
            </w:r>
            <w:r>
              <w:rPr>
                <w:rFonts w:hint="eastAsia" w:ascii="宋体" w:hAnsi="宋体" w:cs="宋体"/>
                <w:color w:val="auto"/>
                <w:sz w:val="21"/>
                <w:szCs w:val="21"/>
                <w:highlight w:val="none"/>
              </w:rPr>
              <w:t>以上建筑面积规模指标不含本数，</w:t>
            </w:r>
            <w:r>
              <w:rPr>
                <w:rFonts w:hint="eastAsia" w:ascii="宋体" w:hAnsi="宋体" w:cstheme="minorEastAsia"/>
                <w:color w:val="auto"/>
                <w:sz w:val="21"/>
                <w:szCs w:val="21"/>
                <w:highlight w:val="none"/>
              </w:rPr>
              <w:t>同一项目满足多个规模指标档次的仅按最高档得分。</w:t>
            </w:r>
            <w:r>
              <w:rPr>
                <w:rFonts w:hint="eastAsia" w:ascii="宋体" w:hAnsi="宋体" w:cs="宋体"/>
                <w:color w:val="auto"/>
                <w:sz w:val="21"/>
                <w:szCs w:val="21"/>
                <w:highlight w:val="none"/>
              </w:rPr>
              <w:t>须同时</w:t>
            </w:r>
            <w:r>
              <w:rPr>
                <w:rFonts w:hint="eastAsia" w:ascii="宋体" w:hAnsi="宋体" w:cstheme="minorEastAsia"/>
                <w:color w:val="auto"/>
                <w:sz w:val="21"/>
                <w:szCs w:val="21"/>
                <w:highlight w:val="none"/>
              </w:rPr>
              <w:t>提供中标通知书、监理合同关键页和竣工验收报告扫描件，业绩时间</w:t>
            </w:r>
            <w:r>
              <w:rPr>
                <w:rFonts w:hint="eastAsia" w:ascii="宋体" w:hAnsi="宋体" w:cs="宋体"/>
                <w:color w:val="auto"/>
                <w:sz w:val="21"/>
                <w:szCs w:val="21"/>
                <w:highlight w:val="none"/>
              </w:rPr>
              <w:t>以竣工验收时间为准。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17" w:type="dxa"/>
            <w:vMerge w:val="continue"/>
            <w:tcBorders>
              <w:tl2br w:val="nil"/>
              <w:tr2bl w:val="nil"/>
            </w:tcBorders>
            <w:shd w:val="clear" w:color="auto" w:fill="auto"/>
            <w:vAlign w:val="center"/>
          </w:tcPr>
          <w:p>
            <w:pPr>
              <w:widowControl/>
              <w:jc w:val="left"/>
              <w:rPr>
                <w:rFonts w:ascii="宋体" w:hAnsi="宋体" w:cs="宋体"/>
                <w:color w:val="auto"/>
                <w:kern w:val="0"/>
                <w:szCs w:val="21"/>
                <w:highlight w:val="none"/>
              </w:rPr>
            </w:pPr>
          </w:p>
        </w:tc>
        <w:tc>
          <w:tcPr>
            <w:tcW w:w="1276" w:type="dxa"/>
            <w:gridSpan w:val="2"/>
            <w:vMerge w:val="continue"/>
            <w:tcBorders>
              <w:tl2br w:val="nil"/>
              <w:tr2bl w:val="nil"/>
            </w:tcBorders>
            <w:shd w:val="clear" w:color="auto" w:fill="auto"/>
            <w:vAlign w:val="center"/>
          </w:tcPr>
          <w:p>
            <w:pPr>
              <w:widowControl/>
              <w:jc w:val="left"/>
              <w:rPr>
                <w:rFonts w:ascii="宋体" w:hAnsi="宋体" w:cs="宋体"/>
                <w:color w:val="auto"/>
                <w:szCs w:val="21"/>
                <w:highlight w:val="none"/>
              </w:rPr>
            </w:pPr>
          </w:p>
        </w:tc>
        <w:tc>
          <w:tcPr>
            <w:tcW w:w="2551" w:type="dxa"/>
            <w:tcBorders>
              <w:tl2br w:val="nil"/>
              <w:tr2bl w:val="nil"/>
            </w:tcBorders>
            <w:shd w:val="clear" w:color="auto" w:fill="FFFFFF"/>
            <w:vAlign w:val="center"/>
          </w:tcPr>
          <w:p>
            <w:pPr>
              <w:snapToGrid w:val="0"/>
              <w:jc w:val="center"/>
              <w:rPr>
                <w:rFonts w:ascii="宋体" w:hAnsi="宋体"/>
                <w:color w:val="auto"/>
                <w:szCs w:val="21"/>
                <w:highlight w:val="none"/>
              </w:rPr>
            </w:pPr>
            <w:r>
              <w:rPr>
                <w:rFonts w:hint="eastAsia" w:ascii="宋体" w:hAnsi="宋体" w:cstheme="minorEastAsia"/>
                <w:bCs/>
                <w:color w:val="auto"/>
                <w:szCs w:val="21"/>
                <w:highlight w:val="none"/>
              </w:rPr>
              <w:t>项目管理机构（1</w:t>
            </w:r>
            <w:r>
              <w:rPr>
                <w:rFonts w:ascii="宋体" w:hAnsi="宋体" w:cstheme="minorEastAsia"/>
                <w:bCs/>
                <w:color w:val="auto"/>
                <w:szCs w:val="21"/>
                <w:highlight w:val="none"/>
              </w:rPr>
              <w:t>6</w:t>
            </w:r>
            <w:r>
              <w:rPr>
                <w:rFonts w:hint="eastAsia" w:ascii="宋体" w:hAnsi="宋体" w:cstheme="minorEastAsia"/>
                <w:bCs/>
                <w:color w:val="auto"/>
                <w:szCs w:val="21"/>
                <w:highlight w:val="none"/>
              </w:rPr>
              <w:t>分）</w:t>
            </w:r>
          </w:p>
        </w:tc>
        <w:tc>
          <w:tcPr>
            <w:tcW w:w="4678" w:type="dxa"/>
            <w:tcBorders>
              <w:tl2br w:val="nil"/>
              <w:tr2bl w:val="nil"/>
            </w:tcBorders>
            <w:shd w:val="clear" w:color="auto" w:fill="FFFFFF"/>
            <w:vAlign w:val="center"/>
          </w:tcPr>
          <w:p>
            <w:pPr>
              <w:pStyle w:val="9"/>
              <w:snapToGrid/>
              <w:spacing w:before="24" w:beforeLines="10" w:after="24" w:afterLines="10" w:line="380" w:lineRule="exact"/>
              <w:rPr>
                <w:rFonts w:hint="default" w:cstheme="minorEastAsia"/>
                <w:color w:val="auto"/>
                <w:sz w:val="21"/>
                <w:szCs w:val="21"/>
                <w:highlight w:val="none"/>
              </w:rPr>
            </w:pPr>
            <w:r>
              <w:rPr>
                <w:rFonts w:cstheme="minorEastAsia"/>
                <w:color w:val="auto"/>
                <w:sz w:val="21"/>
                <w:szCs w:val="21"/>
                <w:highlight w:val="none"/>
              </w:rPr>
              <w:t>不满足《驻场监理机构主要人员配备及资历要求表》的，本项评审得0分。在满足《驻场监理机构主要人员配备及资历要求表》的基础上：</w:t>
            </w:r>
          </w:p>
          <w:p>
            <w:pPr>
              <w:numPr>
                <w:ilvl w:val="255"/>
                <w:numId w:val="0"/>
              </w:numPr>
              <w:tabs>
                <w:tab w:val="left" w:pos="425"/>
              </w:tabs>
              <w:spacing w:before="24" w:beforeLines="10" w:after="24" w:afterLines="10" w:line="380" w:lineRule="exact"/>
              <w:ind w:right="21" w:rightChars="10"/>
              <w:jc w:val="left"/>
              <w:rPr>
                <w:rFonts w:ascii="宋体" w:hAnsi="宋体" w:cs="宋体"/>
                <w:color w:val="auto"/>
                <w:szCs w:val="21"/>
                <w:highlight w:val="none"/>
              </w:rPr>
            </w:pPr>
            <w:r>
              <w:rPr>
                <w:rFonts w:hint="eastAsia" w:ascii="宋体" w:hAnsi="宋体" w:cs="宋体"/>
                <w:color w:val="auto"/>
                <w:szCs w:val="21"/>
                <w:highlight w:val="none"/>
              </w:rPr>
              <w:t>（1）拟投入本项目的总监理工程师：</w:t>
            </w:r>
          </w:p>
          <w:p>
            <w:pPr>
              <w:numPr>
                <w:ilvl w:val="255"/>
                <w:numId w:val="0"/>
              </w:numPr>
              <w:tabs>
                <w:tab w:val="left" w:pos="425"/>
              </w:tabs>
              <w:spacing w:before="24" w:beforeLines="10" w:after="24" w:afterLines="10" w:line="380" w:lineRule="exact"/>
              <w:ind w:right="21" w:rightChars="10"/>
              <w:jc w:val="left"/>
              <w:rPr>
                <w:rFonts w:ascii="宋体" w:hAnsi="宋体" w:cs="宋体"/>
                <w:color w:val="auto"/>
                <w:szCs w:val="21"/>
                <w:highlight w:val="none"/>
              </w:rPr>
            </w:pPr>
            <w:r>
              <w:rPr>
                <w:rFonts w:hint="eastAsia" w:ascii="宋体" w:hAnsi="宋体" w:cs="宋体"/>
                <w:color w:val="auto"/>
                <w:szCs w:val="21"/>
                <w:highlight w:val="none"/>
              </w:rPr>
              <w:t>①</w:t>
            </w:r>
            <w:r>
              <w:rPr>
                <w:rFonts w:hint="eastAsia" w:ascii="宋体" w:hAnsi="宋体" w:cs="宋体"/>
                <w:color w:val="auto"/>
                <w:sz w:val="21"/>
                <w:szCs w:val="21"/>
                <w:highlight w:val="none"/>
              </w:rPr>
              <w:t>具有高级工程师或以上职称的得</w:t>
            </w:r>
            <w:r>
              <w:rPr>
                <w:rFonts w:ascii="宋体" w:hAnsi="宋体" w:cs="宋体"/>
                <w:color w:val="auto"/>
                <w:sz w:val="21"/>
                <w:szCs w:val="21"/>
                <w:highlight w:val="none"/>
              </w:rPr>
              <w:t>1分，具有工程师职称的得0.5</w:t>
            </w:r>
            <w:r>
              <w:rPr>
                <w:rFonts w:hint="eastAsia" w:ascii="宋体" w:hAnsi="宋体" w:cs="宋体"/>
                <w:color w:val="auto"/>
                <w:sz w:val="21"/>
                <w:szCs w:val="21"/>
                <w:highlight w:val="none"/>
              </w:rPr>
              <w:t>分</w:t>
            </w:r>
            <w:r>
              <w:rPr>
                <w:rFonts w:hint="eastAsia" w:ascii="宋体" w:hAnsi="宋体" w:cs="宋体"/>
                <w:color w:val="auto"/>
                <w:szCs w:val="21"/>
                <w:highlight w:val="none"/>
              </w:rPr>
              <w:t>。本小项最高得1分。</w:t>
            </w:r>
          </w:p>
          <w:p>
            <w:pPr>
              <w:numPr>
                <w:ilvl w:val="255"/>
                <w:numId w:val="0"/>
              </w:numPr>
              <w:tabs>
                <w:tab w:val="left" w:pos="425"/>
              </w:tabs>
              <w:spacing w:before="24" w:beforeLines="10" w:after="24" w:afterLines="10" w:line="380" w:lineRule="exact"/>
              <w:ind w:right="21" w:rightChars="10"/>
              <w:jc w:val="left"/>
              <w:rPr>
                <w:rFonts w:ascii="宋体" w:hAnsi="宋体" w:cs="宋体"/>
                <w:color w:val="auto"/>
                <w:szCs w:val="21"/>
                <w:highlight w:val="none"/>
              </w:rPr>
            </w:pPr>
            <w:r>
              <w:rPr>
                <w:rFonts w:hint="eastAsia" w:ascii="宋体" w:hAnsi="宋体" w:cs="宋体"/>
                <w:color w:val="auto"/>
                <w:szCs w:val="21"/>
                <w:highlight w:val="none"/>
              </w:rPr>
              <w:t>②</w:t>
            </w:r>
            <w:r>
              <w:rPr>
                <w:rFonts w:hint="eastAsia" w:ascii="宋体" w:hAnsi="宋体" w:cs="宋体"/>
                <w:color w:val="auto"/>
                <w:sz w:val="21"/>
                <w:szCs w:val="21"/>
                <w:highlight w:val="none"/>
              </w:rPr>
              <w:t>具有</w:t>
            </w:r>
            <w:r>
              <w:rPr>
                <w:rFonts w:ascii="宋体" w:hAnsi="宋体" w:cs="宋体"/>
                <w:color w:val="auto"/>
                <w:sz w:val="21"/>
                <w:szCs w:val="21"/>
                <w:highlight w:val="none"/>
              </w:rPr>
              <w:t>15</w:t>
            </w:r>
            <w:r>
              <w:rPr>
                <w:rFonts w:hint="eastAsia" w:ascii="宋体" w:hAnsi="宋体" w:cs="宋体"/>
                <w:color w:val="auto"/>
                <w:sz w:val="21"/>
                <w:szCs w:val="21"/>
                <w:highlight w:val="none"/>
              </w:rPr>
              <w:t>年或以上监理工作经验得</w:t>
            </w:r>
            <w:r>
              <w:rPr>
                <w:rFonts w:ascii="宋体" w:hAnsi="宋体" w:cs="宋体"/>
                <w:color w:val="auto"/>
                <w:sz w:val="21"/>
                <w:szCs w:val="21"/>
                <w:highlight w:val="none"/>
              </w:rPr>
              <w:t>1分，具有10</w:t>
            </w:r>
            <w:r>
              <w:rPr>
                <w:rFonts w:hint="eastAsia" w:ascii="宋体" w:hAnsi="宋体" w:cs="宋体"/>
                <w:color w:val="auto"/>
                <w:sz w:val="21"/>
                <w:szCs w:val="21"/>
                <w:highlight w:val="none"/>
              </w:rPr>
              <w:t>年或以上监理工作经验得</w:t>
            </w:r>
            <w:r>
              <w:rPr>
                <w:rFonts w:ascii="宋体" w:hAnsi="宋体" w:cs="宋体"/>
                <w:color w:val="auto"/>
                <w:sz w:val="21"/>
                <w:szCs w:val="21"/>
                <w:highlight w:val="none"/>
              </w:rPr>
              <w:t>0.5</w:t>
            </w:r>
            <w:r>
              <w:rPr>
                <w:rFonts w:hint="eastAsia" w:ascii="宋体" w:hAnsi="宋体" w:cs="宋体"/>
                <w:color w:val="auto"/>
                <w:sz w:val="21"/>
                <w:szCs w:val="21"/>
                <w:highlight w:val="none"/>
              </w:rPr>
              <w:t>分</w:t>
            </w:r>
            <w:r>
              <w:rPr>
                <w:rFonts w:hint="eastAsia" w:ascii="宋体" w:hAnsi="宋体" w:cs="宋体"/>
                <w:color w:val="auto"/>
                <w:szCs w:val="21"/>
                <w:highlight w:val="none"/>
              </w:rPr>
              <w:t>。本小项最高得1分。</w:t>
            </w:r>
          </w:p>
          <w:p>
            <w:pPr>
              <w:numPr>
                <w:ilvl w:val="255"/>
                <w:numId w:val="0"/>
              </w:numPr>
              <w:tabs>
                <w:tab w:val="left" w:pos="425"/>
              </w:tabs>
              <w:spacing w:before="24" w:beforeLines="10" w:after="24" w:afterLines="10" w:line="380" w:lineRule="exact"/>
              <w:ind w:right="21" w:rightChars="10"/>
              <w:jc w:val="left"/>
              <w:rPr>
                <w:rFonts w:ascii="宋体" w:hAnsi="宋体" w:cs="宋体"/>
                <w:color w:val="auto"/>
                <w:szCs w:val="21"/>
                <w:highlight w:val="none"/>
              </w:rPr>
            </w:pPr>
            <w:r>
              <w:rPr>
                <w:rFonts w:hint="eastAsia" w:ascii="宋体" w:hAnsi="宋体" w:cs="宋体"/>
                <w:color w:val="auto"/>
                <w:szCs w:val="21"/>
                <w:highlight w:val="none"/>
              </w:rPr>
              <w:t>③</w:t>
            </w:r>
            <w:r>
              <w:rPr>
                <w:rFonts w:ascii="宋体" w:hAnsi="宋体" w:cs="宋体"/>
                <w:color w:val="auto"/>
                <w:sz w:val="21"/>
                <w:szCs w:val="21"/>
                <w:highlight w:val="none"/>
              </w:rPr>
              <w:t>2018</w:t>
            </w:r>
            <w:r>
              <w:rPr>
                <w:rFonts w:hint="eastAsia" w:ascii="宋体" w:hAnsi="宋体" w:cs="宋体"/>
                <w:color w:val="auto"/>
                <w:sz w:val="21"/>
                <w:szCs w:val="21"/>
                <w:highlight w:val="none"/>
              </w:rPr>
              <w:t>年</w:t>
            </w:r>
            <w:r>
              <w:rPr>
                <w:rFonts w:ascii="宋体" w:hAnsi="宋体" w:cs="宋体"/>
                <w:color w:val="auto"/>
                <w:sz w:val="21"/>
                <w:szCs w:val="21"/>
                <w:highlight w:val="none"/>
              </w:rPr>
              <w:t>1月1日至今担任项目总监</w:t>
            </w:r>
            <w:r>
              <w:rPr>
                <w:rFonts w:hint="eastAsia" w:ascii="宋体" w:hAnsi="宋体" w:cs="宋体"/>
                <w:color w:val="auto"/>
                <w:sz w:val="21"/>
                <w:szCs w:val="21"/>
                <w:highlight w:val="none"/>
              </w:rPr>
              <w:t>监理过总建筑面积</w:t>
            </w:r>
            <w:r>
              <w:rPr>
                <w:rFonts w:hint="eastAsia" w:ascii="宋体" w:hAnsi="宋体" w:cstheme="minorEastAsia"/>
                <w:color w:val="auto"/>
                <w:szCs w:val="21"/>
                <w:highlight w:val="none"/>
              </w:rPr>
              <w:t>＞23万平方米的房屋建筑工程项目，得</w:t>
            </w:r>
            <w:r>
              <w:rPr>
                <w:rFonts w:ascii="宋体" w:hAnsi="宋体" w:cstheme="minorEastAsia"/>
                <w:color w:val="auto"/>
                <w:szCs w:val="21"/>
                <w:highlight w:val="none"/>
              </w:rPr>
              <w:t>2</w:t>
            </w:r>
            <w:r>
              <w:rPr>
                <w:rFonts w:hint="eastAsia" w:ascii="宋体" w:hAnsi="宋体" w:cstheme="minorEastAsia"/>
                <w:color w:val="auto"/>
                <w:szCs w:val="21"/>
                <w:highlight w:val="none"/>
              </w:rPr>
              <w:t>分；监理过总建筑面积＞12万平方米的房屋建筑工程项目，得</w:t>
            </w:r>
            <w:r>
              <w:rPr>
                <w:rFonts w:ascii="宋体" w:hAnsi="宋体" w:cstheme="minorEastAsia"/>
                <w:color w:val="auto"/>
                <w:szCs w:val="21"/>
                <w:highlight w:val="none"/>
              </w:rPr>
              <w:t>1</w:t>
            </w:r>
            <w:r>
              <w:rPr>
                <w:rFonts w:hint="eastAsia" w:ascii="宋体" w:hAnsi="宋体" w:cstheme="minorEastAsia"/>
                <w:color w:val="auto"/>
                <w:szCs w:val="21"/>
                <w:highlight w:val="none"/>
              </w:rPr>
              <w:t>分；监理过总建筑面积＞6万平方米的房屋建筑工程项目</w:t>
            </w:r>
            <w:r>
              <w:rPr>
                <w:rFonts w:hint="eastAsia" w:ascii="宋体" w:hAnsi="宋体" w:cstheme="minorEastAsia"/>
                <w:color w:val="auto"/>
                <w:szCs w:val="21"/>
                <w:highlight w:val="none"/>
                <w:lang w:eastAsia="zh-CN"/>
              </w:rPr>
              <w:t>；</w:t>
            </w:r>
            <w:r>
              <w:rPr>
                <w:rFonts w:hint="eastAsia" w:ascii="宋体" w:hAnsi="宋体" w:cstheme="minorEastAsia"/>
                <w:color w:val="auto"/>
                <w:szCs w:val="21"/>
                <w:highlight w:val="none"/>
              </w:rPr>
              <w:t>得</w:t>
            </w:r>
            <w:r>
              <w:rPr>
                <w:rFonts w:ascii="宋体" w:hAnsi="宋体" w:cstheme="minorEastAsia"/>
                <w:color w:val="auto"/>
                <w:szCs w:val="21"/>
                <w:highlight w:val="none"/>
              </w:rPr>
              <w:t>0.5</w:t>
            </w:r>
            <w:r>
              <w:rPr>
                <w:rFonts w:hint="eastAsia" w:ascii="宋体" w:hAnsi="宋体" w:cstheme="minorEastAsia"/>
                <w:color w:val="auto"/>
                <w:szCs w:val="21"/>
                <w:highlight w:val="none"/>
              </w:rPr>
              <w:t>分</w:t>
            </w:r>
            <w:r>
              <w:rPr>
                <w:rFonts w:hint="eastAsia" w:ascii="宋体" w:hAnsi="宋体" w:cs="宋体"/>
                <w:color w:val="auto"/>
                <w:szCs w:val="21"/>
                <w:highlight w:val="none"/>
              </w:rPr>
              <w:t>。以上建筑面积规模指标不含本数，</w:t>
            </w:r>
            <w:r>
              <w:rPr>
                <w:rFonts w:hint="eastAsia" w:ascii="宋体" w:hAnsi="宋体" w:cs="宋体"/>
                <w:color w:val="auto"/>
                <w:szCs w:val="21"/>
                <w:highlight w:val="none"/>
                <w:lang w:val="en-US" w:eastAsia="zh-CN"/>
              </w:rPr>
              <w:t>只计算一项业绩，</w:t>
            </w:r>
            <w:r>
              <w:rPr>
                <w:rFonts w:hint="eastAsia" w:ascii="宋体" w:hAnsi="宋体" w:cs="宋体"/>
                <w:color w:val="auto"/>
                <w:szCs w:val="21"/>
                <w:highlight w:val="none"/>
              </w:rPr>
              <w:t>本小项最高得</w:t>
            </w:r>
            <w:r>
              <w:rPr>
                <w:rFonts w:ascii="宋体" w:hAnsi="宋体" w:cs="宋体"/>
                <w:color w:val="auto"/>
                <w:szCs w:val="21"/>
                <w:highlight w:val="none"/>
              </w:rPr>
              <w:t>2</w:t>
            </w:r>
            <w:r>
              <w:rPr>
                <w:rFonts w:hint="eastAsia" w:ascii="宋体" w:hAnsi="宋体" w:cs="宋体"/>
                <w:color w:val="auto"/>
                <w:szCs w:val="21"/>
                <w:highlight w:val="none"/>
              </w:rPr>
              <w:t>分。</w:t>
            </w:r>
          </w:p>
          <w:p>
            <w:pPr>
              <w:numPr>
                <w:ilvl w:val="255"/>
                <w:numId w:val="0"/>
              </w:numPr>
              <w:tabs>
                <w:tab w:val="left" w:pos="425"/>
              </w:tabs>
              <w:spacing w:before="24" w:beforeLines="10" w:after="24" w:afterLines="10" w:line="380" w:lineRule="exact"/>
              <w:ind w:right="21" w:rightChars="10"/>
              <w:jc w:val="left"/>
              <w:rPr>
                <w:rFonts w:ascii="宋体" w:hAnsi="宋体" w:cstheme="minorEastAsia"/>
                <w:color w:val="auto"/>
                <w:szCs w:val="21"/>
                <w:highlight w:val="none"/>
              </w:rPr>
            </w:pPr>
            <w:r>
              <w:rPr>
                <w:rFonts w:hint="eastAsia" w:ascii="宋体" w:hAnsi="宋体" w:cs="宋体"/>
                <w:color w:val="auto"/>
                <w:szCs w:val="21"/>
                <w:highlight w:val="none"/>
              </w:rPr>
              <w:t>（2）拟投入本项目的监理团队成员中具有建筑施工安全专业注册安全工程师，得</w:t>
            </w:r>
            <w:r>
              <w:rPr>
                <w:rFonts w:ascii="宋体" w:hAnsi="宋体" w:cs="宋体"/>
                <w:color w:val="auto"/>
                <w:szCs w:val="21"/>
                <w:highlight w:val="none"/>
              </w:rPr>
              <w:t>3</w:t>
            </w:r>
            <w:r>
              <w:rPr>
                <w:rFonts w:hint="eastAsia" w:ascii="宋体" w:hAnsi="宋体" w:cs="宋体"/>
                <w:color w:val="auto"/>
                <w:szCs w:val="21"/>
                <w:highlight w:val="none"/>
              </w:rPr>
              <w:t>分。</w:t>
            </w:r>
          </w:p>
          <w:p>
            <w:pPr>
              <w:numPr>
                <w:ilvl w:val="255"/>
                <w:numId w:val="0"/>
              </w:numPr>
              <w:tabs>
                <w:tab w:val="left" w:pos="425"/>
              </w:tabs>
              <w:spacing w:before="24" w:beforeLines="10" w:after="24" w:afterLines="10" w:line="380" w:lineRule="exact"/>
              <w:ind w:right="21" w:rightChars="10"/>
              <w:jc w:val="left"/>
              <w:rPr>
                <w:rFonts w:ascii="宋体" w:hAnsi="宋体" w:cstheme="minorEastAsia"/>
                <w:color w:val="auto"/>
                <w:szCs w:val="21"/>
                <w:highlight w:val="none"/>
              </w:rPr>
            </w:pPr>
            <w:r>
              <w:rPr>
                <w:rFonts w:hint="eastAsia" w:ascii="宋体" w:hAnsi="宋体" w:cs="宋体"/>
                <w:color w:val="auto"/>
                <w:szCs w:val="21"/>
                <w:highlight w:val="none"/>
              </w:rPr>
              <w:t>（3）拟投入本项目的监理团队成员中曾获得国家级“优秀总监理工程师”，得</w:t>
            </w:r>
            <w:r>
              <w:rPr>
                <w:rFonts w:ascii="宋体" w:hAnsi="宋体" w:cs="宋体"/>
                <w:color w:val="auto"/>
                <w:szCs w:val="21"/>
                <w:highlight w:val="none"/>
              </w:rPr>
              <w:t>3</w:t>
            </w:r>
            <w:r>
              <w:rPr>
                <w:rFonts w:hint="eastAsia" w:ascii="宋体" w:hAnsi="宋体" w:cs="宋体"/>
                <w:color w:val="auto"/>
                <w:szCs w:val="21"/>
                <w:highlight w:val="none"/>
              </w:rPr>
              <w:t>分。</w:t>
            </w:r>
          </w:p>
          <w:p>
            <w:pPr>
              <w:numPr>
                <w:ilvl w:val="255"/>
                <w:numId w:val="0"/>
              </w:numPr>
              <w:tabs>
                <w:tab w:val="left" w:pos="425"/>
              </w:tabs>
              <w:spacing w:before="24" w:beforeLines="10" w:after="24" w:afterLines="10" w:line="380" w:lineRule="exact"/>
              <w:ind w:right="21" w:rightChars="10"/>
              <w:jc w:val="left"/>
              <w:rPr>
                <w:rFonts w:ascii="宋体" w:hAnsi="宋体" w:cs="宋体"/>
                <w:color w:val="auto"/>
                <w:szCs w:val="21"/>
                <w:highlight w:val="none"/>
              </w:rPr>
            </w:pPr>
            <w:r>
              <w:rPr>
                <w:rFonts w:hint="eastAsia" w:ascii="宋体" w:hAnsi="宋体" w:cs="宋体"/>
                <w:color w:val="auto"/>
                <w:szCs w:val="21"/>
                <w:highlight w:val="none"/>
              </w:rPr>
              <w:t>（4）拟投入本项目的监理团队成员中具有注册一级建筑师，得</w:t>
            </w:r>
            <w:r>
              <w:rPr>
                <w:rFonts w:ascii="宋体" w:hAnsi="宋体" w:cs="宋体"/>
                <w:color w:val="auto"/>
                <w:szCs w:val="21"/>
                <w:highlight w:val="none"/>
              </w:rPr>
              <w:t>3</w:t>
            </w:r>
            <w:r>
              <w:rPr>
                <w:rFonts w:hint="eastAsia" w:ascii="宋体" w:hAnsi="宋体" w:cs="宋体"/>
                <w:color w:val="auto"/>
                <w:szCs w:val="21"/>
                <w:highlight w:val="none"/>
              </w:rPr>
              <w:t>分；</w:t>
            </w:r>
          </w:p>
          <w:p>
            <w:pPr>
              <w:numPr>
                <w:ilvl w:val="255"/>
                <w:numId w:val="0"/>
              </w:numPr>
              <w:tabs>
                <w:tab w:val="left" w:pos="425"/>
              </w:tabs>
              <w:spacing w:before="24" w:beforeLines="10" w:after="24" w:afterLines="10" w:line="380" w:lineRule="exact"/>
              <w:ind w:right="21" w:rightChars="10"/>
              <w:jc w:val="left"/>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）拟投入本项目的监理团队成员中具有土建专业一级注册造价工程师，得1.5分；具有安装专业一级注册造价工程师，得1.5分；本小项最高得</w:t>
            </w:r>
            <w:r>
              <w:rPr>
                <w:rFonts w:ascii="宋体" w:hAnsi="宋体" w:cs="宋体"/>
                <w:color w:val="auto"/>
                <w:szCs w:val="21"/>
                <w:highlight w:val="none"/>
              </w:rPr>
              <w:t>3</w:t>
            </w:r>
            <w:r>
              <w:rPr>
                <w:rFonts w:hint="eastAsia" w:ascii="宋体" w:hAnsi="宋体" w:cs="宋体"/>
                <w:color w:val="auto"/>
                <w:szCs w:val="21"/>
                <w:highlight w:val="none"/>
              </w:rPr>
              <w:t>分。</w:t>
            </w:r>
          </w:p>
          <w:p>
            <w:pPr>
              <w:pStyle w:val="8"/>
              <w:spacing w:before="24" w:beforeLines="10" w:after="24" w:afterLines="10" w:line="380" w:lineRule="exact"/>
              <w:ind w:left="439" w:hanging="438" w:hangingChars="209"/>
              <w:rPr>
                <w:rFonts w:ascii="宋体" w:hAnsi="宋体" w:cstheme="minorEastAsia"/>
                <w:color w:val="auto"/>
                <w:sz w:val="21"/>
                <w:szCs w:val="21"/>
                <w:highlight w:val="none"/>
              </w:rPr>
            </w:pPr>
            <w:r>
              <w:rPr>
                <w:rFonts w:hint="eastAsia" w:ascii="宋体" w:hAnsi="宋体" w:cstheme="minorEastAsia"/>
                <w:color w:val="auto"/>
                <w:sz w:val="21"/>
                <w:szCs w:val="21"/>
                <w:highlight w:val="none"/>
              </w:rPr>
              <w:t>注：本项满分1</w:t>
            </w:r>
            <w:r>
              <w:rPr>
                <w:rFonts w:ascii="宋体" w:hAnsi="宋体" w:cstheme="minorEastAsia"/>
                <w:color w:val="auto"/>
                <w:sz w:val="21"/>
                <w:szCs w:val="21"/>
                <w:highlight w:val="none"/>
              </w:rPr>
              <w:t>6</w:t>
            </w:r>
            <w:r>
              <w:rPr>
                <w:rFonts w:hint="eastAsia" w:ascii="宋体" w:hAnsi="宋体" w:cstheme="minorEastAsia"/>
                <w:color w:val="auto"/>
                <w:sz w:val="21"/>
                <w:szCs w:val="21"/>
                <w:highlight w:val="none"/>
              </w:rPr>
              <w:t>分。①拟投入人员注册证的注册单位必须为投标人，提供相关证书及2</w:t>
            </w:r>
            <w:r>
              <w:rPr>
                <w:rFonts w:ascii="宋体" w:hAnsi="宋体" w:cstheme="minorEastAsia"/>
                <w:color w:val="auto"/>
                <w:sz w:val="21"/>
                <w:szCs w:val="21"/>
                <w:highlight w:val="none"/>
              </w:rPr>
              <w:t>023</w:t>
            </w:r>
            <w:r>
              <w:rPr>
                <w:rFonts w:hint="eastAsia" w:ascii="宋体" w:hAnsi="宋体" w:cstheme="minorEastAsia"/>
                <w:color w:val="auto"/>
                <w:sz w:val="21"/>
                <w:szCs w:val="21"/>
                <w:highlight w:val="none"/>
              </w:rPr>
              <w:t>年1月</w:t>
            </w:r>
            <w:r>
              <w:rPr>
                <w:rFonts w:hint="eastAsia" w:ascii="宋体" w:hAnsi="宋体" w:cstheme="minorEastAsia"/>
                <w:color w:val="auto"/>
                <w:sz w:val="21"/>
                <w:szCs w:val="21"/>
                <w:highlight w:val="none"/>
                <w:lang w:val="en-US" w:eastAsia="zh-CN"/>
              </w:rPr>
              <w:t>或2月</w:t>
            </w:r>
            <w:r>
              <w:rPr>
                <w:rFonts w:hint="eastAsia" w:ascii="宋体" w:hAnsi="宋体" w:cstheme="minorEastAsia"/>
                <w:color w:val="auto"/>
                <w:sz w:val="21"/>
                <w:szCs w:val="21"/>
                <w:highlight w:val="none"/>
              </w:rPr>
              <w:t>社保缴费证明等证明材料的扫描件作为评审依据。若为退休人员，提供有效的劳动合同和退休证明，退休人员年龄不超过65周岁。②总监业绩：提供监理合同关键页扫描件，业绩时间以合同签订时间为准，监理合同或相关证明材料须体现总监理工程师信息。③按照《造价工程师职业资格制度规定》的规定，根据原人事部、原建设部发布的《造价工程师执业资格制度暂行规定》（人发〔1996〕77号）取得的造价工程师执业资格，并经注册且在有效期内的，等同于一级注册造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817" w:type="dxa"/>
            <w:vMerge w:val="restart"/>
            <w:tcBorders>
              <w:tl2br w:val="nil"/>
              <w:tr2bl w:val="nil"/>
            </w:tcBorders>
            <w:vAlign w:val="center"/>
          </w:tcPr>
          <w:p>
            <w:pPr>
              <w:jc w:val="center"/>
              <w:rPr>
                <w:color w:val="auto"/>
                <w:szCs w:val="21"/>
                <w:highlight w:val="none"/>
              </w:rPr>
            </w:pPr>
            <w:r>
              <w:rPr>
                <w:color w:val="auto"/>
                <w:szCs w:val="21"/>
                <w:highlight w:val="none"/>
              </w:rPr>
              <w:t>2.2.4</w:t>
            </w:r>
            <w:r>
              <w:rPr>
                <w:rFonts w:hint="eastAsia"/>
                <w:color w:val="auto"/>
                <w:szCs w:val="21"/>
                <w:highlight w:val="none"/>
              </w:rPr>
              <w:t>（</w:t>
            </w:r>
            <w:r>
              <w:rPr>
                <w:color w:val="auto"/>
                <w:szCs w:val="21"/>
                <w:highlight w:val="none"/>
              </w:rPr>
              <w:t>2</w:t>
            </w:r>
            <w:r>
              <w:rPr>
                <w:rFonts w:hint="eastAsia"/>
                <w:color w:val="auto"/>
                <w:szCs w:val="21"/>
                <w:highlight w:val="none"/>
              </w:rPr>
              <w:t>）</w:t>
            </w:r>
          </w:p>
        </w:tc>
        <w:tc>
          <w:tcPr>
            <w:tcW w:w="1276" w:type="dxa"/>
            <w:gridSpan w:val="2"/>
            <w:vMerge w:val="restart"/>
            <w:tcBorders>
              <w:tl2br w:val="nil"/>
              <w:tr2bl w:val="nil"/>
            </w:tcBorders>
            <w:vAlign w:val="center"/>
          </w:tcPr>
          <w:p>
            <w:pPr>
              <w:jc w:val="center"/>
              <w:rPr>
                <w:color w:val="auto"/>
                <w:szCs w:val="21"/>
                <w:highlight w:val="none"/>
              </w:rPr>
            </w:pPr>
            <w:r>
              <w:rPr>
                <w:rFonts w:hint="eastAsia"/>
                <w:color w:val="auto"/>
                <w:szCs w:val="21"/>
                <w:highlight w:val="none"/>
              </w:rPr>
              <w:t>监理大纲评分标准【</w:t>
            </w:r>
            <w:r>
              <w:rPr>
                <w:color w:val="auto"/>
                <w:szCs w:val="21"/>
                <w:highlight w:val="none"/>
              </w:rPr>
              <w:t>30</w:t>
            </w:r>
            <w:r>
              <w:rPr>
                <w:rFonts w:hint="eastAsia"/>
                <w:color w:val="auto"/>
                <w:szCs w:val="21"/>
                <w:highlight w:val="none"/>
              </w:rPr>
              <w:t>分】</w:t>
            </w:r>
          </w:p>
        </w:tc>
        <w:tc>
          <w:tcPr>
            <w:tcW w:w="2551" w:type="dxa"/>
            <w:tcBorders>
              <w:top w:val="single" w:color="auto" w:sz="4" w:space="0"/>
              <w:left w:val="single" w:color="auto" w:sz="4" w:space="0"/>
              <w:bottom w:val="single" w:color="auto" w:sz="4" w:space="0"/>
              <w:right w:val="single" w:color="auto" w:sz="4" w:space="0"/>
            </w:tcBorders>
            <w:tcMar>
              <w:top w:w="0" w:type="dxa"/>
              <w:left w:w="57" w:type="dxa"/>
              <w:bottom w:w="0" w:type="dxa"/>
              <w:right w:w="57" w:type="dxa"/>
            </w:tcMar>
            <w:vAlign w:val="center"/>
          </w:tcPr>
          <w:p>
            <w:pPr>
              <w:snapToGrid w:val="0"/>
              <w:spacing w:after="120" w:line="360" w:lineRule="exact"/>
              <w:jc w:val="center"/>
              <w:rPr>
                <w:color w:val="auto"/>
                <w:szCs w:val="21"/>
                <w:highlight w:val="none"/>
              </w:rPr>
            </w:pPr>
            <w:r>
              <w:rPr>
                <w:rFonts w:hint="eastAsia" w:ascii="宋体" w:hAnsi="宋体"/>
                <w:color w:val="auto"/>
                <w:szCs w:val="21"/>
                <w:highlight w:val="none"/>
              </w:rPr>
              <w:t>投资控制方案（</w:t>
            </w:r>
            <w:r>
              <w:rPr>
                <w:rFonts w:ascii="宋体" w:hAnsi="宋体"/>
                <w:color w:val="auto"/>
                <w:szCs w:val="21"/>
                <w:highlight w:val="none"/>
              </w:rPr>
              <w:t>3分）</w:t>
            </w:r>
          </w:p>
        </w:tc>
        <w:tc>
          <w:tcPr>
            <w:tcW w:w="4678" w:type="dxa"/>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针对本项目特点，制定投资控制服务方案。具体、透彻的分析投资控制的重点、难点，提出工程投资控制切实可行的方法、措施及合理化建议。方案为优得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l2br w:val="nil"/>
              <w:tr2bl w:val="nil"/>
            </w:tcBorders>
            <w:tcMar>
              <w:top w:w="0" w:type="dxa"/>
              <w:left w:w="57" w:type="dxa"/>
              <w:bottom w:w="0" w:type="dxa"/>
              <w:right w:w="57" w:type="dxa"/>
            </w:tcMar>
            <w:vAlign w:val="center"/>
          </w:tcPr>
          <w:p>
            <w:pPr>
              <w:snapToGrid w:val="0"/>
              <w:spacing w:after="120" w:line="360" w:lineRule="exact"/>
              <w:jc w:val="center"/>
              <w:rPr>
                <w:rFonts w:ascii="宋体" w:hAnsi="宋体" w:cstheme="minorEastAsia"/>
                <w:color w:val="auto"/>
                <w:szCs w:val="21"/>
                <w:highlight w:val="none"/>
              </w:rPr>
            </w:pPr>
            <w:r>
              <w:rPr>
                <w:rFonts w:hint="eastAsia" w:ascii="宋体" w:hAnsi="宋体" w:cstheme="minorEastAsia"/>
                <w:color w:val="auto"/>
                <w:szCs w:val="21"/>
                <w:highlight w:val="none"/>
              </w:rPr>
              <w:t>进度控制方案</w:t>
            </w:r>
            <w:r>
              <w:rPr>
                <w:rFonts w:hint="eastAsia" w:ascii="宋体" w:hAnsi="宋体"/>
                <w:color w:val="auto"/>
                <w:szCs w:val="21"/>
                <w:highlight w:val="none"/>
              </w:rPr>
              <w:t>（</w:t>
            </w:r>
            <w:r>
              <w:rPr>
                <w:rFonts w:ascii="宋体" w:hAnsi="宋体"/>
                <w:color w:val="auto"/>
                <w:szCs w:val="21"/>
                <w:highlight w:val="none"/>
              </w:rPr>
              <w:t>3分）</w:t>
            </w:r>
          </w:p>
        </w:tc>
        <w:tc>
          <w:tcPr>
            <w:tcW w:w="4678" w:type="dxa"/>
            <w:tcBorders>
              <w:tl2br w:val="nil"/>
              <w:tr2bl w:val="nil"/>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宋体" w:hAnsi="宋体" w:cstheme="minorEastAsia"/>
                <w:color w:val="auto"/>
                <w:szCs w:val="21"/>
                <w:highlight w:val="none"/>
              </w:rPr>
            </w:pPr>
            <w:r>
              <w:rPr>
                <w:rFonts w:hint="eastAsia" w:ascii="宋体" w:hAnsi="宋体"/>
                <w:color w:val="auto"/>
                <w:szCs w:val="21"/>
                <w:highlight w:val="none"/>
              </w:rPr>
              <w:t>针对本项目特点，制定进度控制服务方案。具体、透彻的分析进度控制的重点、难点，提出工程进度控制切实可行的方法、措施及合理化建议。方案为优得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l2br w:val="nil"/>
              <w:tr2bl w:val="nil"/>
            </w:tcBorders>
            <w:tcMar>
              <w:top w:w="0" w:type="dxa"/>
              <w:left w:w="57" w:type="dxa"/>
              <w:bottom w:w="0" w:type="dxa"/>
              <w:right w:w="57" w:type="dxa"/>
            </w:tcMar>
            <w:vAlign w:val="center"/>
          </w:tcPr>
          <w:p>
            <w:pPr>
              <w:snapToGrid w:val="0"/>
              <w:spacing w:after="120" w:line="360" w:lineRule="exact"/>
              <w:jc w:val="center"/>
              <w:rPr>
                <w:rFonts w:ascii="宋体" w:hAnsi="宋体" w:cstheme="minorEastAsia"/>
                <w:color w:val="auto"/>
                <w:szCs w:val="21"/>
                <w:highlight w:val="none"/>
              </w:rPr>
            </w:pPr>
            <w:r>
              <w:rPr>
                <w:rFonts w:hint="eastAsia" w:ascii="宋体" w:hAnsi="宋体" w:cstheme="minorEastAsia"/>
                <w:color w:val="auto"/>
                <w:szCs w:val="21"/>
                <w:highlight w:val="none"/>
              </w:rPr>
              <w:t>质量控制方案</w:t>
            </w:r>
            <w:r>
              <w:rPr>
                <w:rFonts w:hint="eastAsia" w:ascii="宋体" w:hAnsi="宋体"/>
                <w:color w:val="auto"/>
                <w:szCs w:val="21"/>
                <w:highlight w:val="none"/>
              </w:rPr>
              <w:t>（</w:t>
            </w:r>
            <w:r>
              <w:rPr>
                <w:rFonts w:ascii="宋体" w:hAnsi="宋体"/>
                <w:color w:val="auto"/>
                <w:szCs w:val="21"/>
                <w:highlight w:val="none"/>
              </w:rPr>
              <w:t>3分）</w:t>
            </w:r>
          </w:p>
        </w:tc>
        <w:tc>
          <w:tcPr>
            <w:tcW w:w="4678" w:type="dxa"/>
            <w:tcBorders>
              <w:tl2br w:val="nil"/>
              <w:tr2bl w:val="nil"/>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宋体" w:hAnsi="宋体" w:cstheme="minorEastAsia"/>
                <w:color w:val="auto"/>
                <w:szCs w:val="21"/>
                <w:highlight w:val="none"/>
              </w:rPr>
            </w:pPr>
            <w:r>
              <w:rPr>
                <w:rFonts w:hint="eastAsia" w:ascii="宋体" w:hAnsi="宋体"/>
                <w:color w:val="auto"/>
                <w:szCs w:val="21"/>
                <w:highlight w:val="none"/>
              </w:rPr>
              <w:t>针对本项目特点，制定质量控制服务方案。具体、透彻的分析质量控制的重点、难点，提出各主要专业工程质量控制切实可行的方法、措施及合理化建议。方案为优得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6"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l2br w:val="nil"/>
              <w:tr2bl w:val="nil"/>
            </w:tcBorders>
            <w:tcMar>
              <w:top w:w="0" w:type="dxa"/>
              <w:left w:w="57" w:type="dxa"/>
              <w:bottom w:w="0" w:type="dxa"/>
              <w:right w:w="57" w:type="dxa"/>
            </w:tcMar>
            <w:vAlign w:val="center"/>
          </w:tcPr>
          <w:p>
            <w:pPr>
              <w:snapToGrid w:val="0"/>
              <w:spacing w:after="120" w:line="360" w:lineRule="exact"/>
              <w:jc w:val="center"/>
              <w:rPr>
                <w:rFonts w:ascii="宋体" w:hAnsi="宋体" w:cstheme="minorEastAsia"/>
                <w:color w:val="auto"/>
                <w:szCs w:val="21"/>
                <w:highlight w:val="none"/>
              </w:rPr>
            </w:pPr>
            <w:r>
              <w:rPr>
                <w:rFonts w:hint="eastAsia" w:ascii="宋体" w:hAnsi="宋体" w:cstheme="minorEastAsia"/>
                <w:color w:val="auto"/>
                <w:szCs w:val="21"/>
                <w:highlight w:val="none"/>
              </w:rPr>
              <w:t>安全管理方案</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分）</w:t>
            </w:r>
          </w:p>
        </w:tc>
        <w:tc>
          <w:tcPr>
            <w:tcW w:w="4678" w:type="dxa"/>
            <w:tcBorders>
              <w:tl2br w:val="nil"/>
              <w:tr2bl w:val="nil"/>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宋体" w:hAnsi="宋体" w:cstheme="minorEastAsia"/>
                <w:color w:val="auto"/>
                <w:szCs w:val="21"/>
                <w:highlight w:val="none"/>
              </w:rPr>
            </w:pPr>
            <w:r>
              <w:rPr>
                <w:rFonts w:hint="eastAsia" w:ascii="宋体" w:hAnsi="宋体"/>
                <w:color w:val="auto"/>
                <w:szCs w:val="21"/>
                <w:highlight w:val="none"/>
              </w:rPr>
              <w:t>针对本项目特点，制定安全管理服务方案。具体、透彻的分析安全管理的重点、难点，提出工程安全管理切实可行的方法、措施及合理化建议。方案为优得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l2br w:val="nil"/>
              <w:tr2bl w:val="nil"/>
            </w:tcBorders>
            <w:tcMar>
              <w:top w:w="0" w:type="dxa"/>
              <w:left w:w="57" w:type="dxa"/>
              <w:bottom w:w="0" w:type="dxa"/>
              <w:right w:w="57" w:type="dxa"/>
            </w:tcMar>
            <w:vAlign w:val="center"/>
          </w:tcPr>
          <w:p>
            <w:pPr>
              <w:snapToGrid w:val="0"/>
              <w:spacing w:after="120" w:line="360" w:lineRule="exact"/>
              <w:jc w:val="center"/>
              <w:rPr>
                <w:rFonts w:ascii="宋体" w:hAnsi="宋体" w:cstheme="minorEastAsia"/>
                <w:color w:val="auto"/>
                <w:szCs w:val="21"/>
                <w:highlight w:val="none"/>
              </w:rPr>
            </w:pPr>
            <w:r>
              <w:rPr>
                <w:rFonts w:hint="eastAsia" w:ascii="宋体" w:hAnsi="宋体" w:cstheme="minorEastAsia"/>
                <w:color w:val="auto"/>
                <w:szCs w:val="21"/>
                <w:highlight w:val="none"/>
              </w:rPr>
              <w:t>合同管理方案（</w:t>
            </w:r>
            <w:r>
              <w:rPr>
                <w:rFonts w:ascii="宋体" w:hAnsi="宋体" w:cstheme="minorEastAsia"/>
                <w:color w:val="auto"/>
                <w:szCs w:val="21"/>
                <w:highlight w:val="none"/>
              </w:rPr>
              <w:t>3</w:t>
            </w:r>
            <w:r>
              <w:rPr>
                <w:rFonts w:hint="eastAsia" w:ascii="宋体" w:hAnsi="宋体" w:cstheme="minorEastAsia"/>
                <w:color w:val="auto"/>
                <w:szCs w:val="21"/>
                <w:highlight w:val="none"/>
              </w:rPr>
              <w:t>分）</w:t>
            </w:r>
          </w:p>
        </w:tc>
        <w:tc>
          <w:tcPr>
            <w:tcW w:w="4678" w:type="dxa"/>
            <w:tcBorders>
              <w:tl2br w:val="nil"/>
              <w:tr2bl w:val="nil"/>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宋体" w:hAnsi="宋体" w:cstheme="minorEastAsia"/>
                <w:color w:val="auto"/>
                <w:szCs w:val="21"/>
                <w:highlight w:val="none"/>
              </w:rPr>
            </w:pPr>
            <w:r>
              <w:rPr>
                <w:rFonts w:hint="eastAsia" w:ascii="宋体" w:hAnsi="宋体"/>
                <w:color w:val="auto"/>
                <w:szCs w:val="21"/>
                <w:highlight w:val="none"/>
              </w:rPr>
              <w:t>针对本项目特点，制定合同管理方案。具体、透彻的分析合同管理的重点，提出合同管理切实可行的方法、措施。方案为优得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l2br w:val="nil"/>
              <w:tr2bl w:val="nil"/>
            </w:tcBorders>
            <w:tcMar>
              <w:top w:w="0" w:type="dxa"/>
              <w:left w:w="57" w:type="dxa"/>
              <w:bottom w:w="0" w:type="dxa"/>
              <w:right w:w="57" w:type="dxa"/>
            </w:tcMar>
            <w:vAlign w:val="center"/>
          </w:tcPr>
          <w:p>
            <w:pPr>
              <w:snapToGrid w:val="0"/>
              <w:spacing w:after="120" w:line="360" w:lineRule="exact"/>
              <w:jc w:val="center"/>
              <w:rPr>
                <w:rFonts w:ascii="宋体" w:hAnsi="宋体" w:cstheme="minorEastAsia"/>
                <w:color w:val="auto"/>
                <w:szCs w:val="21"/>
                <w:highlight w:val="none"/>
              </w:rPr>
            </w:pPr>
            <w:r>
              <w:rPr>
                <w:rFonts w:hint="eastAsia" w:ascii="宋体" w:hAnsi="宋体" w:cstheme="minorEastAsia"/>
                <w:color w:val="auto"/>
                <w:szCs w:val="21"/>
                <w:highlight w:val="none"/>
              </w:rPr>
              <w:t>信息管理方案（</w:t>
            </w:r>
            <w:r>
              <w:rPr>
                <w:rFonts w:ascii="宋体" w:hAnsi="宋体" w:cstheme="minorEastAsia"/>
                <w:color w:val="auto"/>
                <w:szCs w:val="21"/>
                <w:highlight w:val="none"/>
              </w:rPr>
              <w:t>3</w:t>
            </w:r>
            <w:r>
              <w:rPr>
                <w:rFonts w:hint="eastAsia" w:ascii="宋体" w:hAnsi="宋体" w:cstheme="minorEastAsia"/>
                <w:color w:val="auto"/>
                <w:szCs w:val="21"/>
                <w:highlight w:val="none"/>
              </w:rPr>
              <w:t>分）</w:t>
            </w:r>
          </w:p>
        </w:tc>
        <w:tc>
          <w:tcPr>
            <w:tcW w:w="4678" w:type="dxa"/>
            <w:tcBorders>
              <w:tl2br w:val="nil"/>
              <w:tr2bl w:val="nil"/>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宋体" w:hAnsi="宋体" w:cstheme="minorEastAsia"/>
                <w:color w:val="auto"/>
                <w:szCs w:val="21"/>
                <w:highlight w:val="none"/>
              </w:rPr>
            </w:pPr>
            <w:r>
              <w:rPr>
                <w:rFonts w:hint="eastAsia" w:ascii="宋体" w:hAnsi="宋体"/>
                <w:color w:val="auto"/>
                <w:szCs w:val="21"/>
                <w:highlight w:val="none"/>
              </w:rPr>
              <w:t>针对本项目特点，制定信息管理方案。具体、透彻的分析信息管理的重点，提出信息管理切实可行的方法、措施。方案为优得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l2br w:val="nil"/>
              <w:tr2bl w:val="nil"/>
            </w:tcBorders>
            <w:tcMar>
              <w:top w:w="0" w:type="dxa"/>
              <w:left w:w="57" w:type="dxa"/>
              <w:bottom w:w="0" w:type="dxa"/>
              <w:right w:w="57" w:type="dxa"/>
            </w:tcMar>
            <w:vAlign w:val="center"/>
          </w:tcPr>
          <w:p>
            <w:pPr>
              <w:snapToGrid w:val="0"/>
              <w:spacing w:after="120" w:line="360" w:lineRule="exact"/>
              <w:jc w:val="center"/>
              <w:rPr>
                <w:rFonts w:ascii="宋体" w:hAnsi="宋体" w:cstheme="minorEastAsia"/>
                <w:color w:val="auto"/>
                <w:szCs w:val="21"/>
                <w:highlight w:val="none"/>
              </w:rPr>
            </w:pPr>
            <w:r>
              <w:rPr>
                <w:rFonts w:hint="eastAsia" w:ascii="宋体" w:hAnsi="宋体" w:cstheme="minorEastAsia"/>
                <w:color w:val="auto"/>
                <w:szCs w:val="21"/>
                <w:highlight w:val="none"/>
              </w:rPr>
              <w:t>组织协调方案（</w:t>
            </w:r>
            <w:r>
              <w:rPr>
                <w:rFonts w:ascii="宋体" w:hAnsi="宋体" w:cstheme="minorEastAsia"/>
                <w:color w:val="auto"/>
                <w:szCs w:val="21"/>
                <w:highlight w:val="none"/>
              </w:rPr>
              <w:t>3</w:t>
            </w:r>
            <w:r>
              <w:rPr>
                <w:rFonts w:hint="eastAsia" w:ascii="宋体" w:hAnsi="宋体" w:cstheme="minorEastAsia"/>
                <w:color w:val="auto"/>
                <w:szCs w:val="21"/>
                <w:highlight w:val="none"/>
              </w:rPr>
              <w:t>分）</w:t>
            </w:r>
          </w:p>
        </w:tc>
        <w:tc>
          <w:tcPr>
            <w:tcW w:w="4678" w:type="dxa"/>
            <w:tcBorders>
              <w:tl2br w:val="nil"/>
              <w:tr2bl w:val="nil"/>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针对本项目特点，制定组织协调服务方案。具体、透彻的分析组织协调的重点，提出组织协调切实可行的方法、措施。方案为优得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l2br w:val="nil"/>
              <w:tr2bl w:val="nil"/>
            </w:tcBorders>
            <w:tcMar>
              <w:top w:w="0" w:type="dxa"/>
              <w:left w:w="57" w:type="dxa"/>
              <w:bottom w:w="0" w:type="dxa"/>
              <w:right w:w="57" w:type="dxa"/>
            </w:tcMar>
            <w:vAlign w:val="center"/>
          </w:tcPr>
          <w:p>
            <w:pPr>
              <w:snapToGrid w:val="0"/>
              <w:spacing w:after="120" w:line="360" w:lineRule="exact"/>
              <w:jc w:val="center"/>
              <w:rPr>
                <w:rFonts w:ascii="宋体" w:hAnsi="宋体" w:cstheme="minorEastAsia"/>
                <w:color w:val="auto"/>
                <w:szCs w:val="21"/>
                <w:highlight w:val="none"/>
              </w:rPr>
            </w:pPr>
            <w:r>
              <w:rPr>
                <w:rFonts w:hint="eastAsia" w:ascii="宋体" w:hAnsi="Courier New"/>
                <w:color w:val="auto"/>
                <w:szCs w:val="21"/>
                <w:highlight w:val="none"/>
              </w:rPr>
              <w:t>会议制度</w:t>
            </w:r>
            <w:r>
              <w:rPr>
                <w:rFonts w:hint="eastAsia" w:ascii="宋体" w:hAnsi="宋体" w:cstheme="minorEastAsia"/>
                <w:color w:val="auto"/>
                <w:szCs w:val="21"/>
                <w:highlight w:val="none"/>
              </w:rPr>
              <w:t>（</w:t>
            </w:r>
            <w:r>
              <w:rPr>
                <w:rFonts w:ascii="宋体" w:hAnsi="宋体" w:cstheme="minorEastAsia"/>
                <w:color w:val="auto"/>
                <w:szCs w:val="21"/>
                <w:highlight w:val="none"/>
              </w:rPr>
              <w:t>3</w:t>
            </w:r>
            <w:r>
              <w:rPr>
                <w:rFonts w:hint="eastAsia" w:ascii="宋体" w:hAnsi="宋体" w:cstheme="minorEastAsia"/>
                <w:color w:val="auto"/>
                <w:szCs w:val="21"/>
                <w:highlight w:val="none"/>
              </w:rPr>
              <w:t>分）</w:t>
            </w:r>
          </w:p>
        </w:tc>
        <w:tc>
          <w:tcPr>
            <w:tcW w:w="4678" w:type="dxa"/>
            <w:tcBorders>
              <w:tl2br w:val="nil"/>
              <w:tr2bl w:val="nil"/>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会议制度完善、合理、可行性强。</w:t>
            </w:r>
            <w:r>
              <w:rPr>
                <w:rFonts w:hint="eastAsia" w:ascii="宋体" w:hAnsi="宋体"/>
                <w:color w:val="auto"/>
                <w:szCs w:val="21"/>
                <w:highlight w:val="none"/>
              </w:rPr>
              <w:t>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l2br w:val="nil"/>
              <w:tr2bl w:val="nil"/>
            </w:tcBorders>
            <w:tcMar>
              <w:top w:w="0" w:type="dxa"/>
              <w:left w:w="57" w:type="dxa"/>
              <w:bottom w:w="0" w:type="dxa"/>
              <w:right w:w="57" w:type="dxa"/>
            </w:tcMar>
            <w:vAlign w:val="center"/>
          </w:tcPr>
          <w:p>
            <w:pPr>
              <w:snapToGrid w:val="0"/>
              <w:spacing w:after="120" w:line="360" w:lineRule="exact"/>
              <w:jc w:val="center"/>
              <w:rPr>
                <w:rFonts w:ascii="宋体" w:hAnsi="宋体" w:cstheme="minorEastAsia"/>
                <w:color w:val="auto"/>
                <w:szCs w:val="21"/>
                <w:highlight w:val="none"/>
              </w:rPr>
            </w:pPr>
            <w:r>
              <w:rPr>
                <w:rFonts w:hint="eastAsia" w:ascii="宋体" w:hAnsi="宋体" w:cstheme="minorEastAsia"/>
                <w:color w:val="auto"/>
                <w:szCs w:val="21"/>
                <w:highlight w:val="none"/>
              </w:rPr>
              <w:t>监理工作重点、难点分析（</w:t>
            </w:r>
            <w:r>
              <w:rPr>
                <w:rFonts w:ascii="宋体" w:hAnsi="宋体" w:cstheme="minorEastAsia"/>
                <w:color w:val="auto"/>
                <w:szCs w:val="21"/>
                <w:highlight w:val="none"/>
              </w:rPr>
              <w:t>3</w:t>
            </w:r>
            <w:r>
              <w:rPr>
                <w:rFonts w:hint="eastAsia" w:ascii="宋体" w:hAnsi="宋体" w:cstheme="minorEastAsia"/>
                <w:color w:val="auto"/>
                <w:szCs w:val="21"/>
                <w:highlight w:val="none"/>
              </w:rPr>
              <w:t>分）</w:t>
            </w:r>
          </w:p>
        </w:tc>
        <w:tc>
          <w:tcPr>
            <w:tcW w:w="4678" w:type="dxa"/>
            <w:tcBorders>
              <w:tl2br w:val="nil"/>
              <w:tr2bl w:val="nil"/>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监理工作重点、难点结合本项目特点分析到位，措施针对性强、合理可行。</w:t>
            </w:r>
            <w:r>
              <w:rPr>
                <w:rFonts w:hint="eastAsia" w:ascii="宋体" w:hAnsi="宋体"/>
                <w:color w:val="auto"/>
                <w:szCs w:val="21"/>
                <w:highlight w:val="none"/>
              </w:rPr>
              <w:t>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6" w:hRule="atLeast"/>
          <w:jc w:val="center"/>
        </w:trPr>
        <w:tc>
          <w:tcPr>
            <w:tcW w:w="817" w:type="dxa"/>
            <w:vMerge w:val="continue"/>
            <w:tcBorders>
              <w:tl2br w:val="nil"/>
              <w:tr2bl w:val="nil"/>
            </w:tcBorders>
            <w:vAlign w:val="center"/>
          </w:tcPr>
          <w:p>
            <w:pPr>
              <w:jc w:val="center"/>
              <w:rPr>
                <w:color w:val="auto"/>
                <w:szCs w:val="21"/>
                <w:highlight w:val="none"/>
              </w:rPr>
            </w:pPr>
          </w:p>
        </w:tc>
        <w:tc>
          <w:tcPr>
            <w:tcW w:w="1276" w:type="dxa"/>
            <w:gridSpan w:val="2"/>
            <w:vMerge w:val="continue"/>
            <w:tcBorders>
              <w:tl2br w:val="nil"/>
              <w:tr2bl w:val="nil"/>
            </w:tcBorders>
            <w:vAlign w:val="center"/>
          </w:tcPr>
          <w:p>
            <w:pPr>
              <w:jc w:val="center"/>
              <w:rPr>
                <w:color w:val="auto"/>
                <w:szCs w:val="21"/>
                <w:highlight w:val="none"/>
              </w:rPr>
            </w:pPr>
          </w:p>
        </w:tc>
        <w:tc>
          <w:tcPr>
            <w:tcW w:w="2551"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pStyle w:val="33"/>
              <w:spacing w:line="312" w:lineRule="auto"/>
              <w:ind w:firstLine="0" w:firstLineChars="0"/>
              <w:jc w:val="center"/>
              <w:rPr>
                <w:rFonts w:ascii="宋体" w:hAnsi="宋体" w:cs="Calibri"/>
                <w:color w:val="auto"/>
                <w:spacing w:val="0"/>
                <w:kern w:val="2"/>
                <w:sz w:val="21"/>
                <w:szCs w:val="21"/>
                <w:highlight w:val="none"/>
              </w:rPr>
            </w:pPr>
            <w:r>
              <w:rPr>
                <w:rFonts w:hint="eastAsia" w:ascii="宋体" w:hAnsi="宋体"/>
                <w:color w:val="auto"/>
                <w:spacing w:val="0"/>
                <w:kern w:val="2"/>
                <w:sz w:val="21"/>
                <w:szCs w:val="21"/>
                <w:highlight w:val="none"/>
              </w:rPr>
              <w:t>合理化建议</w:t>
            </w:r>
          </w:p>
          <w:p>
            <w:pPr>
              <w:snapToGrid w:val="0"/>
              <w:spacing w:after="120" w:line="360" w:lineRule="exact"/>
              <w:jc w:val="center"/>
              <w:rPr>
                <w:rFonts w:ascii="宋体" w:hAnsi="宋体" w:cstheme="minorEastAsia"/>
                <w:color w:val="auto"/>
                <w:szCs w:val="21"/>
                <w:highlight w:val="none"/>
              </w:rPr>
            </w:pPr>
            <w:r>
              <w:rPr>
                <w:rFonts w:hint="eastAsia" w:ascii="宋体" w:hAnsi="宋体"/>
                <w:color w:val="auto"/>
                <w:szCs w:val="21"/>
                <w:highlight w:val="none"/>
              </w:rPr>
              <w:t>（</w:t>
            </w:r>
            <w:r>
              <w:rPr>
                <w:rFonts w:ascii="宋体" w:hAnsi="宋体"/>
                <w:color w:val="auto"/>
                <w:szCs w:val="21"/>
                <w:highlight w:val="none"/>
              </w:rPr>
              <w:t>3分）</w:t>
            </w:r>
          </w:p>
        </w:tc>
        <w:tc>
          <w:tcPr>
            <w:tcW w:w="4678" w:type="dxa"/>
            <w:tcBorders>
              <w:top w:val="single" w:color="auto" w:sz="4" w:space="0"/>
              <w:left w:val="nil"/>
              <w:right w:val="single" w:color="auto" w:sz="4" w:space="0"/>
            </w:tcBorders>
            <w:tcMar>
              <w:top w:w="0" w:type="dxa"/>
              <w:left w:w="57" w:type="dxa"/>
              <w:bottom w:w="0" w:type="dxa"/>
              <w:right w:w="57" w:type="dxa"/>
            </w:tcMar>
            <w:vAlign w:val="center"/>
          </w:tcPr>
          <w:p>
            <w:pPr>
              <w:numPr>
                <w:ilvl w:val="255"/>
                <w:numId w:val="0"/>
              </w:numPr>
              <w:tabs>
                <w:tab w:val="left" w:pos="425"/>
              </w:tabs>
              <w:spacing w:before="24" w:beforeLines="10" w:after="24" w:afterLines="10" w:line="360" w:lineRule="atLeast"/>
              <w:ind w:right="21" w:rightChars="10"/>
              <w:jc w:val="left"/>
              <w:rPr>
                <w:rFonts w:ascii="宋体" w:hAnsi="宋体" w:cstheme="minorEastAsia"/>
                <w:color w:val="auto"/>
                <w:szCs w:val="21"/>
                <w:highlight w:val="none"/>
              </w:rPr>
            </w:pPr>
            <w:r>
              <w:rPr>
                <w:rFonts w:hint="eastAsia" w:ascii="宋体" w:hAnsi="宋体"/>
                <w:color w:val="auto"/>
                <w:szCs w:val="21"/>
                <w:highlight w:val="none"/>
              </w:rPr>
              <w:t>具有科学、合理、可行及具体措施的建议。方案为优得</w:t>
            </w:r>
            <w:r>
              <w:rPr>
                <w:rFonts w:ascii="宋体" w:hAnsi="宋体"/>
                <w:color w:val="auto"/>
                <w:szCs w:val="21"/>
                <w:highlight w:val="none"/>
              </w:rPr>
              <w:t>3</w:t>
            </w:r>
            <w:r>
              <w:rPr>
                <w:rFonts w:hint="eastAsia" w:ascii="宋体" w:hAnsi="宋体"/>
                <w:color w:val="auto"/>
                <w:szCs w:val="21"/>
                <w:highlight w:val="none"/>
              </w:rPr>
              <w:t>分；良得</w:t>
            </w:r>
            <w:r>
              <w:rPr>
                <w:rFonts w:ascii="宋体" w:hAnsi="宋体"/>
                <w:color w:val="auto"/>
                <w:szCs w:val="21"/>
                <w:highlight w:val="none"/>
              </w:rPr>
              <w:t>2</w:t>
            </w:r>
            <w:r>
              <w:rPr>
                <w:rFonts w:hint="eastAsia" w:ascii="宋体" w:hAnsi="宋体"/>
                <w:color w:val="auto"/>
                <w:szCs w:val="21"/>
                <w:highlight w:val="none"/>
              </w:rPr>
              <w:t>分；一般得</w:t>
            </w:r>
            <w:r>
              <w:rPr>
                <w:rFonts w:ascii="宋体" w:hAnsi="宋体"/>
                <w:color w:val="auto"/>
                <w:szCs w:val="21"/>
                <w:highlight w:val="none"/>
              </w:rPr>
              <w:t>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9" w:hRule="atLeast"/>
          <w:jc w:val="center"/>
        </w:trPr>
        <w:tc>
          <w:tcPr>
            <w:tcW w:w="817" w:type="dxa"/>
            <w:tcBorders>
              <w:tl2br w:val="nil"/>
              <w:tr2bl w:val="nil"/>
            </w:tcBorders>
            <w:vAlign w:val="center"/>
          </w:tcPr>
          <w:p>
            <w:pPr>
              <w:jc w:val="center"/>
              <w:rPr>
                <w:color w:val="auto"/>
                <w:szCs w:val="21"/>
                <w:highlight w:val="none"/>
              </w:rPr>
            </w:pPr>
            <w:r>
              <w:rPr>
                <w:color w:val="auto"/>
                <w:szCs w:val="21"/>
                <w:highlight w:val="none"/>
              </w:rPr>
              <w:t>2.2.4</w:t>
            </w:r>
            <w:r>
              <w:rPr>
                <w:rFonts w:hint="eastAsia"/>
                <w:color w:val="auto"/>
                <w:szCs w:val="21"/>
                <w:highlight w:val="none"/>
              </w:rPr>
              <w:t>（</w:t>
            </w:r>
            <w:r>
              <w:rPr>
                <w:color w:val="auto"/>
                <w:szCs w:val="21"/>
                <w:highlight w:val="none"/>
              </w:rPr>
              <w:t>3</w:t>
            </w:r>
            <w:r>
              <w:rPr>
                <w:rFonts w:hint="eastAsia"/>
                <w:color w:val="auto"/>
                <w:szCs w:val="21"/>
                <w:highlight w:val="none"/>
              </w:rPr>
              <w:t>）</w:t>
            </w:r>
          </w:p>
        </w:tc>
        <w:tc>
          <w:tcPr>
            <w:tcW w:w="1276" w:type="dxa"/>
            <w:gridSpan w:val="2"/>
            <w:tcBorders>
              <w:tl2br w:val="nil"/>
              <w:tr2bl w:val="nil"/>
            </w:tcBorders>
            <w:vAlign w:val="center"/>
          </w:tcPr>
          <w:p>
            <w:pPr>
              <w:jc w:val="center"/>
              <w:rPr>
                <w:color w:val="auto"/>
                <w:szCs w:val="21"/>
                <w:highlight w:val="none"/>
              </w:rPr>
            </w:pPr>
            <w:r>
              <w:rPr>
                <w:rFonts w:hint="eastAsia"/>
                <w:color w:val="auto"/>
                <w:szCs w:val="21"/>
                <w:highlight w:val="none"/>
              </w:rPr>
              <w:t>投标报价评分标准【30分】</w:t>
            </w:r>
          </w:p>
        </w:tc>
        <w:tc>
          <w:tcPr>
            <w:tcW w:w="2551" w:type="dxa"/>
            <w:tcBorders>
              <w:tl2br w:val="nil"/>
              <w:tr2bl w:val="nil"/>
            </w:tcBorders>
            <w:vAlign w:val="center"/>
          </w:tcPr>
          <w:p>
            <w:pPr>
              <w:jc w:val="center"/>
              <w:rPr>
                <w:color w:val="auto"/>
                <w:szCs w:val="21"/>
                <w:highlight w:val="none"/>
              </w:rPr>
            </w:pPr>
            <w:r>
              <w:rPr>
                <w:rFonts w:hint="eastAsia"/>
                <w:color w:val="auto"/>
                <w:szCs w:val="21"/>
                <w:highlight w:val="none"/>
              </w:rPr>
              <w:t>报价得分</w:t>
            </w:r>
          </w:p>
        </w:tc>
        <w:tc>
          <w:tcPr>
            <w:tcW w:w="4678" w:type="dxa"/>
            <w:tcBorders>
              <w:tl2br w:val="nil"/>
              <w:tr2bl w:val="nil"/>
            </w:tcBorders>
            <w:vAlign w:val="center"/>
          </w:tcPr>
          <w:p>
            <w:pPr>
              <w:snapToGrid w:val="0"/>
              <w:spacing w:before="24" w:beforeLines="10" w:after="24" w:afterLines="10"/>
              <w:ind w:right="42" w:rightChars="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评标委员会按照以下公式计算投标人投标报价得分</w:t>
            </w:r>
          </w:p>
          <w:p>
            <w:pPr>
              <w:pStyle w:val="11"/>
              <w:ind w:firstLine="417" w:firstLineChars="198"/>
              <w:rPr>
                <w:b/>
                <w:bCs/>
                <w:color w:val="auto"/>
                <w:sz w:val="21"/>
                <w:szCs w:val="21"/>
                <w:highlight w:val="none"/>
              </w:rPr>
            </w:pPr>
            <w:r>
              <w:rPr>
                <w:b/>
                <w:bCs/>
                <w:color w:val="auto"/>
                <w:sz w:val="21"/>
                <w:szCs w:val="21"/>
                <w:highlight w:val="none"/>
              </w:rPr>
              <w:t>S=</w:t>
            </w:r>
            <w:r>
              <w:rPr>
                <w:rFonts w:hint="eastAsia"/>
                <w:b/>
                <w:bCs/>
                <w:color w:val="auto"/>
                <w:sz w:val="21"/>
                <w:szCs w:val="21"/>
                <w:highlight w:val="none"/>
              </w:rPr>
              <w:t>[</w:t>
            </w:r>
            <w:r>
              <w:rPr>
                <w:b/>
                <w:bCs/>
                <w:color w:val="auto"/>
                <w:sz w:val="21"/>
                <w:szCs w:val="21"/>
                <w:highlight w:val="none"/>
              </w:rPr>
              <w:t>100－｜B－A｜/A×100×C</w:t>
            </w:r>
            <w:r>
              <w:rPr>
                <w:rFonts w:hint="eastAsia"/>
                <w:b/>
                <w:bCs/>
                <w:color w:val="auto"/>
                <w:sz w:val="21"/>
                <w:szCs w:val="21"/>
                <w:highlight w:val="none"/>
              </w:rPr>
              <w:t>]×30%</w:t>
            </w:r>
          </w:p>
          <w:p>
            <w:pPr>
              <w:snapToGrid w:val="0"/>
              <w:spacing w:before="24" w:beforeLines="10" w:after="24" w:afterLines="10"/>
              <w:ind w:left="462" w:leftChars="220" w:right="42" w:rightChars="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S — 投标报价得分；</w:t>
            </w:r>
          </w:p>
          <w:p>
            <w:pPr>
              <w:snapToGrid w:val="0"/>
              <w:spacing w:before="24" w:beforeLines="10" w:after="24" w:afterLines="10"/>
              <w:ind w:left="462" w:leftChars="220" w:right="42" w:rightChars="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 — 投标人的投标报价；</w:t>
            </w:r>
          </w:p>
          <w:p>
            <w:pPr>
              <w:snapToGrid w:val="0"/>
              <w:spacing w:before="24" w:beforeLines="10" w:after="24" w:afterLines="10"/>
              <w:ind w:left="462" w:leftChars="220" w:right="42" w:rightChars="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 — 投标报价的评标基准价；</w:t>
            </w:r>
          </w:p>
          <w:p>
            <w:pPr>
              <w:snapToGrid w:val="0"/>
              <w:spacing w:before="24" w:beforeLines="10" w:after="24" w:afterLines="10"/>
              <w:ind w:left="462" w:leftChars="220" w:right="42" w:rightChars="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 — 扣分系数，当B&gt;A时，C=0.5；B&lt;A时，C=0.3。</w:t>
            </w:r>
          </w:p>
          <w:p>
            <w:pPr>
              <w:rPr>
                <w:color w:val="auto"/>
                <w:szCs w:val="21"/>
                <w:highlight w:val="none"/>
              </w:rPr>
            </w:pPr>
            <w:r>
              <w:rPr>
                <w:rFonts w:hint="eastAsia" w:ascii="宋体" w:hAnsi="宋体" w:cs="宋体"/>
                <w:color w:val="auto"/>
                <w:szCs w:val="21"/>
                <w:highlight w:val="none"/>
              </w:rPr>
              <w:t>投标报价得分四舍五入保留至小数点后两位</w:t>
            </w:r>
            <w:r>
              <w:rPr>
                <w:rFonts w:hint="eastAsia" w:asciiTheme="minorEastAsia" w:hAnsiTheme="minorEastAsia" w:eastAsiaTheme="minorEastAsia" w:cstheme="minorEastAsia"/>
                <w:color w:val="auto"/>
                <w:szCs w:val="21"/>
                <w:highlight w:val="none"/>
              </w:rPr>
              <w:t>。</w:t>
            </w:r>
          </w:p>
        </w:tc>
      </w:tr>
    </w:tbl>
    <w:p>
      <w:pPr>
        <w:snapToGrid w:val="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pPr>
        <w:numPr>
          <w:ilvl w:val="0"/>
          <w:numId w:val="2"/>
        </w:numPr>
        <w:tabs>
          <w:tab w:val="left" w:pos="760"/>
          <w:tab w:val="clear" w:pos="425"/>
        </w:tabs>
        <w:snapToGrid w:val="0"/>
        <w:ind w:left="765" w:hanging="32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技术部分（监理大纲）得分的计算办法：评委评出各有效投标文件的总得分，取所有评委算术平均值作为该投标人的最后得分。其余各项得分是唯一得分，如评委在这些项目上的评分不一致，应通过记名投票方式，以少数服从多数的原则确定投标人的得分。</w:t>
      </w:r>
    </w:p>
    <w:p>
      <w:pPr>
        <w:numPr>
          <w:ilvl w:val="0"/>
          <w:numId w:val="2"/>
        </w:numPr>
        <w:tabs>
          <w:tab w:val="left" w:pos="760"/>
          <w:tab w:val="clear" w:pos="425"/>
        </w:tabs>
        <w:snapToGrid w:val="0"/>
        <w:ind w:left="765" w:hanging="32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关于禁止监理企业使用未经民政部登记的全国性社会组织所发奖项的决定”粤建监协[2014]07号文规定，凡为社会组织所发奖项的，颁奖社会组织应在中国社会组织网站：www.chinanpo.gov.cn登记；投标人须提供该社会组织已在中国社会组织网站登记查询结果截图，如未能提供的相关项不得分。</w:t>
      </w:r>
    </w:p>
    <w:p>
      <w:pPr>
        <w:numPr>
          <w:ilvl w:val="0"/>
          <w:numId w:val="2"/>
        </w:numPr>
        <w:tabs>
          <w:tab w:val="left" w:pos="760"/>
          <w:tab w:val="clear" w:pos="425"/>
        </w:tabs>
        <w:snapToGrid w:val="0"/>
        <w:ind w:left="765" w:hanging="32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工程质量类奖项包括：中国建设工程鲁班奖、中国土木工程詹天佑奖、优质工程奖、优良样板工程、优质结构奖；同一工程项目只按最高奖项计分一次，不累计。市级指地级市不含县级市。</w:t>
      </w:r>
    </w:p>
    <w:p>
      <w:pPr>
        <w:numPr>
          <w:ilvl w:val="0"/>
          <w:numId w:val="2"/>
        </w:numPr>
        <w:tabs>
          <w:tab w:val="left" w:pos="760"/>
          <w:tab w:val="clear" w:pos="425"/>
        </w:tabs>
        <w:snapToGrid w:val="0"/>
        <w:ind w:left="765" w:hanging="32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“至今”指至招标公告发布之日。</w:t>
      </w:r>
    </w:p>
    <w:p>
      <w:pPr>
        <w:numPr>
          <w:ilvl w:val="0"/>
          <w:numId w:val="2"/>
        </w:numPr>
        <w:tabs>
          <w:tab w:val="left" w:pos="760"/>
          <w:tab w:val="clear" w:pos="425"/>
        </w:tabs>
        <w:snapToGrid w:val="0"/>
        <w:ind w:left="765" w:hanging="32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评分如出现小数点，则保留小数点后两位 ，第三位四舍五入。</w:t>
      </w:r>
    </w:p>
    <w:p>
      <w:pPr>
        <w:pStyle w:val="11"/>
        <w:jc w:val="center"/>
        <w:rPr>
          <w:rFonts w:hAnsi="宋体"/>
          <w:b/>
          <w:bCs/>
          <w:color w:val="auto"/>
          <w:szCs w:val="21"/>
          <w:highlight w:val="none"/>
        </w:rPr>
      </w:pPr>
    </w:p>
    <w:p>
      <w:pPr>
        <w:pStyle w:val="11"/>
        <w:jc w:val="center"/>
        <w:rPr>
          <w:rFonts w:hAnsi="宋体"/>
          <w:b/>
          <w:bCs/>
          <w:color w:val="auto"/>
          <w:szCs w:val="21"/>
          <w:highlight w:val="none"/>
        </w:rPr>
      </w:pPr>
    </w:p>
    <w:p>
      <w:pPr>
        <w:jc w:val="center"/>
        <w:rPr>
          <w:color w:val="auto"/>
          <w:sz w:val="24"/>
          <w:highlight w:val="none"/>
        </w:rPr>
      </w:pPr>
      <w:r>
        <w:rPr>
          <w:rFonts w:hint="eastAsia"/>
          <w:color w:val="auto"/>
          <w:sz w:val="24"/>
          <w:highlight w:val="none"/>
        </w:rPr>
        <w:t>驻场监理机构主要人员配备及资历要求表</w:t>
      </w:r>
    </w:p>
    <w:tbl>
      <w:tblPr>
        <w:tblStyle w:val="2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98"/>
        <w:gridCol w:w="637"/>
        <w:gridCol w:w="3806"/>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628" w:type="dxa"/>
            <w:vAlign w:val="center"/>
          </w:tcPr>
          <w:p>
            <w:pPr>
              <w:adjustRightInd w:val="0"/>
              <w:snapToGrid w:val="0"/>
              <w:jc w:val="center"/>
              <w:rPr>
                <w:rFonts w:ascii="仿宋" w:hAnsi="仿宋"/>
                <w:b/>
                <w:color w:val="auto"/>
                <w:kern w:val="44"/>
                <w:sz w:val="18"/>
                <w:szCs w:val="18"/>
                <w:highlight w:val="none"/>
              </w:rPr>
            </w:pPr>
            <w:r>
              <w:rPr>
                <w:rFonts w:hint="eastAsia" w:ascii="仿宋" w:hAnsi="仿宋"/>
                <w:b/>
                <w:color w:val="auto"/>
                <w:kern w:val="44"/>
                <w:sz w:val="18"/>
                <w:szCs w:val="18"/>
                <w:highlight w:val="none"/>
              </w:rPr>
              <w:t>序号</w:t>
            </w:r>
          </w:p>
        </w:tc>
        <w:tc>
          <w:tcPr>
            <w:tcW w:w="1798" w:type="dxa"/>
            <w:vAlign w:val="center"/>
          </w:tcPr>
          <w:p>
            <w:pPr>
              <w:adjustRightInd w:val="0"/>
              <w:snapToGrid w:val="0"/>
              <w:jc w:val="center"/>
              <w:rPr>
                <w:rFonts w:ascii="仿宋" w:hAnsi="仿宋"/>
                <w:b/>
                <w:color w:val="auto"/>
                <w:kern w:val="44"/>
                <w:sz w:val="18"/>
                <w:szCs w:val="18"/>
                <w:highlight w:val="none"/>
              </w:rPr>
            </w:pPr>
            <w:r>
              <w:rPr>
                <w:rFonts w:hint="eastAsia" w:ascii="仿宋" w:hAnsi="仿宋"/>
                <w:b/>
                <w:color w:val="auto"/>
                <w:kern w:val="44"/>
                <w:sz w:val="18"/>
                <w:szCs w:val="18"/>
                <w:highlight w:val="none"/>
              </w:rPr>
              <w:t>专业类别</w:t>
            </w:r>
          </w:p>
        </w:tc>
        <w:tc>
          <w:tcPr>
            <w:tcW w:w="637" w:type="dxa"/>
            <w:vAlign w:val="center"/>
          </w:tcPr>
          <w:p>
            <w:pPr>
              <w:adjustRightInd w:val="0"/>
              <w:snapToGrid w:val="0"/>
              <w:jc w:val="center"/>
              <w:rPr>
                <w:rFonts w:ascii="仿宋" w:hAnsi="仿宋"/>
                <w:b/>
                <w:color w:val="auto"/>
                <w:kern w:val="44"/>
                <w:sz w:val="18"/>
                <w:szCs w:val="18"/>
                <w:highlight w:val="none"/>
              </w:rPr>
            </w:pPr>
            <w:r>
              <w:rPr>
                <w:rFonts w:hint="eastAsia" w:ascii="仿宋" w:hAnsi="仿宋"/>
                <w:b/>
                <w:color w:val="auto"/>
                <w:kern w:val="44"/>
                <w:sz w:val="18"/>
                <w:szCs w:val="18"/>
                <w:highlight w:val="none"/>
              </w:rPr>
              <w:t>人数</w:t>
            </w:r>
          </w:p>
        </w:tc>
        <w:tc>
          <w:tcPr>
            <w:tcW w:w="3806" w:type="dxa"/>
            <w:vAlign w:val="center"/>
          </w:tcPr>
          <w:p>
            <w:pPr>
              <w:adjustRightInd w:val="0"/>
              <w:snapToGrid w:val="0"/>
              <w:ind w:firstLine="361" w:firstLineChars="200"/>
              <w:jc w:val="center"/>
              <w:rPr>
                <w:rFonts w:ascii="仿宋" w:hAnsi="仿宋"/>
                <w:b/>
                <w:color w:val="auto"/>
                <w:kern w:val="44"/>
                <w:sz w:val="18"/>
                <w:szCs w:val="18"/>
                <w:highlight w:val="none"/>
              </w:rPr>
            </w:pPr>
            <w:r>
              <w:rPr>
                <w:rFonts w:hint="eastAsia" w:ascii="仿宋" w:hAnsi="仿宋"/>
                <w:b/>
                <w:color w:val="auto"/>
                <w:kern w:val="44"/>
                <w:sz w:val="18"/>
                <w:szCs w:val="18"/>
                <w:highlight w:val="none"/>
              </w:rPr>
              <w:t>基本要求</w:t>
            </w:r>
          </w:p>
        </w:tc>
        <w:tc>
          <w:tcPr>
            <w:tcW w:w="2985" w:type="dxa"/>
          </w:tcPr>
          <w:p>
            <w:pPr>
              <w:adjustRightInd w:val="0"/>
              <w:snapToGrid w:val="0"/>
              <w:jc w:val="center"/>
              <w:rPr>
                <w:rFonts w:ascii="宋体" w:hAnsi="宋体" w:cs="宋体"/>
                <w:b/>
                <w:color w:val="auto"/>
                <w:kern w:val="44"/>
                <w:sz w:val="18"/>
                <w:szCs w:val="18"/>
                <w:highlight w:val="none"/>
              </w:rPr>
            </w:pPr>
            <w:r>
              <w:rPr>
                <w:rFonts w:hint="eastAsia" w:ascii="宋体" w:hAnsi="宋体" w:cs="宋体"/>
                <w:b/>
                <w:color w:val="auto"/>
                <w:kern w:val="44"/>
                <w:sz w:val="18"/>
                <w:szCs w:val="18"/>
                <w:highlight w:val="none"/>
              </w:rPr>
              <w:t>备注</w:t>
            </w:r>
          </w:p>
          <w:p>
            <w:pPr>
              <w:adjustRightInd w:val="0"/>
              <w:snapToGrid w:val="0"/>
              <w:jc w:val="center"/>
              <w:rPr>
                <w:rFonts w:ascii="仿宋" w:hAnsi="仿宋"/>
                <w:b/>
                <w:color w:val="auto"/>
                <w:kern w:val="44"/>
                <w:sz w:val="18"/>
                <w:szCs w:val="18"/>
                <w:highlight w:val="none"/>
              </w:rPr>
            </w:pPr>
            <w:r>
              <w:rPr>
                <w:rFonts w:hint="eastAsia" w:ascii="宋体" w:hAnsi="宋体" w:cs="宋体"/>
                <w:b/>
                <w:color w:val="auto"/>
                <w:kern w:val="44"/>
                <w:sz w:val="18"/>
                <w:szCs w:val="18"/>
                <w:highlight w:val="none"/>
              </w:rPr>
              <w:t>（应提供如下证明材料等）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widowControl/>
              <w:adjustRightInd w:val="0"/>
              <w:snapToGrid w:val="0"/>
              <w:ind w:left="-361" w:leftChars="-172" w:firstLine="360" w:firstLineChars="200"/>
              <w:jc w:val="center"/>
              <w:rPr>
                <w:rFonts w:ascii="宋体" w:hAnsi="宋体" w:cs="宋体"/>
                <w:color w:val="auto"/>
                <w:kern w:val="0"/>
                <w:sz w:val="18"/>
                <w:szCs w:val="18"/>
                <w:highlight w:val="none"/>
              </w:rPr>
            </w:pPr>
            <w:r>
              <w:rPr>
                <w:rFonts w:ascii="宋体" w:hAnsi="宋体" w:cs="宋体"/>
                <w:color w:val="auto"/>
                <w:kern w:val="0"/>
                <w:sz w:val="18"/>
                <w:szCs w:val="18"/>
                <w:highlight w:val="none"/>
              </w:rPr>
              <w:t>1</w:t>
            </w:r>
          </w:p>
        </w:tc>
        <w:tc>
          <w:tcPr>
            <w:tcW w:w="1798" w:type="dxa"/>
            <w:vAlign w:val="center"/>
          </w:tcPr>
          <w:p>
            <w:pPr>
              <w:widowControl/>
              <w:adjustRightInd w:val="0"/>
              <w:snapToGrid w:val="0"/>
              <w:ind w:left="-361" w:leftChars="-172" w:firstLine="360" w:firstLineChars="20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总监理工程师</w:t>
            </w:r>
          </w:p>
        </w:tc>
        <w:tc>
          <w:tcPr>
            <w:tcW w:w="637" w:type="dxa"/>
            <w:vAlign w:val="center"/>
          </w:tcPr>
          <w:p>
            <w:pPr>
              <w:widowControl/>
              <w:jc w:val="center"/>
              <w:textAlignment w:val="center"/>
              <w:rPr>
                <w:rFonts w:ascii="宋体" w:hAnsi="宋体" w:cs="宋体"/>
                <w:color w:val="auto"/>
                <w:sz w:val="18"/>
                <w:szCs w:val="18"/>
                <w:highlight w:val="none"/>
              </w:rPr>
            </w:pPr>
            <w:r>
              <w:rPr>
                <w:rFonts w:ascii="宋体" w:hAnsi="宋体" w:cs="宋体"/>
                <w:color w:val="auto"/>
                <w:kern w:val="0"/>
                <w:sz w:val="18"/>
                <w:szCs w:val="18"/>
                <w:highlight w:val="none"/>
              </w:rPr>
              <w:t>1</w:t>
            </w:r>
          </w:p>
        </w:tc>
        <w:tc>
          <w:tcPr>
            <w:tcW w:w="3806" w:type="dxa"/>
            <w:vAlign w:val="center"/>
          </w:tcPr>
          <w:p>
            <w:pPr>
              <w:widowControl/>
              <w:adjustRightInd w:val="0"/>
              <w:snapToGrid w:val="0"/>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详见招标公告</w:t>
            </w:r>
          </w:p>
        </w:tc>
        <w:tc>
          <w:tcPr>
            <w:tcW w:w="2985" w:type="dxa"/>
            <w:vAlign w:val="center"/>
          </w:tcPr>
          <w:p>
            <w:pPr>
              <w:widowControl/>
              <w:adjustRightInd w:val="0"/>
              <w:snapToGrid w:val="0"/>
              <w:jc w:val="left"/>
              <w:rPr>
                <w:rFonts w:ascii="宋体" w:hAnsi="宋体" w:cs="宋体"/>
                <w:color w:val="auto"/>
                <w:kern w:val="0"/>
                <w:sz w:val="18"/>
                <w:szCs w:val="18"/>
                <w:highlight w:val="none"/>
              </w:rPr>
            </w:pPr>
            <w:r>
              <w:rPr>
                <w:rFonts w:hint="eastAsia" w:ascii="宋体" w:hAnsi="宋体" w:cs="仿宋"/>
                <w:color w:val="auto"/>
                <w:kern w:val="44"/>
                <w:sz w:val="18"/>
                <w:szCs w:val="18"/>
                <w:highlight w:val="none"/>
              </w:rPr>
              <w:t>注册监理工程师注册证书、身份证、社保缴费证明扫描件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pPr>
              <w:pStyle w:val="35"/>
              <w:spacing w:line="240" w:lineRule="auto"/>
              <w:jc w:val="center"/>
              <w:rPr>
                <w:rFonts w:ascii="仿宋" w:hAnsi="仿宋" w:cs="宋体"/>
                <w:bCs/>
                <w:color w:val="auto"/>
                <w:kern w:val="44"/>
                <w:sz w:val="18"/>
                <w:szCs w:val="18"/>
                <w:highlight w:val="none"/>
              </w:rPr>
            </w:pPr>
            <w:r>
              <w:rPr>
                <w:rFonts w:ascii="仿宋" w:hAnsi="仿宋" w:cs="宋体"/>
                <w:bCs/>
                <w:color w:val="auto"/>
                <w:kern w:val="44"/>
                <w:sz w:val="18"/>
                <w:szCs w:val="18"/>
                <w:highlight w:val="none"/>
              </w:rPr>
              <w:t>2</w:t>
            </w:r>
          </w:p>
        </w:tc>
        <w:tc>
          <w:tcPr>
            <w:tcW w:w="1798" w:type="dxa"/>
            <w:vAlign w:val="center"/>
          </w:tcPr>
          <w:p>
            <w:pPr>
              <w:widowControl/>
              <w:adjustRightInd w:val="0"/>
              <w:snapToGrid w:val="0"/>
              <w:jc w:val="center"/>
              <w:rPr>
                <w:rFonts w:ascii="宋体" w:hAnsi="宋体" w:cs="宋体"/>
                <w:bCs/>
                <w:color w:val="auto"/>
                <w:kern w:val="44"/>
                <w:sz w:val="18"/>
                <w:szCs w:val="18"/>
                <w:highlight w:val="none"/>
              </w:rPr>
            </w:pPr>
            <w:r>
              <w:rPr>
                <w:rFonts w:hint="eastAsia" w:ascii="宋体" w:hAnsi="宋体" w:cs="宋体"/>
                <w:bCs/>
                <w:color w:val="auto"/>
                <w:kern w:val="44"/>
                <w:sz w:val="18"/>
                <w:szCs w:val="18"/>
                <w:highlight w:val="none"/>
              </w:rPr>
              <w:t>房屋建筑工程师</w:t>
            </w:r>
          </w:p>
        </w:tc>
        <w:tc>
          <w:tcPr>
            <w:tcW w:w="637" w:type="dxa"/>
            <w:vAlign w:val="center"/>
          </w:tcPr>
          <w:p>
            <w:pPr>
              <w:widowControl/>
              <w:jc w:val="center"/>
              <w:textAlignment w:val="center"/>
              <w:rPr>
                <w:rFonts w:ascii="宋体" w:hAnsi="宋体" w:cs="宋体"/>
                <w:color w:val="auto"/>
                <w:sz w:val="18"/>
                <w:szCs w:val="18"/>
                <w:highlight w:val="none"/>
              </w:rPr>
            </w:pPr>
            <w:r>
              <w:rPr>
                <w:rFonts w:ascii="宋体" w:hAnsi="宋体" w:cs="宋体"/>
                <w:color w:val="auto"/>
                <w:kern w:val="0"/>
                <w:sz w:val="18"/>
                <w:szCs w:val="18"/>
                <w:highlight w:val="none"/>
              </w:rPr>
              <w:t>3</w:t>
            </w:r>
          </w:p>
        </w:tc>
        <w:tc>
          <w:tcPr>
            <w:tcW w:w="3806" w:type="dxa"/>
            <w:vAlign w:val="center"/>
          </w:tcPr>
          <w:p>
            <w:pPr>
              <w:widowControl/>
              <w:adjustRightInd w:val="0"/>
              <w:snapToGrid w:val="0"/>
              <w:jc w:val="left"/>
              <w:rPr>
                <w:rFonts w:ascii="宋体" w:hAnsi="宋体" w:cs="宋体"/>
                <w:color w:val="auto"/>
                <w:kern w:val="0"/>
                <w:sz w:val="18"/>
                <w:szCs w:val="18"/>
                <w:highlight w:val="none"/>
              </w:rPr>
            </w:pPr>
            <w:r>
              <w:rPr>
                <w:rFonts w:hint="eastAsia" w:ascii="宋体" w:hAnsi="宋体" w:cs="宋体"/>
                <w:bCs/>
                <w:color w:val="auto"/>
                <w:kern w:val="44"/>
                <w:sz w:val="18"/>
                <w:szCs w:val="18"/>
                <w:highlight w:val="none"/>
              </w:rPr>
              <w:t>具有</w:t>
            </w:r>
            <w:r>
              <w:rPr>
                <w:rFonts w:hint="eastAsia" w:ascii="宋体" w:hAnsi="宋体" w:cs="宋体"/>
                <w:color w:val="auto"/>
                <w:kern w:val="0"/>
                <w:sz w:val="18"/>
                <w:szCs w:val="18"/>
                <w:highlight w:val="none"/>
              </w:rPr>
              <w:t>专业监理工程师证书或注册监理工程师注册证书</w:t>
            </w:r>
            <w:r>
              <w:rPr>
                <w:rFonts w:hint="eastAsia"/>
                <w:bCs/>
                <w:color w:val="auto"/>
                <w:kern w:val="44"/>
                <w:sz w:val="18"/>
                <w:szCs w:val="18"/>
                <w:highlight w:val="none"/>
              </w:rPr>
              <w:t>，具有</w:t>
            </w:r>
            <w:r>
              <w:rPr>
                <w:bCs/>
                <w:color w:val="auto"/>
                <w:kern w:val="44"/>
                <w:sz w:val="18"/>
                <w:szCs w:val="18"/>
                <w:highlight w:val="none"/>
              </w:rPr>
              <w:t>10</w:t>
            </w:r>
            <w:r>
              <w:rPr>
                <w:rFonts w:hint="eastAsia"/>
                <w:bCs/>
                <w:color w:val="auto"/>
                <w:kern w:val="44"/>
                <w:sz w:val="18"/>
                <w:szCs w:val="18"/>
                <w:highlight w:val="none"/>
              </w:rPr>
              <w:t>年或以上监理工作经验</w:t>
            </w:r>
            <w:r>
              <w:rPr>
                <w:rFonts w:hint="eastAsia" w:ascii="宋体" w:hAnsi="宋体" w:cs="宋体"/>
                <w:color w:val="auto"/>
                <w:kern w:val="0"/>
                <w:sz w:val="18"/>
                <w:szCs w:val="18"/>
                <w:highlight w:val="none"/>
              </w:rPr>
              <w:t>，具有</w:t>
            </w:r>
            <w:r>
              <w:rPr>
                <w:rFonts w:hint="eastAsia" w:ascii="仿宋" w:hAnsi="仿宋"/>
                <w:color w:val="auto"/>
                <w:sz w:val="18"/>
                <w:szCs w:val="18"/>
                <w:highlight w:val="none"/>
              </w:rPr>
              <w:t>大专或以上学历</w:t>
            </w:r>
          </w:p>
        </w:tc>
        <w:tc>
          <w:tcPr>
            <w:tcW w:w="2985" w:type="dxa"/>
            <w:vAlign w:val="center"/>
          </w:tcPr>
          <w:p>
            <w:pPr>
              <w:widowControl/>
              <w:adjustRightInd w:val="0"/>
              <w:snapToGrid w:val="0"/>
              <w:jc w:val="left"/>
              <w:rPr>
                <w:rFonts w:ascii="宋体" w:hAnsi="宋体" w:cs="宋体"/>
                <w:color w:val="auto"/>
                <w:kern w:val="0"/>
                <w:sz w:val="18"/>
                <w:szCs w:val="18"/>
                <w:highlight w:val="none"/>
              </w:rPr>
            </w:pPr>
            <w:r>
              <w:rPr>
                <w:rFonts w:hint="eastAsia" w:ascii="宋体" w:hAnsi="宋体" w:cs="宋体"/>
                <w:color w:val="auto"/>
                <w:kern w:val="44"/>
                <w:sz w:val="18"/>
                <w:szCs w:val="18"/>
                <w:highlight w:val="none"/>
              </w:rPr>
              <w:t>毕业证</w:t>
            </w:r>
            <w:r>
              <w:rPr>
                <w:rFonts w:hint="eastAsia" w:ascii="宋体" w:hAnsi="宋体" w:cs="仿宋"/>
                <w:color w:val="auto"/>
                <w:kern w:val="44"/>
                <w:sz w:val="18"/>
                <w:szCs w:val="18"/>
                <w:highlight w:val="none"/>
              </w:rPr>
              <w:t>、身份证、注册证书或岗位证书、社保缴费证明扫描件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pPr>
              <w:adjustRightInd w:val="0"/>
              <w:snapToGrid w:val="0"/>
              <w:jc w:val="center"/>
              <w:rPr>
                <w:rFonts w:ascii="仿宋" w:hAnsi="仿宋"/>
                <w:bCs/>
                <w:color w:val="auto"/>
                <w:kern w:val="44"/>
                <w:sz w:val="18"/>
                <w:szCs w:val="18"/>
                <w:highlight w:val="none"/>
              </w:rPr>
            </w:pPr>
            <w:r>
              <w:rPr>
                <w:rFonts w:ascii="仿宋" w:hAnsi="仿宋"/>
                <w:bCs/>
                <w:color w:val="auto"/>
                <w:kern w:val="44"/>
                <w:sz w:val="18"/>
                <w:szCs w:val="18"/>
                <w:highlight w:val="none"/>
              </w:rPr>
              <w:t>3</w:t>
            </w:r>
          </w:p>
        </w:tc>
        <w:tc>
          <w:tcPr>
            <w:tcW w:w="1798" w:type="dxa"/>
            <w:vAlign w:val="center"/>
          </w:tcPr>
          <w:p>
            <w:pPr>
              <w:adjustRightInd w:val="0"/>
              <w:snapToGrid w:val="0"/>
              <w:jc w:val="center"/>
              <w:rPr>
                <w:rFonts w:ascii="仿宋" w:hAnsi="仿宋"/>
                <w:bCs/>
                <w:color w:val="auto"/>
                <w:kern w:val="44"/>
                <w:sz w:val="18"/>
                <w:szCs w:val="18"/>
                <w:highlight w:val="none"/>
              </w:rPr>
            </w:pPr>
            <w:r>
              <w:rPr>
                <w:rFonts w:hint="eastAsia" w:ascii="仿宋" w:hAnsi="仿宋"/>
                <w:bCs/>
                <w:color w:val="auto"/>
                <w:kern w:val="44"/>
                <w:sz w:val="18"/>
                <w:szCs w:val="18"/>
                <w:highlight w:val="none"/>
              </w:rPr>
              <w:t>机电安装工程师</w:t>
            </w:r>
          </w:p>
        </w:tc>
        <w:tc>
          <w:tcPr>
            <w:tcW w:w="637" w:type="dxa"/>
            <w:vAlign w:val="center"/>
          </w:tcPr>
          <w:p>
            <w:pPr>
              <w:widowControl/>
              <w:jc w:val="center"/>
              <w:textAlignment w:val="center"/>
              <w:rPr>
                <w:rFonts w:ascii="宋体" w:hAnsi="宋体" w:cs="宋体"/>
                <w:color w:val="auto"/>
                <w:sz w:val="18"/>
                <w:szCs w:val="18"/>
                <w:highlight w:val="none"/>
              </w:rPr>
            </w:pPr>
            <w:r>
              <w:rPr>
                <w:rFonts w:ascii="宋体" w:hAnsi="宋体" w:cs="宋体"/>
                <w:color w:val="auto"/>
                <w:kern w:val="0"/>
                <w:sz w:val="18"/>
                <w:szCs w:val="18"/>
                <w:highlight w:val="none"/>
              </w:rPr>
              <w:t>2</w:t>
            </w:r>
          </w:p>
        </w:tc>
        <w:tc>
          <w:tcPr>
            <w:tcW w:w="3806" w:type="dxa"/>
            <w:vAlign w:val="center"/>
          </w:tcPr>
          <w:p>
            <w:pPr>
              <w:adjustRightInd w:val="0"/>
              <w:snapToGrid w:val="0"/>
              <w:rPr>
                <w:rFonts w:ascii="仿宋" w:hAnsi="仿宋"/>
                <w:bCs/>
                <w:color w:val="auto"/>
                <w:kern w:val="44"/>
                <w:sz w:val="18"/>
                <w:szCs w:val="18"/>
                <w:highlight w:val="none"/>
              </w:rPr>
            </w:pPr>
            <w:r>
              <w:rPr>
                <w:rFonts w:hint="eastAsia" w:ascii="宋体" w:hAnsi="宋体" w:cs="宋体"/>
                <w:color w:val="auto"/>
                <w:kern w:val="0"/>
                <w:sz w:val="18"/>
                <w:szCs w:val="18"/>
                <w:highlight w:val="none"/>
              </w:rPr>
              <w:t>具有专业监理工程师证书或注册监理工程师注册证书为准，具有</w:t>
            </w:r>
            <w:r>
              <w:rPr>
                <w:rFonts w:ascii="宋体" w:hAnsi="宋体" w:cs="宋体"/>
                <w:color w:val="auto"/>
                <w:kern w:val="0"/>
                <w:sz w:val="18"/>
                <w:szCs w:val="18"/>
                <w:highlight w:val="none"/>
              </w:rPr>
              <w:t>10</w:t>
            </w:r>
            <w:r>
              <w:rPr>
                <w:rFonts w:hint="eastAsia" w:ascii="宋体" w:hAnsi="宋体" w:cs="宋体"/>
                <w:color w:val="auto"/>
                <w:kern w:val="0"/>
                <w:sz w:val="18"/>
                <w:szCs w:val="18"/>
                <w:highlight w:val="none"/>
              </w:rPr>
              <w:t>年或以上监理工作经验，具有</w:t>
            </w:r>
            <w:r>
              <w:rPr>
                <w:rFonts w:hint="eastAsia" w:ascii="仿宋" w:hAnsi="仿宋"/>
                <w:color w:val="auto"/>
                <w:sz w:val="18"/>
                <w:szCs w:val="18"/>
                <w:highlight w:val="none"/>
              </w:rPr>
              <w:t>大专或以上学历</w:t>
            </w:r>
          </w:p>
        </w:tc>
        <w:tc>
          <w:tcPr>
            <w:tcW w:w="2985" w:type="dxa"/>
            <w:vAlign w:val="center"/>
          </w:tcPr>
          <w:p>
            <w:pPr>
              <w:adjustRightInd w:val="0"/>
              <w:snapToGrid w:val="0"/>
              <w:rPr>
                <w:rFonts w:ascii="宋体" w:hAnsi="宋体" w:cs="宋体"/>
                <w:color w:val="auto"/>
                <w:kern w:val="0"/>
                <w:sz w:val="18"/>
                <w:szCs w:val="18"/>
                <w:highlight w:val="none"/>
              </w:rPr>
            </w:pPr>
            <w:r>
              <w:rPr>
                <w:rFonts w:hint="eastAsia" w:ascii="宋体" w:hAnsi="宋体" w:cs="宋体"/>
                <w:color w:val="auto"/>
                <w:kern w:val="44"/>
                <w:sz w:val="18"/>
                <w:szCs w:val="18"/>
                <w:highlight w:val="none"/>
              </w:rPr>
              <w:t>毕业证</w:t>
            </w:r>
            <w:r>
              <w:rPr>
                <w:rFonts w:hint="eastAsia" w:ascii="宋体" w:hAnsi="宋体" w:cs="仿宋"/>
                <w:color w:val="auto"/>
                <w:kern w:val="44"/>
                <w:sz w:val="18"/>
                <w:szCs w:val="18"/>
                <w:highlight w:val="none"/>
              </w:rPr>
              <w:t>、身份证、注册证书或岗位证书、社保缴费证明扫描件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pPr>
              <w:adjustRightInd w:val="0"/>
              <w:snapToGrid w:val="0"/>
              <w:jc w:val="center"/>
              <w:rPr>
                <w:rFonts w:ascii="仿宋" w:hAnsi="仿宋"/>
                <w:bCs/>
                <w:color w:val="auto"/>
                <w:kern w:val="44"/>
                <w:sz w:val="18"/>
                <w:szCs w:val="18"/>
                <w:highlight w:val="none"/>
              </w:rPr>
            </w:pPr>
            <w:r>
              <w:rPr>
                <w:rFonts w:ascii="仿宋" w:hAnsi="仿宋"/>
                <w:bCs/>
                <w:color w:val="auto"/>
                <w:kern w:val="44"/>
                <w:sz w:val="18"/>
                <w:szCs w:val="18"/>
                <w:highlight w:val="none"/>
              </w:rPr>
              <w:t>4</w:t>
            </w:r>
          </w:p>
        </w:tc>
        <w:tc>
          <w:tcPr>
            <w:tcW w:w="1798" w:type="dxa"/>
            <w:vAlign w:val="center"/>
          </w:tcPr>
          <w:p>
            <w:pPr>
              <w:adjustRightInd w:val="0"/>
              <w:snapToGrid w:val="0"/>
              <w:jc w:val="center"/>
              <w:rPr>
                <w:bCs/>
                <w:color w:val="auto"/>
                <w:kern w:val="44"/>
                <w:sz w:val="18"/>
                <w:szCs w:val="18"/>
                <w:highlight w:val="none"/>
              </w:rPr>
            </w:pPr>
            <w:r>
              <w:rPr>
                <w:rFonts w:hint="eastAsia"/>
                <w:bCs/>
                <w:color w:val="auto"/>
                <w:kern w:val="44"/>
                <w:sz w:val="18"/>
                <w:szCs w:val="18"/>
                <w:highlight w:val="none"/>
              </w:rPr>
              <w:t>装饰、装修工程师</w:t>
            </w:r>
          </w:p>
        </w:tc>
        <w:tc>
          <w:tcPr>
            <w:tcW w:w="637" w:type="dxa"/>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1</w:t>
            </w:r>
          </w:p>
        </w:tc>
        <w:tc>
          <w:tcPr>
            <w:tcW w:w="3806" w:type="dxa"/>
            <w:vAlign w:val="center"/>
          </w:tcPr>
          <w:p>
            <w:pPr>
              <w:adjustRightInd w:val="0"/>
              <w:snapToGrid w:val="0"/>
              <w:rPr>
                <w:bCs/>
                <w:color w:val="auto"/>
                <w:kern w:val="44"/>
                <w:sz w:val="18"/>
                <w:szCs w:val="18"/>
                <w:highlight w:val="none"/>
              </w:rPr>
            </w:pPr>
            <w:r>
              <w:rPr>
                <w:rFonts w:hint="eastAsia"/>
                <w:bCs/>
                <w:color w:val="auto"/>
                <w:kern w:val="44"/>
                <w:sz w:val="18"/>
                <w:szCs w:val="18"/>
                <w:highlight w:val="none"/>
              </w:rPr>
              <w:t>所学专业或职称为建筑工程（或相关专业），具备中级工程师或以上技术职称，且具有</w:t>
            </w:r>
            <w:r>
              <w:rPr>
                <w:bCs/>
                <w:color w:val="auto"/>
                <w:kern w:val="44"/>
                <w:sz w:val="18"/>
                <w:szCs w:val="18"/>
                <w:highlight w:val="none"/>
              </w:rPr>
              <w:t>10</w:t>
            </w:r>
            <w:r>
              <w:rPr>
                <w:rFonts w:hint="eastAsia"/>
                <w:bCs/>
                <w:color w:val="auto"/>
                <w:kern w:val="44"/>
                <w:sz w:val="18"/>
                <w:szCs w:val="18"/>
                <w:highlight w:val="none"/>
              </w:rPr>
              <w:t>年或以上监理工作经验，</w:t>
            </w:r>
            <w:r>
              <w:rPr>
                <w:rFonts w:hint="eastAsia" w:ascii="宋体" w:hAnsi="宋体" w:cs="宋体"/>
                <w:color w:val="auto"/>
                <w:kern w:val="0"/>
                <w:sz w:val="18"/>
                <w:szCs w:val="18"/>
                <w:highlight w:val="none"/>
              </w:rPr>
              <w:t>具有</w:t>
            </w:r>
            <w:r>
              <w:rPr>
                <w:rFonts w:hint="eastAsia" w:ascii="仿宋" w:hAnsi="仿宋"/>
                <w:color w:val="auto"/>
                <w:sz w:val="18"/>
                <w:szCs w:val="18"/>
                <w:highlight w:val="none"/>
              </w:rPr>
              <w:t>大专或以上学历</w:t>
            </w:r>
          </w:p>
        </w:tc>
        <w:tc>
          <w:tcPr>
            <w:tcW w:w="2985" w:type="dxa"/>
            <w:vAlign w:val="center"/>
          </w:tcPr>
          <w:p>
            <w:pPr>
              <w:adjustRightInd w:val="0"/>
              <w:snapToGrid w:val="0"/>
              <w:rPr>
                <w:rFonts w:ascii="宋体" w:hAnsi="宋体" w:cs="宋体"/>
                <w:color w:val="auto"/>
                <w:kern w:val="44"/>
                <w:sz w:val="18"/>
                <w:szCs w:val="18"/>
                <w:highlight w:val="none"/>
              </w:rPr>
            </w:pPr>
            <w:r>
              <w:rPr>
                <w:rFonts w:hint="eastAsia" w:ascii="宋体" w:hAnsi="宋体" w:cs="宋体"/>
                <w:color w:val="auto"/>
                <w:kern w:val="44"/>
                <w:sz w:val="18"/>
                <w:szCs w:val="18"/>
                <w:highlight w:val="none"/>
              </w:rPr>
              <w:t>毕业证，职称证</w:t>
            </w:r>
            <w:r>
              <w:rPr>
                <w:rFonts w:hint="eastAsia" w:ascii="宋体" w:hAnsi="宋体" w:cs="仿宋"/>
                <w:color w:val="auto"/>
                <w:kern w:val="44"/>
                <w:sz w:val="18"/>
                <w:szCs w:val="18"/>
                <w:highlight w:val="none"/>
              </w:rPr>
              <w:t>、身份证、社保缴费证明扫描件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pPr>
              <w:adjustRightInd w:val="0"/>
              <w:snapToGrid w:val="0"/>
              <w:jc w:val="center"/>
              <w:rPr>
                <w:rFonts w:ascii="仿宋" w:hAnsi="仿宋"/>
                <w:bCs/>
                <w:color w:val="auto"/>
                <w:kern w:val="44"/>
                <w:sz w:val="18"/>
                <w:szCs w:val="18"/>
                <w:highlight w:val="none"/>
              </w:rPr>
            </w:pPr>
            <w:r>
              <w:rPr>
                <w:rFonts w:ascii="仿宋" w:hAnsi="仿宋"/>
                <w:bCs/>
                <w:color w:val="auto"/>
                <w:kern w:val="44"/>
                <w:sz w:val="18"/>
                <w:szCs w:val="18"/>
                <w:highlight w:val="none"/>
              </w:rPr>
              <w:t>5</w:t>
            </w:r>
          </w:p>
        </w:tc>
        <w:tc>
          <w:tcPr>
            <w:tcW w:w="1798" w:type="dxa"/>
            <w:vAlign w:val="center"/>
          </w:tcPr>
          <w:p>
            <w:pPr>
              <w:adjustRightInd w:val="0"/>
              <w:snapToGrid w:val="0"/>
              <w:jc w:val="center"/>
              <w:rPr>
                <w:bCs/>
                <w:color w:val="auto"/>
                <w:kern w:val="44"/>
                <w:sz w:val="18"/>
                <w:szCs w:val="18"/>
                <w:highlight w:val="none"/>
              </w:rPr>
            </w:pPr>
            <w:r>
              <w:rPr>
                <w:rFonts w:hint="eastAsia"/>
                <w:bCs/>
                <w:color w:val="auto"/>
                <w:kern w:val="44"/>
                <w:sz w:val="18"/>
                <w:szCs w:val="18"/>
                <w:highlight w:val="none"/>
              </w:rPr>
              <w:t>安全监理员</w:t>
            </w:r>
          </w:p>
        </w:tc>
        <w:tc>
          <w:tcPr>
            <w:tcW w:w="637" w:type="dxa"/>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2</w:t>
            </w:r>
          </w:p>
        </w:tc>
        <w:tc>
          <w:tcPr>
            <w:tcW w:w="3806" w:type="dxa"/>
            <w:vAlign w:val="center"/>
          </w:tcPr>
          <w:p>
            <w:pPr>
              <w:adjustRightInd w:val="0"/>
              <w:snapToGrid w:val="0"/>
              <w:rPr>
                <w:bCs/>
                <w:color w:val="auto"/>
                <w:kern w:val="44"/>
                <w:sz w:val="18"/>
                <w:szCs w:val="18"/>
                <w:highlight w:val="none"/>
              </w:rPr>
            </w:pPr>
            <w:r>
              <w:rPr>
                <w:rFonts w:hint="eastAsia"/>
                <w:bCs/>
                <w:color w:val="auto"/>
                <w:kern w:val="44"/>
                <w:sz w:val="18"/>
                <w:szCs w:val="18"/>
                <w:highlight w:val="none"/>
              </w:rPr>
              <w:t>具备安全监理员证书或注册安全工程师注册证，且具有5年或以上监理工作经验，</w:t>
            </w:r>
            <w:r>
              <w:rPr>
                <w:rFonts w:hint="eastAsia" w:ascii="宋体" w:hAnsi="宋体" w:cs="宋体"/>
                <w:color w:val="auto"/>
                <w:kern w:val="0"/>
                <w:sz w:val="18"/>
                <w:szCs w:val="18"/>
                <w:highlight w:val="none"/>
              </w:rPr>
              <w:t>具有</w:t>
            </w:r>
            <w:r>
              <w:rPr>
                <w:rFonts w:hint="eastAsia" w:ascii="仿宋" w:hAnsi="仿宋"/>
                <w:color w:val="auto"/>
                <w:sz w:val="18"/>
                <w:szCs w:val="18"/>
                <w:highlight w:val="none"/>
              </w:rPr>
              <w:t>大专或以上学历</w:t>
            </w:r>
          </w:p>
        </w:tc>
        <w:tc>
          <w:tcPr>
            <w:tcW w:w="2985" w:type="dxa"/>
            <w:vAlign w:val="center"/>
          </w:tcPr>
          <w:p>
            <w:pPr>
              <w:adjustRightInd w:val="0"/>
              <w:snapToGrid w:val="0"/>
              <w:rPr>
                <w:rFonts w:ascii="宋体" w:hAnsi="宋体" w:cs="宋体"/>
                <w:color w:val="auto"/>
                <w:kern w:val="44"/>
                <w:sz w:val="18"/>
                <w:szCs w:val="18"/>
                <w:highlight w:val="none"/>
              </w:rPr>
            </w:pPr>
            <w:r>
              <w:rPr>
                <w:rFonts w:hint="eastAsia" w:ascii="宋体" w:hAnsi="宋体" w:cs="宋体"/>
                <w:color w:val="auto"/>
                <w:kern w:val="44"/>
                <w:sz w:val="18"/>
                <w:szCs w:val="18"/>
                <w:highlight w:val="none"/>
              </w:rPr>
              <w:t>毕业证，</w:t>
            </w:r>
            <w:r>
              <w:rPr>
                <w:rFonts w:hint="eastAsia" w:ascii="宋体" w:hAnsi="宋体" w:cs="仿宋"/>
                <w:color w:val="auto"/>
                <w:kern w:val="44"/>
                <w:sz w:val="18"/>
                <w:szCs w:val="18"/>
                <w:highlight w:val="none"/>
              </w:rPr>
              <w:t>身份证、</w:t>
            </w:r>
            <w:r>
              <w:rPr>
                <w:rFonts w:hint="eastAsia"/>
                <w:bCs/>
                <w:color w:val="auto"/>
                <w:kern w:val="44"/>
                <w:sz w:val="18"/>
                <w:szCs w:val="18"/>
                <w:highlight w:val="none"/>
              </w:rPr>
              <w:t>安全监理员证书或注册安全工程师注册证</w:t>
            </w:r>
            <w:r>
              <w:rPr>
                <w:rFonts w:hint="eastAsia" w:ascii="宋体" w:hAnsi="宋体" w:cs="仿宋"/>
                <w:color w:val="auto"/>
                <w:kern w:val="44"/>
                <w:sz w:val="18"/>
                <w:szCs w:val="18"/>
                <w:highlight w:val="none"/>
              </w:rPr>
              <w:t>、社保缴费证明扫描件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8" w:type="dxa"/>
            <w:vAlign w:val="center"/>
          </w:tcPr>
          <w:p>
            <w:pPr>
              <w:adjustRightInd w:val="0"/>
              <w:snapToGrid w:val="0"/>
              <w:jc w:val="center"/>
              <w:rPr>
                <w:rFonts w:ascii="仿宋" w:hAnsi="仿宋"/>
                <w:bCs/>
                <w:color w:val="auto"/>
                <w:kern w:val="44"/>
                <w:sz w:val="18"/>
                <w:szCs w:val="18"/>
                <w:highlight w:val="none"/>
              </w:rPr>
            </w:pPr>
            <w:r>
              <w:rPr>
                <w:rFonts w:ascii="仿宋" w:hAnsi="仿宋"/>
                <w:bCs/>
                <w:color w:val="auto"/>
                <w:kern w:val="44"/>
                <w:sz w:val="18"/>
                <w:szCs w:val="18"/>
                <w:highlight w:val="none"/>
              </w:rPr>
              <w:t>6</w:t>
            </w:r>
          </w:p>
        </w:tc>
        <w:tc>
          <w:tcPr>
            <w:tcW w:w="1798" w:type="dxa"/>
            <w:vAlign w:val="center"/>
          </w:tcPr>
          <w:p>
            <w:pPr>
              <w:adjustRightInd w:val="0"/>
              <w:snapToGrid w:val="0"/>
              <w:jc w:val="center"/>
              <w:rPr>
                <w:bCs/>
                <w:color w:val="auto"/>
                <w:kern w:val="44"/>
                <w:sz w:val="18"/>
                <w:szCs w:val="18"/>
                <w:highlight w:val="none"/>
              </w:rPr>
            </w:pPr>
            <w:r>
              <w:rPr>
                <w:rFonts w:hint="eastAsia"/>
                <w:bCs/>
                <w:color w:val="auto"/>
                <w:kern w:val="44"/>
                <w:sz w:val="18"/>
                <w:szCs w:val="18"/>
                <w:highlight w:val="none"/>
              </w:rPr>
              <w:t>见证员</w:t>
            </w:r>
          </w:p>
        </w:tc>
        <w:tc>
          <w:tcPr>
            <w:tcW w:w="637" w:type="dxa"/>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2</w:t>
            </w:r>
          </w:p>
        </w:tc>
        <w:tc>
          <w:tcPr>
            <w:tcW w:w="3806" w:type="dxa"/>
            <w:vAlign w:val="center"/>
          </w:tcPr>
          <w:p>
            <w:pPr>
              <w:ind w:left="1"/>
              <w:rPr>
                <w:bCs/>
                <w:color w:val="auto"/>
                <w:kern w:val="44"/>
                <w:sz w:val="18"/>
                <w:szCs w:val="18"/>
                <w:highlight w:val="none"/>
              </w:rPr>
            </w:pPr>
            <w:r>
              <w:rPr>
                <w:rFonts w:hint="eastAsia"/>
                <w:bCs/>
                <w:color w:val="auto"/>
                <w:kern w:val="44"/>
                <w:sz w:val="18"/>
                <w:szCs w:val="18"/>
                <w:highlight w:val="none"/>
              </w:rPr>
              <w:t>具备见证人员上岗证</w:t>
            </w:r>
          </w:p>
        </w:tc>
        <w:tc>
          <w:tcPr>
            <w:tcW w:w="2985" w:type="dxa"/>
            <w:vAlign w:val="center"/>
          </w:tcPr>
          <w:p>
            <w:pPr>
              <w:adjustRightInd w:val="0"/>
              <w:snapToGrid w:val="0"/>
              <w:rPr>
                <w:rFonts w:ascii="宋体" w:hAnsi="宋体" w:cs="宋体"/>
                <w:color w:val="auto"/>
                <w:kern w:val="44"/>
                <w:sz w:val="18"/>
                <w:szCs w:val="18"/>
                <w:highlight w:val="none"/>
              </w:rPr>
            </w:pPr>
            <w:r>
              <w:rPr>
                <w:rFonts w:hint="eastAsia" w:ascii="宋体" w:hAnsi="宋体" w:cs="宋体"/>
                <w:color w:val="auto"/>
                <w:kern w:val="44"/>
                <w:sz w:val="18"/>
                <w:szCs w:val="18"/>
                <w:highlight w:val="none"/>
              </w:rPr>
              <w:t>上岗证</w:t>
            </w:r>
            <w:r>
              <w:rPr>
                <w:rFonts w:hint="eastAsia" w:ascii="宋体" w:hAnsi="宋体" w:cs="仿宋"/>
                <w:color w:val="auto"/>
                <w:kern w:val="44"/>
                <w:sz w:val="18"/>
                <w:szCs w:val="18"/>
                <w:highlight w:val="none"/>
              </w:rPr>
              <w:t>、身份证、社保缴费证明扫描件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pPr>
              <w:adjustRightInd w:val="0"/>
              <w:snapToGrid w:val="0"/>
              <w:jc w:val="center"/>
              <w:rPr>
                <w:rFonts w:ascii="仿宋" w:hAnsi="仿宋"/>
                <w:bCs/>
                <w:color w:val="auto"/>
                <w:kern w:val="44"/>
                <w:sz w:val="18"/>
                <w:szCs w:val="18"/>
                <w:highlight w:val="none"/>
              </w:rPr>
            </w:pPr>
            <w:r>
              <w:rPr>
                <w:rFonts w:ascii="仿宋" w:hAnsi="仿宋"/>
                <w:bCs/>
                <w:color w:val="auto"/>
                <w:kern w:val="44"/>
                <w:sz w:val="18"/>
                <w:szCs w:val="18"/>
                <w:highlight w:val="none"/>
              </w:rPr>
              <w:t>7</w:t>
            </w:r>
          </w:p>
        </w:tc>
        <w:tc>
          <w:tcPr>
            <w:tcW w:w="1798" w:type="dxa"/>
            <w:vAlign w:val="center"/>
          </w:tcPr>
          <w:p>
            <w:pPr>
              <w:adjustRightInd w:val="0"/>
              <w:snapToGrid w:val="0"/>
              <w:jc w:val="center"/>
              <w:rPr>
                <w:rFonts w:ascii="仿宋" w:hAnsi="仿宋"/>
                <w:bCs/>
                <w:color w:val="auto"/>
                <w:kern w:val="44"/>
                <w:sz w:val="18"/>
                <w:szCs w:val="18"/>
                <w:highlight w:val="none"/>
              </w:rPr>
            </w:pPr>
            <w:r>
              <w:rPr>
                <w:rFonts w:hint="eastAsia" w:ascii="仿宋" w:hAnsi="仿宋"/>
                <w:bCs/>
                <w:color w:val="auto"/>
                <w:kern w:val="44"/>
                <w:sz w:val="18"/>
                <w:szCs w:val="18"/>
                <w:highlight w:val="none"/>
              </w:rPr>
              <w:t>资料管理员</w:t>
            </w:r>
          </w:p>
        </w:tc>
        <w:tc>
          <w:tcPr>
            <w:tcW w:w="637" w:type="dxa"/>
            <w:vAlign w:val="center"/>
          </w:tcPr>
          <w:p>
            <w:pPr>
              <w:jc w:val="center"/>
              <w:rPr>
                <w:rFonts w:ascii="宋体" w:hAnsi="宋体" w:cs="宋体"/>
                <w:color w:val="auto"/>
                <w:sz w:val="18"/>
                <w:szCs w:val="18"/>
                <w:highlight w:val="none"/>
              </w:rPr>
            </w:pPr>
            <w:r>
              <w:rPr>
                <w:rFonts w:ascii="宋体" w:hAnsi="宋体" w:cs="宋体"/>
                <w:color w:val="auto"/>
                <w:sz w:val="18"/>
                <w:szCs w:val="18"/>
                <w:highlight w:val="none"/>
              </w:rPr>
              <w:t>1</w:t>
            </w:r>
          </w:p>
        </w:tc>
        <w:tc>
          <w:tcPr>
            <w:tcW w:w="3806" w:type="dxa"/>
            <w:vAlign w:val="center"/>
          </w:tcPr>
          <w:p>
            <w:pPr>
              <w:adjustRightInd w:val="0"/>
              <w:snapToGrid w:val="0"/>
              <w:rPr>
                <w:rFonts w:ascii="仿宋" w:hAnsi="仿宋"/>
                <w:color w:val="auto"/>
                <w:sz w:val="18"/>
                <w:szCs w:val="18"/>
                <w:highlight w:val="none"/>
              </w:rPr>
            </w:pPr>
            <w:r>
              <w:rPr>
                <w:rFonts w:hint="eastAsia" w:ascii="仿宋" w:hAnsi="仿宋"/>
                <w:color w:val="auto"/>
                <w:sz w:val="18"/>
                <w:szCs w:val="18"/>
                <w:highlight w:val="none"/>
              </w:rPr>
              <w:t>具有监理员培训证，</w:t>
            </w:r>
            <w:r>
              <w:rPr>
                <w:rFonts w:hint="eastAsia" w:ascii="宋体" w:hAnsi="宋体" w:cs="宋体"/>
                <w:color w:val="auto"/>
                <w:kern w:val="0"/>
                <w:sz w:val="18"/>
                <w:szCs w:val="18"/>
                <w:highlight w:val="none"/>
              </w:rPr>
              <w:t>具有</w:t>
            </w:r>
            <w:r>
              <w:rPr>
                <w:rFonts w:hint="eastAsia" w:ascii="仿宋" w:hAnsi="仿宋"/>
                <w:color w:val="auto"/>
                <w:sz w:val="18"/>
                <w:szCs w:val="18"/>
                <w:highlight w:val="none"/>
              </w:rPr>
              <w:t>大专或以上学历</w:t>
            </w:r>
          </w:p>
        </w:tc>
        <w:tc>
          <w:tcPr>
            <w:tcW w:w="2985" w:type="dxa"/>
            <w:vAlign w:val="center"/>
          </w:tcPr>
          <w:p>
            <w:pPr>
              <w:adjustRightInd w:val="0"/>
              <w:snapToGrid w:val="0"/>
              <w:rPr>
                <w:rFonts w:ascii="宋体" w:hAnsi="宋体" w:cs="宋体"/>
                <w:color w:val="auto"/>
                <w:kern w:val="0"/>
                <w:sz w:val="18"/>
                <w:szCs w:val="18"/>
                <w:highlight w:val="none"/>
              </w:rPr>
            </w:pPr>
            <w:r>
              <w:rPr>
                <w:rFonts w:hint="eastAsia" w:ascii="宋体" w:hAnsi="宋体" w:cs="宋体"/>
                <w:color w:val="auto"/>
                <w:kern w:val="44"/>
                <w:sz w:val="18"/>
                <w:szCs w:val="18"/>
                <w:highlight w:val="none"/>
              </w:rPr>
              <w:t>监理员培训证，毕业证</w:t>
            </w:r>
            <w:r>
              <w:rPr>
                <w:rFonts w:hint="eastAsia" w:ascii="宋体" w:hAnsi="宋体" w:cs="仿宋"/>
                <w:color w:val="auto"/>
                <w:kern w:val="44"/>
                <w:sz w:val="18"/>
                <w:szCs w:val="18"/>
                <w:highlight w:val="none"/>
              </w:rPr>
              <w:t>、身份证、社保缴费证明扫描件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28" w:type="dxa"/>
            <w:vAlign w:val="center"/>
          </w:tcPr>
          <w:p>
            <w:pPr>
              <w:adjustRightInd w:val="0"/>
              <w:snapToGrid w:val="0"/>
              <w:jc w:val="center"/>
              <w:rPr>
                <w:rFonts w:ascii="仿宋" w:hAnsi="仿宋"/>
                <w:bCs/>
                <w:color w:val="auto"/>
                <w:kern w:val="44"/>
                <w:sz w:val="18"/>
                <w:szCs w:val="18"/>
                <w:highlight w:val="none"/>
              </w:rPr>
            </w:pPr>
          </w:p>
        </w:tc>
        <w:tc>
          <w:tcPr>
            <w:tcW w:w="1798" w:type="dxa"/>
            <w:vAlign w:val="center"/>
          </w:tcPr>
          <w:p>
            <w:pPr>
              <w:adjustRightInd w:val="0"/>
              <w:snapToGrid w:val="0"/>
              <w:jc w:val="center"/>
              <w:rPr>
                <w:rFonts w:ascii="仿宋" w:hAnsi="仿宋"/>
                <w:bCs/>
                <w:color w:val="auto"/>
                <w:kern w:val="44"/>
                <w:sz w:val="18"/>
                <w:szCs w:val="18"/>
                <w:highlight w:val="none"/>
              </w:rPr>
            </w:pPr>
            <w:r>
              <w:rPr>
                <w:rFonts w:hint="eastAsia" w:ascii="仿宋" w:hAnsi="仿宋"/>
                <w:bCs/>
                <w:color w:val="auto"/>
                <w:kern w:val="44"/>
                <w:sz w:val="18"/>
                <w:szCs w:val="18"/>
                <w:highlight w:val="none"/>
              </w:rPr>
              <w:t>合计</w:t>
            </w:r>
          </w:p>
        </w:tc>
        <w:tc>
          <w:tcPr>
            <w:tcW w:w="637" w:type="dxa"/>
            <w:vAlign w:val="center"/>
          </w:tcPr>
          <w:p>
            <w:pPr>
              <w:widowControl/>
              <w:jc w:val="center"/>
              <w:textAlignment w:val="center"/>
              <w:rPr>
                <w:rFonts w:ascii="宋体" w:hAnsi="宋体" w:cs="宋体"/>
                <w:color w:val="auto"/>
                <w:sz w:val="18"/>
                <w:szCs w:val="18"/>
                <w:highlight w:val="none"/>
              </w:rPr>
            </w:pPr>
            <w:r>
              <w:rPr>
                <w:rFonts w:ascii="宋体" w:hAnsi="宋体" w:cs="宋体"/>
                <w:color w:val="auto"/>
                <w:kern w:val="0"/>
                <w:sz w:val="18"/>
                <w:szCs w:val="18"/>
                <w:highlight w:val="none"/>
              </w:rPr>
              <w:t>12</w:t>
            </w:r>
          </w:p>
        </w:tc>
        <w:tc>
          <w:tcPr>
            <w:tcW w:w="3806" w:type="dxa"/>
            <w:vAlign w:val="center"/>
          </w:tcPr>
          <w:p>
            <w:pPr>
              <w:adjustRightInd w:val="0"/>
              <w:snapToGrid w:val="0"/>
              <w:ind w:firstLine="360" w:firstLineChars="200"/>
              <w:rPr>
                <w:rFonts w:ascii="仿宋" w:hAnsi="仿宋" w:cs="宋体"/>
                <w:color w:val="auto"/>
                <w:kern w:val="0"/>
                <w:sz w:val="18"/>
                <w:szCs w:val="18"/>
                <w:highlight w:val="none"/>
              </w:rPr>
            </w:pPr>
          </w:p>
        </w:tc>
        <w:tc>
          <w:tcPr>
            <w:tcW w:w="2985" w:type="dxa"/>
          </w:tcPr>
          <w:p>
            <w:pPr>
              <w:adjustRightInd w:val="0"/>
              <w:snapToGrid w:val="0"/>
              <w:rPr>
                <w:rFonts w:ascii="仿宋" w:hAnsi="仿宋" w:cs="宋体"/>
                <w:color w:val="auto"/>
                <w:kern w:val="0"/>
                <w:sz w:val="18"/>
                <w:szCs w:val="18"/>
                <w:highlight w:val="none"/>
              </w:rPr>
            </w:pPr>
          </w:p>
        </w:tc>
      </w:tr>
    </w:tbl>
    <w:p>
      <w:pPr>
        <w:autoSpaceDE w:val="0"/>
        <w:autoSpaceDN w:val="0"/>
        <w:adjustRightInd w:val="0"/>
        <w:spacing w:line="360" w:lineRule="auto"/>
        <w:ind w:firstLine="360" w:firstLineChars="200"/>
        <w:rPr>
          <w:color w:val="auto"/>
          <w:sz w:val="18"/>
          <w:szCs w:val="18"/>
          <w:highlight w:val="none"/>
        </w:rPr>
      </w:pPr>
      <w:r>
        <w:rPr>
          <w:rFonts w:hint="eastAsia"/>
          <w:color w:val="auto"/>
          <w:sz w:val="18"/>
          <w:szCs w:val="18"/>
          <w:highlight w:val="none"/>
        </w:rPr>
        <w:t>备注：</w:t>
      </w:r>
    </w:p>
    <w:p>
      <w:pPr>
        <w:autoSpaceDE w:val="0"/>
        <w:autoSpaceDN w:val="0"/>
        <w:adjustRightInd w:val="0"/>
        <w:spacing w:line="360" w:lineRule="auto"/>
        <w:ind w:firstLine="360" w:firstLineChars="200"/>
        <w:rPr>
          <w:color w:val="auto"/>
          <w:sz w:val="18"/>
          <w:szCs w:val="18"/>
          <w:highlight w:val="none"/>
        </w:rPr>
      </w:pPr>
      <w:r>
        <w:rPr>
          <w:rFonts w:hint="eastAsia"/>
          <w:color w:val="auto"/>
          <w:sz w:val="18"/>
          <w:szCs w:val="18"/>
          <w:highlight w:val="none"/>
        </w:rPr>
        <w:t>（1）监理工作经验以大专或以上毕业时间开始算。</w:t>
      </w:r>
    </w:p>
    <w:p>
      <w:pPr>
        <w:autoSpaceDE w:val="0"/>
        <w:autoSpaceDN w:val="0"/>
        <w:spacing w:line="360" w:lineRule="auto"/>
        <w:ind w:firstLine="360" w:firstLineChars="200"/>
        <w:rPr>
          <w:color w:val="auto"/>
          <w:sz w:val="18"/>
          <w:szCs w:val="18"/>
          <w:highlight w:val="none"/>
        </w:rPr>
      </w:pPr>
      <w:r>
        <w:rPr>
          <w:rFonts w:hint="eastAsia"/>
          <w:color w:val="auto"/>
          <w:sz w:val="18"/>
          <w:szCs w:val="18"/>
          <w:highlight w:val="none"/>
        </w:rPr>
        <w:t>（2）提供上述人员相关证书及2023年1月</w:t>
      </w:r>
      <w:r>
        <w:rPr>
          <w:rFonts w:hint="eastAsia"/>
          <w:color w:val="auto"/>
          <w:sz w:val="18"/>
          <w:szCs w:val="18"/>
          <w:highlight w:val="none"/>
          <w:lang w:val="en-US" w:eastAsia="zh-CN"/>
        </w:rPr>
        <w:t>或2月</w:t>
      </w:r>
      <w:r>
        <w:rPr>
          <w:rFonts w:hint="eastAsia"/>
          <w:color w:val="auto"/>
          <w:sz w:val="18"/>
          <w:szCs w:val="18"/>
          <w:highlight w:val="none"/>
        </w:rPr>
        <w:t>社保缴费证明等证明材料的扫描件作为评审依据。若为退休人员，提供有效的劳动合同和退休证明，退休人员年龄不超过65周岁。</w:t>
      </w:r>
    </w:p>
    <w:p>
      <w:pPr>
        <w:rPr>
          <w:rFonts w:ascii="宋体" w:hAnsi="宋体"/>
          <w:b/>
          <w:color w:val="auto"/>
          <w:sz w:val="28"/>
          <w:szCs w:val="30"/>
          <w:highlight w:val="none"/>
        </w:rPr>
      </w:pPr>
    </w:p>
    <w:p>
      <w:pPr>
        <w:numPr>
          <w:ilvl w:val="255"/>
          <w:numId w:val="0"/>
        </w:numPr>
        <w:rPr>
          <w:rFonts w:ascii="宋体" w:hAnsi="宋体"/>
          <w:b/>
          <w:color w:val="auto"/>
          <w:sz w:val="28"/>
          <w:szCs w:val="30"/>
          <w:highlight w:val="none"/>
        </w:rPr>
      </w:pPr>
      <w:r>
        <w:rPr>
          <w:rFonts w:hint="eastAsia" w:ascii="宋体" w:hAnsi="宋体"/>
          <w:b/>
          <w:color w:val="auto"/>
          <w:sz w:val="28"/>
          <w:szCs w:val="30"/>
          <w:highlight w:val="none"/>
        </w:rPr>
        <w:br w:type="page"/>
      </w:r>
    </w:p>
    <w:p>
      <w:pPr>
        <w:numPr>
          <w:ilvl w:val="255"/>
          <w:numId w:val="0"/>
        </w:numPr>
        <w:spacing w:line="360" w:lineRule="auto"/>
        <w:ind w:firstLine="562" w:firstLineChars="200"/>
        <w:rPr>
          <w:rFonts w:ascii="宋体" w:hAnsi="宋体"/>
          <w:b/>
          <w:color w:val="auto"/>
          <w:sz w:val="28"/>
          <w:szCs w:val="30"/>
          <w:highlight w:val="none"/>
        </w:rPr>
      </w:pPr>
      <w:r>
        <w:rPr>
          <w:rFonts w:hint="eastAsia" w:ascii="宋体" w:hAnsi="宋体"/>
          <w:b/>
          <w:color w:val="auto"/>
          <w:sz w:val="28"/>
          <w:szCs w:val="30"/>
          <w:highlight w:val="none"/>
        </w:rPr>
        <w:t>（第三章正文详见《中华人民共和国标准监理招标文件》（2017版））</w:t>
      </w:r>
    </w:p>
    <w:p>
      <w:pPr>
        <w:spacing w:before="120" w:beforeLines="50" w:after="120" w:afterLines="50"/>
        <w:outlineLvl w:val="2"/>
        <w:rPr>
          <w:rFonts w:ascii="宋体" w:hAnsi="宋体"/>
          <w:b/>
          <w:color w:val="auto"/>
          <w:sz w:val="32"/>
          <w:highlight w:val="none"/>
        </w:rPr>
      </w:pPr>
      <w:bookmarkStart w:id="370" w:name="_Toc515205256"/>
      <w:bookmarkStart w:id="371" w:name="_Toc529196583"/>
      <w:r>
        <w:rPr>
          <w:rFonts w:hint="eastAsia" w:ascii="宋体" w:hAnsi="宋体"/>
          <w:b/>
          <w:color w:val="auto"/>
          <w:sz w:val="32"/>
          <w:highlight w:val="none"/>
        </w:rPr>
        <w:t>1. 评标方法</w:t>
      </w:r>
      <w:bookmarkEnd w:id="370"/>
      <w:bookmarkEnd w:id="371"/>
    </w:p>
    <w:p>
      <w:pPr>
        <w:spacing w:line="360" w:lineRule="auto"/>
        <w:ind w:firstLine="400" w:firstLineChars="200"/>
        <w:rPr>
          <w:rFonts w:ascii="宋体" w:hAnsi="宋体"/>
          <w:color w:val="auto"/>
          <w:sz w:val="20"/>
          <w:highlight w:val="none"/>
        </w:rPr>
      </w:pPr>
      <w:r>
        <w:rPr>
          <w:rFonts w:hint="eastAsia" w:ascii="宋体" w:hAnsi="宋体"/>
          <w:color w:val="auto"/>
          <w:sz w:val="20"/>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72" w:name="_Toc384308272"/>
      <w:bookmarkStart w:id="373" w:name="_Toc247514022"/>
      <w:bookmarkStart w:id="374" w:name="_Toc152045598"/>
      <w:bookmarkStart w:id="375" w:name="_Toc152042375"/>
      <w:bookmarkStart w:id="376" w:name="_Toc247527623"/>
      <w:bookmarkStart w:id="377" w:name="_Toc300835008"/>
      <w:bookmarkStart w:id="378" w:name="_Toc361508646"/>
      <w:bookmarkStart w:id="379" w:name="_Toc144974565"/>
      <w:bookmarkStart w:id="380" w:name="_Toc4497"/>
      <w:bookmarkStart w:id="381" w:name="_Toc352691533"/>
      <w:bookmarkStart w:id="382" w:name="_Toc369531577"/>
      <w:r>
        <w:rPr>
          <w:rFonts w:hint="eastAsia" w:ascii="宋体" w:hAnsi="宋体"/>
          <w:color w:val="auto"/>
          <w:sz w:val="20"/>
          <w:highlight w:val="none"/>
        </w:rPr>
        <w:t>外。综合评分相等</w:t>
      </w:r>
      <w:bookmarkEnd w:id="372"/>
      <w:bookmarkEnd w:id="373"/>
      <w:bookmarkEnd w:id="374"/>
      <w:bookmarkEnd w:id="375"/>
      <w:bookmarkEnd w:id="376"/>
      <w:bookmarkEnd w:id="377"/>
      <w:bookmarkEnd w:id="378"/>
      <w:bookmarkEnd w:id="379"/>
      <w:r>
        <w:rPr>
          <w:rFonts w:hint="eastAsia" w:ascii="宋体" w:hAnsi="宋体"/>
          <w:color w:val="auto"/>
          <w:sz w:val="20"/>
          <w:highlight w:val="none"/>
        </w:rPr>
        <w:t>时，以投标报价低的</w:t>
      </w:r>
      <w:bookmarkEnd w:id="380"/>
      <w:bookmarkEnd w:id="381"/>
      <w:bookmarkEnd w:id="382"/>
      <w:r>
        <w:rPr>
          <w:rFonts w:hint="eastAsia" w:ascii="宋体" w:hAnsi="宋体"/>
          <w:color w:val="auto"/>
          <w:sz w:val="20"/>
          <w:highlight w:val="none"/>
        </w:rPr>
        <w:t>优</w:t>
      </w:r>
      <w:bookmarkStart w:id="383" w:name="_Toc300835009"/>
      <w:bookmarkStart w:id="384" w:name="_Toc247527624"/>
      <w:bookmarkStart w:id="385" w:name="_Toc152045599"/>
      <w:bookmarkStart w:id="386" w:name="_Toc352691534"/>
      <w:bookmarkStart w:id="387" w:name="_Toc144974566"/>
      <w:bookmarkStart w:id="388" w:name="_Toc361508647"/>
      <w:bookmarkStart w:id="389" w:name="_Toc369531578"/>
      <w:bookmarkStart w:id="390" w:name="_Toc384308273"/>
      <w:bookmarkStart w:id="391" w:name="_Toc152042376"/>
      <w:bookmarkStart w:id="392" w:name="_Toc39"/>
      <w:bookmarkStart w:id="393" w:name="_Toc247514023"/>
      <w:r>
        <w:rPr>
          <w:rFonts w:hint="eastAsia" w:ascii="宋体" w:hAnsi="宋体"/>
          <w:color w:val="auto"/>
          <w:sz w:val="20"/>
          <w:highlight w:val="none"/>
        </w:rPr>
        <w:t>先；投标报价也相等</w:t>
      </w:r>
      <w:bookmarkEnd w:id="383"/>
      <w:bookmarkEnd w:id="384"/>
      <w:bookmarkEnd w:id="385"/>
      <w:bookmarkEnd w:id="386"/>
      <w:bookmarkEnd w:id="387"/>
      <w:bookmarkEnd w:id="388"/>
      <w:bookmarkEnd w:id="389"/>
      <w:bookmarkEnd w:id="390"/>
      <w:bookmarkEnd w:id="391"/>
      <w:bookmarkEnd w:id="392"/>
      <w:bookmarkEnd w:id="393"/>
      <w:r>
        <w:rPr>
          <w:rFonts w:hint="eastAsia" w:ascii="宋体" w:hAnsi="宋体"/>
          <w:color w:val="auto"/>
          <w:sz w:val="20"/>
          <w:highlight w:val="none"/>
        </w:rPr>
        <w:t>的，以监理大纲得分高的优先；如果监理大纲得分也相等，按照评标办法前附表的规定确定中标候选人顺序。</w:t>
      </w:r>
    </w:p>
    <w:p>
      <w:pPr>
        <w:spacing w:before="120" w:beforeLines="50"/>
        <w:outlineLvl w:val="2"/>
        <w:rPr>
          <w:rFonts w:ascii="宋体" w:hAnsi="宋体"/>
          <w:b/>
          <w:color w:val="auto"/>
          <w:sz w:val="32"/>
          <w:highlight w:val="none"/>
        </w:rPr>
      </w:pPr>
      <w:bookmarkStart w:id="394" w:name="_Toc515205257"/>
      <w:bookmarkStart w:id="395" w:name="_Toc529196584"/>
      <w:r>
        <w:rPr>
          <w:rFonts w:hint="eastAsia" w:ascii="宋体" w:hAnsi="宋体"/>
          <w:b/>
          <w:color w:val="auto"/>
          <w:sz w:val="32"/>
          <w:highlight w:val="none"/>
        </w:rPr>
        <w:t>2. 评审标准</w:t>
      </w:r>
      <w:bookmarkEnd w:id="394"/>
      <w:bookmarkEnd w:id="395"/>
    </w:p>
    <w:p>
      <w:pPr>
        <w:spacing w:before="240" w:beforeLines="100" w:after="240" w:afterLines="100"/>
        <w:rPr>
          <w:rFonts w:ascii="宋体" w:hAnsi="宋体"/>
          <w:b/>
          <w:color w:val="auto"/>
          <w:sz w:val="28"/>
          <w:highlight w:val="none"/>
        </w:rPr>
      </w:pPr>
      <w:bookmarkStart w:id="396" w:name="_Toc515205258"/>
      <w:bookmarkStart w:id="397" w:name="_Toc529196585"/>
      <w:r>
        <w:rPr>
          <w:rFonts w:hint="eastAsia" w:ascii="宋体" w:hAnsi="宋体"/>
          <w:b/>
          <w:color w:val="auto"/>
          <w:sz w:val="28"/>
          <w:highlight w:val="none"/>
        </w:rPr>
        <w:t>2.1 初步评审标准</w:t>
      </w:r>
      <w:bookmarkEnd w:id="396"/>
      <w:bookmarkEnd w:id="397"/>
    </w:p>
    <w:p>
      <w:pPr>
        <w:spacing w:line="360" w:lineRule="auto"/>
        <w:ind w:firstLine="420" w:firstLineChars="200"/>
        <w:rPr>
          <w:rFonts w:ascii="宋体" w:hAnsi="宋体"/>
          <w:color w:val="auto"/>
          <w:highlight w:val="none"/>
        </w:rPr>
      </w:pPr>
      <w:r>
        <w:rPr>
          <w:rFonts w:hint="eastAsia" w:ascii="宋体" w:hAnsi="宋体"/>
          <w:color w:val="auto"/>
          <w:highlight w:val="none"/>
        </w:rPr>
        <w:t>2.1.1 形式评审标准：见评标办法前附表。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2.1.2 资格评审标准：见评标办法前附表。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2.1.3 响应性评审标准：见评标办法前附表。</w:t>
      </w:r>
    </w:p>
    <w:p>
      <w:pPr>
        <w:spacing w:before="240" w:beforeLines="100" w:after="240" w:afterLines="100"/>
        <w:rPr>
          <w:rFonts w:ascii="宋体" w:hAnsi="宋体"/>
          <w:b/>
          <w:color w:val="auto"/>
          <w:sz w:val="28"/>
          <w:highlight w:val="none"/>
        </w:rPr>
      </w:pPr>
      <w:bookmarkStart w:id="398" w:name="_Toc529196586"/>
      <w:bookmarkStart w:id="399" w:name="_Toc515205259"/>
      <w:r>
        <w:rPr>
          <w:rFonts w:hint="eastAsia" w:ascii="宋体" w:hAnsi="宋体"/>
          <w:b/>
          <w:color w:val="auto"/>
          <w:sz w:val="28"/>
          <w:highlight w:val="none"/>
        </w:rPr>
        <w:t>2.2 分值构成与评分标准</w:t>
      </w:r>
      <w:bookmarkEnd w:id="398"/>
      <w:bookmarkEnd w:id="399"/>
    </w:p>
    <w:p>
      <w:pPr>
        <w:spacing w:line="360" w:lineRule="auto"/>
        <w:ind w:firstLine="420" w:firstLineChars="200"/>
        <w:rPr>
          <w:rFonts w:ascii="宋体" w:hAnsi="宋体"/>
          <w:color w:val="auto"/>
          <w:highlight w:val="none"/>
        </w:rPr>
      </w:pPr>
      <w:r>
        <w:rPr>
          <w:rFonts w:hint="eastAsia" w:ascii="宋体" w:hAnsi="宋体"/>
          <w:color w:val="auto"/>
          <w:highlight w:val="none"/>
        </w:rPr>
        <w:t>2.2.1 分值构成：</w:t>
      </w:r>
    </w:p>
    <w:p>
      <w:pPr>
        <w:spacing w:line="360" w:lineRule="auto"/>
        <w:ind w:firstLine="420" w:firstLineChars="200"/>
        <w:rPr>
          <w:rFonts w:ascii="宋体" w:hAnsi="宋体"/>
          <w:color w:val="auto"/>
          <w:highlight w:val="none"/>
        </w:rPr>
      </w:pPr>
      <w:r>
        <w:rPr>
          <w:rFonts w:hint="eastAsia" w:ascii="宋体" w:hAnsi="宋体"/>
          <w:color w:val="auto"/>
          <w:highlight w:val="none"/>
        </w:rPr>
        <w:t>（1）资信业绩部分：见评标办法前附表；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（2）监理大纲部分：见评标办法前附表；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（3）投标报价：见评标办法前附表；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（4）其他评分因素：见评标办法前附表。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2.2.2 评标基准价计算</w:t>
      </w:r>
    </w:p>
    <w:p>
      <w:pPr>
        <w:spacing w:line="360" w:lineRule="auto"/>
        <w:ind w:firstLine="420" w:firstLineChars="200"/>
        <w:rPr>
          <w:rFonts w:ascii="宋体" w:hAnsi="宋体"/>
          <w:color w:val="auto"/>
          <w:highlight w:val="none"/>
        </w:rPr>
      </w:pPr>
      <w:r>
        <w:rPr>
          <w:rFonts w:hint="eastAsia" w:ascii="宋体" w:hAnsi="宋体"/>
          <w:color w:val="auto"/>
          <w:highlight w:val="none"/>
        </w:rPr>
        <w:t>评标基准价计算方法：见评标办法前附表。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2.2.3 投标报价的偏差率计算</w:t>
      </w:r>
    </w:p>
    <w:p>
      <w:pPr>
        <w:spacing w:line="360" w:lineRule="auto"/>
        <w:ind w:firstLine="420" w:firstLineChars="200"/>
        <w:rPr>
          <w:rFonts w:ascii="宋体" w:hAnsi="宋体"/>
          <w:color w:val="auto"/>
          <w:highlight w:val="none"/>
        </w:rPr>
      </w:pPr>
      <w:r>
        <w:rPr>
          <w:rFonts w:hint="eastAsia" w:ascii="宋体" w:hAnsi="宋体"/>
          <w:color w:val="auto"/>
          <w:highlight w:val="none"/>
        </w:rPr>
        <w:t>投标报价的偏差率计算公式：见评标办法前附表。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2.2.4 评分标准</w:t>
      </w:r>
    </w:p>
    <w:p>
      <w:pPr>
        <w:spacing w:line="360" w:lineRule="auto"/>
        <w:ind w:firstLine="420" w:firstLineChars="200"/>
        <w:rPr>
          <w:rFonts w:ascii="宋体" w:hAnsi="宋体"/>
          <w:color w:val="auto"/>
          <w:highlight w:val="none"/>
        </w:rPr>
      </w:pPr>
      <w:r>
        <w:rPr>
          <w:rFonts w:hint="eastAsia" w:ascii="宋体" w:hAnsi="宋体"/>
          <w:color w:val="auto"/>
          <w:highlight w:val="none"/>
        </w:rPr>
        <w:t>（1）资信业绩评分标准：见评标办法前附表；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（2）监理大纲评分标准：见评标办法前附表；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（3）投标报价评分标准：见评标办法前附表；</w:t>
      </w:r>
    </w:p>
    <w:p>
      <w:pPr>
        <w:spacing w:line="360" w:lineRule="auto"/>
        <w:ind w:firstLine="420" w:firstLineChars="200"/>
        <w:rPr>
          <w:rFonts w:ascii="宋体" w:hAnsi="宋体"/>
          <w:color w:val="auto"/>
          <w:highlight w:val="none"/>
        </w:rPr>
      </w:pPr>
      <w:r>
        <w:rPr>
          <w:rFonts w:hint="eastAsia" w:ascii="宋体" w:hAnsi="宋体"/>
          <w:color w:val="auto"/>
          <w:highlight w:val="none"/>
        </w:rPr>
        <w:t>（4）其他因素评分标准：见评标办法前附表。</w:t>
      </w:r>
    </w:p>
    <w:p>
      <w:pPr>
        <w:spacing w:before="120" w:beforeLines="50"/>
        <w:outlineLvl w:val="2"/>
        <w:rPr>
          <w:rFonts w:ascii="宋体" w:hAnsi="宋体"/>
          <w:b/>
          <w:color w:val="auto"/>
          <w:sz w:val="32"/>
          <w:highlight w:val="none"/>
        </w:rPr>
      </w:pPr>
      <w:bookmarkStart w:id="400" w:name="_Toc515205260"/>
      <w:bookmarkStart w:id="401" w:name="_Toc529196587"/>
      <w:r>
        <w:rPr>
          <w:rFonts w:hint="eastAsia" w:ascii="宋体" w:hAnsi="宋体"/>
          <w:b/>
          <w:color w:val="auto"/>
          <w:sz w:val="32"/>
          <w:highlight w:val="none"/>
        </w:rPr>
        <w:t>3. 评标程序</w:t>
      </w:r>
      <w:bookmarkEnd w:id="400"/>
      <w:bookmarkEnd w:id="401"/>
    </w:p>
    <w:p>
      <w:pPr>
        <w:spacing w:before="240" w:beforeLines="100" w:after="240" w:afterLines="100"/>
        <w:rPr>
          <w:rFonts w:ascii="宋体" w:hAnsi="宋体"/>
          <w:b/>
          <w:color w:val="auto"/>
          <w:sz w:val="28"/>
          <w:highlight w:val="none"/>
        </w:rPr>
      </w:pPr>
      <w:bookmarkStart w:id="402" w:name="_Toc515205261"/>
      <w:bookmarkStart w:id="403" w:name="_Toc529196588"/>
      <w:r>
        <w:rPr>
          <w:rFonts w:hint="eastAsia" w:ascii="宋体" w:hAnsi="宋体"/>
          <w:b/>
          <w:color w:val="auto"/>
          <w:sz w:val="28"/>
          <w:highlight w:val="none"/>
        </w:rPr>
        <w:t>3.1 初步评审</w:t>
      </w:r>
      <w:bookmarkEnd w:id="402"/>
      <w:bookmarkEnd w:id="403"/>
    </w:p>
    <w:p>
      <w:pPr>
        <w:spacing w:line="360" w:lineRule="auto"/>
        <w:ind w:firstLine="420" w:firstLineChars="200"/>
        <w:rPr>
          <w:rFonts w:ascii="宋体" w:hAnsi="宋体"/>
          <w:color w:val="auto"/>
          <w:highlight w:val="none"/>
        </w:rPr>
      </w:pPr>
      <w:r>
        <w:rPr>
          <w:rFonts w:hint="eastAsia" w:ascii="宋体" w:hAnsi="宋体"/>
          <w:color w:val="auto"/>
          <w:highlight w:val="none"/>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20" w:firstLineChars="200"/>
        <w:rPr>
          <w:rFonts w:ascii="宋体" w:hAnsi="宋体"/>
          <w:color w:val="auto"/>
          <w:highlight w:val="none"/>
        </w:rPr>
      </w:pPr>
      <w:r>
        <w:rPr>
          <w:rFonts w:hint="eastAsia" w:ascii="宋体" w:hAnsi="宋体"/>
          <w:color w:val="auto"/>
          <w:highlight w:val="none"/>
        </w:rPr>
        <w:t>3.1.2 投标人有以下情形之一的，评标委员会应当否决其投标：</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（1）投标人名称与营业执照、资质证书不一致，且没有提供证明投标人名称与营业执照、资质证书不一致的合法性文件；</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2</w:t>
      </w:r>
      <w:r>
        <w:rPr>
          <w:rFonts w:hint="eastAsia" w:ascii="宋体" w:hAnsi="宋体"/>
          <w:color w:val="auto"/>
          <w:highlight w:val="none"/>
          <w:lang w:eastAsia="zh-CN"/>
        </w:rPr>
        <w:t>）</w:t>
      </w:r>
      <w:r>
        <w:rPr>
          <w:rFonts w:hint="eastAsia" w:ascii="宋体" w:hAnsi="宋体" w:cs="宋体"/>
          <w:color w:val="auto"/>
          <w:highlight w:val="none"/>
        </w:rPr>
        <w:t>投标函及投标函附录</w:t>
      </w:r>
      <w:r>
        <w:rPr>
          <w:rFonts w:hint="eastAsia" w:ascii="宋体" w:hAnsi="宋体"/>
          <w:color w:val="auto"/>
          <w:highlight w:val="none"/>
          <w:lang w:eastAsia="zh-CN"/>
        </w:rPr>
        <w:t>的签字盖章不符合招标文件的规定；</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3</w:t>
      </w:r>
      <w:r>
        <w:rPr>
          <w:rFonts w:hint="eastAsia" w:ascii="宋体" w:hAnsi="宋体"/>
          <w:color w:val="auto"/>
          <w:highlight w:val="none"/>
          <w:lang w:eastAsia="zh-CN"/>
        </w:rPr>
        <w:t>）投标文件格式不符合第六章“投标文件格式”格式一、格式六、格式七的规定；</w:t>
      </w:r>
    </w:p>
    <w:p>
      <w:pPr>
        <w:spacing w:line="360" w:lineRule="auto"/>
        <w:ind w:firstLine="420" w:firstLineChars="200"/>
        <w:rPr>
          <w:rFonts w:hint="default"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4</w:t>
      </w:r>
      <w:r>
        <w:rPr>
          <w:rFonts w:hint="eastAsia" w:ascii="宋体" w:hAnsi="宋体"/>
          <w:color w:val="auto"/>
          <w:highlight w:val="none"/>
          <w:lang w:eastAsia="zh-CN"/>
        </w:rPr>
        <w:t>）</w:t>
      </w:r>
      <w:r>
        <w:rPr>
          <w:rFonts w:hint="eastAsia" w:ascii="宋体" w:hAnsi="宋体"/>
          <w:color w:val="auto"/>
          <w:highlight w:val="none"/>
          <w:lang w:val="en-US" w:eastAsia="zh-CN"/>
        </w:rPr>
        <w:t>投标文件中提供了备选投标方案；</w:t>
      </w:r>
    </w:p>
    <w:p>
      <w:pPr>
        <w:spacing w:line="360" w:lineRule="auto"/>
        <w:ind w:firstLine="420" w:firstLineChars="200"/>
        <w:rPr>
          <w:rFonts w:hint="default" w:ascii="宋体" w:hAnsi="宋体"/>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5</w:t>
      </w:r>
      <w:r>
        <w:rPr>
          <w:rFonts w:hint="eastAsia" w:ascii="宋体" w:hAnsi="宋体"/>
          <w:color w:val="auto"/>
          <w:highlight w:val="none"/>
          <w:lang w:eastAsia="zh-CN"/>
        </w:rPr>
        <w:t>）</w:t>
      </w:r>
      <w:r>
        <w:rPr>
          <w:rFonts w:hint="eastAsia" w:ascii="宋体" w:hAnsi="宋体"/>
          <w:color w:val="auto"/>
          <w:highlight w:val="none"/>
          <w:lang w:val="en-US" w:eastAsia="zh-CN"/>
        </w:rPr>
        <w:t>与其他单位组成联合体投标；</w:t>
      </w:r>
    </w:p>
    <w:p>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6</w:t>
      </w:r>
      <w:r>
        <w:rPr>
          <w:rFonts w:hint="eastAsia" w:ascii="宋体" w:hAnsi="宋体"/>
          <w:color w:val="auto"/>
          <w:highlight w:val="none"/>
          <w:lang w:eastAsia="zh-CN"/>
        </w:rPr>
        <w:t>）</w:t>
      </w:r>
      <w:r>
        <w:rPr>
          <w:rFonts w:hint="eastAsia" w:ascii="宋体" w:hAnsi="宋体"/>
          <w:color w:val="auto"/>
          <w:highlight w:val="none"/>
          <w:lang w:val="en-US" w:eastAsia="zh-CN"/>
        </w:rPr>
        <w:t>与其他</w:t>
      </w:r>
      <w:r>
        <w:rPr>
          <w:rFonts w:hint="eastAsia" w:ascii="宋体" w:hAnsi="宋体" w:cs="宋体"/>
          <w:color w:val="auto"/>
          <w:highlight w:val="none"/>
        </w:rPr>
        <w:t>投标人机器码相同</w:t>
      </w:r>
      <w:r>
        <w:rPr>
          <w:rFonts w:hint="eastAsia" w:ascii="宋体" w:hAnsi="宋体" w:cs="宋体"/>
          <w:color w:val="auto"/>
          <w:highlight w:val="none"/>
          <w:lang w:eastAsia="zh-CN"/>
        </w:rPr>
        <w:t>；</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7</w:t>
      </w:r>
      <w:r>
        <w:rPr>
          <w:rFonts w:hint="eastAsia" w:ascii="宋体" w:hAnsi="宋体"/>
          <w:color w:val="auto"/>
          <w:highlight w:val="none"/>
          <w:lang w:eastAsia="zh-CN"/>
        </w:rPr>
        <w:t>）投标人的营业执照</w:t>
      </w:r>
      <w:r>
        <w:rPr>
          <w:rFonts w:hint="eastAsia" w:ascii="宋体" w:hAnsi="宋体" w:cs="宋体"/>
          <w:color w:val="auto"/>
          <w:highlight w:val="none"/>
          <w:lang w:val="en-US" w:eastAsia="zh-CN"/>
        </w:rPr>
        <w:t>或</w:t>
      </w:r>
      <w:r>
        <w:rPr>
          <w:rFonts w:hint="eastAsia" w:ascii="宋体" w:hAnsi="宋体" w:cs="宋体"/>
          <w:color w:val="auto"/>
          <w:highlight w:val="none"/>
        </w:rPr>
        <w:t>组织机构代码证</w:t>
      </w:r>
      <w:r>
        <w:rPr>
          <w:rFonts w:hint="eastAsia" w:ascii="宋体" w:hAnsi="宋体"/>
          <w:color w:val="auto"/>
          <w:highlight w:val="none"/>
          <w:lang w:eastAsia="zh-CN"/>
        </w:rPr>
        <w:t>无效；</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8</w:t>
      </w:r>
      <w:r>
        <w:rPr>
          <w:rFonts w:hint="eastAsia" w:ascii="宋体" w:hAnsi="宋体"/>
          <w:color w:val="auto"/>
          <w:highlight w:val="none"/>
          <w:lang w:eastAsia="zh-CN"/>
        </w:rPr>
        <w:t>）资质不符合第二章“投标人须知”第1.4.1项规定；</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9</w:t>
      </w:r>
      <w:r>
        <w:rPr>
          <w:rFonts w:hint="eastAsia" w:ascii="宋体" w:hAnsi="宋体"/>
          <w:color w:val="auto"/>
          <w:highlight w:val="none"/>
          <w:lang w:eastAsia="zh-CN"/>
        </w:rPr>
        <w:t>）总监理工程师不符合第二章“投标人须知”第1.4.1项规定；</w:t>
      </w:r>
    </w:p>
    <w:p>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10</w:t>
      </w:r>
      <w:r>
        <w:rPr>
          <w:rFonts w:hint="eastAsia" w:ascii="宋体" w:hAnsi="宋体"/>
          <w:color w:val="auto"/>
          <w:highlight w:val="none"/>
          <w:lang w:eastAsia="zh-CN"/>
        </w:rPr>
        <w:t>）</w:t>
      </w:r>
      <w:r>
        <w:rPr>
          <w:rFonts w:hint="eastAsia" w:ascii="宋体" w:hAnsi="宋体" w:cs="宋体"/>
          <w:color w:val="auto"/>
          <w:highlight w:val="none"/>
        </w:rPr>
        <w:t>其他要求</w:t>
      </w:r>
      <w:r>
        <w:rPr>
          <w:rFonts w:hint="eastAsia" w:ascii="宋体" w:hAnsi="宋体" w:cs="宋体"/>
          <w:color w:val="auto"/>
          <w:highlight w:val="none"/>
          <w:lang w:eastAsia="zh-CN"/>
        </w:rPr>
        <w:t>：</w:t>
      </w:r>
      <w:r>
        <w:rPr>
          <w:rFonts w:hint="eastAsia" w:ascii="宋体" w:hAnsi="宋体"/>
          <w:color w:val="auto"/>
          <w:highlight w:val="none"/>
          <w:lang w:eastAsia="zh-CN"/>
        </w:rPr>
        <w:t>不符合第二章“投标人须知”第1.4.1项规定；</w:t>
      </w:r>
    </w:p>
    <w:p>
      <w:pPr>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11</w:t>
      </w:r>
      <w:r>
        <w:rPr>
          <w:rFonts w:hint="eastAsia" w:ascii="宋体" w:hAnsi="宋体"/>
          <w:color w:val="auto"/>
          <w:highlight w:val="none"/>
          <w:lang w:eastAsia="zh-CN"/>
        </w:rPr>
        <w:t>）</w:t>
      </w:r>
      <w:r>
        <w:rPr>
          <w:rFonts w:hint="eastAsia" w:ascii="宋体" w:hAnsi="宋体" w:cs="宋体"/>
          <w:color w:val="auto"/>
          <w:highlight w:val="none"/>
        </w:rPr>
        <w:t>联合体投标人</w:t>
      </w:r>
      <w:r>
        <w:rPr>
          <w:rFonts w:hint="eastAsia" w:ascii="宋体" w:hAnsi="宋体" w:cs="宋体"/>
          <w:color w:val="auto"/>
          <w:highlight w:val="none"/>
          <w:lang w:eastAsia="zh-CN"/>
        </w:rPr>
        <w:t>：</w:t>
      </w:r>
      <w:r>
        <w:rPr>
          <w:rFonts w:hint="eastAsia" w:ascii="宋体" w:hAnsi="宋体" w:cs="宋体"/>
          <w:color w:val="auto"/>
          <w:highlight w:val="none"/>
          <w:lang w:val="en-US" w:eastAsia="zh-CN"/>
        </w:rPr>
        <w:t>不</w:t>
      </w:r>
      <w:r>
        <w:rPr>
          <w:rFonts w:hint="eastAsia" w:ascii="宋体" w:hAnsi="宋体" w:cs="宋体"/>
          <w:color w:val="auto"/>
          <w:highlight w:val="none"/>
        </w:rPr>
        <w:t>符合第二章“投标人须知”第1.4.2项规定</w:t>
      </w:r>
      <w:r>
        <w:rPr>
          <w:rFonts w:hint="eastAsia" w:ascii="宋体" w:hAnsi="宋体" w:cs="宋体"/>
          <w:color w:val="auto"/>
          <w:highlight w:val="none"/>
          <w:lang w:eastAsia="zh-CN"/>
        </w:rPr>
        <w:t>；</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12</w:t>
      </w:r>
      <w:r>
        <w:rPr>
          <w:rFonts w:hint="eastAsia" w:ascii="宋体" w:hAnsi="宋体"/>
          <w:color w:val="auto"/>
          <w:highlight w:val="none"/>
          <w:lang w:eastAsia="zh-CN"/>
        </w:rPr>
        <w:t>）</w:t>
      </w:r>
      <w:r>
        <w:rPr>
          <w:rFonts w:hint="eastAsia" w:ascii="宋体" w:hAnsi="宋体" w:cs="宋体"/>
          <w:color w:val="auto"/>
          <w:highlight w:val="none"/>
        </w:rPr>
        <w:t>存在第二章“投标人须知”第1.4.3项规定的任何一种情形</w:t>
      </w:r>
      <w:r>
        <w:rPr>
          <w:rFonts w:hint="eastAsia" w:ascii="宋体" w:hAnsi="宋体" w:cs="宋体"/>
          <w:color w:val="auto"/>
          <w:highlight w:val="none"/>
          <w:lang w:eastAsia="zh-CN"/>
        </w:rPr>
        <w:t>；</w:t>
      </w:r>
    </w:p>
    <w:p>
      <w:pPr>
        <w:spacing w:line="360" w:lineRule="auto"/>
        <w:ind w:firstLine="420" w:firstLineChars="200"/>
        <w:rPr>
          <w:rFonts w:hint="eastAsia" w:ascii="宋体" w:hAnsi="宋体" w:cs="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13</w:t>
      </w:r>
      <w:r>
        <w:rPr>
          <w:rFonts w:hint="eastAsia" w:ascii="宋体" w:hAnsi="宋体"/>
          <w:color w:val="auto"/>
          <w:highlight w:val="none"/>
          <w:lang w:eastAsia="zh-CN"/>
        </w:rPr>
        <w:t>）</w:t>
      </w:r>
      <w:r>
        <w:rPr>
          <w:rFonts w:hint="eastAsia" w:ascii="宋体" w:hAnsi="宋体" w:cs="宋体"/>
          <w:color w:val="auto"/>
          <w:highlight w:val="none"/>
        </w:rPr>
        <w:t>投标文件所列投标人名称</w:t>
      </w:r>
      <w:r>
        <w:rPr>
          <w:rFonts w:hint="eastAsia" w:ascii="宋体" w:hAnsi="宋体" w:cs="宋体"/>
          <w:color w:val="auto"/>
          <w:highlight w:val="none"/>
          <w:lang w:val="en-US" w:eastAsia="zh-CN"/>
        </w:rPr>
        <w:t>或</w:t>
      </w:r>
      <w:r>
        <w:rPr>
          <w:rFonts w:hint="eastAsia" w:ascii="宋体" w:hAnsi="宋体" w:cs="宋体"/>
          <w:color w:val="auto"/>
          <w:highlight w:val="none"/>
        </w:rPr>
        <w:t>项目（总监）负责人与投标登记时一致；</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14</w:t>
      </w:r>
      <w:r>
        <w:rPr>
          <w:rFonts w:hint="eastAsia" w:ascii="宋体" w:hAnsi="宋体"/>
          <w:color w:val="auto"/>
          <w:highlight w:val="none"/>
          <w:lang w:eastAsia="zh-CN"/>
        </w:rPr>
        <w:t>）投标报价不符合第二章“投标人须知”第 3.2款规定；出现两个或以上的投标报价且修正无依据。</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15</w:t>
      </w:r>
      <w:r>
        <w:rPr>
          <w:rFonts w:hint="eastAsia" w:ascii="宋体" w:hAnsi="宋体"/>
          <w:color w:val="auto"/>
          <w:highlight w:val="none"/>
          <w:lang w:eastAsia="zh-CN"/>
        </w:rPr>
        <w:t>）</w:t>
      </w:r>
      <w:r>
        <w:rPr>
          <w:rFonts w:hint="eastAsia" w:ascii="宋体" w:hAnsi="宋体" w:cs="宋体"/>
          <w:color w:val="auto"/>
          <w:highlight w:val="none"/>
        </w:rPr>
        <w:t>投标内容</w:t>
      </w:r>
      <w:r>
        <w:rPr>
          <w:rFonts w:hint="eastAsia" w:ascii="宋体" w:hAnsi="宋体" w:cs="宋体"/>
          <w:color w:val="auto"/>
          <w:highlight w:val="none"/>
          <w:lang w:val="en-US" w:eastAsia="zh-CN"/>
        </w:rPr>
        <w:t>没有</w:t>
      </w:r>
      <w:r>
        <w:rPr>
          <w:rFonts w:hint="eastAsia" w:ascii="宋体" w:hAnsi="宋体" w:cs="宋体"/>
          <w:color w:val="auto"/>
          <w:highlight w:val="none"/>
          <w:u w:val="none"/>
        </w:rPr>
        <w:t>按规定的格式填写，内容</w:t>
      </w:r>
      <w:r>
        <w:rPr>
          <w:rFonts w:hint="eastAsia" w:ascii="宋体" w:hAnsi="宋体" w:cs="宋体"/>
          <w:color w:val="auto"/>
          <w:highlight w:val="none"/>
          <w:u w:val="none"/>
          <w:lang w:val="en-US" w:eastAsia="zh-CN"/>
        </w:rPr>
        <w:t>不</w:t>
      </w:r>
      <w:r>
        <w:rPr>
          <w:rFonts w:hint="eastAsia" w:ascii="宋体" w:hAnsi="宋体" w:cs="宋体"/>
          <w:color w:val="auto"/>
          <w:highlight w:val="none"/>
          <w:u w:val="none"/>
        </w:rPr>
        <w:t>齐全或关键字迹</w:t>
      </w:r>
      <w:r>
        <w:rPr>
          <w:rFonts w:hint="eastAsia" w:ascii="宋体" w:hAnsi="宋体" w:cs="宋体"/>
          <w:color w:val="auto"/>
          <w:highlight w:val="none"/>
          <w:u w:val="none"/>
          <w:lang w:val="en-US" w:eastAsia="zh-CN"/>
        </w:rPr>
        <w:t>不</w:t>
      </w:r>
      <w:r>
        <w:rPr>
          <w:rFonts w:hint="eastAsia" w:ascii="宋体" w:hAnsi="宋体" w:cs="宋体"/>
          <w:color w:val="auto"/>
          <w:highlight w:val="none"/>
          <w:u w:val="none"/>
        </w:rPr>
        <w:t>清晰、</w:t>
      </w:r>
      <w:r>
        <w:rPr>
          <w:rFonts w:hint="eastAsia" w:ascii="宋体" w:hAnsi="宋体" w:cs="宋体"/>
          <w:color w:val="auto"/>
          <w:highlight w:val="none"/>
          <w:u w:val="none"/>
          <w:lang w:val="en-US" w:eastAsia="zh-CN"/>
        </w:rPr>
        <w:t>不</w:t>
      </w:r>
      <w:r>
        <w:rPr>
          <w:rFonts w:hint="eastAsia" w:ascii="宋体" w:hAnsi="宋体" w:cs="宋体"/>
          <w:color w:val="auto"/>
          <w:highlight w:val="none"/>
          <w:u w:val="none"/>
        </w:rPr>
        <w:t>容易辩认；</w:t>
      </w:r>
    </w:p>
    <w:p>
      <w:pPr>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16</w:t>
      </w:r>
      <w:r>
        <w:rPr>
          <w:rFonts w:hint="eastAsia" w:ascii="宋体" w:hAnsi="宋体" w:cs="宋体"/>
          <w:color w:val="auto"/>
          <w:highlight w:val="none"/>
          <w:lang w:eastAsia="zh-CN"/>
        </w:rPr>
        <w:t>）</w:t>
      </w:r>
      <w:r>
        <w:rPr>
          <w:rFonts w:hint="eastAsia" w:ascii="宋体" w:hAnsi="宋体" w:cs="宋体"/>
          <w:color w:val="auto"/>
          <w:highlight w:val="none"/>
        </w:rPr>
        <w:t>监理服务期限</w:t>
      </w:r>
      <w:r>
        <w:rPr>
          <w:rFonts w:hint="eastAsia" w:ascii="宋体" w:hAnsi="宋体" w:cs="宋体"/>
          <w:color w:val="auto"/>
          <w:highlight w:val="none"/>
          <w:lang w:val="en-US" w:eastAsia="zh-CN"/>
        </w:rPr>
        <w:t>不</w:t>
      </w:r>
      <w:r>
        <w:rPr>
          <w:rFonts w:hint="eastAsia" w:ascii="宋体" w:hAnsi="宋体" w:cs="宋体"/>
          <w:color w:val="auto"/>
          <w:highlight w:val="none"/>
        </w:rPr>
        <w:t>符合第二章“投标人须知”第1.3.2项规定</w:t>
      </w:r>
      <w:r>
        <w:rPr>
          <w:rFonts w:hint="eastAsia" w:ascii="宋体" w:hAnsi="宋体" w:cs="宋体"/>
          <w:color w:val="auto"/>
          <w:highlight w:val="none"/>
          <w:lang w:eastAsia="zh-CN"/>
        </w:rPr>
        <w:t>；</w:t>
      </w:r>
    </w:p>
    <w:p>
      <w:pPr>
        <w:spacing w:line="360" w:lineRule="auto"/>
        <w:ind w:firstLine="420" w:firstLineChars="200"/>
        <w:rPr>
          <w:rFonts w:hint="eastAsia" w:ascii="宋体" w:hAnsi="宋体"/>
          <w:color w:val="auto"/>
          <w:highlight w:val="none"/>
          <w:lang w:eastAsia="zh-CN"/>
        </w:rPr>
      </w:pPr>
      <w:r>
        <w:rPr>
          <w:rFonts w:hint="eastAsia" w:ascii="宋体" w:hAnsi="宋体"/>
          <w:color w:val="auto"/>
          <w:highlight w:val="none"/>
          <w:lang w:eastAsia="zh-CN"/>
        </w:rPr>
        <w:t>（</w:t>
      </w:r>
      <w:r>
        <w:rPr>
          <w:rFonts w:hint="eastAsia" w:ascii="宋体" w:hAnsi="宋体"/>
          <w:color w:val="auto"/>
          <w:highlight w:val="none"/>
          <w:lang w:val="en-US" w:eastAsia="zh-CN"/>
        </w:rPr>
        <w:t>17</w:t>
      </w:r>
      <w:r>
        <w:rPr>
          <w:rFonts w:hint="eastAsia" w:ascii="宋体" w:hAnsi="宋体"/>
          <w:color w:val="auto"/>
          <w:highlight w:val="none"/>
          <w:lang w:eastAsia="zh-CN"/>
        </w:rPr>
        <w:t>）质量标准不符合第二章“投标人须知”第1.3.3项规定；</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18</w:t>
      </w:r>
      <w:r>
        <w:rPr>
          <w:rFonts w:hint="eastAsia" w:ascii="宋体" w:hAnsi="宋体"/>
          <w:color w:val="auto"/>
          <w:highlight w:val="none"/>
          <w:lang w:eastAsia="zh-CN"/>
        </w:rPr>
        <w:t>）</w:t>
      </w:r>
      <w:r>
        <w:rPr>
          <w:rFonts w:hint="eastAsia" w:ascii="宋体" w:hAnsi="宋体"/>
          <w:color w:val="auto"/>
          <w:highlight w:val="none"/>
        </w:rPr>
        <w:t>投标有效期不符合第二章“投标人须知”第3.3.1项规定；</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19</w:t>
      </w:r>
      <w:r>
        <w:rPr>
          <w:rFonts w:hint="eastAsia" w:ascii="宋体" w:hAnsi="宋体"/>
          <w:color w:val="auto"/>
          <w:highlight w:val="none"/>
          <w:lang w:eastAsia="zh-CN"/>
        </w:rPr>
        <w:t>）</w:t>
      </w:r>
      <w:r>
        <w:rPr>
          <w:rFonts w:hint="eastAsia" w:ascii="宋体" w:hAnsi="宋体"/>
          <w:color w:val="auto"/>
          <w:highlight w:val="none"/>
        </w:rPr>
        <w:t>投标保证金不符合第二章“投标人须知”第3.4.1项规定；</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20</w:t>
      </w:r>
      <w:r>
        <w:rPr>
          <w:rFonts w:hint="eastAsia" w:ascii="宋体" w:hAnsi="宋体"/>
          <w:color w:val="auto"/>
          <w:highlight w:val="none"/>
          <w:lang w:eastAsia="zh-CN"/>
        </w:rPr>
        <w:t>）</w:t>
      </w:r>
      <w:r>
        <w:rPr>
          <w:rFonts w:hint="eastAsia" w:ascii="宋体" w:hAnsi="宋体"/>
          <w:color w:val="auto"/>
          <w:highlight w:val="none"/>
        </w:rPr>
        <w:t>未按评标委员会要求澄清、说明或补正的；</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21</w:t>
      </w:r>
      <w:r>
        <w:rPr>
          <w:rFonts w:hint="eastAsia" w:ascii="宋体" w:hAnsi="宋体"/>
          <w:color w:val="auto"/>
          <w:highlight w:val="none"/>
          <w:lang w:eastAsia="zh-CN"/>
        </w:rPr>
        <w:t>）</w:t>
      </w:r>
      <w:r>
        <w:rPr>
          <w:rFonts w:hint="eastAsia" w:ascii="宋体" w:hAnsi="宋体"/>
          <w:color w:val="auto"/>
          <w:highlight w:val="none"/>
        </w:rPr>
        <w:t>有串通投标、弄虚作假、行贿等违法行为；</w:t>
      </w:r>
    </w:p>
    <w:p>
      <w:pPr>
        <w:spacing w:line="360" w:lineRule="auto"/>
        <w:ind w:firstLine="420" w:firstLineChars="200"/>
        <w:rPr>
          <w:rFonts w:hint="eastAsia" w:ascii="宋体" w:hAnsi="宋体"/>
          <w:color w:val="auto"/>
          <w:highlight w:val="none"/>
        </w:rPr>
      </w:pPr>
      <w:r>
        <w:rPr>
          <w:rFonts w:hint="eastAsia" w:ascii="宋体" w:hAnsi="宋体"/>
          <w:color w:val="auto"/>
          <w:highlight w:val="none"/>
          <w:lang w:eastAsia="zh-CN"/>
        </w:rPr>
        <w:t>（</w:t>
      </w:r>
      <w:r>
        <w:rPr>
          <w:rFonts w:hint="eastAsia" w:ascii="宋体" w:hAnsi="宋体"/>
          <w:color w:val="auto"/>
          <w:highlight w:val="none"/>
          <w:lang w:val="en-US" w:eastAsia="zh-CN"/>
        </w:rPr>
        <w:t>22</w:t>
      </w:r>
      <w:r>
        <w:rPr>
          <w:rFonts w:hint="eastAsia" w:ascii="宋体" w:hAnsi="宋体"/>
          <w:color w:val="auto"/>
          <w:highlight w:val="none"/>
          <w:lang w:eastAsia="zh-CN"/>
        </w:rPr>
        <w:t>）</w:t>
      </w:r>
      <w:r>
        <w:rPr>
          <w:rFonts w:hint="eastAsia" w:ascii="宋体" w:hAnsi="宋体"/>
          <w:color w:val="auto"/>
          <w:highlight w:val="none"/>
        </w:rPr>
        <w:t>经评标委员会认定，投标人的投标报价低于其个别成本且无法提供相应的证明材料；</w:t>
      </w:r>
    </w:p>
    <w:p>
      <w:pPr>
        <w:spacing w:line="360" w:lineRule="auto"/>
        <w:ind w:firstLine="422" w:firstLineChars="200"/>
        <w:rPr>
          <w:rFonts w:hint="eastAsia" w:ascii="宋体" w:hAnsi="宋体"/>
          <w:b/>
          <w:bCs/>
          <w:color w:val="auto"/>
          <w:highlight w:val="none"/>
        </w:rPr>
      </w:pPr>
      <w:r>
        <w:rPr>
          <w:rFonts w:hint="eastAsia" w:ascii="宋体" w:hAnsi="宋体"/>
          <w:b/>
          <w:bCs/>
          <w:color w:val="auto"/>
          <w:highlight w:val="none"/>
        </w:rPr>
        <w:t>评标委员会对招标文件规定的评标标准、评标方法、资格审查条款、否决投标条款的理解发生争议的，应当按照通常理解予以解释。有两种以上解释的，应当作出不利于招标人的解释。</w:t>
      </w:r>
    </w:p>
    <w:p>
      <w:pPr>
        <w:spacing w:line="360" w:lineRule="auto"/>
        <w:ind w:firstLine="420" w:firstLineChars="200"/>
        <w:rPr>
          <w:rFonts w:ascii="宋体" w:hAnsi="宋体"/>
          <w:color w:val="auto"/>
          <w:highlight w:val="none"/>
        </w:rPr>
      </w:pPr>
      <w:r>
        <w:rPr>
          <w:rFonts w:hint="eastAsia" w:ascii="宋体" w:hAnsi="宋体"/>
          <w:color w:val="auto"/>
          <w:highlight w:val="none"/>
        </w:rPr>
        <w:t>3.1.3 投标报价有算术错误及其他错误的，评标委员会按以下原则要求投标人对投标报价进</w:t>
      </w:r>
      <w:bookmarkStart w:id="404" w:name="_Toc361508651"/>
      <w:bookmarkStart w:id="405" w:name="_Toc247527628"/>
      <w:bookmarkStart w:id="406" w:name="_Toc384308277"/>
      <w:bookmarkStart w:id="407" w:name="_Toc2907"/>
      <w:bookmarkStart w:id="408" w:name="_Toc152045603"/>
      <w:bookmarkStart w:id="409" w:name="_Toc352691538"/>
      <w:bookmarkStart w:id="410" w:name="_Toc144974570"/>
      <w:bookmarkStart w:id="411" w:name="_Toc369531582"/>
      <w:bookmarkStart w:id="412" w:name="_Toc152042380"/>
      <w:bookmarkStart w:id="413" w:name="_Toc247514027"/>
      <w:bookmarkStart w:id="414" w:name="_Toc300835013"/>
      <w:r>
        <w:rPr>
          <w:rFonts w:hint="eastAsia" w:ascii="宋体" w:hAnsi="宋体"/>
          <w:color w:val="auto"/>
          <w:highlight w:val="none"/>
        </w:rPr>
        <w:t>行修正，并要求投标人书面澄清确认。</w:t>
      </w:r>
      <w:bookmarkEnd w:id="404"/>
      <w:bookmarkEnd w:id="405"/>
      <w:bookmarkEnd w:id="406"/>
      <w:bookmarkEnd w:id="407"/>
      <w:bookmarkEnd w:id="408"/>
      <w:bookmarkEnd w:id="409"/>
      <w:bookmarkEnd w:id="410"/>
      <w:bookmarkEnd w:id="411"/>
      <w:bookmarkEnd w:id="412"/>
      <w:bookmarkEnd w:id="413"/>
      <w:bookmarkEnd w:id="414"/>
      <w:r>
        <w:rPr>
          <w:rFonts w:hint="eastAsia" w:ascii="宋体" w:hAnsi="宋体"/>
          <w:color w:val="auto"/>
          <w:highlight w:val="none"/>
        </w:rPr>
        <w:t>投标人拒不澄清确认的，评标委员会应当否决其投标：</w:t>
      </w:r>
    </w:p>
    <w:p>
      <w:pPr>
        <w:spacing w:line="360" w:lineRule="auto"/>
        <w:ind w:firstLine="420" w:firstLineChars="200"/>
        <w:rPr>
          <w:rFonts w:ascii="宋体" w:hAnsi="宋体"/>
          <w:color w:val="auto"/>
          <w:highlight w:val="none"/>
        </w:rPr>
      </w:pPr>
      <w:r>
        <w:rPr>
          <w:rFonts w:hint="eastAsia" w:ascii="宋体" w:hAnsi="宋体"/>
          <w:color w:val="auto"/>
          <w:highlight w:val="none"/>
        </w:rPr>
        <w:t>（1）投标文件中的大写金额与小写金额不一致的，以大写金额为准；</w:t>
      </w:r>
    </w:p>
    <w:p>
      <w:pPr>
        <w:spacing w:line="360" w:lineRule="auto"/>
        <w:ind w:firstLine="420" w:firstLineChars="200"/>
        <w:rPr>
          <w:rFonts w:ascii="宋体" w:hAnsi="宋体"/>
          <w:color w:val="auto"/>
          <w:highlight w:val="none"/>
        </w:rPr>
      </w:pPr>
      <w:r>
        <w:rPr>
          <w:rFonts w:hint="eastAsia" w:ascii="宋体" w:hAnsi="宋体"/>
          <w:color w:val="auto"/>
          <w:highlight w:val="none"/>
        </w:rPr>
        <w:t>（2）总价金额与单价金额不一致的，以单价金额为准，但单价金额小数点有明显错误的除外。</w:t>
      </w:r>
    </w:p>
    <w:p>
      <w:pPr>
        <w:pStyle w:val="20"/>
        <w:spacing w:line="360" w:lineRule="auto"/>
        <w:ind w:firstLineChars="200"/>
        <w:rPr>
          <w:color w:val="auto"/>
          <w:sz w:val="21"/>
          <w:szCs w:val="21"/>
          <w:highlight w:val="none"/>
        </w:rPr>
      </w:pPr>
      <w:r>
        <w:rPr>
          <w:rFonts w:hint="eastAsia" w:ascii="宋体" w:hAnsi="宋体" w:cs="宋体"/>
          <w:color w:val="auto"/>
          <w:kern w:val="2"/>
          <w:sz w:val="21"/>
          <w:szCs w:val="21"/>
          <w:highlight w:val="none"/>
          <w:u w:val="single"/>
        </w:rPr>
        <w:t>3.1.4 只有通过初步评审的投标人才能进入下一阶段详细评审。当通过初步评审的有效投标人不足三名时，招标人应当依法重新组织招标。在进行形式评审、资格评审、响应性评审过程中，若评委意见不一致时，则按少数服从多数的原则，决定该投标人是否通过相应阶段的评审，进入下一阶段评审。</w:t>
      </w:r>
    </w:p>
    <w:p>
      <w:pPr>
        <w:spacing w:before="168" w:beforeLines="70" w:after="168" w:afterLines="70"/>
        <w:rPr>
          <w:rFonts w:ascii="宋体" w:hAnsi="宋体"/>
          <w:b/>
          <w:color w:val="auto"/>
          <w:sz w:val="28"/>
          <w:highlight w:val="none"/>
        </w:rPr>
      </w:pPr>
      <w:bookmarkStart w:id="415" w:name="_Toc515205262"/>
      <w:bookmarkStart w:id="416" w:name="_Toc529196589"/>
      <w:r>
        <w:rPr>
          <w:rFonts w:hint="eastAsia" w:ascii="宋体" w:hAnsi="宋体"/>
          <w:b/>
          <w:color w:val="auto"/>
          <w:sz w:val="28"/>
          <w:highlight w:val="none"/>
        </w:rPr>
        <w:t>3.2 详细评审</w:t>
      </w:r>
      <w:bookmarkEnd w:id="415"/>
      <w:bookmarkEnd w:id="416"/>
    </w:p>
    <w:p>
      <w:pPr>
        <w:spacing w:line="360" w:lineRule="auto"/>
        <w:ind w:firstLine="420" w:firstLineChars="200"/>
        <w:rPr>
          <w:rFonts w:ascii="宋体" w:hAnsi="宋体"/>
          <w:color w:val="auto"/>
          <w:highlight w:val="none"/>
        </w:rPr>
      </w:pPr>
      <w:r>
        <w:rPr>
          <w:rFonts w:hint="eastAsia" w:ascii="宋体" w:hAnsi="宋体"/>
          <w:color w:val="auto"/>
          <w:highlight w:val="none"/>
        </w:rPr>
        <w:t>3.2.1 评标委员会按本章第2.2款规定的量化因素和分值进行打分，并计算出综合评估得分。</w:t>
      </w:r>
    </w:p>
    <w:p>
      <w:pPr>
        <w:spacing w:line="360" w:lineRule="auto"/>
        <w:ind w:firstLine="420" w:firstLineChars="200"/>
        <w:rPr>
          <w:rFonts w:ascii="宋体" w:hAnsi="宋体"/>
          <w:color w:val="auto"/>
          <w:highlight w:val="none"/>
        </w:rPr>
      </w:pPr>
      <w:r>
        <w:rPr>
          <w:rFonts w:hint="eastAsia" w:ascii="宋体" w:hAnsi="宋体"/>
          <w:color w:val="auto"/>
          <w:highlight w:val="none"/>
        </w:rPr>
        <w:t>（1）按本章第 2.2.4（1）目规定的评审因素和分值对资信业绩部分计算出得分 A；</w:t>
      </w:r>
    </w:p>
    <w:p>
      <w:pPr>
        <w:spacing w:line="360" w:lineRule="auto"/>
        <w:ind w:firstLine="420" w:firstLineChars="200"/>
        <w:rPr>
          <w:rFonts w:ascii="宋体" w:hAnsi="宋体"/>
          <w:color w:val="auto"/>
          <w:highlight w:val="none"/>
        </w:rPr>
      </w:pPr>
      <w:r>
        <w:rPr>
          <w:rFonts w:hint="eastAsia" w:ascii="宋体" w:hAnsi="宋体"/>
          <w:color w:val="auto"/>
          <w:highlight w:val="none"/>
        </w:rPr>
        <w:t>（2）按本章第 2.2.4（2）目规定的评审因素和分值对监理大纲部分计算出得分 B；</w:t>
      </w:r>
    </w:p>
    <w:p>
      <w:pPr>
        <w:spacing w:line="360" w:lineRule="auto"/>
        <w:ind w:firstLine="420" w:firstLineChars="200"/>
        <w:rPr>
          <w:rFonts w:ascii="宋体" w:hAnsi="宋体"/>
          <w:color w:val="auto"/>
          <w:highlight w:val="none"/>
        </w:rPr>
      </w:pPr>
      <w:r>
        <w:rPr>
          <w:rFonts w:hint="eastAsia" w:ascii="宋体" w:hAnsi="宋体"/>
          <w:color w:val="auto"/>
          <w:highlight w:val="none"/>
        </w:rPr>
        <w:t>（3）按本章第 2.2.4（3）目规定的评审因素和分值对投标报价计算出得分 C；</w:t>
      </w:r>
    </w:p>
    <w:p>
      <w:pPr>
        <w:spacing w:line="360" w:lineRule="auto"/>
        <w:ind w:firstLine="420" w:firstLineChars="200"/>
        <w:rPr>
          <w:rFonts w:ascii="宋体" w:hAnsi="宋体"/>
          <w:color w:val="auto"/>
          <w:highlight w:val="none"/>
        </w:rPr>
      </w:pPr>
      <w:r>
        <w:rPr>
          <w:rFonts w:hint="eastAsia" w:ascii="宋体" w:hAnsi="宋体"/>
          <w:color w:val="auto"/>
          <w:highlight w:val="none"/>
        </w:rPr>
        <w:t>（4）按本章第 2.2.4（4）目规定的评审因素和分值对其他部分计算出得分 D。</w:t>
      </w:r>
    </w:p>
    <w:p>
      <w:pPr>
        <w:spacing w:line="360" w:lineRule="auto"/>
        <w:ind w:firstLine="420" w:firstLineChars="200"/>
        <w:rPr>
          <w:rFonts w:ascii="宋体" w:hAnsi="宋体"/>
          <w:color w:val="auto"/>
          <w:highlight w:val="none"/>
        </w:rPr>
      </w:pPr>
      <w:r>
        <w:rPr>
          <w:rFonts w:hint="eastAsia" w:ascii="宋体" w:hAnsi="宋体"/>
          <w:color w:val="auto"/>
          <w:highlight w:val="none"/>
        </w:rPr>
        <w:t>3.2.2 评分分值计算保留小数点后两位，小数点后第三位“四舍五入”。</w:t>
      </w:r>
    </w:p>
    <w:p>
      <w:pPr>
        <w:spacing w:line="360" w:lineRule="auto"/>
        <w:ind w:firstLine="420" w:firstLineChars="200"/>
        <w:rPr>
          <w:rFonts w:ascii="宋体" w:hAnsi="宋体"/>
          <w:color w:val="auto"/>
          <w:highlight w:val="none"/>
        </w:rPr>
      </w:pPr>
      <w:r>
        <w:rPr>
          <w:rFonts w:hint="eastAsia" w:ascii="宋体" w:hAnsi="宋体"/>
          <w:color w:val="auto"/>
          <w:highlight w:val="none"/>
        </w:rPr>
        <w:t>3.2.3 投标人得分=A+B+C+D</w:t>
      </w:r>
    </w:p>
    <w:p>
      <w:pPr>
        <w:spacing w:line="360" w:lineRule="auto"/>
        <w:ind w:firstLine="420" w:firstLineChars="200"/>
        <w:rPr>
          <w:rFonts w:ascii="宋体" w:hAnsi="宋体"/>
          <w:color w:val="auto"/>
          <w:highlight w:val="none"/>
        </w:rPr>
      </w:pPr>
      <w:r>
        <w:rPr>
          <w:rFonts w:hint="eastAsia" w:ascii="宋体" w:hAnsi="宋体"/>
          <w:color w:val="auto"/>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before="168" w:beforeLines="70" w:after="168" w:afterLines="70"/>
        <w:rPr>
          <w:rFonts w:ascii="宋体" w:hAnsi="宋体"/>
          <w:b/>
          <w:color w:val="auto"/>
          <w:sz w:val="28"/>
          <w:highlight w:val="none"/>
        </w:rPr>
      </w:pPr>
      <w:bookmarkStart w:id="417" w:name="_Toc529196590"/>
      <w:bookmarkStart w:id="418" w:name="_Toc515205263"/>
      <w:r>
        <w:rPr>
          <w:rFonts w:hint="eastAsia" w:ascii="宋体" w:hAnsi="宋体"/>
          <w:b/>
          <w:color w:val="auto"/>
          <w:sz w:val="28"/>
          <w:highlight w:val="none"/>
        </w:rPr>
        <w:t>3.3 投标文件的澄清</w:t>
      </w:r>
      <w:bookmarkEnd w:id="417"/>
      <w:bookmarkEnd w:id="418"/>
    </w:p>
    <w:p>
      <w:pPr>
        <w:spacing w:line="360" w:lineRule="auto"/>
        <w:ind w:firstLine="420" w:firstLineChars="200"/>
        <w:rPr>
          <w:rFonts w:ascii="宋体" w:hAnsi="宋体"/>
          <w:color w:val="auto"/>
          <w:highlight w:val="none"/>
        </w:rPr>
      </w:pPr>
      <w:r>
        <w:rPr>
          <w:rFonts w:hint="eastAsia" w:ascii="宋体" w:hAnsi="宋体"/>
          <w:color w:val="auto"/>
          <w:highlight w:val="none"/>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20" w:firstLineChars="200"/>
        <w:rPr>
          <w:rFonts w:ascii="宋体" w:hAnsi="宋体"/>
          <w:color w:val="auto"/>
          <w:highlight w:val="none"/>
        </w:rPr>
      </w:pPr>
      <w:r>
        <w:rPr>
          <w:rFonts w:hint="eastAsia" w:ascii="宋体" w:hAnsi="宋体"/>
          <w:color w:val="auto"/>
          <w:highlight w:val="none"/>
        </w:rPr>
        <w:t>3.3.2 澄清、说明或补正不得超出投标文件的范围且不得改变投标文件的实质性内容，并构成投标文件的组成部分。</w:t>
      </w:r>
    </w:p>
    <w:p>
      <w:pPr>
        <w:spacing w:line="360" w:lineRule="auto"/>
        <w:ind w:firstLine="420" w:firstLineChars="200"/>
        <w:rPr>
          <w:rFonts w:ascii="宋体" w:hAnsi="宋体"/>
          <w:color w:val="auto"/>
          <w:highlight w:val="none"/>
        </w:rPr>
      </w:pPr>
      <w:r>
        <w:rPr>
          <w:rFonts w:hint="eastAsia" w:ascii="宋体" w:hAnsi="宋体"/>
          <w:color w:val="auto"/>
          <w:highlight w:val="none"/>
        </w:rPr>
        <w:t>3.3.3 评标委员会对投标人提交的澄清、说明或补正有疑问的，可以要求投标人进一步澄清、说明或补正，直至满足评标委员会的要求。</w:t>
      </w:r>
    </w:p>
    <w:p>
      <w:pPr>
        <w:spacing w:before="168" w:beforeLines="70" w:after="168" w:afterLines="70"/>
        <w:rPr>
          <w:rFonts w:ascii="宋体" w:hAnsi="宋体"/>
          <w:b/>
          <w:color w:val="auto"/>
          <w:sz w:val="28"/>
          <w:highlight w:val="none"/>
        </w:rPr>
      </w:pPr>
      <w:bookmarkStart w:id="419" w:name="_Toc529196591"/>
      <w:bookmarkStart w:id="420" w:name="_Toc515205264"/>
      <w:r>
        <w:rPr>
          <w:rFonts w:hint="eastAsia" w:ascii="宋体" w:hAnsi="宋体"/>
          <w:b/>
          <w:color w:val="auto"/>
          <w:sz w:val="28"/>
          <w:highlight w:val="none"/>
        </w:rPr>
        <w:t>3.4 评标结果</w:t>
      </w:r>
      <w:bookmarkEnd w:id="419"/>
      <w:bookmarkEnd w:id="420"/>
    </w:p>
    <w:p>
      <w:pPr>
        <w:spacing w:line="360" w:lineRule="auto"/>
        <w:ind w:firstLine="420" w:firstLineChars="200"/>
        <w:rPr>
          <w:rFonts w:ascii="宋体" w:hAnsi="宋体"/>
          <w:b/>
          <w:color w:val="auto"/>
          <w:highlight w:val="none"/>
        </w:rPr>
      </w:pPr>
      <w:r>
        <w:rPr>
          <w:rFonts w:hint="eastAsia" w:ascii="宋体" w:hAnsi="宋体"/>
          <w:color w:val="auto"/>
          <w:highlight w:val="none"/>
        </w:rPr>
        <w:t>3.4.1 除第二章“投标人须知”前附表授权直接确定中标人外，评标委员会按照得分由高到低的顺序推荐中标候选人，并标明排序。</w:t>
      </w:r>
    </w:p>
    <w:p>
      <w:pPr>
        <w:spacing w:line="360" w:lineRule="auto"/>
        <w:ind w:firstLine="482"/>
        <w:rPr>
          <w:rFonts w:ascii="宋体" w:hAnsi="宋体"/>
          <w:b/>
          <w:color w:val="auto"/>
          <w:sz w:val="30"/>
          <w:szCs w:val="30"/>
          <w:highlight w:val="none"/>
        </w:rPr>
      </w:pPr>
      <w:r>
        <w:rPr>
          <w:rFonts w:hint="eastAsia" w:ascii="宋体" w:hAnsi="宋体"/>
          <w:color w:val="auto"/>
          <w:highlight w:val="none"/>
        </w:rPr>
        <w:t>3.4.2 评标委员会完成评标后，应当向招标人提交书面评标报告和中标候选人名单。</w:t>
      </w:r>
    </w:p>
    <w:p>
      <w:pPr>
        <w:pStyle w:val="3"/>
        <w:keepNext w:val="0"/>
        <w:keepLines w:val="0"/>
        <w:spacing w:line="240" w:lineRule="auto"/>
        <w:jc w:val="center"/>
        <w:rPr>
          <w:rFonts w:ascii="宋体" w:hAnsi="宋体"/>
          <w:color w:val="auto"/>
          <w:highlight w:val="none"/>
        </w:rPr>
      </w:pPr>
      <w:r>
        <w:rPr>
          <w:rFonts w:hint="eastAsia" w:ascii="宋体" w:hAnsi="宋体"/>
          <w:color w:val="auto"/>
          <w:highlight w:val="none"/>
        </w:rPr>
        <w:br w:type="page"/>
      </w:r>
      <w:bookmarkStart w:id="421" w:name="_Toc63769816"/>
      <w:r>
        <w:rPr>
          <w:rFonts w:hint="eastAsia" w:ascii="宋体" w:hAnsi="宋体"/>
          <w:color w:val="auto"/>
          <w:highlight w:val="none"/>
        </w:rPr>
        <w:t>第四章 合同条款及格式</w:t>
      </w:r>
      <w:bookmarkEnd w:id="421"/>
    </w:p>
    <w:p>
      <w:pPr>
        <w:widowControl/>
        <w:jc w:val="center"/>
        <w:rPr>
          <w:color w:val="auto"/>
          <w:sz w:val="18"/>
          <w:highlight w:val="none"/>
        </w:rPr>
        <w:sectPr>
          <w:footerReference r:id="rId4" w:type="default"/>
          <w:pgSz w:w="11907" w:h="16839"/>
          <w:pgMar w:top="1440" w:right="1440" w:bottom="1418" w:left="1440" w:header="0" w:footer="749" w:gutter="0"/>
          <w:cols w:space="720" w:num="1"/>
          <w:rtlGutter w:val="1"/>
        </w:sectPr>
      </w:pPr>
      <w:r>
        <w:rPr>
          <w:rFonts w:hint="eastAsia" w:ascii="仿宋_GB2312" w:eastAsia="仿宋_GB2312"/>
          <w:b/>
          <w:color w:val="auto"/>
          <w:sz w:val="24"/>
          <w:highlight w:val="none"/>
        </w:rPr>
        <w:t>另册</w:t>
      </w:r>
    </w:p>
    <w:p>
      <w:pPr>
        <w:jc w:val="center"/>
        <w:outlineLvl w:val="0"/>
        <w:rPr>
          <w:b/>
          <w:color w:val="auto"/>
          <w:sz w:val="44"/>
          <w:highlight w:val="none"/>
        </w:rPr>
      </w:pPr>
      <w:bookmarkStart w:id="422" w:name="_Toc63769817"/>
      <w:bookmarkStart w:id="423" w:name="_Toc179632787"/>
      <w:bookmarkStart w:id="424" w:name="_Toc246997081"/>
      <w:bookmarkStart w:id="425" w:name="_Toc247085853"/>
      <w:bookmarkStart w:id="426" w:name="_Toc246996338"/>
      <w:bookmarkStart w:id="427" w:name="_Toc247514197"/>
      <w:bookmarkStart w:id="428" w:name="_Toc152042388"/>
      <w:bookmarkStart w:id="429" w:name="_Toc144974578"/>
      <w:bookmarkStart w:id="430" w:name="_Toc247527798"/>
      <w:bookmarkStart w:id="431" w:name="_Toc300835199"/>
      <w:bookmarkStart w:id="432" w:name="_Toc144974829"/>
      <w:bookmarkStart w:id="433" w:name="_Toc184635122"/>
      <w:bookmarkStart w:id="434" w:name="_Toc152042549"/>
      <w:bookmarkStart w:id="435" w:name="_Toc152045610"/>
      <w:r>
        <w:rPr>
          <w:rFonts w:hint="eastAsia"/>
          <w:b/>
          <w:color w:val="auto"/>
          <w:sz w:val="44"/>
          <w:highlight w:val="none"/>
        </w:rPr>
        <w:t>第二卷</w:t>
      </w:r>
      <w:bookmarkEnd w:id="422"/>
    </w:p>
    <w:p>
      <w:pPr>
        <w:pStyle w:val="3"/>
        <w:keepNext w:val="0"/>
        <w:keepLines w:val="0"/>
        <w:spacing w:line="360" w:lineRule="auto"/>
        <w:jc w:val="center"/>
        <w:rPr>
          <w:rFonts w:ascii="宋体" w:hAnsi="宋体"/>
          <w:color w:val="auto"/>
          <w:sz w:val="36"/>
          <w:szCs w:val="36"/>
          <w:highlight w:val="none"/>
        </w:rPr>
      </w:pPr>
      <w:bookmarkStart w:id="436" w:name="_Toc63769818"/>
      <w:r>
        <w:rPr>
          <w:rFonts w:hint="eastAsia" w:ascii="宋体" w:hAnsi="宋体"/>
          <w:color w:val="auto"/>
          <w:sz w:val="36"/>
          <w:szCs w:val="36"/>
          <w:highlight w:val="none"/>
        </w:rPr>
        <w:t>第五章 委托人要求</w:t>
      </w:r>
      <w:bookmarkEnd w:id="423"/>
      <w:bookmarkEnd w:id="424"/>
      <w:bookmarkEnd w:id="425"/>
      <w:bookmarkEnd w:id="426"/>
      <w:bookmarkEnd w:id="436"/>
      <w:bookmarkStart w:id="437" w:name="_Toc535938725"/>
      <w:bookmarkStart w:id="438" w:name="_Toc529196595"/>
      <w:bookmarkStart w:id="439" w:name="_Toc525828225"/>
      <w:bookmarkStart w:id="440" w:name="_Toc525827491"/>
      <w:bookmarkStart w:id="441" w:name="_Toc530470634"/>
    </w:p>
    <w:bookmarkEnd w:id="437"/>
    <w:bookmarkEnd w:id="438"/>
    <w:bookmarkEnd w:id="439"/>
    <w:bookmarkEnd w:id="440"/>
    <w:bookmarkEnd w:id="441"/>
    <w:p>
      <w:pPr>
        <w:pStyle w:val="18"/>
        <w:spacing w:line="480" w:lineRule="auto"/>
        <w:outlineLvl w:val="9"/>
        <w:rPr>
          <w:rFonts w:ascii="Times New Roman" w:hAnsi="Times New Roman" w:eastAsia="宋体" w:cs="Times New Roman"/>
          <w:color w:val="auto"/>
          <w:sz w:val="32"/>
          <w:highlight w:val="none"/>
        </w:rPr>
      </w:pPr>
      <w:r>
        <w:rPr>
          <w:rFonts w:hint="eastAsia" w:ascii="Times New Roman" w:hAnsi="Times New Roman" w:eastAsia="宋体" w:cs="Times New Roman"/>
          <w:color w:val="auto"/>
          <w:sz w:val="32"/>
          <w:highlight w:val="none"/>
        </w:rPr>
        <w:t>岭南文化创意产业园项目监理服务</w:t>
      </w:r>
      <w:r>
        <w:rPr>
          <w:rFonts w:ascii="Times New Roman" w:hAnsi="Times New Roman" w:eastAsia="宋体" w:cs="Times New Roman"/>
          <w:color w:val="auto"/>
          <w:sz w:val="32"/>
          <w:highlight w:val="none"/>
        </w:rPr>
        <w:t>需求书</w:t>
      </w:r>
    </w:p>
    <w:p>
      <w:pPr>
        <w:pStyle w:val="18"/>
        <w:spacing w:before="0" w:after="0" w:line="420" w:lineRule="exact"/>
        <w:ind w:firstLine="562" w:firstLineChars="200"/>
        <w:contextualSpacing/>
        <w:jc w:val="left"/>
        <w:outlineLvl w:val="9"/>
        <w:rPr>
          <w:rFonts w:ascii="Times New Roman" w:hAnsi="Times New Roman" w:eastAsia="宋体" w:cs="Times New Roman"/>
          <w:color w:val="auto"/>
          <w:sz w:val="28"/>
          <w:szCs w:val="28"/>
          <w:highlight w:val="none"/>
        </w:rPr>
      </w:pPr>
      <w:bookmarkStart w:id="442" w:name="_Toc18774"/>
    </w:p>
    <w:p>
      <w:pPr>
        <w:pStyle w:val="18"/>
        <w:spacing w:before="0" w:after="0" w:line="420" w:lineRule="exact"/>
        <w:ind w:firstLine="562" w:firstLineChars="200"/>
        <w:contextualSpacing/>
        <w:jc w:val="left"/>
        <w:outlineLvl w:val="9"/>
        <w:rPr>
          <w:color w:val="auto"/>
          <w:sz w:val="28"/>
          <w:szCs w:val="28"/>
          <w:highlight w:val="none"/>
        </w:rPr>
      </w:pPr>
      <w:r>
        <w:rPr>
          <w:rFonts w:hint="eastAsia" w:ascii="Times New Roman" w:hAnsi="Times New Roman" w:eastAsia="宋体" w:cs="Times New Roman"/>
          <w:color w:val="auto"/>
          <w:sz w:val="28"/>
          <w:szCs w:val="28"/>
          <w:highlight w:val="none"/>
        </w:rPr>
        <w:t>一</w:t>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项目概况</w:t>
      </w:r>
    </w:p>
    <w:p>
      <w:pPr>
        <w:spacing w:line="420" w:lineRule="exact"/>
        <w:ind w:left="-88" w:leftChars="-42" w:firstLine="480" w:firstLineChars="200"/>
        <w:contextualSpacing/>
        <w:jc w:val="left"/>
        <w:rPr>
          <w:rFonts w:ascii="宋体" w:hAnsi="宋体"/>
          <w:color w:val="auto"/>
          <w:kern w:val="0"/>
          <w:sz w:val="24"/>
          <w:highlight w:val="none"/>
        </w:rPr>
      </w:pPr>
      <w:r>
        <w:rPr>
          <w:rFonts w:hint="eastAsia" w:ascii="宋体" w:hAnsi="宋体"/>
          <w:color w:val="auto"/>
          <w:kern w:val="0"/>
          <w:sz w:val="24"/>
          <w:highlight w:val="none"/>
        </w:rPr>
        <w:t>（一）工程名称</w:t>
      </w:r>
      <w:bookmarkEnd w:id="442"/>
    </w:p>
    <w:p>
      <w:pPr>
        <w:spacing w:line="420" w:lineRule="exact"/>
        <w:ind w:left="-88" w:leftChars="-42" w:firstLine="480" w:firstLineChars="200"/>
        <w:contextualSpacing/>
        <w:jc w:val="left"/>
        <w:rPr>
          <w:rFonts w:ascii="宋体" w:hAnsi="宋体"/>
          <w:color w:val="auto"/>
          <w:kern w:val="0"/>
          <w:sz w:val="24"/>
          <w:highlight w:val="none"/>
        </w:rPr>
      </w:pPr>
      <w:r>
        <w:rPr>
          <w:rFonts w:hint="eastAsia" w:ascii="宋体" w:hAnsi="宋体"/>
          <w:color w:val="auto"/>
          <w:kern w:val="0"/>
          <w:sz w:val="24"/>
          <w:highlight w:val="none"/>
        </w:rPr>
        <w:t>岭南文化创意产业园项目一期工程。</w:t>
      </w:r>
    </w:p>
    <w:p>
      <w:pPr>
        <w:spacing w:line="420" w:lineRule="exact"/>
        <w:ind w:left="-88" w:leftChars="-42" w:firstLine="480" w:firstLineChars="200"/>
        <w:contextualSpacing/>
        <w:jc w:val="left"/>
        <w:rPr>
          <w:rFonts w:ascii="宋体" w:hAnsi="宋体"/>
          <w:color w:val="auto"/>
          <w:kern w:val="0"/>
          <w:sz w:val="24"/>
          <w:highlight w:val="none"/>
        </w:rPr>
      </w:pPr>
      <w:bookmarkStart w:id="443" w:name="_Toc30369"/>
      <w:r>
        <w:rPr>
          <w:rFonts w:hint="eastAsia" w:ascii="宋体" w:hAnsi="宋体"/>
          <w:color w:val="auto"/>
          <w:kern w:val="0"/>
          <w:sz w:val="24"/>
          <w:highlight w:val="none"/>
        </w:rPr>
        <w:t>（二）工程位置</w:t>
      </w:r>
      <w:bookmarkEnd w:id="443"/>
    </w:p>
    <w:p>
      <w:pPr>
        <w:spacing w:line="420" w:lineRule="exact"/>
        <w:ind w:left="-88" w:leftChars="-42" w:firstLine="480" w:firstLineChars="200"/>
        <w:contextualSpacing/>
        <w:jc w:val="left"/>
        <w:rPr>
          <w:rFonts w:ascii="宋体" w:hAnsi="宋体"/>
          <w:color w:val="auto"/>
          <w:sz w:val="24"/>
          <w:highlight w:val="none"/>
        </w:rPr>
      </w:pPr>
      <w:bookmarkStart w:id="444" w:name="_Toc26539"/>
      <w:r>
        <w:rPr>
          <w:rFonts w:hint="eastAsia" w:ascii="宋体" w:hAnsi="宋体"/>
          <w:color w:val="auto"/>
          <w:kern w:val="0"/>
          <w:sz w:val="24"/>
          <w:highlight w:val="none"/>
        </w:rPr>
        <w:t>广东省肇庆市高新技术开发区，西北面为滨江路，东南面为北江堤坝，西南面有一条规划路，东北侧是广佛肇高速公路</w:t>
      </w:r>
      <w:r>
        <w:rPr>
          <w:rFonts w:hint="eastAsia" w:ascii="宋体" w:hAnsi="宋体"/>
          <w:color w:val="auto"/>
          <w:sz w:val="24"/>
          <w:highlight w:val="none"/>
        </w:rPr>
        <w:t>。</w:t>
      </w:r>
    </w:p>
    <w:p>
      <w:pPr>
        <w:spacing w:line="420" w:lineRule="exact"/>
        <w:ind w:left="-88" w:leftChars="-42" w:firstLine="480" w:firstLineChars="200"/>
        <w:contextualSpacing/>
        <w:jc w:val="left"/>
        <w:rPr>
          <w:rFonts w:ascii="宋体" w:hAnsi="宋体"/>
          <w:color w:val="auto"/>
          <w:kern w:val="0"/>
          <w:sz w:val="24"/>
          <w:highlight w:val="none"/>
        </w:rPr>
      </w:pPr>
      <w:r>
        <w:rPr>
          <w:rFonts w:hint="eastAsia" w:ascii="宋体" w:hAnsi="宋体"/>
          <w:color w:val="auto"/>
          <w:kern w:val="0"/>
          <w:sz w:val="24"/>
          <w:highlight w:val="none"/>
        </w:rPr>
        <w:t>（三）工程</w:t>
      </w:r>
      <w:bookmarkEnd w:id="444"/>
      <w:r>
        <w:rPr>
          <w:rFonts w:hint="eastAsia" w:ascii="宋体" w:hAnsi="宋体"/>
          <w:color w:val="auto"/>
          <w:kern w:val="0"/>
          <w:sz w:val="24"/>
          <w:highlight w:val="none"/>
        </w:rPr>
        <w:t>简介</w:t>
      </w:r>
    </w:p>
    <w:p>
      <w:pPr>
        <w:spacing w:line="420" w:lineRule="exact"/>
        <w:ind w:left="-88" w:leftChars="-42" w:firstLine="480" w:firstLineChars="200"/>
        <w:contextualSpacing/>
        <w:rPr>
          <w:rFonts w:ascii="宋体" w:hAnsi="宋体"/>
          <w:color w:val="auto"/>
          <w:kern w:val="0"/>
          <w:sz w:val="24"/>
          <w:highlight w:val="none"/>
        </w:rPr>
      </w:pPr>
      <w:r>
        <w:rPr>
          <w:rFonts w:hint="eastAsia" w:ascii="宋体" w:hAnsi="宋体"/>
          <w:color w:val="auto"/>
          <w:sz w:val="24"/>
          <w:highlight w:val="none"/>
        </w:rPr>
        <w:t>岭南文化创意产业园项目用地面积为160000平方米，产业园布局整体分为三个功能区，其中地块西南规划为岭南智能仓库区，地块东北规划为环保印刷区，地块东南沿江规划为沿江文化创意研发生活带。本次</w:t>
      </w:r>
      <w:r>
        <w:rPr>
          <w:rFonts w:hint="eastAsia" w:ascii="宋体" w:hAnsi="宋体"/>
          <w:color w:val="auto"/>
          <w:sz w:val="24"/>
          <w:highlight w:val="none"/>
          <w:lang w:val="en-US" w:eastAsia="zh-CN"/>
        </w:rPr>
        <w:t>实施</w:t>
      </w:r>
      <w:r>
        <w:rPr>
          <w:rFonts w:hint="eastAsia" w:ascii="宋体" w:hAnsi="宋体"/>
          <w:color w:val="auto"/>
          <w:sz w:val="24"/>
          <w:highlight w:val="none"/>
        </w:rPr>
        <w:t>为一期工程，包括各类建筑用房10栋，总建筑面积234633平方米。包括教材教辅集散中心3栋：岭南智能仓库编号1栋建筑面积约34239平方米，地上4层，高度33.45米；岭南智能仓库编号2栋建筑面积约56505平方米，地上4层，高度25.5米；岭南智能仓库编号3栋建筑面积约61155平方米，地上4层，高度25.5米。办公研发2栋：综合楼编号11栋，建筑面积约16640平方米，地上10层，高度48.1米；研发中心编号12栋，建筑面积约27687平方米，地上10层，高度48.1米。生活配套2栋：宿合（印刷）编号13栋，建筑面积约22241平方米，地上18层，高度61.8米；宿合（物流）编号14栋建筑面积约14607平方米，地上12层，高度43.8米。设备用房3栋：配电房（物流）编号4栋，建筑面积约1415平方米，地下1层、地上1层，高度5.7米；门卫室15栋，建筑面积约109平方米，地上1层，高度4.8米；门卫室16栋，建筑面积约35平方米，地上1层，高度4.8米。</w:t>
      </w:r>
    </w:p>
    <w:p>
      <w:pPr>
        <w:spacing w:line="420" w:lineRule="exact"/>
        <w:ind w:left="-88" w:leftChars="-42" w:firstLine="562" w:firstLineChars="200"/>
        <w:contextualSpacing/>
        <w:jc w:val="left"/>
        <w:rPr>
          <w:rFonts w:ascii="宋体" w:hAnsi="宋体"/>
          <w:color w:val="auto"/>
          <w:kern w:val="0"/>
          <w:sz w:val="24"/>
          <w:highlight w:val="none"/>
        </w:rPr>
      </w:pPr>
      <w:r>
        <w:rPr>
          <w:rFonts w:hint="eastAsia"/>
          <w:b/>
          <w:bCs/>
          <w:color w:val="auto"/>
          <w:sz w:val="28"/>
          <w:szCs w:val="28"/>
          <w:highlight w:val="none"/>
        </w:rPr>
        <w:t>二</w:t>
      </w:r>
      <w:r>
        <w:rPr>
          <w:b/>
          <w:bCs/>
          <w:color w:val="auto"/>
          <w:sz w:val="28"/>
          <w:szCs w:val="28"/>
          <w:highlight w:val="none"/>
        </w:rPr>
        <w:t>、</w:t>
      </w:r>
      <w:r>
        <w:rPr>
          <w:rFonts w:hint="eastAsia"/>
          <w:b/>
          <w:bCs/>
          <w:color w:val="auto"/>
          <w:sz w:val="28"/>
          <w:szCs w:val="28"/>
          <w:highlight w:val="none"/>
        </w:rPr>
        <w:t>服务</w:t>
      </w:r>
      <w:r>
        <w:rPr>
          <w:b/>
          <w:bCs/>
          <w:color w:val="auto"/>
          <w:sz w:val="28"/>
          <w:szCs w:val="28"/>
          <w:highlight w:val="none"/>
        </w:rPr>
        <w:t>范围</w:t>
      </w:r>
    </w:p>
    <w:p>
      <w:pPr>
        <w:spacing w:line="420" w:lineRule="exact"/>
        <w:ind w:left="-88" w:leftChars="-42" w:firstLine="480" w:firstLineChars="200"/>
        <w:contextualSpacing/>
        <w:rPr>
          <w:rFonts w:ascii="宋体" w:hAnsi="宋体"/>
          <w:color w:val="auto"/>
          <w:sz w:val="24"/>
          <w:highlight w:val="none"/>
        </w:rPr>
      </w:pPr>
      <w:r>
        <w:rPr>
          <w:rFonts w:hint="eastAsia" w:ascii="宋体" w:hAnsi="宋体"/>
          <w:color w:val="auto"/>
          <w:sz w:val="24"/>
          <w:highlight w:val="none"/>
        </w:rPr>
        <w:t>本项目是对</w:t>
      </w:r>
      <w:r>
        <w:rPr>
          <w:rFonts w:hint="eastAsia" w:ascii="宋体" w:hAnsi="宋体"/>
          <w:color w:val="auto"/>
          <w:kern w:val="0"/>
          <w:sz w:val="24"/>
          <w:highlight w:val="none"/>
        </w:rPr>
        <w:t>岭南文化创意产业园项目一期工程施工</w:t>
      </w:r>
      <w:r>
        <w:rPr>
          <w:rFonts w:hint="eastAsia" w:ascii="宋体" w:hAnsi="宋体"/>
          <w:color w:val="auto"/>
          <w:sz w:val="24"/>
          <w:highlight w:val="none"/>
        </w:rPr>
        <w:t>进行监理招标，监理范围为施工准备阶段、施工阶段、工程验收阶段、收尾阶段（包括但不限于竣工验收资料移交城建档案、整改、工程移交及实物移交、工程结算、竣工备案等）及工程保修阶段的监理工作；监理人还须向招标人提供设计阶段的技术支持，并按招标人要求提前进场参与开工前期的准备和筹划工作，同时协助招标人制定各参建方职责及有关事务性工作等。</w:t>
      </w:r>
    </w:p>
    <w:p>
      <w:pPr>
        <w:kinsoku w:val="0"/>
        <w:overflowPunct w:val="0"/>
        <w:adjustRightInd w:val="0"/>
        <w:spacing w:before="70" w:line="360" w:lineRule="auto"/>
        <w:ind w:left="-88" w:leftChars="-42" w:firstLine="480" w:firstLineChars="200"/>
        <w:contextualSpacing/>
        <w:rPr>
          <w:rFonts w:ascii="宋体" w:hAnsi="宋体"/>
          <w:color w:val="auto"/>
          <w:sz w:val="24"/>
          <w:highlight w:val="none"/>
        </w:rPr>
      </w:pPr>
      <w:r>
        <w:rPr>
          <w:rFonts w:hint="eastAsia" w:ascii="宋体" w:hAnsi="宋体"/>
          <w:color w:val="auto"/>
          <w:sz w:val="24"/>
          <w:highlight w:val="none"/>
        </w:rPr>
        <w:t>监理服务内容包括但不限于：上述工程全过程监理，包括建设工程施工阶段的四控、两管、一协调，即进度、质量、成本、安全与文明施工的控制，合同管理、信息管理，项目全面协调管理等。一期工程衔接和配合二期工程的相关工作，监理人无条件满足招标人要求的协调和跟办等工作。</w:t>
      </w:r>
    </w:p>
    <w:p>
      <w:pPr>
        <w:pStyle w:val="18"/>
        <w:spacing w:before="0" w:after="0" w:line="420" w:lineRule="exact"/>
        <w:ind w:firstLine="562" w:firstLineChars="200"/>
        <w:contextualSpacing/>
        <w:jc w:val="left"/>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三、监理工作目标</w:t>
      </w:r>
    </w:p>
    <w:p>
      <w:pPr>
        <w:tabs>
          <w:tab w:val="left" w:pos="861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（一）质量目标：质量一次验收合格，符合本招标文件所要求的设计规范、标准的要求和国家、地方行业有关标准。</w:t>
      </w:r>
    </w:p>
    <w:p>
      <w:pPr>
        <w:spacing w:line="420" w:lineRule="exact"/>
        <w:ind w:left="-88" w:leftChars="-42" w:firstLine="480" w:firstLineChars="200"/>
        <w:contextualSpacing/>
        <w:rPr>
          <w:rFonts w:ascii="宋体" w:hAnsi="宋体"/>
          <w:color w:val="auto"/>
          <w:sz w:val="24"/>
          <w:highlight w:val="none"/>
        </w:rPr>
      </w:pPr>
      <w:r>
        <w:rPr>
          <w:rFonts w:hint="eastAsia" w:ascii="宋体" w:hAnsi="宋体"/>
          <w:color w:val="auto"/>
          <w:sz w:val="24"/>
          <w:highlight w:val="none"/>
        </w:rPr>
        <w:t>（二）安全、文明施工控制目标：确保责任事故死亡率为零，工程无重大安全事故。</w:t>
      </w:r>
    </w:p>
    <w:p>
      <w:pPr>
        <w:spacing w:line="420" w:lineRule="exact"/>
        <w:ind w:left="-88" w:leftChars="-42" w:firstLine="480" w:firstLineChars="200"/>
        <w:contextualSpacing/>
        <w:rPr>
          <w:bCs/>
          <w:color w:val="auto"/>
          <w:sz w:val="24"/>
          <w:highlight w:val="none"/>
        </w:rPr>
      </w:pPr>
      <w:r>
        <w:rPr>
          <w:rFonts w:hint="eastAsia" w:ascii="宋体" w:hAnsi="宋体"/>
          <w:color w:val="auto"/>
          <w:sz w:val="24"/>
          <w:highlight w:val="none"/>
        </w:rPr>
        <w:t>（三）</w:t>
      </w:r>
      <w:r>
        <w:rPr>
          <w:rFonts w:hint="eastAsia"/>
          <w:bCs/>
          <w:color w:val="auto"/>
          <w:sz w:val="24"/>
          <w:highlight w:val="none"/>
        </w:rPr>
        <w:t>工程施工预计开工日期：开工时间以甲方通知为准；</w:t>
      </w:r>
    </w:p>
    <w:p>
      <w:pPr>
        <w:spacing w:line="420" w:lineRule="exact"/>
        <w:ind w:left="-88" w:leftChars="-42" w:firstLine="480" w:firstLineChars="200"/>
        <w:contextualSpacing/>
        <w:rPr>
          <w:color w:val="auto"/>
          <w:highlight w:val="none"/>
        </w:rPr>
      </w:pPr>
      <w:r>
        <w:rPr>
          <w:rFonts w:hint="eastAsia"/>
          <w:bCs/>
          <w:color w:val="auto"/>
          <w:sz w:val="24"/>
          <w:highlight w:val="none"/>
        </w:rPr>
        <w:t>施工阶段工期：不超过7</w:t>
      </w:r>
      <w:r>
        <w:rPr>
          <w:bCs/>
          <w:color w:val="auto"/>
          <w:sz w:val="24"/>
          <w:highlight w:val="none"/>
        </w:rPr>
        <w:t>31</w:t>
      </w:r>
      <w:r>
        <w:rPr>
          <w:rFonts w:hint="eastAsia"/>
          <w:bCs/>
          <w:color w:val="auto"/>
          <w:sz w:val="24"/>
          <w:highlight w:val="none"/>
        </w:rPr>
        <w:t>日历天（从下达开工令起至项目竣工验收止）。</w:t>
      </w:r>
    </w:p>
    <w:p>
      <w:pPr>
        <w:pStyle w:val="18"/>
        <w:spacing w:before="0" w:after="0" w:line="420" w:lineRule="exact"/>
        <w:ind w:firstLine="562" w:firstLineChars="200"/>
        <w:contextualSpacing/>
        <w:jc w:val="left"/>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四、监理服务期限</w:t>
      </w:r>
    </w:p>
    <w:p>
      <w:pPr>
        <w:spacing w:line="420" w:lineRule="exact"/>
        <w:ind w:left="-88" w:leftChars="-42" w:firstLine="480" w:firstLineChars="200"/>
        <w:contextualSpacing/>
        <w:rPr>
          <w:bCs/>
          <w:color w:val="auto"/>
          <w:sz w:val="24"/>
          <w:highlight w:val="none"/>
        </w:rPr>
      </w:pPr>
      <w:r>
        <w:rPr>
          <w:rFonts w:hint="eastAsia"/>
          <w:bCs/>
          <w:color w:val="auto"/>
          <w:sz w:val="24"/>
          <w:highlight w:val="none"/>
        </w:rPr>
        <w:t>（一）施工阶段监理服务期：监理服务期限中包含施工准备阶段，开始时间自签订监理合同之日起计算，至施工项目全部完工并办理竣工验收、竣工结算、竣工验收备案完成为止；</w:t>
      </w:r>
    </w:p>
    <w:p>
      <w:pPr>
        <w:spacing w:line="420" w:lineRule="exact"/>
        <w:ind w:left="-88" w:leftChars="-42" w:firstLine="480" w:firstLineChars="200"/>
        <w:contextualSpacing/>
        <w:rPr>
          <w:color w:val="auto"/>
          <w:highlight w:val="none"/>
        </w:rPr>
      </w:pPr>
      <w:r>
        <w:rPr>
          <w:rFonts w:hint="eastAsia"/>
          <w:bCs/>
          <w:color w:val="auto"/>
          <w:sz w:val="24"/>
          <w:highlight w:val="none"/>
        </w:rPr>
        <w:t>（二）保修阶段监理服务期：从工程竣工验收备案完成之日起，至工程缺陷期任务期届满为止；</w:t>
      </w:r>
    </w:p>
    <w:p>
      <w:pPr>
        <w:pStyle w:val="18"/>
        <w:spacing w:before="0" w:after="0" w:line="420" w:lineRule="exact"/>
        <w:ind w:firstLine="562" w:firstLineChars="200"/>
        <w:contextualSpacing/>
        <w:jc w:val="left"/>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五、监理组织架构及人员配备要求</w:t>
      </w:r>
    </w:p>
    <w:p>
      <w:pPr>
        <w:spacing w:line="420" w:lineRule="exact"/>
        <w:ind w:left="-88" w:leftChars="-42" w:firstLine="480" w:firstLineChars="200"/>
        <w:contextualSpacing/>
        <w:jc w:val="left"/>
        <w:rPr>
          <w:bCs/>
          <w:color w:val="auto"/>
          <w:sz w:val="24"/>
          <w:highlight w:val="none"/>
        </w:rPr>
      </w:pPr>
      <w:r>
        <w:rPr>
          <w:rFonts w:hint="eastAsia"/>
          <w:bCs/>
          <w:color w:val="auto"/>
          <w:sz w:val="24"/>
          <w:highlight w:val="none"/>
        </w:rPr>
        <w:t>（一）监理组织架构</w:t>
      </w:r>
    </w:p>
    <w:p>
      <w:pPr>
        <w:autoSpaceDE w:val="0"/>
        <w:autoSpaceDN w:val="0"/>
        <w:adjustRightInd w:val="0"/>
        <w:spacing w:line="360" w:lineRule="auto"/>
        <w:ind w:firstLine="480" w:firstLineChars="200"/>
        <w:rPr>
          <w:color w:val="auto"/>
          <w:sz w:val="24"/>
          <w:highlight w:val="none"/>
          <w:lang w:val="zh-CN"/>
        </w:rPr>
      </w:pPr>
      <w:r>
        <w:rPr>
          <w:rFonts w:hint="eastAsia"/>
          <w:color w:val="auto"/>
          <w:sz w:val="24"/>
          <w:highlight w:val="none"/>
        </w:rPr>
        <w:t>在项目管理过程，为使项目建设的组织协调、进度、质量、安全、合同、成本、材料、设备、试运行、工程保修等各个方面的管理工作规范化，本项目要求实行专业化的管理模式，</w:t>
      </w:r>
      <w:r>
        <w:rPr>
          <w:rFonts w:hint="eastAsia"/>
          <w:color w:val="auto"/>
          <w:sz w:val="24"/>
          <w:highlight w:val="none"/>
          <w:lang w:val="zh-CN"/>
        </w:rPr>
        <w:t>监理单位必须按照招标人所制订管理模式的要求组建监理机构，采取公司负责制，用一切有效的措施高标准配置并充分调动公司资源，制定有效激励措施充分调动监理人员的工作积极性，使之全力以赴投入到本项目中，严禁监理单位采用项目分包或经济承包的经营管理模式。</w:t>
      </w:r>
      <w:r>
        <w:rPr>
          <w:rFonts w:hint="eastAsia"/>
          <w:color w:val="auto"/>
          <w:sz w:val="24"/>
          <w:highlight w:val="none"/>
        </w:rPr>
        <w:t>监理组织架构遵循如下原则建立项目组织机构：</w:t>
      </w:r>
    </w:p>
    <w:p>
      <w:pPr>
        <w:spacing w:line="420" w:lineRule="exact"/>
        <w:ind w:left="-88" w:leftChars="-42" w:firstLine="480" w:firstLineChars="200"/>
        <w:contextualSpacing/>
        <w:jc w:val="left"/>
        <w:rPr>
          <w:color w:val="auto"/>
          <w:sz w:val="24"/>
          <w:highlight w:val="none"/>
        </w:rPr>
      </w:pPr>
      <w:r>
        <w:rPr>
          <w:color w:val="auto"/>
          <w:sz w:val="24"/>
          <w:highlight w:val="none"/>
        </w:rPr>
        <w:t>1</w:t>
      </w:r>
      <w:r>
        <w:rPr>
          <w:rFonts w:hint="eastAsia"/>
          <w:color w:val="auto"/>
          <w:sz w:val="24"/>
          <w:highlight w:val="none"/>
        </w:rPr>
        <w:t>、职能明确，可以为项目提供相互协同的全方位服务；</w:t>
      </w:r>
    </w:p>
    <w:p>
      <w:pPr>
        <w:spacing w:line="420" w:lineRule="exact"/>
        <w:ind w:left="-88" w:leftChars="-42" w:firstLine="480" w:firstLineChars="200"/>
        <w:contextualSpacing/>
        <w:jc w:val="left"/>
        <w:rPr>
          <w:color w:val="auto"/>
          <w:sz w:val="24"/>
          <w:highlight w:val="none"/>
        </w:rPr>
      </w:pPr>
      <w:r>
        <w:rPr>
          <w:color w:val="auto"/>
          <w:sz w:val="24"/>
          <w:highlight w:val="none"/>
        </w:rPr>
        <w:t>2</w:t>
      </w:r>
      <w:r>
        <w:rPr>
          <w:rFonts w:hint="eastAsia"/>
          <w:color w:val="auto"/>
          <w:sz w:val="24"/>
          <w:highlight w:val="none"/>
        </w:rPr>
        <w:t>、组织架构科学、合理，与所须履行的职能相适应；</w:t>
      </w:r>
    </w:p>
    <w:p>
      <w:pPr>
        <w:spacing w:line="420" w:lineRule="exact"/>
        <w:ind w:left="-88" w:leftChars="-42" w:firstLine="480" w:firstLineChars="200"/>
        <w:contextualSpacing/>
        <w:jc w:val="left"/>
        <w:rPr>
          <w:color w:val="auto"/>
          <w:sz w:val="24"/>
          <w:highlight w:val="none"/>
        </w:rPr>
      </w:pPr>
      <w:r>
        <w:rPr>
          <w:color w:val="auto"/>
          <w:sz w:val="24"/>
          <w:highlight w:val="none"/>
        </w:rPr>
        <w:t>3</w:t>
      </w:r>
      <w:r>
        <w:rPr>
          <w:rFonts w:hint="eastAsia"/>
          <w:color w:val="auto"/>
          <w:sz w:val="24"/>
          <w:highlight w:val="none"/>
        </w:rPr>
        <w:t>、监理人员必须具有相应的从业资格并经遴选任用，能够有效履行相应的职责；以使监理人员满足工程需要。</w:t>
      </w:r>
    </w:p>
    <w:p>
      <w:pPr>
        <w:spacing w:line="420" w:lineRule="exact"/>
        <w:ind w:left="-88" w:leftChars="-42" w:firstLine="480" w:firstLineChars="200"/>
        <w:contextualSpacing/>
        <w:jc w:val="left"/>
        <w:rPr>
          <w:color w:val="auto"/>
          <w:sz w:val="24"/>
          <w:highlight w:val="none"/>
        </w:rPr>
      </w:pPr>
      <w:r>
        <w:rPr>
          <w:color w:val="auto"/>
          <w:sz w:val="24"/>
          <w:highlight w:val="none"/>
        </w:rPr>
        <w:t>4</w:t>
      </w:r>
      <w:r>
        <w:rPr>
          <w:rFonts w:hint="eastAsia"/>
          <w:color w:val="auto"/>
          <w:sz w:val="24"/>
          <w:highlight w:val="none"/>
        </w:rPr>
        <w:t>、组织机构应得到派出组织授予的与其职能需要相适应的权力；</w:t>
      </w:r>
    </w:p>
    <w:p>
      <w:pPr>
        <w:spacing w:line="420" w:lineRule="exact"/>
        <w:ind w:left="-88" w:leftChars="-42" w:firstLine="480" w:firstLineChars="200"/>
        <w:contextualSpacing/>
        <w:jc w:val="left"/>
        <w:rPr>
          <w:color w:val="auto"/>
          <w:sz w:val="24"/>
          <w:highlight w:val="none"/>
        </w:rPr>
      </w:pPr>
      <w:r>
        <w:rPr>
          <w:color w:val="auto"/>
          <w:sz w:val="24"/>
          <w:highlight w:val="none"/>
        </w:rPr>
        <w:t>5</w:t>
      </w:r>
      <w:r>
        <w:rPr>
          <w:rFonts w:hint="eastAsia"/>
          <w:color w:val="auto"/>
          <w:sz w:val="24"/>
          <w:highlight w:val="none"/>
        </w:rPr>
        <w:t>、组织机构应有明确的管理目标；所有工作人员应有明确的责任；</w:t>
      </w:r>
    </w:p>
    <w:p>
      <w:pPr>
        <w:spacing w:line="420" w:lineRule="exact"/>
        <w:ind w:left="-88" w:leftChars="-42" w:firstLine="480" w:firstLineChars="200"/>
        <w:contextualSpacing/>
        <w:jc w:val="left"/>
        <w:rPr>
          <w:color w:val="auto"/>
          <w:sz w:val="24"/>
          <w:highlight w:val="none"/>
        </w:rPr>
      </w:pPr>
      <w:r>
        <w:rPr>
          <w:color w:val="auto"/>
          <w:sz w:val="24"/>
          <w:highlight w:val="none"/>
        </w:rPr>
        <w:t>6</w:t>
      </w:r>
      <w:r>
        <w:rPr>
          <w:rFonts w:hint="eastAsia"/>
          <w:color w:val="auto"/>
          <w:sz w:val="24"/>
          <w:highlight w:val="none"/>
        </w:rPr>
        <w:t>、在项目的不同阶段，组织机构应保持相对稳定，并根据实际需要作相应调整。监理组织架构如下：</w:t>
      </w:r>
    </w:p>
    <w:p>
      <w:pPr>
        <w:pStyle w:val="2"/>
        <w:rPr>
          <w:color w:val="auto"/>
          <w:highlight w:val="none"/>
        </w:rPr>
      </w:pPr>
    </w:p>
    <w:p>
      <w:pPr>
        <w:spacing w:line="420" w:lineRule="exact"/>
        <w:ind w:left="-88" w:leftChars="-42" w:firstLine="480" w:firstLineChars="200"/>
        <w:contextualSpacing/>
        <w:jc w:val="left"/>
        <w:rPr>
          <w:color w:val="auto"/>
          <w:sz w:val="24"/>
          <w:highlight w:val="none"/>
        </w:rPr>
      </w:pPr>
      <w:r>
        <w:rPr>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2029460</wp:posOffset>
                </wp:positionH>
                <wp:positionV relativeFrom="paragraph">
                  <wp:posOffset>26035</wp:posOffset>
                </wp:positionV>
                <wp:extent cx="1113155" cy="28638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113155" cy="2863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sz w:val="24"/>
                              </w:rPr>
                            </w:pPr>
                            <w:r>
                              <w:rPr>
                                <w:rFonts w:hint="eastAsia"/>
                                <w:color w:val="000000"/>
                                <w:sz w:val="24"/>
                              </w:rPr>
                              <w:t>总监理工程师</w:t>
                            </w:r>
                          </w:p>
                        </w:txbxContent>
                      </wps:txbx>
                      <wps:bodyPr upright="1"/>
                    </wps:wsp>
                  </a:graphicData>
                </a:graphic>
              </wp:anchor>
            </w:drawing>
          </mc:Choice>
          <mc:Fallback>
            <w:pict>
              <v:shape id="_x0000_s1026" o:spid="_x0000_s1026" o:spt="202" type="#_x0000_t202" style="position:absolute;left:0pt;margin-left:159.8pt;margin-top:2.05pt;height:22.55pt;width:87.65pt;z-index:251659264;mso-width-relative:page;mso-height-relative:page;" fillcolor="#FFFFFF" filled="t" stroked="t" coordsize="21600,21600" o:gfxdata="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Sc+l3YAAAACAEAAA8AAAAAAAAAAQAgAAAA&#10;IgAAAGRycy9kb3ducmV2LnhtbFBLAQIUABQAAAAIAIdO4kCUFmACCwIAADgEAAAOAAAAAAAAAAEA&#10;IAAAACcBAABkcnMvZTJvRG9jLnhtbFBLBQYAAAAABgAGAFkBAACkBQAAAAA=&#10;">
                <v:fill on="t" focussize="0,0"/>
                <v:stroke color="#000000" joinstyle="miter"/>
                <v:imagedata o:title=""/>
                <o:lock v:ext="edit" aspectratio="f"/>
                <v:textbox>
                  <w:txbxContent>
                    <w:p>
                      <w:pPr>
                        <w:rPr>
                          <w:color w:val="000000"/>
                          <w:sz w:val="24"/>
                        </w:rPr>
                      </w:pPr>
                      <w:r>
                        <w:rPr>
                          <w:rFonts w:hint="eastAsia"/>
                          <w:color w:val="000000"/>
                          <w:sz w:val="24"/>
                        </w:rPr>
                        <w:t>总监理工程师</w:t>
                      </w:r>
                    </w:p>
                  </w:txbxContent>
                </v:textbox>
              </v:shape>
            </w:pict>
          </mc:Fallback>
        </mc:AlternateContent>
      </w:r>
    </w:p>
    <w:p>
      <w:pPr>
        <w:spacing w:line="420" w:lineRule="exact"/>
        <w:ind w:left="-88" w:leftChars="-42" w:firstLine="480" w:firstLineChars="200"/>
        <w:contextualSpacing/>
        <w:jc w:val="left"/>
        <w:rPr>
          <w:color w:val="auto"/>
          <w:sz w:val="24"/>
          <w:highlight w:val="none"/>
        </w:rPr>
      </w:pPr>
      <w:r>
        <w:rPr>
          <w:color w:val="auto"/>
          <w:sz w:val="24"/>
          <w:highlight w:val="none"/>
        </w:rPr>
        <mc:AlternateContent>
          <mc:Choice Requires="wps">
            <w:drawing>
              <wp:anchor distT="0" distB="0" distL="113665" distR="113665" simplePos="0" relativeHeight="251669504" behindDoc="0" locked="0" layoutInCell="1" allowOverlap="1">
                <wp:simplePos x="0" y="0"/>
                <wp:positionH relativeFrom="column">
                  <wp:posOffset>2601595</wp:posOffset>
                </wp:positionH>
                <wp:positionV relativeFrom="paragraph">
                  <wp:posOffset>45720</wp:posOffset>
                </wp:positionV>
                <wp:extent cx="0" cy="604520"/>
                <wp:effectExtent l="0" t="0" r="19050" b="5080"/>
                <wp:wrapNone/>
                <wp:docPr id="12" name="直接箭头连接符 12"/>
                <wp:cNvGraphicFramePr/>
                <a:graphic xmlns:a="http://schemas.openxmlformats.org/drawingml/2006/main">
                  <a:graphicData uri="http://schemas.microsoft.com/office/word/2010/wordprocessingShape">
                    <wps:wsp>
                      <wps:cNvCnPr/>
                      <wps:spPr>
                        <a:xfrm>
                          <a:off x="0" y="0"/>
                          <a:ext cx="0" cy="6045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04.85pt;margin-top:3.6pt;height:47.6pt;width:0pt;z-index:251669504;mso-width-relative:page;mso-height-relative:page;" filled="f" stroked="t" coordsize="21600,21600" o:gfxdata="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lfOK7dYAAAAJAQAADwAAAAAAAAABACAAAAAiAAAAZHJzL2Rvd25yZXYu&#10;eG1sUEsBAhQAFAAAAAgAh07iQLUGC+n9AQAA7QMAAA4AAAAAAAAAAQAgAAAAJQEAAGRycy9lMm9E&#10;b2MueG1sUEsFBgAAAAAGAAYAWQEAAJQFAAAAAA==&#10;">
                <v:fill on="f" focussize="0,0"/>
                <v:stroke color="#000000" joinstyle="round"/>
                <v:imagedata o:title=""/>
                <o:lock v:ext="edit" aspectratio="f"/>
              </v:shape>
            </w:pict>
          </mc:Fallback>
        </mc:AlternateContent>
      </w:r>
    </w:p>
    <w:p>
      <w:pPr>
        <w:spacing w:line="420" w:lineRule="exact"/>
        <w:ind w:left="-88" w:leftChars="-42" w:firstLine="480" w:firstLineChars="200"/>
        <w:contextualSpacing/>
        <w:jc w:val="left"/>
        <w:rPr>
          <w:color w:val="auto"/>
          <w:sz w:val="24"/>
          <w:highlight w:val="none"/>
        </w:rPr>
      </w:pPr>
    </w:p>
    <w:p>
      <w:pPr>
        <w:spacing w:line="420" w:lineRule="exact"/>
        <w:ind w:left="-88" w:leftChars="-42" w:firstLine="480" w:firstLineChars="200"/>
        <w:contextualSpacing/>
        <w:jc w:val="left"/>
        <w:rPr>
          <w:color w:val="auto"/>
          <w:sz w:val="24"/>
          <w:highlight w:val="none"/>
        </w:rPr>
      </w:pPr>
      <w:r>
        <w:rPr>
          <w:color w:val="auto"/>
          <w:sz w:val="24"/>
          <w:highlight w:val="none"/>
        </w:rPr>
        <mc:AlternateContent>
          <mc:Choice Requires="wps">
            <w:drawing>
              <wp:anchor distT="0" distB="0" distL="113665" distR="113665" simplePos="0" relativeHeight="251672576" behindDoc="0" locked="0" layoutInCell="1" allowOverlap="1">
                <wp:simplePos x="0" y="0"/>
                <wp:positionH relativeFrom="column">
                  <wp:posOffset>2094230</wp:posOffset>
                </wp:positionH>
                <wp:positionV relativeFrom="paragraph">
                  <wp:posOffset>92075</wp:posOffset>
                </wp:positionV>
                <wp:extent cx="0" cy="516890"/>
                <wp:effectExtent l="76200" t="0" r="38100" b="35560"/>
                <wp:wrapNone/>
                <wp:docPr id="15" name="直接箭头连接符 15"/>
                <wp:cNvGraphicFramePr/>
                <a:graphic xmlns:a="http://schemas.openxmlformats.org/drawingml/2006/main">
                  <a:graphicData uri="http://schemas.microsoft.com/office/word/2010/wordprocessingShape">
                    <wps:wsp>
                      <wps:cNvCnPr/>
                      <wps:spPr>
                        <a:xfrm>
                          <a:off x="0" y="0"/>
                          <a:ext cx="0" cy="516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64.9pt;margin-top:7.25pt;height:40.7pt;width:0pt;z-index:251672576;mso-width-relative:page;mso-height-relative:page;" filled="f" stroked="t" coordsize="21600,21600" o:gfxdata="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&#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mCzwtgAAAAJAQAADwAAAAAAAAABACAAAAAiAAAAZHJz&#10;L2Rvd25yZXYueG1sUEsBAhQAFAAAAAgAh07iQG8vsysEAgAA8QMAAA4AAAAAAAAAAQAgAAAAJwEA&#10;AGRycy9lMm9Eb2MueG1sUEsFBgAAAAAGAAYAWQEAAJ0FAAAAAA==&#10;">
                <v:fill on="f" focussize="0,0"/>
                <v:stroke color="#000000" joinstyle="round" endarrow="block"/>
                <v:imagedata o:title=""/>
                <o:lock v:ext="edit" aspectratio="f"/>
              </v:shape>
            </w:pict>
          </mc:Fallback>
        </mc:AlternateContent>
      </w:r>
      <w:r>
        <w:rPr>
          <w:color w:val="auto"/>
          <w:sz w:val="24"/>
          <w:highlight w:val="none"/>
        </w:rPr>
        <mc:AlternateContent>
          <mc:Choice Requires="wps">
            <w:drawing>
              <wp:anchor distT="0" distB="0" distL="113665" distR="113665" simplePos="0" relativeHeight="251663360" behindDoc="0" locked="0" layoutInCell="1" allowOverlap="1">
                <wp:simplePos x="0" y="0"/>
                <wp:positionH relativeFrom="column">
                  <wp:posOffset>3285490</wp:posOffset>
                </wp:positionH>
                <wp:positionV relativeFrom="paragraph">
                  <wp:posOffset>92075</wp:posOffset>
                </wp:positionV>
                <wp:extent cx="0" cy="516890"/>
                <wp:effectExtent l="76200" t="0" r="38100" b="35560"/>
                <wp:wrapNone/>
                <wp:docPr id="1" name="直接箭头连接符 1"/>
                <wp:cNvGraphicFramePr/>
                <a:graphic xmlns:a="http://schemas.openxmlformats.org/drawingml/2006/main">
                  <a:graphicData uri="http://schemas.microsoft.com/office/word/2010/wordprocessingShape">
                    <wps:wsp>
                      <wps:cNvCnPr/>
                      <wps:spPr>
                        <a:xfrm>
                          <a:off x="0" y="0"/>
                          <a:ext cx="0" cy="516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58.7pt;margin-top:7.25pt;height:40.7pt;width:0pt;z-index:251663360;mso-width-relative:page;mso-height-relative:page;" filled="f" stroked="t" coordsize="21600,21600" o:gfxdata="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5A/Qo2AAAAAkBAAAPAAAAAAAAAAEAIAAAACIAAABkcnMv&#10;ZG93bnJldi54bWxQSwECFAAUAAAACACHTuJAGGcugAMCAADvAwAADgAAAAAAAAABACAAAAAnAQAA&#10;ZHJzL2Uyb0RvYy54bWxQSwUGAAAAAAYABgBZAQAAnAUAAAAA&#10;">
                <v:fill on="f" focussize="0,0"/>
                <v:stroke color="#000000" joinstyle="round" endarrow="block"/>
                <v:imagedata o:title=""/>
                <o:lock v:ext="edit" aspectratio="f"/>
              </v:shape>
            </w:pict>
          </mc:Fallback>
        </mc:AlternateContent>
      </w:r>
      <w:r>
        <w:rPr>
          <w:color w:val="auto"/>
          <w:sz w:val="24"/>
          <w:highlight w:val="none"/>
        </w:rPr>
        <mc:AlternateContent>
          <mc:Choice Requires="wps">
            <w:drawing>
              <wp:anchor distT="0" distB="0" distL="113665" distR="113665" simplePos="0" relativeHeight="251662336" behindDoc="0" locked="0" layoutInCell="1" allowOverlap="1">
                <wp:simplePos x="0" y="0"/>
                <wp:positionH relativeFrom="column">
                  <wp:posOffset>1168400</wp:posOffset>
                </wp:positionH>
                <wp:positionV relativeFrom="paragraph">
                  <wp:posOffset>104775</wp:posOffset>
                </wp:positionV>
                <wp:extent cx="0" cy="516890"/>
                <wp:effectExtent l="76200" t="0" r="38100" b="35560"/>
                <wp:wrapNone/>
                <wp:docPr id="8" name="直接箭头连接符 8"/>
                <wp:cNvGraphicFramePr/>
                <a:graphic xmlns:a="http://schemas.openxmlformats.org/drawingml/2006/main">
                  <a:graphicData uri="http://schemas.microsoft.com/office/word/2010/wordprocessingShape">
                    <wps:wsp>
                      <wps:cNvCnPr/>
                      <wps:spPr>
                        <a:xfrm>
                          <a:off x="0" y="0"/>
                          <a:ext cx="0" cy="516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92pt;margin-top:8.25pt;height:40.7pt;width:0pt;z-index:251662336;mso-width-relative:page;mso-height-relative:page;" filled="f" stroked="t" coordsize="21600,21600" o:gfxdata="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XvW52AAAAAkBAAAPAAAAAAAAAAEAIAAAACIAAABkcnMv&#10;ZG93bnJldi54bWxQSwECFAAUAAAACACHTuJAo9+8qQMCAADvAwAADgAAAAAAAAABACAAAAAnAQAA&#10;ZHJzL2Uyb0RvYy54bWxQSwUGAAAAAAYABgBZAQAAnAUAAAAA&#10;">
                <v:fill on="f" focussize="0,0"/>
                <v:stroke color="#000000" joinstyle="round" endarrow="block"/>
                <v:imagedata o:title=""/>
                <o:lock v:ext="edit" aspectratio="f"/>
              </v:shape>
            </w:pict>
          </mc:Fallback>
        </mc:AlternateContent>
      </w:r>
      <w:r>
        <w:rPr>
          <w:color w:val="auto"/>
          <w:sz w:val="24"/>
          <w:highlight w:val="none"/>
        </w:rPr>
        <mc:AlternateContent>
          <mc:Choice Requires="wps">
            <w:drawing>
              <wp:anchor distT="0" distB="0" distL="113665" distR="113665" simplePos="0" relativeHeight="251673600" behindDoc="0" locked="0" layoutInCell="1" allowOverlap="1">
                <wp:simplePos x="0" y="0"/>
                <wp:positionH relativeFrom="column">
                  <wp:posOffset>4109085</wp:posOffset>
                </wp:positionH>
                <wp:positionV relativeFrom="paragraph">
                  <wp:posOffset>104140</wp:posOffset>
                </wp:positionV>
                <wp:extent cx="0" cy="516890"/>
                <wp:effectExtent l="76200" t="0" r="38100" b="35560"/>
                <wp:wrapNone/>
                <wp:docPr id="9" name="直接箭头连接符 9"/>
                <wp:cNvGraphicFramePr/>
                <a:graphic xmlns:a="http://schemas.openxmlformats.org/drawingml/2006/main">
                  <a:graphicData uri="http://schemas.microsoft.com/office/word/2010/wordprocessingShape">
                    <wps:wsp>
                      <wps:cNvCnPr/>
                      <wps:spPr>
                        <a:xfrm>
                          <a:off x="0" y="0"/>
                          <a:ext cx="0" cy="516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23.55pt;margin-top:8.2pt;height:40.7pt;width:0pt;z-index:251673600;mso-width-relative:page;mso-height-relative:page;" filled="f" stroked="t" coordsize="21600,21600" o:gfxdata="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10KFn2AAAAAkBAAAPAAAAAAAAAAEAIAAAACIAAABkcnMv&#10;ZG93bnJldi54bWxQSwECFAAUAAAACACHTuJAAMo+rAMCAADvAwAADgAAAAAAAAABACAAAAAnAQAA&#10;ZHJzL2Uyb0RvYy54bWxQSwUGAAAAAAYABgBZAQAAnAUAAAAA&#10;">
                <v:fill on="f" focussize="0,0"/>
                <v:stroke color="#000000" joinstyle="round" endarrow="block"/>
                <v:imagedata o:title=""/>
                <o:lock v:ext="edit" aspectratio="f"/>
              </v:shape>
            </w:pict>
          </mc:Fallback>
        </mc:AlternateContent>
      </w:r>
      <w:r>
        <w:rPr>
          <w:color w:val="auto"/>
          <w:sz w:val="24"/>
          <w:highlight w:val="none"/>
        </w:rPr>
        <mc:AlternateContent>
          <mc:Choice Requires="wps">
            <w:drawing>
              <wp:anchor distT="0" distB="0" distL="113665" distR="113665" simplePos="0" relativeHeight="251664384" behindDoc="0" locked="0" layoutInCell="1" allowOverlap="1">
                <wp:simplePos x="0" y="0"/>
                <wp:positionH relativeFrom="column">
                  <wp:posOffset>4918075</wp:posOffset>
                </wp:positionH>
                <wp:positionV relativeFrom="paragraph">
                  <wp:posOffset>104140</wp:posOffset>
                </wp:positionV>
                <wp:extent cx="0" cy="516890"/>
                <wp:effectExtent l="76200" t="0" r="38100" b="35560"/>
                <wp:wrapNone/>
                <wp:docPr id="2" name="直接箭头连接符 2"/>
                <wp:cNvGraphicFramePr/>
                <a:graphic xmlns:a="http://schemas.openxmlformats.org/drawingml/2006/main">
                  <a:graphicData uri="http://schemas.microsoft.com/office/word/2010/wordprocessingShape">
                    <wps:wsp>
                      <wps:cNvCnPr/>
                      <wps:spPr>
                        <a:xfrm>
                          <a:off x="0" y="0"/>
                          <a:ext cx="0" cy="516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87.25pt;margin-top:8.2pt;height:40.7pt;width:0pt;z-index:251664384;mso-width-relative:page;mso-height-relative:page;" filled="f" stroked="t" coordsize="21600,21600" o:gfxdata="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B7j2AAAAAkBAAAPAAAAAAAAAAEAIAAAACIAAABkcnMv&#10;ZG93bnJldi54bWxQSwECFAAUAAAACACHTuJA/VmojgMCAADvAwAADgAAAAAAAAABACAAAAAnAQAA&#10;ZHJzL2Uyb0RvYy54bWxQSwUGAAAAAAYABgBZAQAAnAUAAAAA&#10;">
                <v:fill on="f" focussize="0,0"/>
                <v:stroke color="#000000" joinstyle="round" endarrow="block"/>
                <v:imagedata o:title=""/>
                <o:lock v:ext="edit" aspectratio="f"/>
              </v:shape>
            </w:pict>
          </mc:Fallback>
        </mc:AlternateContent>
      </w:r>
      <w:r>
        <w:rPr>
          <w:color w:val="auto"/>
          <w:sz w:val="24"/>
          <w:highlight w:val="none"/>
        </w:rPr>
        <mc:AlternateContent>
          <mc:Choice Requires="wps">
            <w:drawing>
              <wp:anchor distT="0" distB="0" distL="113665" distR="113665" simplePos="0" relativeHeight="251661312" behindDoc="0" locked="0" layoutInCell="1" allowOverlap="1">
                <wp:simplePos x="0" y="0"/>
                <wp:positionH relativeFrom="column">
                  <wp:posOffset>382905</wp:posOffset>
                </wp:positionH>
                <wp:positionV relativeFrom="paragraph">
                  <wp:posOffset>100965</wp:posOffset>
                </wp:positionV>
                <wp:extent cx="0" cy="516890"/>
                <wp:effectExtent l="76200" t="0" r="38100" b="35560"/>
                <wp:wrapNone/>
                <wp:docPr id="3" name="直接箭头连接符 3"/>
                <wp:cNvGraphicFramePr/>
                <a:graphic xmlns:a="http://schemas.openxmlformats.org/drawingml/2006/main">
                  <a:graphicData uri="http://schemas.microsoft.com/office/word/2010/wordprocessingShape">
                    <wps:wsp>
                      <wps:cNvCnPr/>
                      <wps:spPr>
                        <a:xfrm>
                          <a:off x="0" y="0"/>
                          <a:ext cx="0" cy="5168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0.15pt;margin-top:7.95pt;height:40.7pt;width:0pt;z-index:251661312;mso-width-relative:page;mso-height-relative:page;" filled="f" stroked="t" coordsize="21600,21600" o:gfxdata="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lQA6ztUAAAAHAQAADwAAAAAAAAABACAAAAAiAAAAZHJzL2Rv&#10;d25yZXYueG1sUEsBAhQAFAAAAAgAh07iQF5MKosEAgAA7wMAAA4AAAAAAAAAAQAgAAAAJAEAAGRy&#10;cy9lMm9Eb2MueG1sUEsFBgAAAAAGAAYAWQEAAJoFAAAAAA==&#10;">
                <v:fill on="f" focussize="0,0"/>
                <v:stroke color="#000000" joinstyle="round" endarrow="block"/>
                <v:imagedata o:title=""/>
                <o:lock v:ext="edit" aspectratio="f"/>
              </v:shape>
            </w:pict>
          </mc:Fallback>
        </mc:AlternateContent>
      </w: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383540</wp:posOffset>
                </wp:positionH>
                <wp:positionV relativeFrom="paragraph">
                  <wp:posOffset>100330</wp:posOffset>
                </wp:positionV>
                <wp:extent cx="4540250" cy="0"/>
                <wp:effectExtent l="0" t="0" r="0" b="0"/>
                <wp:wrapNone/>
                <wp:docPr id="4" name="直接箭头连接符 4"/>
                <wp:cNvGraphicFramePr/>
                <a:graphic xmlns:a="http://schemas.openxmlformats.org/drawingml/2006/main">
                  <a:graphicData uri="http://schemas.microsoft.com/office/word/2010/wordprocessingShape">
                    <wps:wsp>
                      <wps:cNvCnPr/>
                      <wps:spPr>
                        <a:xfrm>
                          <a:off x="0" y="0"/>
                          <a:ext cx="45402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0.2pt;margin-top:7.9pt;height:0pt;width:357.5pt;z-index:251660288;mso-width-relative:page;mso-height-relative:page;" filled="f" stroked="t" coordsize="21600,21600" o:gfxdata="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69LTrVAAAACAEAAA8AAAAAAAAAAQAgAAAAIgAAAGRycy9kb3ducmV2Lnht&#10;bFBLAQIUABQAAAAIAIdO4kBaThUE/AEAAOwDAAAOAAAAAAAAAAEAIAAAACQBAABkcnMvZTJvRG9j&#10;LnhtbFBLBQYAAAAABgAGAFkBAACSBQAAAAA=&#10;">
                <v:fill on="f" focussize="0,0"/>
                <v:stroke color="#000000" joinstyle="round"/>
                <v:imagedata o:title=""/>
                <o:lock v:ext="edit" aspectratio="f"/>
              </v:shape>
            </w:pict>
          </mc:Fallback>
        </mc:AlternateContent>
      </w:r>
    </w:p>
    <w:p>
      <w:pPr>
        <w:spacing w:line="420" w:lineRule="exact"/>
        <w:ind w:left="-88" w:leftChars="-42" w:firstLine="480" w:firstLineChars="200"/>
        <w:contextualSpacing/>
        <w:jc w:val="left"/>
        <w:rPr>
          <w:color w:val="auto"/>
          <w:sz w:val="24"/>
          <w:highlight w:val="none"/>
        </w:rPr>
      </w:pPr>
    </w:p>
    <w:p>
      <w:pPr>
        <w:spacing w:line="420" w:lineRule="exact"/>
        <w:ind w:left="-88" w:leftChars="-42" w:firstLine="480" w:firstLineChars="200"/>
        <w:contextualSpacing/>
        <w:jc w:val="left"/>
        <w:rPr>
          <w:color w:val="auto"/>
          <w:sz w:val="24"/>
          <w:highlight w:val="none"/>
        </w:rPr>
      </w:pPr>
      <w:r>
        <w:rPr>
          <w:color w:val="auto"/>
          <w:sz w:val="24"/>
          <w:highlight w:val="none"/>
        </w:rPr>
        <mc:AlternateContent>
          <mc:Choice Requires="wps">
            <w:drawing>
              <wp:anchor distT="0" distB="0" distL="114300" distR="114300" simplePos="0" relativeHeight="251667456" behindDoc="0" locked="0" layoutInCell="1" allowOverlap="1">
                <wp:simplePos x="0" y="0"/>
                <wp:positionH relativeFrom="column">
                  <wp:posOffset>1896110</wp:posOffset>
                </wp:positionH>
                <wp:positionV relativeFrom="paragraph">
                  <wp:posOffset>83820</wp:posOffset>
                </wp:positionV>
                <wp:extent cx="365760" cy="145161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65760" cy="1451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sz w:val="24"/>
                              </w:rPr>
                            </w:pPr>
                            <w:r>
                              <w:rPr>
                                <w:rFonts w:hint="eastAsia"/>
                                <w:color w:val="000000"/>
                                <w:sz w:val="24"/>
                              </w:rPr>
                              <w:t>装修监理工程师</w:t>
                            </w:r>
                          </w:p>
                        </w:txbxContent>
                      </wps:txbx>
                      <wps:bodyPr upright="1"/>
                    </wps:wsp>
                  </a:graphicData>
                </a:graphic>
              </wp:anchor>
            </w:drawing>
          </mc:Choice>
          <mc:Fallback>
            <w:pict>
              <v:shape id="_x0000_s1026" o:spid="_x0000_s1026" o:spt="202" type="#_x0000_t202" style="position:absolute;left:0pt;margin-left:149.3pt;margin-top:6.6pt;height:114.3pt;width:28.8pt;z-index:251667456;mso-width-relative:page;mso-height-relative:page;" fillcolor="#FFFFFF" filled="t" stroked="t" coordsize="21600,21600" o:gfxdata="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SpD2tgAAAAKAQAADwAAAAAAAAABACAA&#10;AAAiAAAAZHJzL2Rvd25yZXYueG1sUEsBAhQAFAAAAAgAh07iQAJtZIMNAgAAOAQAAA4AAAAAAAAA&#10;AQAgAAAAJwEAAGRycy9lMm9Eb2MueG1sUEsFBgAAAAAGAAYAWQEAAKYFAAAAAA==&#10;">
                <v:fill on="t" focussize="0,0"/>
                <v:stroke color="#000000" joinstyle="miter"/>
                <v:imagedata o:title=""/>
                <o:lock v:ext="edit" aspectratio="f"/>
                <v:textbox>
                  <w:txbxContent>
                    <w:p>
                      <w:pPr>
                        <w:rPr>
                          <w:color w:val="000000"/>
                          <w:sz w:val="24"/>
                        </w:rPr>
                      </w:pPr>
                      <w:r>
                        <w:rPr>
                          <w:rFonts w:hint="eastAsia"/>
                          <w:color w:val="000000"/>
                          <w:sz w:val="24"/>
                        </w:rPr>
                        <w:t>装修监理工程师</w:t>
                      </w:r>
                    </w:p>
                  </w:txbxContent>
                </v:textbox>
              </v:shape>
            </w:pict>
          </mc:Fallback>
        </mc:AlternateContent>
      </w:r>
      <w:r>
        <w:rPr>
          <w:color w:val="auto"/>
          <w:sz w:val="24"/>
          <w:highlight w:val="none"/>
        </w:rPr>
        <mc:AlternateContent>
          <mc:Choice Requires="wps">
            <w:drawing>
              <wp:anchor distT="0" distB="0" distL="114300" distR="114300" simplePos="0" relativeHeight="251668480" behindDoc="0" locked="0" layoutInCell="1" allowOverlap="1">
                <wp:simplePos x="0" y="0"/>
                <wp:positionH relativeFrom="column">
                  <wp:posOffset>3108325</wp:posOffset>
                </wp:positionH>
                <wp:positionV relativeFrom="paragraph">
                  <wp:posOffset>84455</wp:posOffset>
                </wp:positionV>
                <wp:extent cx="365760" cy="1451610"/>
                <wp:effectExtent l="0" t="0" r="0" b="0"/>
                <wp:wrapNone/>
                <wp:docPr id="6" name="文本框 6"/>
                <wp:cNvGraphicFramePr/>
                <a:graphic xmlns:a="http://schemas.openxmlformats.org/drawingml/2006/main">
                  <a:graphicData uri="http://schemas.microsoft.com/office/word/2010/wordprocessingShape">
                    <wps:wsp>
                      <wps:cNvSpPr txBox="1"/>
                      <wps:spPr>
                        <a:xfrm>
                          <a:off x="0" y="0"/>
                          <a:ext cx="365760" cy="1451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sz w:val="24"/>
                              </w:rPr>
                            </w:pPr>
                            <w:r>
                              <w:rPr>
                                <w:rFonts w:hint="eastAsia"/>
                                <w:color w:val="000000"/>
                                <w:sz w:val="24"/>
                              </w:rPr>
                              <w:t>安全监理员</w:t>
                            </w:r>
                          </w:p>
                        </w:txbxContent>
                      </wps:txbx>
                      <wps:bodyPr upright="1"/>
                    </wps:wsp>
                  </a:graphicData>
                </a:graphic>
              </wp:anchor>
            </w:drawing>
          </mc:Choice>
          <mc:Fallback>
            <w:pict>
              <v:shape id="_x0000_s1026" o:spid="_x0000_s1026" o:spt="202" type="#_x0000_t202" style="position:absolute;left:0pt;margin-left:244.75pt;margin-top:6.65pt;height:114.3pt;width:28.8pt;z-index:251668480;mso-width-relative:page;mso-height-relative:page;" fillcolor="#FFFFFF" filled="t" stroked="t" coordsize="21600,21600" o:gfxdata="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x2Z1LaAAAACgEAAA8AAAAAAAAAAQAg&#10;AAAAIgAAAGRycy9kb3ducmV2LnhtbFBLAQIUABQAAAAIAIdO4kCft8lADAIAADYEAAAOAAAAAAAA&#10;AAEAIAAAACkBAABkcnMvZTJvRG9jLnhtbFBLBQYAAAAABgAGAFkBAACnBQAAAAA=&#10;">
                <v:fill on="t" focussize="0,0"/>
                <v:stroke color="#000000" joinstyle="miter"/>
                <v:imagedata o:title=""/>
                <o:lock v:ext="edit" aspectratio="f"/>
                <v:textbox>
                  <w:txbxContent>
                    <w:p>
                      <w:pPr>
                        <w:rPr>
                          <w:color w:val="000000"/>
                          <w:sz w:val="24"/>
                        </w:rPr>
                      </w:pPr>
                      <w:r>
                        <w:rPr>
                          <w:rFonts w:hint="eastAsia"/>
                          <w:color w:val="000000"/>
                          <w:sz w:val="24"/>
                        </w:rPr>
                        <w:t>安全监理员</w:t>
                      </w:r>
                    </w:p>
                  </w:txbxContent>
                </v:textbox>
              </v:shape>
            </w:pict>
          </mc:Fallback>
        </mc:AlternateContent>
      </w:r>
      <w:r>
        <w:rPr>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956945</wp:posOffset>
                </wp:positionH>
                <wp:positionV relativeFrom="paragraph">
                  <wp:posOffset>83820</wp:posOffset>
                </wp:positionV>
                <wp:extent cx="365760" cy="1451610"/>
                <wp:effectExtent l="0" t="0" r="0" b="0"/>
                <wp:wrapNone/>
                <wp:docPr id="5" name="文本框 5"/>
                <wp:cNvGraphicFramePr/>
                <a:graphic xmlns:a="http://schemas.openxmlformats.org/drawingml/2006/main">
                  <a:graphicData uri="http://schemas.microsoft.com/office/word/2010/wordprocessingShape">
                    <wps:wsp>
                      <wps:cNvSpPr txBox="1"/>
                      <wps:spPr>
                        <a:xfrm>
                          <a:off x="0" y="0"/>
                          <a:ext cx="365760" cy="1451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sz w:val="24"/>
                              </w:rPr>
                            </w:pPr>
                            <w:r>
                              <w:rPr>
                                <w:rFonts w:hint="eastAsia"/>
                                <w:color w:val="000000"/>
                                <w:sz w:val="24"/>
                              </w:rPr>
                              <w:t>机电监理工程师</w:t>
                            </w:r>
                          </w:p>
                        </w:txbxContent>
                      </wps:txbx>
                      <wps:bodyPr upright="1"/>
                    </wps:wsp>
                  </a:graphicData>
                </a:graphic>
              </wp:anchor>
            </w:drawing>
          </mc:Choice>
          <mc:Fallback>
            <w:pict>
              <v:shape id="_x0000_s1026" o:spid="_x0000_s1026" o:spt="202" type="#_x0000_t202" style="position:absolute;left:0pt;margin-left:75.35pt;margin-top:6.6pt;height:114.3pt;width:28.8pt;z-index:251666432;mso-width-relative:page;mso-height-relative:page;" fillcolor="#FFFFFF" filled="t" stroked="t" coordsize="21600,21600" o:gfxdata="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0GgnYAAAACgEAAA8AAAAAAAAAAQAgAAAA&#10;IgAAAGRycy9kb3ducmV2LnhtbFBLAQIUABQAAAAIAIdO4kCRNQVrCwIAADYEAAAOAAAAAAAAAAEA&#10;IAAAACcBAABkcnMvZTJvRG9jLnhtbFBLBQYAAAAABgAGAFkBAACkBQAAAAA=&#10;">
                <v:fill on="t" focussize="0,0"/>
                <v:stroke color="#000000" joinstyle="miter"/>
                <v:imagedata o:title=""/>
                <o:lock v:ext="edit" aspectratio="f"/>
                <v:textbox>
                  <w:txbxContent>
                    <w:p>
                      <w:pPr>
                        <w:rPr>
                          <w:color w:val="000000"/>
                          <w:sz w:val="24"/>
                        </w:rPr>
                      </w:pPr>
                      <w:r>
                        <w:rPr>
                          <w:rFonts w:hint="eastAsia"/>
                          <w:color w:val="000000"/>
                          <w:sz w:val="24"/>
                        </w:rPr>
                        <w:t>机电监理工程师</w:t>
                      </w:r>
                    </w:p>
                  </w:txbxContent>
                </v:textbox>
              </v:shape>
            </w:pict>
          </mc:Fallback>
        </mc:AlternateContent>
      </w:r>
      <w:r>
        <w:rPr>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3931920</wp:posOffset>
                </wp:positionH>
                <wp:positionV relativeFrom="paragraph">
                  <wp:posOffset>66040</wp:posOffset>
                </wp:positionV>
                <wp:extent cx="365760" cy="145161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65760" cy="1451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sz w:val="24"/>
                              </w:rPr>
                            </w:pPr>
                            <w:r>
                              <w:rPr>
                                <w:rFonts w:hint="eastAsia"/>
                                <w:color w:val="000000"/>
                                <w:sz w:val="24"/>
                              </w:rPr>
                              <w:t>见证员</w:t>
                            </w:r>
                          </w:p>
                        </w:txbxContent>
                      </wps:txbx>
                      <wps:bodyPr upright="1"/>
                    </wps:wsp>
                  </a:graphicData>
                </a:graphic>
              </wp:anchor>
            </w:drawing>
          </mc:Choice>
          <mc:Fallback>
            <w:pict>
              <v:shape id="_x0000_s1026" o:spid="_x0000_s1026" o:spt="202" type="#_x0000_t202" style="position:absolute;left:0pt;margin-left:309.6pt;margin-top:5.2pt;height:114.3pt;width:28.8pt;z-index:251670528;mso-width-relative:page;mso-height-relative:page;" fillcolor="#FFFFFF" filled="t" stroked="t" coordsize="21600,21600" o:gfxdata="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oUmYK2QAAAAoBAAAPAAAAAAAAAAEAIAAA&#10;ACIAAABkcnMvZG93bnJldi54bWxQSwECFAAUAAAACACHTuJAXnei6gsCAAA4BAAADgAAAAAAAAAB&#10;ACAAAAAoAQAAZHJzL2Uyb0RvYy54bWxQSwUGAAAAAAYABgBZAQAApQUAAAAA&#10;">
                <v:fill on="t" focussize="0,0"/>
                <v:stroke color="#000000" joinstyle="miter"/>
                <v:imagedata o:title=""/>
                <o:lock v:ext="edit" aspectratio="f"/>
                <v:textbox>
                  <w:txbxContent>
                    <w:p>
                      <w:pPr>
                        <w:rPr>
                          <w:color w:val="000000"/>
                          <w:sz w:val="24"/>
                        </w:rPr>
                      </w:pPr>
                      <w:r>
                        <w:rPr>
                          <w:rFonts w:hint="eastAsia"/>
                          <w:color w:val="000000"/>
                          <w:sz w:val="24"/>
                        </w:rPr>
                        <w:t>见证员</w:t>
                      </w:r>
                    </w:p>
                  </w:txbxContent>
                </v:textbox>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4726940</wp:posOffset>
                </wp:positionH>
                <wp:positionV relativeFrom="paragraph">
                  <wp:posOffset>83820</wp:posOffset>
                </wp:positionV>
                <wp:extent cx="365760" cy="145161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65760" cy="1451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sz w:val="24"/>
                              </w:rPr>
                            </w:pPr>
                            <w:r>
                              <w:rPr>
                                <w:rFonts w:hint="eastAsia"/>
                                <w:color w:val="000000"/>
                                <w:sz w:val="24"/>
                              </w:rPr>
                              <w:t>资料员</w:t>
                            </w:r>
                          </w:p>
                        </w:txbxContent>
                      </wps:txbx>
                      <wps:bodyPr upright="1"/>
                    </wps:wsp>
                  </a:graphicData>
                </a:graphic>
              </wp:anchor>
            </w:drawing>
          </mc:Choice>
          <mc:Fallback>
            <w:pict>
              <v:shape id="_x0000_s1026" o:spid="_x0000_s1026" o:spt="202" type="#_x0000_t202" style="position:absolute;left:0pt;margin-left:372.2pt;margin-top:6.6pt;height:114.3pt;width:28.8pt;z-index:251671552;mso-width-relative:page;mso-height-relative:page;" fillcolor="#FFFFFF" filled="t" stroked="t" coordsize="21600,21600" o:gfxdata="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DWSm9tgAAAAKAQAADwAAAAAAAAABACAA&#10;AAAiAAAAZHJzL2Rvd25yZXYueG1sUEsBAhQAFAAAAAgAh07iQFo0Xe8NAgAANgQAAA4AAAAAAAAA&#10;AQAgAAAAJwEAAGRycy9lMm9Eb2MueG1sUEsFBgAAAAAGAAYAWQEAAKYFAAAAAA==&#10;">
                <v:fill on="t" focussize="0,0"/>
                <v:stroke color="#000000" joinstyle="miter"/>
                <v:imagedata o:title=""/>
                <o:lock v:ext="edit" aspectratio="f"/>
                <v:textbox>
                  <w:txbxContent>
                    <w:p>
                      <w:pPr>
                        <w:rPr>
                          <w:color w:val="000000"/>
                          <w:sz w:val="24"/>
                        </w:rPr>
                      </w:pPr>
                      <w:r>
                        <w:rPr>
                          <w:rFonts w:hint="eastAsia"/>
                          <w:color w:val="000000"/>
                          <w:sz w:val="24"/>
                        </w:rPr>
                        <w:t>资料员</w:t>
                      </w:r>
                    </w:p>
                  </w:txbxContent>
                </v:textbox>
              </v:shape>
            </w:pict>
          </mc:Fallback>
        </mc:AlternateContent>
      </w:r>
      <w:r>
        <w:rPr>
          <w:color w:val="auto"/>
          <w:sz w:val="24"/>
          <w:highlight w:val="none"/>
        </w:rPr>
        <mc:AlternateContent>
          <mc:Choice Requires="wps">
            <w:drawing>
              <wp:anchor distT="0" distB="0" distL="114300" distR="114300" simplePos="0" relativeHeight="251665408" behindDoc="0" locked="0" layoutInCell="1" allowOverlap="1">
                <wp:simplePos x="0" y="0"/>
                <wp:positionH relativeFrom="column">
                  <wp:posOffset>208915</wp:posOffset>
                </wp:positionH>
                <wp:positionV relativeFrom="paragraph">
                  <wp:posOffset>88265</wp:posOffset>
                </wp:positionV>
                <wp:extent cx="365760" cy="145161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365760" cy="14516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color w:val="000000"/>
                                <w:sz w:val="24"/>
                              </w:rPr>
                            </w:pPr>
                            <w:r>
                              <w:rPr>
                                <w:rFonts w:hint="eastAsia"/>
                                <w:color w:val="000000"/>
                                <w:sz w:val="24"/>
                              </w:rPr>
                              <w:t>房建监理工程师</w:t>
                            </w:r>
                          </w:p>
                        </w:txbxContent>
                      </wps:txbx>
                      <wps:bodyPr upright="1"/>
                    </wps:wsp>
                  </a:graphicData>
                </a:graphic>
              </wp:anchor>
            </w:drawing>
          </mc:Choice>
          <mc:Fallback>
            <w:pict>
              <v:shape id="_x0000_s1026" o:spid="_x0000_s1026" o:spt="202" type="#_x0000_t202" style="position:absolute;left:0pt;margin-left:16.45pt;margin-top:6.95pt;height:114.3pt;width:28.8pt;z-index:251665408;mso-width-relative:page;mso-height-relative:page;" fillcolor="#FFFFFF" filled="t" stroked="t" coordsize="21600,21600" o:gfxdata="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JI9StgAAAAIAQAADwAAAAAAAAABACAA&#10;AAAiAAAAZHJzL2Rvd25yZXYueG1sUEsBAhQAFAAAAAgAh07iQFWDMHsNAgAAOAQAAA4AAAAAAAAA&#10;AQAgAAAAJwEAAGRycy9lMm9Eb2MueG1sUEsFBgAAAAAGAAYAWQEAAKYFAAAAAA==&#10;">
                <v:fill on="t" focussize="0,0"/>
                <v:stroke color="#000000" joinstyle="miter"/>
                <v:imagedata o:title=""/>
                <o:lock v:ext="edit" aspectratio="f"/>
                <v:textbox>
                  <w:txbxContent>
                    <w:p>
                      <w:pPr>
                        <w:rPr>
                          <w:color w:val="000000"/>
                          <w:sz w:val="24"/>
                        </w:rPr>
                      </w:pPr>
                      <w:r>
                        <w:rPr>
                          <w:rFonts w:hint="eastAsia"/>
                          <w:color w:val="000000"/>
                          <w:sz w:val="24"/>
                        </w:rPr>
                        <w:t>房建监理工程师</w:t>
                      </w:r>
                    </w:p>
                  </w:txbxContent>
                </v:textbox>
              </v:shape>
            </w:pict>
          </mc:Fallback>
        </mc:AlternateContent>
      </w:r>
    </w:p>
    <w:p>
      <w:pPr>
        <w:spacing w:line="420" w:lineRule="exact"/>
        <w:ind w:left="-88" w:leftChars="-42" w:firstLine="480" w:firstLineChars="200"/>
        <w:contextualSpacing/>
        <w:jc w:val="left"/>
        <w:rPr>
          <w:color w:val="auto"/>
          <w:sz w:val="24"/>
          <w:highlight w:val="none"/>
        </w:rPr>
      </w:pPr>
    </w:p>
    <w:p>
      <w:pPr>
        <w:pStyle w:val="2"/>
        <w:rPr>
          <w:color w:val="auto"/>
          <w:highlight w:val="none"/>
        </w:rPr>
      </w:pPr>
    </w:p>
    <w:p>
      <w:pPr>
        <w:pStyle w:val="2"/>
        <w:rPr>
          <w:color w:val="auto"/>
          <w:highlight w:val="none"/>
        </w:rPr>
      </w:pPr>
    </w:p>
    <w:p>
      <w:pPr>
        <w:spacing w:line="420" w:lineRule="exact"/>
        <w:ind w:left="-88" w:leftChars="-42" w:firstLine="480" w:firstLineChars="200"/>
        <w:contextualSpacing/>
        <w:jc w:val="left"/>
        <w:rPr>
          <w:color w:val="auto"/>
          <w:sz w:val="24"/>
          <w:highlight w:val="none"/>
        </w:rPr>
      </w:pPr>
    </w:p>
    <w:p>
      <w:pPr>
        <w:pStyle w:val="2"/>
        <w:rPr>
          <w:color w:val="auto"/>
          <w:highlight w:val="none"/>
        </w:rPr>
      </w:pPr>
    </w:p>
    <w:p>
      <w:pPr>
        <w:spacing w:line="420" w:lineRule="exact"/>
        <w:ind w:left="-88" w:leftChars="-42" w:firstLine="480" w:firstLineChars="200"/>
        <w:contextualSpacing/>
        <w:jc w:val="left"/>
        <w:rPr>
          <w:color w:val="auto"/>
          <w:sz w:val="24"/>
          <w:highlight w:val="none"/>
        </w:rPr>
      </w:pPr>
    </w:p>
    <w:p>
      <w:pPr>
        <w:spacing w:line="420" w:lineRule="exact"/>
        <w:ind w:left="-88" w:leftChars="-42" w:firstLine="480" w:firstLineChars="200"/>
        <w:contextualSpacing/>
        <w:jc w:val="left"/>
        <w:rPr>
          <w:color w:val="auto"/>
          <w:sz w:val="24"/>
          <w:highlight w:val="none"/>
        </w:rPr>
      </w:pPr>
      <w:r>
        <w:rPr>
          <w:color w:val="auto"/>
          <w:sz w:val="24"/>
          <w:highlight w:val="none"/>
        </w:rPr>
        <w:t>7</w:t>
      </w:r>
      <w:r>
        <w:rPr>
          <w:rFonts w:hint="eastAsia"/>
          <w:color w:val="auto"/>
          <w:sz w:val="24"/>
          <w:highlight w:val="none"/>
        </w:rPr>
        <w:t>、项目监理部应以上述监理组织架构形式合理配置监理人员，通过有效地计划、组织和协调，监督相关各方履行各自的职责，实施质量、进度、投资控制、合同、安全、信息管理及组织协调，达到质量、进度、投资、安全等各项监理目标。</w:t>
      </w:r>
    </w:p>
    <w:p>
      <w:pPr>
        <w:spacing w:line="420" w:lineRule="exact"/>
        <w:ind w:left="-88" w:leftChars="-42" w:firstLine="480" w:firstLineChars="200"/>
        <w:contextualSpacing/>
        <w:jc w:val="left"/>
        <w:rPr>
          <w:color w:val="auto"/>
          <w:sz w:val="24"/>
          <w:highlight w:val="none"/>
        </w:rPr>
      </w:pPr>
      <w:r>
        <w:rPr>
          <w:rFonts w:hint="eastAsia"/>
          <w:color w:val="auto"/>
          <w:sz w:val="24"/>
          <w:highlight w:val="none"/>
        </w:rPr>
        <w:t>（二）人员配备要求</w:t>
      </w:r>
    </w:p>
    <w:p>
      <w:pPr>
        <w:spacing w:line="420" w:lineRule="exact"/>
        <w:ind w:left="-88" w:leftChars="-42" w:firstLine="480" w:firstLineChars="200"/>
        <w:contextualSpacing/>
        <w:jc w:val="left"/>
        <w:rPr>
          <w:b/>
          <w:bCs/>
          <w:color w:val="auto"/>
          <w:sz w:val="24"/>
          <w:highlight w:val="none"/>
        </w:rPr>
      </w:pPr>
      <w:r>
        <w:rPr>
          <w:color w:val="auto"/>
          <w:sz w:val="24"/>
          <w:highlight w:val="none"/>
        </w:rPr>
        <w:t>1</w:t>
      </w:r>
      <w:r>
        <w:rPr>
          <w:rFonts w:hint="eastAsia"/>
          <w:color w:val="auto"/>
          <w:sz w:val="24"/>
          <w:highlight w:val="none"/>
        </w:rPr>
        <w:t>、人员配备最低要求必须满足广东省建设厅转发建设部关于印发《房屋建筑工程施工旁站监理管理办法（试行）》的通知（粤建管字</w:t>
      </w:r>
      <w:r>
        <w:rPr>
          <w:color w:val="auto"/>
          <w:sz w:val="24"/>
          <w:highlight w:val="none"/>
        </w:rPr>
        <w:t>[2002]97</w:t>
      </w:r>
      <w:r>
        <w:rPr>
          <w:rFonts w:hint="eastAsia"/>
          <w:color w:val="auto"/>
          <w:sz w:val="24"/>
          <w:highlight w:val="none"/>
        </w:rPr>
        <w:t>号）中《工程项目监理最少人数配置参照表》的要求。</w:t>
      </w:r>
    </w:p>
    <w:p>
      <w:pPr>
        <w:spacing w:line="420" w:lineRule="exact"/>
        <w:ind w:left="-88" w:leftChars="-42" w:firstLine="480" w:firstLineChars="200"/>
        <w:contextualSpacing/>
        <w:jc w:val="left"/>
        <w:rPr>
          <w:color w:val="auto"/>
          <w:sz w:val="24"/>
          <w:highlight w:val="none"/>
        </w:rPr>
      </w:pPr>
      <w:r>
        <w:rPr>
          <w:color w:val="auto"/>
          <w:sz w:val="24"/>
          <w:highlight w:val="none"/>
        </w:rPr>
        <w:t>2</w:t>
      </w:r>
      <w:r>
        <w:rPr>
          <w:rFonts w:hint="eastAsia"/>
          <w:color w:val="auto"/>
          <w:sz w:val="24"/>
          <w:highlight w:val="none"/>
        </w:rPr>
        <w:t>、根据监理组织架构、专业划分原则及监理工作强度情况，监理人可根据自身实力结合本工程的实际需要，在满足本文件的人员配备最低要求（见《驻场监理机构主要人员配备及资历要求表》）的前提下，配置能满足监理工作所需的监理人员。一旦中标，本项目业主将根据投标人员配备情况及监理合同的规定检查人员到位情况。</w:t>
      </w:r>
    </w:p>
    <w:p>
      <w:pPr>
        <w:spacing w:line="420" w:lineRule="exact"/>
        <w:ind w:left="-88" w:leftChars="-42" w:firstLine="480" w:firstLineChars="200"/>
        <w:contextualSpacing/>
        <w:jc w:val="left"/>
        <w:rPr>
          <w:color w:val="auto"/>
          <w:sz w:val="24"/>
          <w:highlight w:val="none"/>
        </w:rPr>
      </w:pPr>
      <w:r>
        <w:rPr>
          <w:color w:val="auto"/>
          <w:sz w:val="24"/>
          <w:highlight w:val="none"/>
        </w:rPr>
        <w:t>3</w:t>
      </w:r>
      <w:r>
        <w:rPr>
          <w:rFonts w:hint="eastAsia"/>
          <w:color w:val="auto"/>
          <w:sz w:val="24"/>
          <w:highlight w:val="none"/>
        </w:rPr>
        <w:t>、投入本项目的项目总监等主要负责人要求服务于施工监理全过程（质量保修期内，可根据实际需要调整），招标人有权根据工程推进实际情况，要求本项目监理人的法人代表或总经理到施工现场，协调各种事项。</w:t>
      </w:r>
    </w:p>
    <w:p>
      <w:pPr>
        <w:spacing w:line="420" w:lineRule="exact"/>
        <w:ind w:left="-88" w:leftChars="-42" w:firstLine="480" w:firstLineChars="200"/>
        <w:contextualSpacing/>
        <w:jc w:val="left"/>
        <w:rPr>
          <w:color w:val="auto"/>
          <w:sz w:val="24"/>
          <w:highlight w:val="none"/>
        </w:rPr>
      </w:pPr>
      <w:r>
        <w:rPr>
          <w:color w:val="auto"/>
          <w:sz w:val="24"/>
          <w:highlight w:val="none"/>
        </w:rPr>
        <w:t>4</w:t>
      </w:r>
      <w:r>
        <w:rPr>
          <w:rFonts w:hint="eastAsia"/>
          <w:color w:val="auto"/>
          <w:sz w:val="24"/>
          <w:highlight w:val="none"/>
        </w:rPr>
        <w:t>、根据本项目建设特点和监理组织机构的设置要求，本项目各监理人员的最低资历要求见《驻场监理机构主要人员配备及资历要求表》（见第三章）；</w:t>
      </w:r>
    </w:p>
    <w:p>
      <w:pPr>
        <w:spacing w:line="420" w:lineRule="exact"/>
        <w:ind w:left="-88" w:leftChars="-42" w:firstLine="480" w:firstLineChars="200"/>
        <w:contextualSpacing/>
        <w:jc w:val="left"/>
        <w:rPr>
          <w:color w:val="auto"/>
          <w:sz w:val="24"/>
          <w:highlight w:val="none"/>
        </w:rPr>
      </w:pPr>
      <w:r>
        <w:rPr>
          <w:color w:val="auto"/>
          <w:sz w:val="24"/>
          <w:highlight w:val="none"/>
        </w:rPr>
        <w:t>5</w:t>
      </w:r>
      <w:r>
        <w:rPr>
          <w:rFonts w:hint="eastAsia"/>
          <w:color w:val="auto"/>
          <w:sz w:val="24"/>
          <w:highlight w:val="none"/>
        </w:rPr>
        <w:t>、《驻场监理机构主要人员配备及资历要求表》是监理人员的最低要求，因此不免除根据工程建设的实际需要监理人要配备专业技术更高、经验更丰富的监理人员，以提高监理服务水平和服务质量的责任和义务。在工程实施过程中，招标人将对监理人员服务水平和服务质量等方面进行考核，不能满足工程监理实际需要的监理人员，本项目业主有权要求监理人更换，直至满足工程建设的需要。对于专业性较强的监理工作岗位，招标人将重点考核监理人配置的人员，如招标人认为监理人配置的人员不能满足本项目的需要，招标人有权要求整改，本项目监理人应无条件接受。</w:t>
      </w:r>
    </w:p>
    <w:p>
      <w:pPr>
        <w:spacing w:line="420" w:lineRule="exact"/>
        <w:contextualSpacing/>
        <w:jc w:val="left"/>
        <w:rPr>
          <w:b/>
          <w:bCs/>
          <w:color w:val="auto"/>
          <w:sz w:val="24"/>
          <w:highlight w:val="none"/>
        </w:rPr>
      </w:pPr>
    </w:p>
    <w:p>
      <w:pPr>
        <w:pStyle w:val="2"/>
        <w:rPr>
          <w:color w:val="auto"/>
          <w:highlight w:val="none"/>
        </w:rPr>
      </w:pPr>
    </w:p>
    <w:p>
      <w:pPr>
        <w:pStyle w:val="18"/>
        <w:spacing w:before="0" w:after="0" w:line="420" w:lineRule="exact"/>
        <w:ind w:firstLine="562" w:firstLineChars="200"/>
        <w:contextualSpacing/>
        <w:jc w:val="left"/>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六、监理工作要求</w:t>
      </w:r>
    </w:p>
    <w:p>
      <w:pPr>
        <w:pStyle w:val="2"/>
        <w:rPr>
          <w:color w:val="auto"/>
          <w:sz w:val="24"/>
          <w:szCs w:val="24"/>
          <w:highlight w:val="none"/>
        </w:rPr>
      </w:pPr>
      <w:r>
        <w:rPr>
          <w:rFonts w:hint="eastAsia"/>
          <w:color w:val="auto"/>
          <w:sz w:val="24"/>
          <w:szCs w:val="24"/>
          <w:highlight w:val="none"/>
        </w:rPr>
        <w:t>（一）基本工作要求</w:t>
      </w:r>
    </w:p>
    <w:p>
      <w:pPr>
        <w:pStyle w:val="2"/>
        <w:rPr>
          <w:color w:val="auto"/>
          <w:sz w:val="24"/>
          <w:szCs w:val="24"/>
          <w:highlight w:val="none"/>
        </w:rPr>
      </w:pPr>
      <w:r>
        <w:rPr>
          <w:rFonts w:hint="eastAsia"/>
          <w:color w:val="auto"/>
          <w:sz w:val="24"/>
          <w:szCs w:val="24"/>
          <w:highlight w:val="none"/>
        </w:rPr>
        <w:t>1、对开工报审的审核要求：项目监理部应根据有关法规的规定，审查开工应具备的基础资料是否齐全，承包单位各项准备工作是否已经完成，对现场是否具备开工条件做出结论。</w:t>
      </w:r>
    </w:p>
    <w:p>
      <w:pPr>
        <w:pStyle w:val="2"/>
        <w:rPr>
          <w:color w:val="auto"/>
          <w:sz w:val="24"/>
          <w:szCs w:val="24"/>
          <w:highlight w:val="none"/>
        </w:rPr>
      </w:pPr>
      <w:r>
        <w:rPr>
          <w:rFonts w:hint="eastAsia"/>
          <w:color w:val="auto"/>
          <w:sz w:val="24"/>
          <w:szCs w:val="24"/>
          <w:highlight w:val="none"/>
        </w:rPr>
        <w:t>2、对分包单位资质审查的要求：对总包单位选定的分包单位的资质证书和工程业绩、专职管理人员和特种作业人员的资格证、上岗证，以及拟分包工程的内容和范围进行审查，签署是否同意分包的意见。</w:t>
      </w:r>
    </w:p>
    <w:p>
      <w:pPr>
        <w:pStyle w:val="2"/>
        <w:rPr>
          <w:color w:val="auto"/>
          <w:sz w:val="24"/>
          <w:szCs w:val="24"/>
          <w:highlight w:val="none"/>
        </w:rPr>
      </w:pPr>
      <w:r>
        <w:rPr>
          <w:rFonts w:hint="eastAsia"/>
          <w:color w:val="auto"/>
          <w:sz w:val="24"/>
          <w:szCs w:val="24"/>
          <w:highlight w:val="none"/>
        </w:rPr>
        <w:t>3、对监理周报的要求：每周例会前，项目监理部应向甲方提交监理周报，内容应包括上一周施工现场各工种人员数量、材料设备进场验收情况、机械设备运转情况、材料及设备等进退场情况、监理活动情况（如：检验批及隐蔽部位验收，见证、旁站、平行检验、工程计量以及有关文件的审核审批等）、详细的施工进度情况、工地现场质量及安全情况、工地现场停电及停水情况、需协调解决的问题等，内容应详细、真实。</w:t>
      </w:r>
    </w:p>
    <w:p>
      <w:pPr>
        <w:pStyle w:val="2"/>
        <w:rPr>
          <w:color w:val="auto"/>
          <w:sz w:val="24"/>
          <w:szCs w:val="24"/>
          <w:highlight w:val="none"/>
        </w:rPr>
      </w:pPr>
      <w:r>
        <w:rPr>
          <w:rFonts w:hint="eastAsia"/>
          <w:color w:val="auto"/>
          <w:sz w:val="24"/>
          <w:szCs w:val="24"/>
          <w:highlight w:val="none"/>
        </w:rPr>
        <w:t>4、对监理月报的要求：每月初，监理单位应向建设单位提交上一月的监理月报，内容应按照监理规范的规定，详细反映月度工程进度、工程质量、工程款支付和工程签证等情况，所采取的对策和措施，对工程的意见和建议及下月的重点。</w:t>
      </w:r>
    </w:p>
    <w:p>
      <w:pPr>
        <w:pStyle w:val="2"/>
        <w:rPr>
          <w:color w:val="auto"/>
          <w:sz w:val="24"/>
          <w:szCs w:val="24"/>
          <w:highlight w:val="none"/>
        </w:rPr>
      </w:pPr>
      <w:r>
        <w:rPr>
          <w:rFonts w:hint="eastAsia"/>
          <w:color w:val="auto"/>
          <w:sz w:val="24"/>
          <w:szCs w:val="24"/>
          <w:highlight w:val="none"/>
        </w:rPr>
        <w:t>5、对监理实施文件的要求：应根据本工程的特点，对本工程的难点要做具体分析，并提出详细的对策。监理规划、监理实施细则、安全监理细则、旁站监理方案等文件的内容要根据本工程的特点进行编制，监理规划应起到指导本工程监理工作实施的作用，其它文件内容应详细有针对性，并具可操作性，经监理单位内部审批后于开工前报建设单位就监理规范的规定。监理实施细则应符合监理规划的要求，应结合工程项目的专业特点，做到详细具体、具有可操作性。</w:t>
      </w:r>
    </w:p>
    <w:p>
      <w:pPr>
        <w:pStyle w:val="2"/>
        <w:rPr>
          <w:color w:val="auto"/>
          <w:sz w:val="24"/>
          <w:szCs w:val="24"/>
          <w:highlight w:val="none"/>
        </w:rPr>
      </w:pPr>
      <w:r>
        <w:rPr>
          <w:rFonts w:hint="eastAsia"/>
          <w:color w:val="auto"/>
          <w:sz w:val="24"/>
          <w:szCs w:val="24"/>
          <w:highlight w:val="none"/>
        </w:rPr>
        <w:t>6、对旁站监理的要求：监理单位应按《房屋建筑工程施工旁站监理管理办法（试行）》的规定及旁站监理方案，安排人员对关键部位、关键工序的施工进行旁站监理，对旁站过程中发现的问题及时采取处理措施。</w:t>
      </w:r>
    </w:p>
    <w:p>
      <w:pPr>
        <w:pStyle w:val="2"/>
        <w:rPr>
          <w:color w:val="auto"/>
          <w:sz w:val="24"/>
          <w:szCs w:val="24"/>
          <w:highlight w:val="none"/>
        </w:rPr>
      </w:pPr>
      <w:r>
        <w:rPr>
          <w:rFonts w:hint="eastAsia"/>
          <w:color w:val="auto"/>
          <w:sz w:val="24"/>
          <w:szCs w:val="24"/>
          <w:highlight w:val="none"/>
        </w:rPr>
        <w:t>7、对施工组织设计及施工方案审批的要求：项目监理部应在工程开工或各分部子分部工程开工前要求承包单位报送施工组织设计（施工方案），应对施工方案的内容、工期、质量目标，以及安全、环保、消防和文明施工措施进行审查，并提出审查意见。规模大、结构复杂或属新结构、特种结构的工程，项目监理部审查后还应报监理单位技术负责人审查。必要时，应与建设单位协商，组织有关专业部门和专家会审。对危险性较大的工程按建设部有关规定，项目监理部应要求承包单位提交专项安全施工方案，按规定程序审批后报建设单位，并监督承包单位按方案实施。方案未经审查及未按规定进行专家论证不得允许承包单位开工。</w:t>
      </w:r>
    </w:p>
    <w:p>
      <w:pPr>
        <w:pStyle w:val="2"/>
        <w:rPr>
          <w:color w:val="auto"/>
          <w:sz w:val="24"/>
          <w:szCs w:val="24"/>
          <w:highlight w:val="none"/>
        </w:rPr>
      </w:pPr>
      <w:r>
        <w:rPr>
          <w:rFonts w:hint="eastAsia"/>
          <w:color w:val="auto"/>
          <w:sz w:val="24"/>
          <w:szCs w:val="24"/>
          <w:highlight w:val="none"/>
        </w:rPr>
        <w:t>8、对安全管理的要求：项目监理部除日常巡查和每周定期检查外，还应每月、重大节日前组织相关单位对现场安全文明施工情况进行大检查，对发现的问题根据严重的程度采取相应的措施，直至整改完毕。此外，在节前要组织各相关单位对现场防火、防盗等安全工作进行检查。</w:t>
      </w:r>
    </w:p>
    <w:p>
      <w:pPr>
        <w:pStyle w:val="2"/>
        <w:rPr>
          <w:color w:val="auto"/>
          <w:sz w:val="24"/>
          <w:szCs w:val="24"/>
          <w:highlight w:val="none"/>
        </w:rPr>
      </w:pPr>
      <w:r>
        <w:rPr>
          <w:rFonts w:hint="eastAsia"/>
          <w:color w:val="auto"/>
          <w:sz w:val="24"/>
          <w:szCs w:val="24"/>
          <w:highlight w:val="none"/>
        </w:rPr>
        <w:t>9、对质量控制的要求：项目监理部应按照监理规划、监理细则以及有关规范、标准的规定，对材料质量、施工质量严格把关。材料、设备进场要组织验收，须复检的材料要进行见证取样送检。检测不合格的材料不得用于本工程，监理工程师必须见证承包单位将不合格的材料退出现场，并做好记录报建设单位。</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0</w:t>
      </w:r>
      <w:r>
        <w:rPr>
          <w:rFonts w:hint="eastAsia"/>
          <w:color w:val="auto"/>
          <w:sz w:val="24"/>
          <w:szCs w:val="24"/>
          <w:highlight w:val="none"/>
        </w:rPr>
        <w:t>、对工程例会的要求：项目监理部应于每周组织召开工程例会，督促施工单位对存在的质量、安全问题进行整改，协调处理现场需要解决的问题，检查上周例会所议定事项落实情况，对落后的进度采取措施和对策，确定急需完成工作的完成时间。对现场急需解决的质量、进度、安全问题应及时组织相关单位召开专题协调会进行讨论，寻求解决办法。</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1</w:t>
      </w:r>
      <w:r>
        <w:rPr>
          <w:rFonts w:hint="eastAsia"/>
          <w:color w:val="auto"/>
          <w:sz w:val="24"/>
          <w:szCs w:val="24"/>
          <w:highlight w:val="none"/>
        </w:rPr>
        <w:t>、对工程变更的审批要求：项目监理部应针对变更提出专业意见，对变更的审查应坚持以下原则：变更后的工程不能降低使用标准；变更项目在技术上必须可行，同时还必须可靠；变更后的工程费用要合理；变更后的施工工艺不宜复杂。</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2</w:t>
      </w:r>
      <w:r>
        <w:rPr>
          <w:rFonts w:hint="eastAsia"/>
          <w:color w:val="auto"/>
          <w:sz w:val="24"/>
          <w:szCs w:val="24"/>
          <w:highlight w:val="none"/>
        </w:rPr>
        <w:t>、项目监理部应对工程签证、工程进度款中所列工程量应认真核实，并对审核结果负责。</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3</w:t>
      </w:r>
      <w:r>
        <w:rPr>
          <w:rFonts w:hint="eastAsia"/>
          <w:color w:val="auto"/>
          <w:sz w:val="24"/>
          <w:szCs w:val="24"/>
          <w:highlight w:val="none"/>
        </w:rPr>
        <w:t>、对工程资料的管理要求：本项目监理部应对各类资料应及时分类、整理、归档，并建立资料目录。施工图纸、设计变更、各类承包合同、工程签证、工程款支付情况、材料设备验收及送检、检验批及隐蔽工程验收应建立台帐。</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4</w:t>
      </w:r>
      <w:r>
        <w:rPr>
          <w:rFonts w:hint="eastAsia"/>
          <w:color w:val="auto"/>
          <w:sz w:val="24"/>
          <w:szCs w:val="24"/>
          <w:highlight w:val="none"/>
        </w:rPr>
        <w:t>、对监理工作投入设备要求：监理单位应在本项目实施过程中，根据行业要求和本项目特点，应投入为满足本项目监理工作需要的相关设备或设施，配备办公设备、检测设备及仪器等工具。</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5</w:t>
      </w:r>
      <w:r>
        <w:rPr>
          <w:rFonts w:hint="eastAsia"/>
          <w:color w:val="auto"/>
          <w:sz w:val="24"/>
          <w:szCs w:val="24"/>
          <w:highlight w:val="none"/>
        </w:rPr>
        <w:t>、总监理工程师应加强对各专业监理人员的管理，做好日常工作的安排，督促各专业人员做好事前、前中、事后控制。对不能胜任本职工作、不认真履行工作职责的监理人员要及时更换。</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6</w:t>
      </w:r>
      <w:r>
        <w:rPr>
          <w:rFonts w:hint="eastAsia"/>
          <w:color w:val="auto"/>
          <w:sz w:val="24"/>
          <w:szCs w:val="24"/>
          <w:highlight w:val="none"/>
        </w:rPr>
        <w:t>、项目监理部在工作中应及时与建设单位沟通协调，共同解决现场出现的问题，确保监理合同中的义务得到完全地履行。</w:t>
      </w:r>
    </w:p>
    <w:p>
      <w:pPr>
        <w:pStyle w:val="2"/>
        <w:rPr>
          <w:color w:val="auto"/>
          <w:sz w:val="24"/>
          <w:szCs w:val="24"/>
          <w:highlight w:val="none"/>
        </w:rPr>
      </w:pPr>
      <w:r>
        <w:rPr>
          <w:rFonts w:hint="eastAsia"/>
          <w:color w:val="auto"/>
          <w:sz w:val="24"/>
          <w:szCs w:val="24"/>
          <w:highlight w:val="none"/>
        </w:rPr>
        <w:t>（二）进度管理监理要求</w:t>
      </w:r>
    </w:p>
    <w:p>
      <w:pPr>
        <w:pStyle w:val="2"/>
        <w:rPr>
          <w:color w:val="auto"/>
          <w:sz w:val="24"/>
          <w:szCs w:val="24"/>
          <w:highlight w:val="none"/>
        </w:rPr>
      </w:pPr>
      <w:r>
        <w:rPr>
          <w:rFonts w:hint="eastAsia"/>
          <w:color w:val="auto"/>
          <w:sz w:val="24"/>
          <w:szCs w:val="24"/>
          <w:highlight w:val="none"/>
        </w:rPr>
        <w:t>1、进度管理的工作内容：</w:t>
      </w:r>
    </w:p>
    <w:p>
      <w:pPr>
        <w:pStyle w:val="2"/>
        <w:rPr>
          <w:color w:val="auto"/>
          <w:sz w:val="24"/>
          <w:szCs w:val="24"/>
          <w:highlight w:val="none"/>
        </w:rPr>
      </w:pPr>
      <w:r>
        <w:rPr>
          <w:rFonts w:hint="eastAsia"/>
          <w:color w:val="auto"/>
          <w:sz w:val="24"/>
          <w:szCs w:val="24"/>
          <w:highlight w:val="none"/>
        </w:rPr>
        <w:t>1.1 建立进度控制体系；明确进度控制任务、配备人员、落实进度控制责任，建立进度信息沟通渠道、进度检查、协调制度。</w:t>
      </w:r>
    </w:p>
    <w:p>
      <w:pPr>
        <w:pStyle w:val="2"/>
        <w:rPr>
          <w:color w:val="auto"/>
          <w:sz w:val="24"/>
          <w:szCs w:val="24"/>
          <w:highlight w:val="none"/>
        </w:rPr>
      </w:pPr>
      <w:r>
        <w:rPr>
          <w:rFonts w:hint="eastAsia"/>
          <w:color w:val="auto"/>
          <w:sz w:val="24"/>
          <w:szCs w:val="24"/>
          <w:highlight w:val="none"/>
        </w:rPr>
        <w:t>1.2 向建设单位提供工程工期的信息和咨询，协助建设单位进行工期控制决策，对项目管理总体进度目标进行工作结构分解，根据需要编制不同深度的进度计划，包括：</w:t>
      </w:r>
    </w:p>
    <w:p>
      <w:pPr>
        <w:pStyle w:val="2"/>
        <w:rPr>
          <w:color w:val="auto"/>
          <w:sz w:val="24"/>
          <w:szCs w:val="24"/>
          <w:highlight w:val="none"/>
        </w:rPr>
      </w:pPr>
      <w:r>
        <w:rPr>
          <w:rFonts w:hint="eastAsia"/>
          <w:color w:val="auto"/>
          <w:sz w:val="24"/>
          <w:szCs w:val="24"/>
          <w:highlight w:val="none"/>
        </w:rPr>
        <w:t>（1）拆迁、场地清障与平整的进度。</w:t>
      </w:r>
    </w:p>
    <w:p>
      <w:pPr>
        <w:pStyle w:val="2"/>
        <w:rPr>
          <w:color w:val="auto"/>
          <w:sz w:val="24"/>
          <w:szCs w:val="24"/>
          <w:highlight w:val="none"/>
        </w:rPr>
      </w:pPr>
      <w:r>
        <w:rPr>
          <w:rFonts w:hint="eastAsia"/>
          <w:color w:val="auto"/>
          <w:sz w:val="24"/>
          <w:szCs w:val="24"/>
          <w:highlight w:val="none"/>
        </w:rPr>
        <w:t>（2）施工用水、电、道路等建设条件的准备进度。</w:t>
      </w:r>
    </w:p>
    <w:p>
      <w:pPr>
        <w:pStyle w:val="2"/>
        <w:rPr>
          <w:color w:val="auto"/>
          <w:sz w:val="24"/>
          <w:szCs w:val="24"/>
          <w:highlight w:val="none"/>
        </w:rPr>
      </w:pPr>
      <w:r>
        <w:rPr>
          <w:rFonts w:hint="eastAsia"/>
          <w:color w:val="auto"/>
          <w:sz w:val="24"/>
          <w:szCs w:val="24"/>
          <w:highlight w:val="none"/>
        </w:rPr>
        <w:t>（3）人力、材料、机械设备、加工品、预制品等资源需用量计划。</w:t>
      </w:r>
    </w:p>
    <w:p>
      <w:pPr>
        <w:pStyle w:val="2"/>
        <w:rPr>
          <w:color w:val="auto"/>
          <w:sz w:val="24"/>
          <w:szCs w:val="24"/>
          <w:highlight w:val="none"/>
        </w:rPr>
      </w:pPr>
      <w:r>
        <w:rPr>
          <w:rFonts w:hint="eastAsia"/>
          <w:color w:val="auto"/>
          <w:sz w:val="24"/>
          <w:szCs w:val="24"/>
          <w:highlight w:val="none"/>
        </w:rPr>
        <w:t>（4）各类工程材料、机械设备、加工品、预制品等材料设备定板、订货和进场计划。</w:t>
      </w:r>
    </w:p>
    <w:p>
      <w:pPr>
        <w:pStyle w:val="2"/>
        <w:rPr>
          <w:color w:val="auto"/>
          <w:sz w:val="24"/>
          <w:szCs w:val="24"/>
          <w:highlight w:val="none"/>
        </w:rPr>
      </w:pPr>
      <w:r>
        <w:rPr>
          <w:rFonts w:hint="eastAsia"/>
          <w:color w:val="auto"/>
          <w:sz w:val="24"/>
          <w:szCs w:val="24"/>
          <w:highlight w:val="none"/>
        </w:rPr>
        <w:t>（5）项目总进度计划和各单体工程施工进度，并确定其的关键节点工期和一般性节点工期日程。</w:t>
      </w:r>
    </w:p>
    <w:p>
      <w:pPr>
        <w:pStyle w:val="2"/>
        <w:rPr>
          <w:color w:val="auto"/>
          <w:sz w:val="24"/>
          <w:szCs w:val="24"/>
          <w:highlight w:val="none"/>
        </w:rPr>
      </w:pPr>
      <w:r>
        <w:rPr>
          <w:rFonts w:hint="eastAsia"/>
          <w:color w:val="auto"/>
          <w:sz w:val="24"/>
          <w:szCs w:val="24"/>
          <w:highlight w:val="none"/>
        </w:rPr>
        <w:t>（6）年、季、月、旬、周施工进度计划和施工任务书。</w:t>
      </w:r>
    </w:p>
    <w:p>
      <w:pPr>
        <w:pStyle w:val="2"/>
        <w:rPr>
          <w:color w:val="auto"/>
          <w:sz w:val="24"/>
          <w:szCs w:val="24"/>
          <w:highlight w:val="none"/>
        </w:rPr>
      </w:pPr>
      <w:r>
        <w:rPr>
          <w:rFonts w:hint="eastAsia"/>
          <w:color w:val="auto"/>
          <w:sz w:val="24"/>
          <w:szCs w:val="24"/>
          <w:highlight w:val="none"/>
        </w:rPr>
        <w:t>（</w:t>
      </w:r>
      <w:r>
        <w:rPr>
          <w:color w:val="auto"/>
          <w:sz w:val="24"/>
          <w:szCs w:val="24"/>
          <w:highlight w:val="none"/>
        </w:rPr>
        <w:t>7</w:t>
      </w:r>
      <w:r>
        <w:rPr>
          <w:rFonts w:hint="eastAsia"/>
          <w:color w:val="auto"/>
          <w:sz w:val="24"/>
          <w:szCs w:val="24"/>
          <w:highlight w:val="none"/>
        </w:rPr>
        <w:t>）编制与审批施工组织设计进度。</w:t>
      </w:r>
    </w:p>
    <w:p>
      <w:pPr>
        <w:pStyle w:val="2"/>
        <w:rPr>
          <w:color w:val="auto"/>
          <w:sz w:val="24"/>
          <w:szCs w:val="24"/>
          <w:highlight w:val="none"/>
        </w:rPr>
      </w:pPr>
      <w:r>
        <w:rPr>
          <w:rFonts w:hint="eastAsia"/>
          <w:color w:val="auto"/>
          <w:sz w:val="24"/>
          <w:szCs w:val="24"/>
          <w:highlight w:val="none"/>
        </w:rPr>
        <w:t>（</w:t>
      </w:r>
      <w:r>
        <w:rPr>
          <w:color w:val="auto"/>
          <w:sz w:val="24"/>
          <w:szCs w:val="24"/>
          <w:highlight w:val="none"/>
        </w:rPr>
        <w:t>8</w:t>
      </w:r>
      <w:r>
        <w:rPr>
          <w:rFonts w:hint="eastAsia"/>
          <w:color w:val="auto"/>
          <w:sz w:val="24"/>
          <w:szCs w:val="24"/>
          <w:highlight w:val="none"/>
        </w:rPr>
        <w:t>）项目收尾进度。</w:t>
      </w:r>
    </w:p>
    <w:p>
      <w:pPr>
        <w:pStyle w:val="2"/>
        <w:rPr>
          <w:color w:val="auto"/>
          <w:sz w:val="24"/>
          <w:szCs w:val="24"/>
          <w:highlight w:val="none"/>
        </w:rPr>
      </w:pPr>
      <w:r>
        <w:rPr>
          <w:rFonts w:hint="eastAsia"/>
          <w:color w:val="auto"/>
          <w:sz w:val="24"/>
          <w:szCs w:val="24"/>
          <w:highlight w:val="none"/>
        </w:rPr>
        <w:t>（</w:t>
      </w:r>
      <w:r>
        <w:rPr>
          <w:color w:val="auto"/>
          <w:sz w:val="24"/>
          <w:szCs w:val="24"/>
          <w:highlight w:val="none"/>
        </w:rPr>
        <w:t>9</w:t>
      </w:r>
      <w:r>
        <w:rPr>
          <w:rFonts w:hint="eastAsia"/>
          <w:color w:val="auto"/>
          <w:sz w:val="24"/>
          <w:szCs w:val="24"/>
          <w:highlight w:val="none"/>
        </w:rPr>
        <w:t>）竣工验收进度。</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0</w:t>
      </w:r>
      <w:r>
        <w:rPr>
          <w:rFonts w:hint="eastAsia"/>
          <w:color w:val="auto"/>
          <w:sz w:val="24"/>
          <w:szCs w:val="24"/>
          <w:highlight w:val="none"/>
        </w:rPr>
        <w:t>）试运转进度。</w:t>
      </w:r>
    </w:p>
    <w:p>
      <w:pPr>
        <w:pStyle w:val="2"/>
        <w:rPr>
          <w:color w:val="auto"/>
          <w:sz w:val="24"/>
          <w:szCs w:val="24"/>
          <w:highlight w:val="none"/>
        </w:rPr>
      </w:pPr>
      <w:r>
        <w:rPr>
          <w:rFonts w:hint="eastAsia"/>
          <w:color w:val="auto"/>
          <w:sz w:val="24"/>
          <w:szCs w:val="24"/>
          <w:highlight w:val="none"/>
        </w:rPr>
        <w:t>（1</w:t>
      </w:r>
      <w:r>
        <w:rPr>
          <w:color w:val="auto"/>
          <w:sz w:val="24"/>
          <w:szCs w:val="24"/>
          <w:highlight w:val="none"/>
        </w:rPr>
        <w:t>1</w:t>
      </w:r>
      <w:r>
        <w:rPr>
          <w:rFonts w:hint="eastAsia"/>
          <w:color w:val="auto"/>
          <w:sz w:val="24"/>
          <w:szCs w:val="24"/>
          <w:highlight w:val="none"/>
        </w:rPr>
        <w:t>）交工进度。</w:t>
      </w:r>
    </w:p>
    <w:p>
      <w:pPr>
        <w:pStyle w:val="2"/>
        <w:rPr>
          <w:color w:val="auto"/>
          <w:sz w:val="24"/>
          <w:szCs w:val="24"/>
          <w:highlight w:val="none"/>
        </w:rPr>
      </w:pPr>
      <w:r>
        <w:rPr>
          <w:rFonts w:hint="eastAsia"/>
          <w:color w:val="auto"/>
          <w:sz w:val="24"/>
          <w:szCs w:val="24"/>
          <w:highlight w:val="none"/>
        </w:rPr>
        <w:t>2、根据进度计划落实进度控制责任主体单位。</w:t>
      </w:r>
    </w:p>
    <w:p>
      <w:pPr>
        <w:pStyle w:val="2"/>
        <w:rPr>
          <w:color w:val="auto"/>
          <w:sz w:val="24"/>
          <w:szCs w:val="24"/>
          <w:highlight w:val="none"/>
        </w:rPr>
      </w:pPr>
      <w:r>
        <w:rPr>
          <w:rFonts w:hint="eastAsia"/>
          <w:color w:val="auto"/>
          <w:sz w:val="24"/>
          <w:szCs w:val="24"/>
          <w:highlight w:val="none"/>
        </w:rPr>
        <w:t>3、根据项目总体进度计划对设计技术文件、图纸等落实提出调整建议和催交措施，以满足施工的需要。</w:t>
      </w:r>
    </w:p>
    <w:p>
      <w:pPr>
        <w:pStyle w:val="2"/>
        <w:rPr>
          <w:color w:val="auto"/>
          <w:sz w:val="24"/>
          <w:szCs w:val="24"/>
          <w:highlight w:val="none"/>
        </w:rPr>
      </w:pPr>
      <w:r>
        <w:rPr>
          <w:rFonts w:hint="eastAsia"/>
          <w:color w:val="auto"/>
          <w:sz w:val="24"/>
          <w:szCs w:val="24"/>
          <w:highlight w:val="none"/>
        </w:rPr>
        <w:t>4、审核施工单位的进度计划，监督、检查、控制、协调各项进度计划的实施，并在实施过程中不断进行检查，督促施工单位采取必要的措施，以实现进度控制目标。</w:t>
      </w:r>
    </w:p>
    <w:p>
      <w:pPr>
        <w:pStyle w:val="2"/>
        <w:rPr>
          <w:color w:val="auto"/>
          <w:sz w:val="24"/>
          <w:szCs w:val="24"/>
          <w:highlight w:val="none"/>
        </w:rPr>
      </w:pPr>
      <w:r>
        <w:rPr>
          <w:rFonts w:hint="eastAsia"/>
          <w:color w:val="auto"/>
          <w:sz w:val="24"/>
          <w:szCs w:val="24"/>
          <w:highlight w:val="none"/>
        </w:rPr>
        <w:t xml:space="preserve">5、在实施进度计划的过程中，不断检查，记录和收集实际进度数据内容,包括: </w:t>
      </w:r>
    </w:p>
    <w:p>
      <w:pPr>
        <w:pStyle w:val="2"/>
        <w:rPr>
          <w:color w:val="auto"/>
          <w:sz w:val="24"/>
          <w:szCs w:val="24"/>
          <w:highlight w:val="none"/>
        </w:rPr>
      </w:pPr>
      <w:r>
        <w:rPr>
          <w:rFonts w:hint="eastAsia"/>
          <w:color w:val="auto"/>
          <w:sz w:val="24"/>
          <w:szCs w:val="24"/>
          <w:highlight w:val="none"/>
        </w:rPr>
        <w:t>(1)检查期内实际完成和累计完成的工程量。</w:t>
      </w:r>
    </w:p>
    <w:p>
      <w:pPr>
        <w:pStyle w:val="2"/>
        <w:rPr>
          <w:color w:val="auto"/>
          <w:sz w:val="24"/>
          <w:szCs w:val="24"/>
          <w:highlight w:val="none"/>
        </w:rPr>
      </w:pPr>
      <w:r>
        <w:rPr>
          <w:rFonts w:hint="eastAsia"/>
          <w:color w:val="auto"/>
          <w:sz w:val="24"/>
          <w:szCs w:val="24"/>
          <w:highlight w:val="none"/>
        </w:rPr>
        <w:t>(2)实际使用的人数、机械数及效率。</w:t>
      </w:r>
    </w:p>
    <w:p>
      <w:pPr>
        <w:pStyle w:val="2"/>
        <w:rPr>
          <w:color w:val="auto"/>
          <w:sz w:val="24"/>
          <w:szCs w:val="24"/>
          <w:highlight w:val="none"/>
        </w:rPr>
      </w:pPr>
      <w:r>
        <w:rPr>
          <w:rFonts w:hint="eastAsia"/>
          <w:color w:val="auto"/>
          <w:sz w:val="24"/>
          <w:szCs w:val="24"/>
          <w:highlight w:val="none"/>
        </w:rPr>
        <w:t>(3)窝工人数、机械台班数及原因分析。</w:t>
      </w:r>
    </w:p>
    <w:p>
      <w:pPr>
        <w:pStyle w:val="2"/>
        <w:rPr>
          <w:color w:val="auto"/>
          <w:sz w:val="24"/>
          <w:szCs w:val="24"/>
          <w:highlight w:val="none"/>
        </w:rPr>
      </w:pPr>
      <w:r>
        <w:rPr>
          <w:rFonts w:hint="eastAsia"/>
          <w:color w:val="auto"/>
          <w:sz w:val="24"/>
          <w:szCs w:val="24"/>
          <w:highlight w:val="none"/>
        </w:rPr>
        <w:t>(4)进度偏差及纠偏情况。</w:t>
      </w:r>
    </w:p>
    <w:p>
      <w:pPr>
        <w:pStyle w:val="2"/>
        <w:rPr>
          <w:color w:val="auto"/>
          <w:sz w:val="24"/>
          <w:szCs w:val="24"/>
          <w:highlight w:val="none"/>
        </w:rPr>
      </w:pPr>
      <w:r>
        <w:rPr>
          <w:rFonts w:hint="eastAsia"/>
          <w:color w:val="auto"/>
          <w:sz w:val="24"/>
          <w:szCs w:val="24"/>
          <w:highlight w:val="none"/>
        </w:rPr>
        <w:t>(5)影响进度的特殊原因分析。</w:t>
      </w:r>
    </w:p>
    <w:p>
      <w:pPr>
        <w:pStyle w:val="2"/>
        <w:rPr>
          <w:color w:val="auto"/>
          <w:sz w:val="24"/>
          <w:szCs w:val="24"/>
          <w:highlight w:val="none"/>
        </w:rPr>
      </w:pPr>
      <w:r>
        <w:rPr>
          <w:rFonts w:hint="eastAsia"/>
          <w:color w:val="auto"/>
          <w:sz w:val="24"/>
          <w:szCs w:val="24"/>
          <w:highlight w:val="none"/>
        </w:rPr>
        <w:t>6、将实际进度数据与进度计划进行比较，确定进度偏差。当采取纠正偏差措施不能保证进度计划实现时，调整进度计划，保证实际进度按计划进行。调整进度计划，不得影响总体进度目标的实现。</w:t>
      </w:r>
    </w:p>
    <w:p>
      <w:pPr>
        <w:pStyle w:val="2"/>
        <w:rPr>
          <w:color w:val="auto"/>
          <w:sz w:val="24"/>
          <w:szCs w:val="24"/>
          <w:highlight w:val="none"/>
        </w:rPr>
      </w:pPr>
      <w:r>
        <w:rPr>
          <w:rFonts w:hint="eastAsia"/>
          <w:color w:val="auto"/>
          <w:sz w:val="24"/>
          <w:szCs w:val="24"/>
          <w:highlight w:val="none"/>
        </w:rPr>
        <w:t>7、清楚了解承包人每天、每周相应的施工作业人员和机具的数量、所进材料数量、成品外加工计划执行情况、不同作业面的施工情况以及所完成的工程量、管线施工和工序穿插施工配合情况，近阶段及整个施工期的气候变化情况、施工环境的变化、承包人想法等情况。在进度控制中应确保资源供应计划的实现。</w:t>
      </w:r>
    </w:p>
    <w:p>
      <w:pPr>
        <w:pStyle w:val="2"/>
        <w:rPr>
          <w:color w:val="auto"/>
          <w:sz w:val="24"/>
          <w:szCs w:val="24"/>
          <w:highlight w:val="none"/>
        </w:rPr>
      </w:pPr>
      <w:r>
        <w:rPr>
          <w:rFonts w:hint="eastAsia"/>
          <w:color w:val="auto"/>
          <w:sz w:val="24"/>
          <w:szCs w:val="24"/>
          <w:highlight w:val="none"/>
        </w:rPr>
        <w:t>8、下列情况发监理工程师通知给承包人，或组织召开专题会议，要求承包人采取改进措施：</w:t>
      </w:r>
    </w:p>
    <w:p>
      <w:pPr>
        <w:pStyle w:val="2"/>
        <w:rPr>
          <w:color w:val="auto"/>
          <w:sz w:val="24"/>
          <w:szCs w:val="24"/>
          <w:highlight w:val="none"/>
        </w:rPr>
      </w:pPr>
      <w:r>
        <w:rPr>
          <w:rFonts w:hint="eastAsia"/>
          <w:color w:val="auto"/>
          <w:sz w:val="24"/>
          <w:szCs w:val="24"/>
          <w:highlight w:val="none"/>
        </w:rPr>
        <w:t>(1)实际进度滞后计划进度达到 7 天；</w:t>
      </w:r>
    </w:p>
    <w:p>
      <w:pPr>
        <w:pStyle w:val="2"/>
        <w:rPr>
          <w:color w:val="auto"/>
          <w:sz w:val="24"/>
          <w:szCs w:val="24"/>
          <w:highlight w:val="none"/>
        </w:rPr>
      </w:pPr>
      <w:r>
        <w:rPr>
          <w:rFonts w:hint="eastAsia"/>
          <w:color w:val="auto"/>
          <w:sz w:val="24"/>
          <w:szCs w:val="24"/>
          <w:highlight w:val="none"/>
        </w:rPr>
        <w:t>(2)预测工期完成有较大难度，关键进度节点控制不严，且没有采取相应措施；</w:t>
      </w:r>
    </w:p>
    <w:p>
      <w:pPr>
        <w:pStyle w:val="2"/>
        <w:rPr>
          <w:color w:val="auto"/>
          <w:sz w:val="24"/>
          <w:szCs w:val="24"/>
          <w:highlight w:val="none"/>
        </w:rPr>
      </w:pPr>
      <w:r>
        <w:rPr>
          <w:rFonts w:hint="eastAsia"/>
          <w:color w:val="auto"/>
          <w:sz w:val="24"/>
          <w:szCs w:val="24"/>
          <w:highlight w:val="none"/>
        </w:rPr>
        <w:t>(3)现场投入的财力、物力、施工机具、施工材料、劳动力、管理技术力量等方面跟合同与计划不符，将影响进度计划的实现；</w:t>
      </w:r>
    </w:p>
    <w:p>
      <w:pPr>
        <w:pStyle w:val="2"/>
        <w:rPr>
          <w:color w:val="auto"/>
          <w:sz w:val="24"/>
          <w:szCs w:val="24"/>
          <w:highlight w:val="none"/>
        </w:rPr>
      </w:pPr>
      <w:r>
        <w:rPr>
          <w:rFonts w:hint="eastAsia"/>
          <w:color w:val="auto"/>
          <w:sz w:val="24"/>
          <w:szCs w:val="24"/>
          <w:highlight w:val="none"/>
        </w:rPr>
        <w:t>(4)交叉施工作业互相干扰，协调不力。</w:t>
      </w:r>
    </w:p>
    <w:p>
      <w:pPr>
        <w:pStyle w:val="2"/>
        <w:rPr>
          <w:color w:val="auto"/>
          <w:sz w:val="24"/>
          <w:szCs w:val="24"/>
          <w:highlight w:val="none"/>
        </w:rPr>
      </w:pPr>
      <w:r>
        <w:rPr>
          <w:rFonts w:hint="eastAsia"/>
          <w:color w:val="auto"/>
          <w:sz w:val="24"/>
          <w:szCs w:val="24"/>
          <w:highlight w:val="none"/>
        </w:rPr>
        <w:t>9、下列情况发监理工作联系单给委托人或有关单位：</w:t>
      </w:r>
    </w:p>
    <w:p>
      <w:pPr>
        <w:pStyle w:val="2"/>
        <w:rPr>
          <w:color w:val="auto"/>
          <w:sz w:val="24"/>
          <w:szCs w:val="24"/>
          <w:highlight w:val="none"/>
        </w:rPr>
      </w:pPr>
      <w:r>
        <w:rPr>
          <w:rFonts w:hint="eastAsia"/>
          <w:color w:val="auto"/>
          <w:sz w:val="24"/>
          <w:szCs w:val="24"/>
          <w:highlight w:val="none"/>
        </w:rPr>
        <w:t>(1)施工图纸供应不及时，工程设计变更多，设计变更批复时间长；</w:t>
      </w:r>
    </w:p>
    <w:p>
      <w:pPr>
        <w:pStyle w:val="2"/>
        <w:rPr>
          <w:color w:val="auto"/>
          <w:sz w:val="24"/>
          <w:szCs w:val="24"/>
          <w:highlight w:val="none"/>
        </w:rPr>
      </w:pPr>
      <w:r>
        <w:rPr>
          <w:rFonts w:hint="eastAsia"/>
          <w:color w:val="auto"/>
          <w:sz w:val="24"/>
          <w:szCs w:val="24"/>
          <w:highlight w:val="none"/>
        </w:rPr>
        <w:t>(2)专业工程分包人的进场时间未按计划进场；</w:t>
      </w:r>
    </w:p>
    <w:p>
      <w:pPr>
        <w:pStyle w:val="2"/>
        <w:rPr>
          <w:color w:val="auto"/>
          <w:sz w:val="24"/>
          <w:szCs w:val="24"/>
          <w:highlight w:val="none"/>
        </w:rPr>
      </w:pPr>
      <w:r>
        <w:rPr>
          <w:rFonts w:hint="eastAsia"/>
          <w:color w:val="auto"/>
          <w:sz w:val="24"/>
          <w:szCs w:val="24"/>
          <w:highlight w:val="none"/>
        </w:rPr>
        <w:t>(3)专业设备及材料的定板和定案工作未按计划进行，将影响进度计划的实现。</w:t>
      </w:r>
    </w:p>
    <w:p>
      <w:pPr>
        <w:pStyle w:val="2"/>
        <w:rPr>
          <w:color w:val="auto"/>
          <w:sz w:val="24"/>
          <w:szCs w:val="24"/>
          <w:highlight w:val="none"/>
        </w:rPr>
      </w:pPr>
      <w:r>
        <w:rPr>
          <w:rFonts w:hint="eastAsia"/>
          <w:color w:val="auto"/>
          <w:sz w:val="24"/>
          <w:szCs w:val="24"/>
          <w:highlight w:val="none"/>
        </w:rPr>
        <w:t>10、按照项目管理目标总体进度计划的要求，监理人在周报和月报中，上报进度管理给报建设单位；在季报或半年报中，对项目进度管理情况进行全面分析和总结，并提出管控计划和举措。</w:t>
      </w:r>
    </w:p>
    <w:p>
      <w:pPr>
        <w:pStyle w:val="2"/>
        <w:rPr>
          <w:color w:val="auto"/>
          <w:sz w:val="24"/>
          <w:szCs w:val="24"/>
          <w:highlight w:val="none"/>
        </w:rPr>
      </w:pPr>
      <w:r>
        <w:rPr>
          <w:rFonts w:hint="eastAsia"/>
          <w:color w:val="auto"/>
          <w:sz w:val="24"/>
          <w:szCs w:val="24"/>
          <w:highlight w:val="none"/>
        </w:rPr>
        <w:t>（三）其他要求</w:t>
      </w:r>
    </w:p>
    <w:p>
      <w:pPr>
        <w:pStyle w:val="2"/>
        <w:ind w:firstLine="480" w:firstLineChars="200"/>
        <w:rPr>
          <w:color w:val="auto"/>
          <w:sz w:val="24"/>
          <w:szCs w:val="24"/>
          <w:highlight w:val="none"/>
        </w:rPr>
      </w:pPr>
      <w:r>
        <w:rPr>
          <w:rFonts w:hint="eastAsia"/>
          <w:color w:val="auto"/>
          <w:sz w:val="24"/>
          <w:szCs w:val="24"/>
          <w:highlight w:val="none"/>
        </w:rPr>
        <w:t>1、因本项目工期紧，工作强度大，根据工程需要，承担本项目的监理人员如需要加班工作时，监理人员应无条件服从，不得消极怠工，其加班费已包括在监理服务费中，委托人不另行增加任何费用。</w:t>
      </w:r>
    </w:p>
    <w:p>
      <w:pPr>
        <w:pStyle w:val="2"/>
        <w:ind w:firstLine="480" w:firstLineChars="200"/>
        <w:rPr>
          <w:color w:val="auto"/>
          <w:sz w:val="24"/>
          <w:szCs w:val="24"/>
          <w:highlight w:val="none"/>
        </w:rPr>
      </w:pPr>
      <w:r>
        <w:rPr>
          <w:color w:val="auto"/>
          <w:sz w:val="24"/>
          <w:szCs w:val="24"/>
          <w:highlight w:val="none"/>
        </w:rPr>
        <w:t>2</w:t>
      </w:r>
      <w:r>
        <w:rPr>
          <w:rFonts w:hint="eastAsia"/>
          <w:color w:val="auto"/>
          <w:sz w:val="24"/>
          <w:szCs w:val="24"/>
          <w:highlight w:val="none"/>
        </w:rPr>
        <w:t>、监理单位还须按招标人的要求提前进场参与开工前期的准备和筹划工作，协助委托人制定工程管理办法、各参建方职责及有关事务性工作等；在项目实施过程中，参与项目管理及提供必要的咨询服务工作。</w:t>
      </w:r>
    </w:p>
    <w:p>
      <w:pPr>
        <w:pStyle w:val="2"/>
        <w:ind w:firstLine="480" w:firstLineChars="200"/>
        <w:rPr>
          <w:color w:val="auto"/>
          <w:sz w:val="24"/>
          <w:szCs w:val="24"/>
          <w:highlight w:val="none"/>
        </w:rPr>
      </w:pPr>
      <w:r>
        <w:rPr>
          <w:rFonts w:hint="eastAsia"/>
          <w:color w:val="auto"/>
          <w:sz w:val="24"/>
          <w:szCs w:val="24"/>
          <w:highlight w:val="none"/>
        </w:rPr>
        <w:t>3、在招标人委托的第三方检测单位未进场前，监理人必须无条件为招标人编制《检测计划》，包含检测项目和数量等。</w:t>
      </w:r>
    </w:p>
    <w:p>
      <w:pPr>
        <w:pStyle w:val="18"/>
        <w:spacing w:before="0" w:after="0" w:line="420" w:lineRule="exact"/>
        <w:ind w:firstLine="562" w:firstLineChars="200"/>
        <w:contextualSpacing/>
        <w:jc w:val="left"/>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七</w:t>
      </w:r>
      <w:r>
        <w:rPr>
          <w:rFonts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rPr>
        <w:t>招标人提供的设施设备情况</w:t>
      </w:r>
    </w:p>
    <w:p>
      <w:pPr>
        <w:spacing w:line="420" w:lineRule="exact"/>
        <w:ind w:firstLine="480" w:firstLineChars="200"/>
        <w:contextualSpacing/>
        <w:jc w:val="left"/>
        <w:rPr>
          <w:rFonts w:ascii="宋体" w:hAnsi="宋体"/>
          <w:color w:val="auto"/>
          <w:kern w:val="0"/>
          <w:sz w:val="24"/>
          <w:highlight w:val="none"/>
        </w:rPr>
      </w:pPr>
      <w:r>
        <w:rPr>
          <w:rFonts w:hint="eastAsia"/>
          <w:color w:val="auto"/>
          <w:sz w:val="24"/>
          <w:highlight w:val="none"/>
        </w:rPr>
        <w:t>（一）招标人提供约1</w:t>
      </w:r>
      <w:r>
        <w:rPr>
          <w:color w:val="auto"/>
          <w:sz w:val="24"/>
          <w:highlight w:val="none"/>
        </w:rPr>
        <w:t>0</w:t>
      </w:r>
      <w:r>
        <w:rPr>
          <w:rFonts w:hint="eastAsia"/>
          <w:color w:val="auto"/>
          <w:sz w:val="24"/>
          <w:highlight w:val="none"/>
        </w:rPr>
        <w:t>0㎡施工临时板房（配备空调设施）用于监理部现场办公和生活住宿，板</w:t>
      </w:r>
      <w:r>
        <w:rPr>
          <w:rFonts w:hint="eastAsia" w:ascii="宋体" w:hAnsi="宋体"/>
          <w:color w:val="auto"/>
          <w:kern w:val="0"/>
          <w:sz w:val="24"/>
          <w:highlight w:val="none"/>
        </w:rPr>
        <w:t>房简单装修及区域内的水电、网络满足正常办公使用需要。</w:t>
      </w:r>
    </w:p>
    <w:p>
      <w:pPr>
        <w:spacing w:line="420" w:lineRule="exact"/>
        <w:ind w:firstLine="480" w:firstLineChars="200"/>
        <w:contextualSpacing/>
        <w:jc w:val="left"/>
        <w:rPr>
          <w:color w:val="auto"/>
          <w:sz w:val="24"/>
          <w:highlight w:val="none"/>
        </w:rPr>
      </w:pPr>
      <w:r>
        <w:rPr>
          <w:rFonts w:hint="eastAsia" w:ascii="宋体" w:hAnsi="宋体"/>
          <w:color w:val="auto"/>
          <w:kern w:val="0"/>
          <w:sz w:val="24"/>
          <w:highlight w:val="none"/>
        </w:rPr>
        <w:t>（二）监理人自行负责伙食费和其他日常办公必需品，不够的生活住宿面积自行解决，所需费用已包含在监理合同内，严禁转由施工单位提供或承担。</w:t>
      </w:r>
    </w:p>
    <w:p>
      <w:pPr>
        <w:spacing w:line="420" w:lineRule="exact"/>
        <w:ind w:firstLine="240" w:firstLineChars="100"/>
        <w:contextualSpacing/>
        <w:jc w:val="left"/>
        <w:rPr>
          <w:color w:val="auto"/>
          <w:sz w:val="24"/>
          <w:highlight w:val="none"/>
        </w:rPr>
      </w:pPr>
    </w:p>
    <w:p>
      <w:pPr>
        <w:jc w:val="center"/>
        <w:outlineLvl w:val="0"/>
        <w:rPr>
          <w:b/>
          <w:color w:val="auto"/>
          <w:highlight w:val="none"/>
        </w:rPr>
      </w:pPr>
      <w:r>
        <w:rPr>
          <w:rFonts w:hint="eastAsia"/>
          <w:color w:val="auto"/>
          <w:highlight w:val="none"/>
        </w:rPr>
        <w:br w:type="page"/>
      </w:r>
      <w:bookmarkStart w:id="445" w:name="_Toc63769819"/>
      <w:r>
        <w:rPr>
          <w:rFonts w:hint="eastAsia"/>
          <w:b/>
          <w:color w:val="auto"/>
          <w:sz w:val="44"/>
          <w:highlight w:val="none"/>
        </w:rPr>
        <w:t>第三卷</w:t>
      </w:r>
      <w:bookmarkEnd w:id="445"/>
    </w:p>
    <w:p>
      <w:pPr>
        <w:pStyle w:val="3"/>
        <w:keepNext w:val="0"/>
        <w:keepLines w:val="0"/>
        <w:spacing w:line="240" w:lineRule="auto"/>
        <w:jc w:val="center"/>
        <w:rPr>
          <w:rFonts w:ascii="宋体" w:hAnsi="宋体"/>
          <w:color w:val="auto"/>
          <w:highlight w:val="none"/>
        </w:rPr>
      </w:pPr>
      <w:bookmarkStart w:id="446" w:name="_Toc63769820"/>
      <w:r>
        <w:rPr>
          <w:rFonts w:hint="eastAsia" w:ascii="宋体" w:hAnsi="宋体"/>
          <w:color w:val="auto"/>
          <w:highlight w:val="none"/>
        </w:rPr>
        <w:t>第六章 投标文件格式</w:t>
      </w:r>
      <w:bookmarkEnd w:id="446"/>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spacing w:line="400" w:lineRule="exact"/>
        <w:rPr>
          <w:rFonts w:ascii="宋体" w:hAnsi="宋体"/>
          <w:color w:val="auto"/>
          <w:highlight w:val="none"/>
        </w:rPr>
      </w:pPr>
    </w:p>
    <w:p>
      <w:pPr>
        <w:jc w:val="center"/>
        <w:rPr>
          <w:rFonts w:ascii="宋体" w:hAnsi="宋体"/>
          <w:color w:val="auto"/>
          <w:sz w:val="28"/>
          <w:szCs w:val="28"/>
          <w:highlight w:val="none"/>
          <w:u w:val="single"/>
        </w:rPr>
      </w:pPr>
      <w:r>
        <w:rPr>
          <w:rFonts w:hint="eastAsia" w:ascii="宋体" w:hAnsi="宋体"/>
          <w:color w:val="auto"/>
          <w:sz w:val="28"/>
          <w:szCs w:val="28"/>
          <w:highlight w:val="none"/>
          <w:u w:val="single"/>
        </w:rPr>
        <w:br w:type="page"/>
      </w:r>
    </w:p>
    <w:p>
      <w:pPr>
        <w:jc w:val="center"/>
        <w:rPr>
          <w:rFonts w:ascii="宋体" w:hAnsi="宋体"/>
          <w:b/>
          <w:color w:val="auto"/>
          <w:sz w:val="24"/>
          <w:szCs w:val="28"/>
          <w:highlight w:val="none"/>
          <w:u w:val="single"/>
        </w:rPr>
      </w:pPr>
      <w:r>
        <w:rPr>
          <w:rFonts w:hint="eastAsia" w:ascii="宋体" w:hAnsi="宋体"/>
          <w:b/>
          <w:color w:val="auto"/>
          <w:sz w:val="32"/>
          <w:szCs w:val="28"/>
          <w:highlight w:val="none"/>
          <w:u w:val="single"/>
        </w:rPr>
        <w:t xml:space="preserve">           （项目名称）</w:t>
      </w: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rPr>
          <w:rFonts w:ascii="宋体" w:hAnsi="宋体"/>
          <w:color w:val="auto"/>
          <w:sz w:val="20"/>
          <w:highlight w:val="none"/>
        </w:rPr>
      </w:pPr>
    </w:p>
    <w:p>
      <w:pPr>
        <w:jc w:val="center"/>
        <w:rPr>
          <w:rFonts w:ascii="宋体" w:hAnsi="宋体"/>
          <w:b/>
          <w:color w:val="auto"/>
          <w:sz w:val="44"/>
          <w:highlight w:val="none"/>
        </w:rPr>
      </w:pPr>
      <w:r>
        <w:rPr>
          <w:rFonts w:hint="eastAsia" w:ascii="宋体" w:hAnsi="宋体"/>
          <w:b/>
          <w:color w:val="auto"/>
          <w:sz w:val="44"/>
          <w:highlight w:val="none"/>
        </w:rPr>
        <w:t>投标文件</w:t>
      </w:r>
    </w:p>
    <w:p>
      <w:pPr>
        <w:jc w:val="center"/>
        <w:rPr>
          <w:rFonts w:ascii="宋体" w:hAnsi="宋体"/>
          <w:color w:val="auto"/>
          <w:sz w:val="44"/>
          <w:highlight w:val="none"/>
        </w:rPr>
      </w:pPr>
    </w:p>
    <w:p>
      <w:pPr>
        <w:rPr>
          <w:rFonts w:ascii="宋体" w:hAnsi="宋体"/>
          <w:color w:val="auto"/>
          <w:sz w:val="28"/>
          <w:highlight w:val="none"/>
        </w:rPr>
      </w:pPr>
    </w:p>
    <w:p>
      <w:pPr>
        <w:rPr>
          <w:rFonts w:ascii="宋体" w:hAnsi="宋体"/>
          <w:color w:val="auto"/>
          <w:sz w:val="28"/>
          <w:highlight w:val="none"/>
        </w:rPr>
      </w:pPr>
    </w:p>
    <w:p>
      <w:pPr>
        <w:rPr>
          <w:rFonts w:ascii="宋体" w:hAnsi="宋体"/>
          <w:color w:val="auto"/>
          <w:sz w:val="28"/>
          <w:highlight w:val="none"/>
        </w:rPr>
      </w:pPr>
    </w:p>
    <w:p>
      <w:pPr>
        <w:rPr>
          <w:rFonts w:ascii="宋体" w:hAnsi="宋体"/>
          <w:color w:val="auto"/>
          <w:sz w:val="28"/>
          <w:highlight w:val="none"/>
        </w:rPr>
      </w:pPr>
    </w:p>
    <w:p>
      <w:pPr>
        <w:rPr>
          <w:rFonts w:ascii="宋体" w:hAnsi="宋体"/>
          <w:color w:val="auto"/>
          <w:sz w:val="28"/>
          <w:highlight w:val="none"/>
        </w:rPr>
      </w:pPr>
    </w:p>
    <w:p>
      <w:pPr>
        <w:rPr>
          <w:rFonts w:ascii="宋体" w:hAnsi="宋体"/>
          <w:color w:val="auto"/>
          <w:sz w:val="28"/>
          <w:highlight w:val="none"/>
        </w:rPr>
      </w:pPr>
    </w:p>
    <w:p>
      <w:pPr>
        <w:rPr>
          <w:rFonts w:ascii="宋体" w:hAnsi="宋体"/>
          <w:color w:val="auto"/>
          <w:sz w:val="28"/>
          <w:highlight w:val="none"/>
        </w:rPr>
      </w:pPr>
    </w:p>
    <w:p>
      <w:pPr>
        <w:rPr>
          <w:rFonts w:ascii="宋体" w:hAnsi="宋体"/>
          <w:color w:val="auto"/>
          <w:sz w:val="28"/>
          <w:highlight w:val="none"/>
        </w:rPr>
      </w:pPr>
    </w:p>
    <w:p>
      <w:pPr>
        <w:spacing w:line="360" w:lineRule="auto"/>
        <w:rPr>
          <w:rFonts w:ascii="宋体" w:hAnsi="宋体"/>
          <w:color w:val="auto"/>
          <w:sz w:val="28"/>
          <w:highlight w:val="none"/>
        </w:rPr>
      </w:pPr>
    </w:p>
    <w:p>
      <w:pPr>
        <w:spacing w:line="360" w:lineRule="auto"/>
        <w:ind w:firstLine="1120" w:firstLineChars="400"/>
        <w:rPr>
          <w:rFonts w:ascii="宋体" w:hAnsi="宋体"/>
          <w:color w:val="auto"/>
          <w:sz w:val="28"/>
          <w:highlight w:val="none"/>
          <w:u w:val="single"/>
        </w:rPr>
      </w:pPr>
      <w:r>
        <w:rPr>
          <w:rFonts w:hint="eastAsia" w:ascii="宋体" w:hAnsi="宋体"/>
          <w:color w:val="auto"/>
          <w:sz w:val="28"/>
          <w:highlight w:val="none"/>
        </w:rPr>
        <w:t>投标人：（盖单位章）</w:t>
      </w:r>
    </w:p>
    <w:p>
      <w:pPr>
        <w:spacing w:line="360" w:lineRule="auto"/>
        <w:ind w:firstLine="1120" w:firstLineChars="400"/>
        <w:jc w:val="left"/>
        <w:rPr>
          <w:rFonts w:ascii="宋体" w:hAnsi="宋体"/>
          <w:color w:val="auto"/>
          <w:sz w:val="28"/>
          <w:highlight w:val="none"/>
        </w:rPr>
      </w:pPr>
      <w:r>
        <w:rPr>
          <w:rFonts w:hint="eastAsia" w:ascii="宋体" w:hAnsi="宋体"/>
          <w:color w:val="auto"/>
          <w:sz w:val="28"/>
          <w:highlight w:val="none"/>
        </w:rPr>
        <w:t>法定代表人或其委托代理人：（签字或盖章）</w:t>
      </w:r>
    </w:p>
    <w:p>
      <w:pPr>
        <w:jc w:val="center"/>
        <w:rPr>
          <w:rFonts w:ascii="宋体" w:hAnsi="宋体"/>
          <w:color w:val="auto"/>
          <w:sz w:val="28"/>
          <w:highlight w:val="none"/>
        </w:rPr>
      </w:pPr>
    </w:p>
    <w:p>
      <w:pPr>
        <w:spacing w:line="400" w:lineRule="exact"/>
        <w:jc w:val="center"/>
        <w:rPr>
          <w:rFonts w:ascii="宋体" w:hAnsi="宋体"/>
          <w:color w:val="auto"/>
          <w:highlight w:val="none"/>
        </w:rPr>
      </w:pPr>
      <w:r>
        <w:rPr>
          <w:rFonts w:hint="eastAsia" w:ascii="宋体" w:hAnsi="宋体"/>
          <w:color w:val="auto"/>
          <w:sz w:val="28"/>
          <w:highlight w:val="none"/>
        </w:rPr>
        <w:t>年月日</w:t>
      </w:r>
    </w:p>
    <w:p>
      <w:pPr>
        <w:spacing w:line="360" w:lineRule="auto"/>
        <w:ind w:left="630" w:leftChars="300"/>
        <w:rPr>
          <w:rFonts w:ascii="宋体" w:hAnsi="宋体" w:cs="宋体"/>
          <w:color w:val="auto"/>
          <w:sz w:val="28"/>
          <w:szCs w:val="28"/>
          <w:highlight w:val="none"/>
        </w:rPr>
      </w:pPr>
      <w:r>
        <w:rPr>
          <w:rFonts w:hint="eastAsia" w:ascii="宋体" w:hAnsi="宋体"/>
          <w:color w:val="auto"/>
          <w:highlight w:val="none"/>
        </w:rPr>
        <w:br w:type="page"/>
      </w:r>
      <w:bookmarkEnd w:id="427"/>
      <w:bookmarkEnd w:id="428"/>
      <w:bookmarkEnd w:id="429"/>
      <w:bookmarkEnd w:id="430"/>
      <w:bookmarkEnd w:id="431"/>
      <w:bookmarkEnd w:id="432"/>
      <w:bookmarkEnd w:id="433"/>
      <w:bookmarkEnd w:id="434"/>
      <w:bookmarkEnd w:id="435"/>
      <w:bookmarkStart w:id="447" w:name="_Toc369531691"/>
      <w:bookmarkStart w:id="448" w:name="_Toc352691655"/>
      <w:bookmarkStart w:id="449" w:name="_Toc7039"/>
      <w:r>
        <w:rPr>
          <w:rFonts w:hint="eastAsia" w:ascii="宋体" w:hAnsi="宋体" w:cs="宋体"/>
          <w:color w:val="auto"/>
          <w:sz w:val="28"/>
          <w:szCs w:val="28"/>
          <w:highlight w:val="none"/>
        </w:rPr>
        <w:t>格式一、投标函及投标函附录</w:t>
      </w:r>
    </w:p>
    <w:p>
      <w:pPr>
        <w:spacing w:line="360" w:lineRule="auto"/>
        <w:ind w:left="630" w:leftChars="300"/>
        <w:rPr>
          <w:rFonts w:ascii="宋体" w:hAnsi="宋体" w:cs="宋体"/>
          <w:color w:val="auto"/>
          <w:sz w:val="28"/>
          <w:szCs w:val="28"/>
          <w:highlight w:val="none"/>
        </w:rPr>
      </w:pPr>
      <w:r>
        <w:rPr>
          <w:rFonts w:hint="eastAsia" w:ascii="宋体" w:hAnsi="宋体" w:cs="宋体"/>
          <w:color w:val="auto"/>
          <w:sz w:val="28"/>
          <w:szCs w:val="28"/>
          <w:highlight w:val="none"/>
        </w:rPr>
        <w:t>格式二、法定代表人身份证明（适用于无委托代理人的情况）、授权委托书（适用于有委托代理人的情况）</w:t>
      </w:r>
    </w:p>
    <w:p>
      <w:pPr>
        <w:spacing w:line="360" w:lineRule="auto"/>
        <w:ind w:left="630" w:leftChars="300"/>
        <w:rPr>
          <w:rFonts w:ascii="宋体" w:hAnsi="宋体" w:cs="宋体"/>
          <w:color w:val="auto"/>
          <w:sz w:val="28"/>
          <w:szCs w:val="28"/>
          <w:highlight w:val="none"/>
        </w:rPr>
      </w:pPr>
      <w:r>
        <w:rPr>
          <w:rFonts w:hint="eastAsia" w:ascii="宋体" w:hAnsi="宋体" w:cs="宋体"/>
          <w:color w:val="auto"/>
          <w:sz w:val="28"/>
          <w:szCs w:val="28"/>
          <w:highlight w:val="none"/>
        </w:rPr>
        <w:t>格式三、投标保证金</w:t>
      </w:r>
    </w:p>
    <w:p>
      <w:pPr>
        <w:spacing w:line="360" w:lineRule="auto"/>
        <w:ind w:left="630" w:leftChars="300"/>
        <w:rPr>
          <w:rFonts w:ascii="宋体" w:hAnsi="宋体" w:cs="宋体"/>
          <w:color w:val="auto"/>
          <w:sz w:val="28"/>
          <w:szCs w:val="28"/>
          <w:highlight w:val="none"/>
        </w:rPr>
      </w:pPr>
      <w:r>
        <w:rPr>
          <w:rFonts w:hint="eastAsia" w:ascii="宋体" w:hAnsi="宋体" w:cs="宋体"/>
          <w:color w:val="auto"/>
          <w:sz w:val="28"/>
          <w:szCs w:val="28"/>
          <w:highlight w:val="none"/>
        </w:rPr>
        <w:t>格式四、监理报酬清单</w:t>
      </w:r>
    </w:p>
    <w:p>
      <w:pPr>
        <w:spacing w:line="360" w:lineRule="auto"/>
        <w:ind w:left="630" w:leftChars="300"/>
        <w:rPr>
          <w:rFonts w:ascii="宋体" w:hAnsi="宋体" w:cs="宋体"/>
          <w:color w:val="auto"/>
          <w:sz w:val="28"/>
          <w:szCs w:val="28"/>
          <w:highlight w:val="none"/>
        </w:rPr>
      </w:pPr>
      <w:r>
        <w:rPr>
          <w:rFonts w:hint="eastAsia" w:ascii="宋体" w:hAnsi="宋体" w:cs="宋体"/>
          <w:color w:val="auto"/>
          <w:sz w:val="28"/>
          <w:szCs w:val="28"/>
          <w:highlight w:val="none"/>
        </w:rPr>
        <w:t>监理费用成本明细一</w:t>
      </w:r>
    </w:p>
    <w:p>
      <w:pPr>
        <w:spacing w:line="360" w:lineRule="auto"/>
        <w:ind w:left="630" w:leftChars="300"/>
        <w:rPr>
          <w:rFonts w:ascii="宋体" w:hAnsi="宋体" w:cs="宋体"/>
          <w:color w:val="auto"/>
          <w:sz w:val="28"/>
          <w:szCs w:val="28"/>
          <w:highlight w:val="none"/>
        </w:rPr>
      </w:pPr>
      <w:r>
        <w:rPr>
          <w:rFonts w:hint="eastAsia" w:ascii="宋体" w:hAnsi="宋体" w:cs="宋体"/>
          <w:color w:val="auto"/>
          <w:sz w:val="28"/>
          <w:szCs w:val="28"/>
          <w:highlight w:val="none"/>
        </w:rPr>
        <w:t>监理费用成本明细二</w:t>
      </w:r>
    </w:p>
    <w:p>
      <w:pPr>
        <w:spacing w:line="360" w:lineRule="auto"/>
        <w:ind w:left="630" w:leftChars="300"/>
        <w:rPr>
          <w:rFonts w:ascii="宋体" w:hAnsi="宋体" w:cs="宋体"/>
          <w:color w:val="auto"/>
          <w:sz w:val="28"/>
          <w:szCs w:val="28"/>
          <w:highlight w:val="none"/>
        </w:rPr>
      </w:pPr>
      <w:r>
        <w:rPr>
          <w:rFonts w:hint="eastAsia" w:ascii="宋体" w:hAnsi="宋体" w:cs="宋体"/>
          <w:color w:val="auto"/>
          <w:sz w:val="28"/>
          <w:szCs w:val="28"/>
          <w:highlight w:val="none"/>
        </w:rPr>
        <w:t>格式五、资格审查资料</w:t>
      </w:r>
    </w:p>
    <w:p>
      <w:pPr>
        <w:spacing w:line="360" w:lineRule="auto"/>
        <w:ind w:left="630" w:leftChars="300"/>
        <w:rPr>
          <w:rFonts w:ascii="宋体" w:hAnsi="宋体" w:cs="宋体"/>
          <w:color w:val="auto"/>
          <w:sz w:val="28"/>
          <w:szCs w:val="28"/>
          <w:highlight w:val="none"/>
        </w:rPr>
      </w:pPr>
      <w:r>
        <w:rPr>
          <w:rFonts w:hint="eastAsia" w:ascii="宋体" w:hAnsi="宋体" w:cs="宋体"/>
          <w:color w:val="auto"/>
          <w:sz w:val="28"/>
          <w:szCs w:val="28"/>
          <w:highlight w:val="none"/>
        </w:rPr>
        <w:t>格式六、监理大纲</w:t>
      </w:r>
    </w:p>
    <w:p>
      <w:pPr>
        <w:spacing w:line="360" w:lineRule="auto"/>
        <w:ind w:left="630" w:leftChars="300"/>
        <w:rPr>
          <w:rFonts w:ascii="宋体" w:hAnsi="宋体" w:cs="宋体"/>
          <w:color w:val="auto"/>
          <w:sz w:val="28"/>
          <w:szCs w:val="28"/>
          <w:highlight w:val="none"/>
        </w:rPr>
      </w:pPr>
      <w:r>
        <w:rPr>
          <w:rFonts w:hint="eastAsia" w:ascii="宋体" w:hAnsi="宋体" w:cs="宋体"/>
          <w:color w:val="auto"/>
          <w:sz w:val="28"/>
          <w:szCs w:val="28"/>
          <w:highlight w:val="none"/>
        </w:rPr>
        <w:t>格式七、其他资料（包括但不限制于以下内容）</w:t>
      </w:r>
    </w:p>
    <w:p>
      <w:pPr>
        <w:spacing w:line="360" w:lineRule="auto"/>
        <w:ind w:left="1048" w:leftChars="499"/>
        <w:rPr>
          <w:rFonts w:ascii="宋体" w:hAnsi="宋体" w:cs="宋体"/>
          <w:color w:val="auto"/>
          <w:sz w:val="28"/>
          <w:szCs w:val="28"/>
          <w:highlight w:val="none"/>
        </w:rPr>
      </w:pPr>
      <w:r>
        <w:rPr>
          <w:rFonts w:hint="eastAsia" w:ascii="宋体" w:hAnsi="宋体" w:cs="宋体"/>
          <w:color w:val="auto"/>
          <w:sz w:val="28"/>
          <w:szCs w:val="28"/>
          <w:highlight w:val="none"/>
        </w:rPr>
        <w:t>①工程监理服务承诺书；</w:t>
      </w:r>
    </w:p>
    <w:p>
      <w:pPr>
        <w:spacing w:line="360" w:lineRule="auto"/>
        <w:ind w:left="1048" w:leftChars="499"/>
        <w:rPr>
          <w:rFonts w:ascii="宋体" w:hAnsi="宋体" w:cs="宋体"/>
          <w:color w:val="auto"/>
          <w:sz w:val="28"/>
          <w:szCs w:val="28"/>
          <w:highlight w:val="none"/>
        </w:rPr>
      </w:pPr>
      <w:r>
        <w:rPr>
          <w:rFonts w:hint="eastAsia" w:ascii="宋体" w:hAnsi="宋体" w:cs="宋体"/>
          <w:color w:val="auto"/>
          <w:sz w:val="28"/>
          <w:szCs w:val="28"/>
          <w:highlight w:val="none"/>
        </w:rPr>
        <w:t>②工程监理合同响应承诺书；</w:t>
      </w:r>
    </w:p>
    <w:p>
      <w:pPr>
        <w:spacing w:line="360" w:lineRule="auto"/>
        <w:ind w:left="1048" w:leftChars="499"/>
        <w:rPr>
          <w:rFonts w:ascii="宋体" w:hAnsi="宋体" w:cs="宋体"/>
          <w:color w:val="auto"/>
          <w:sz w:val="28"/>
          <w:szCs w:val="28"/>
          <w:highlight w:val="none"/>
        </w:rPr>
      </w:pPr>
      <w:r>
        <w:rPr>
          <w:rFonts w:hint="eastAsia" w:ascii="宋体" w:hAnsi="宋体" w:cs="宋体"/>
          <w:color w:val="auto"/>
          <w:sz w:val="28"/>
          <w:szCs w:val="28"/>
          <w:highlight w:val="none"/>
        </w:rPr>
        <w:t>③工程监理人员到位承诺书</w:t>
      </w:r>
    </w:p>
    <w:p>
      <w:pPr>
        <w:spacing w:line="360" w:lineRule="auto"/>
        <w:ind w:left="1048" w:leftChars="499"/>
        <w:rPr>
          <w:rFonts w:ascii="宋体" w:hAnsi="宋体" w:cs="宋体"/>
          <w:color w:val="auto"/>
          <w:sz w:val="28"/>
          <w:szCs w:val="28"/>
          <w:highlight w:val="none"/>
        </w:rPr>
      </w:pPr>
      <w:r>
        <w:rPr>
          <w:rFonts w:hint="eastAsia" w:ascii="宋体" w:hAnsi="宋体" w:cs="宋体"/>
          <w:color w:val="auto"/>
          <w:sz w:val="28"/>
          <w:szCs w:val="28"/>
          <w:highlight w:val="none"/>
        </w:rPr>
        <w:t>④工程监理人员任职承诺书；</w:t>
      </w:r>
    </w:p>
    <w:p>
      <w:pPr>
        <w:spacing w:line="360" w:lineRule="auto"/>
        <w:ind w:left="1048" w:leftChars="499"/>
        <w:rPr>
          <w:rFonts w:ascii="宋体" w:hAnsi="宋体" w:cs="宋体"/>
          <w:color w:val="auto"/>
          <w:sz w:val="28"/>
          <w:szCs w:val="28"/>
          <w:highlight w:val="none"/>
        </w:rPr>
      </w:pPr>
      <w:r>
        <w:rPr>
          <w:rFonts w:hint="eastAsia" w:ascii="宋体" w:hAnsi="宋体" w:cs="宋体"/>
          <w:color w:val="auto"/>
          <w:sz w:val="28"/>
          <w:szCs w:val="28"/>
          <w:highlight w:val="none"/>
        </w:rPr>
        <w:t>⑤拟投入的设备仪器到位承诺书；</w:t>
      </w:r>
    </w:p>
    <w:p>
      <w:pPr>
        <w:spacing w:line="360" w:lineRule="auto"/>
        <w:ind w:left="1048" w:leftChars="499"/>
        <w:rPr>
          <w:rFonts w:ascii="宋体" w:hAnsi="宋体" w:cs="宋体"/>
          <w:color w:val="auto"/>
          <w:sz w:val="28"/>
          <w:szCs w:val="28"/>
          <w:highlight w:val="none"/>
        </w:rPr>
      </w:pPr>
      <w:r>
        <w:rPr>
          <w:rFonts w:hint="eastAsia" w:ascii="宋体" w:hAnsi="宋体" w:cs="宋体"/>
          <w:color w:val="auto"/>
          <w:sz w:val="28"/>
          <w:szCs w:val="28"/>
          <w:highlight w:val="none"/>
        </w:rPr>
        <w:t>⑥投标人认为需要提供的资料（如有）。</w:t>
      </w:r>
    </w:p>
    <w:p>
      <w:pPr>
        <w:spacing w:line="540" w:lineRule="exact"/>
        <w:rPr>
          <w:rFonts w:ascii="宋体" w:hAnsi="宋体" w:cs="宋体"/>
          <w:color w:val="auto"/>
          <w:sz w:val="20"/>
          <w:highlight w:val="none"/>
        </w:rPr>
      </w:pPr>
    </w:p>
    <w:p>
      <w:pPr>
        <w:spacing w:line="540" w:lineRule="exact"/>
        <w:rPr>
          <w:rFonts w:ascii="宋体" w:hAnsi="宋体" w:cs="宋体"/>
          <w:color w:val="auto"/>
          <w:sz w:val="20"/>
          <w:highlight w:val="none"/>
        </w:rPr>
      </w:pPr>
    </w:p>
    <w:bookmarkEnd w:id="447"/>
    <w:bookmarkEnd w:id="448"/>
    <w:bookmarkEnd w:id="449"/>
    <w:p>
      <w:pPr>
        <w:rPr>
          <w:rFonts w:ascii="宋体" w:hAnsi="宋体" w:cs="宋体"/>
          <w:b/>
          <w:bCs/>
          <w:color w:val="auto"/>
          <w:kern w:val="0"/>
          <w:sz w:val="30"/>
          <w:szCs w:val="30"/>
          <w:highlight w:val="none"/>
        </w:rPr>
      </w:pPr>
      <w:bookmarkStart w:id="450" w:name="_Toc529196600"/>
      <w:bookmarkStart w:id="451" w:name="_Toc535938751"/>
      <w:bookmarkStart w:id="452" w:name="_Toc530470642"/>
      <w:r>
        <w:rPr>
          <w:rFonts w:hint="eastAsia" w:ascii="宋体" w:hAnsi="宋体" w:cs="宋体"/>
          <w:b/>
          <w:bCs/>
          <w:color w:val="auto"/>
          <w:kern w:val="0"/>
          <w:sz w:val="30"/>
          <w:szCs w:val="30"/>
          <w:highlight w:val="none"/>
        </w:rPr>
        <w:br w:type="page"/>
      </w:r>
    </w:p>
    <w:p>
      <w:pPr>
        <w:widowControl/>
        <w:spacing w:after="240" w:line="360" w:lineRule="auto"/>
        <w:jc w:val="left"/>
        <w:outlineLvl w:val="1"/>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格式一、投标</w:t>
      </w:r>
      <w:bookmarkStart w:id="453" w:name="_Toc352691656"/>
      <w:bookmarkStart w:id="454" w:name="_Toc369531692"/>
      <w:bookmarkStart w:id="455" w:name="_Toc6931"/>
      <w:r>
        <w:rPr>
          <w:rFonts w:hint="eastAsia" w:ascii="宋体" w:hAnsi="宋体" w:cs="宋体"/>
          <w:b/>
          <w:bCs/>
          <w:color w:val="auto"/>
          <w:kern w:val="0"/>
          <w:sz w:val="30"/>
          <w:szCs w:val="30"/>
          <w:highlight w:val="none"/>
        </w:rPr>
        <w:t>函及投标函附录</w:t>
      </w:r>
      <w:bookmarkEnd w:id="450"/>
      <w:bookmarkEnd w:id="451"/>
      <w:bookmarkEnd w:id="452"/>
    </w:p>
    <w:bookmarkEnd w:id="453"/>
    <w:bookmarkEnd w:id="454"/>
    <w:bookmarkEnd w:id="455"/>
    <w:p>
      <w:pPr>
        <w:widowControl/>
        <w:spacing w:line="360" w:lineRule="auto"/>
        <w:ind w:left="118"/>
        <w:jc w:val="center"/>
        <w:outlineLvl w:val="2"/>
        <w:rPr>
          <w:rFonts w:ascii="宋体" w:hAnsi="宋体" w:cs="宋体"/>
          <w:b/>
          <w:bCs/>
          <w:color w:val="auto"/>
          <w:kern w:val="0"/>
          <w:sz w:val="32"/>
          <w:szCs w:val="28"/>
          <w:highlight w:val="none"/>
        </w:rPr>
      </w:pPr>
      <w:bookmarkStart w:id="456" w:name="_Toc359594235"/>
      <w:bookmarkStart w:id="457" w:name="_Toc370676426"/>
      <w:bookmarkStart w:id="458" w:name="_Toc482188651"/>
      <w:bookmarkStart w:id="459" w:name="_Toc391394111"/>
      <w:bookmarkStart w:id="460" w:name="_Toc385943065"/>
      <w:bookmarkStart w:id="461" w:name="_Toc530470643"/>
      <w:bookmarkStart w:id="462" w:name="_Toc529196601"/>
      <w:bookmarkStart w:id="463" w:name="_Toc535938752"/>
      <w:r>
        <w:rPr>
          <w:rFonts w:hint="eastAsia" w:ascii="宋体" w:hAnsi="宋体" w:cs="宋体"/>
          <w:b/>
          <w:bCs/>
          <w:color w:val="auto"/>
          <w:kern w:val="0"/>
          <w:sz w:val="32"/>
          <w:szCs w:val="28"/>
          <w:highlight w:val="none"/>
        </w:rPr>
        <w:t>（一）投标函</w:t>
      </w:r>
      <w:bookmarkEnd w:id="456"/>
      <w:bookmarkEnd w:id="457"/>
      <w:bookmarkEnd w:id="458"/>
      <w:bookmarkEnd w:id="459"/>
      <w:bookmarkEnd w:id="460"/>
      <w:bookmarkEnd w:id="461"/>
      <w:bookmarkEnd w:id="462"/>
      <w:bookmarkEnd w:id="463"/>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广东粤新文化产业投资有限公司：</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1．我方已仔细研究了岭南文化创意产业园项目一期工程施工监理招标文件的全部内容，愿意以《投标函附录》中的投标报价和监理服务期限，按合同约定完成监理工作。</w:t>
      </w:r>
    </w:p>
    <w:p>
      <w:pPr>
        <w:spacing w:line="360" w:lineRule="auto"/>
        <w:ind w:firstLine="480" w:firstLineChars="200"/>
        <w:rPr>
          <w:rFonts w:ascii="宋体" w:hAnsi="宋体" w:cs="宋体"/>
          <w:color w:val="auto"/>
          <w:sz w:val="24"/>
          <w:szCs w:val="24"/>
          <w:highlight w:val="none"/>
        </w:rPr>
      </w:pPr>
      <w:bookmarkStart w:id="464" w:name="_Toc530470644"/>
      <w:r>
        <w:rPr>
          <w:rFonts w:hint="eastAsia" w:ascii="宋体" w:hAnsi="宋体" w:cs="宋体"/>
          <w:color w:val="auto"/>
          <w:sz w:val="24"/>
          <w:szCs w:val="24"/>
          <w:highlight w:val="none"/>
        </w:rPr>
        <w:t>2. 我方的投标文件包括下列内容：</w:t>
      </w:r>
      <w:bookmarkEnd w:id="464"/>
    </w:p>
    <w:p>
      <w:pPr>
        <w:spacing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（1）投标函及投标函附录；</w:t>
      </w:r>
    </w:p>
    <w:p>
      <w:pPr>
        <w:spacing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（2）法定代表人身份证明或授权委托书；</w:t>
      </w:r>
    </w:p>
    <w:p>
      <w:pPr>
        <w:spacing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（3）投标保证金；</w:t>
      </w:r>
    </w:p>
    <w:p>
      <w:pPr>
        <w:spacing w:line="360" w:lineRule="auto"/>
        <w:ind w:firstLine="405"/>
        <w:rPr>
          <w:rFonts w:ascii="宋体" w:hAnsi="宋体" w:cs="宋体"/>
          <w:strike/>
          <w:color w:val="auto"/>
          <w:sz w:val="24"/>
          <w:szCs w:val="24"/>
          <w:highlight w:val="none"/>
        </w:rPr>
      </w:pPr>
      <w:r>
        <w:rPr>
          <w:rFonts w:hint="eastAsia" w:ascii="宋体" w:hAnsi="宋体" w:cs="宋体"/>
          <w:color w:val="auto"/>
          <w:sz w:val="24"/>
          <w:szCs w:val="24"/>
          <w:highlight w:val="none"/>
        </w:rPr>
        <w:t>（4）监理报酬清单；</w:t>
      </w:r>
    </w:p>
    <w:p>
      <w:pPr>
        <w:spacing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（5）资格审查资料</w:t>
      </w:r>
    </w:p>
    <w:p>
      <w:pPr>
        <w:spacing w:line="360" w:lineRule="auto"/>
        <w:ind w:firstLine="405"/>
        <w:rPr>
          <w:rFonts w:ascii="宋体" w:hAnsi="宋体" w:cs="宋体"/>
          <w:color w:val="auto"/>
          <w:sz w:val="24"/>
          <w:szCs w:val="24"/>
          <w:highlight w:val="none"/>
        </w:rPr>
      </w:pPr>
      <w:r>
        <w:rPr>
          <w:rFonts w:hint="eastAsia" w:ascii="宋体" w:hAnsi="宋体" w:cs="宋体"/>
          <w:color w:val="auto"/>
          <w:sz w:val="24"/>
          <w:szCs w:val="24"/>
          <w:highlight w:val="none"/>
        </w:rPr>
        <w:t>（6）监理大纲；</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（7）其他资料。</w:t>
      </w:r>
    </w:p>
    <w:p>
      <w:pPr>
        <w:spacing w:line="360" w:lineRule="auto"/>
        <w:ind w:left="848" w:leftChars="404" w:firstLine="1"/>
        <w:rPr>
          <w:rFonts w:ascii="宋体" w:hAnsi="宋体" w:cs="宋体"/>
          <w:color w:val="auto"/>
          <w:sz w:val="24"/>
          <w:szCs w:val="24"/>
          <w:highlight w:val="none"/>
        </w:rPr>
      </w:pPr>
      <w:r>
        <w:rPr>
          <w:rFonts w:hint="eastAsia" w:ascii="宋体" w:hAnsi="宋体" w:cs="宋体"/>
          <w:color w:val="auto"/>
          <w:sz w:val="24"/>
          <w:szCs w:val="24"/>
          <w:highlight w:val="none"/>
        </w:rPr>
        <w:t>①工程监理服务承诺书；</w:t>
      </w:r>
    </w:p>
    <w:p>
      <w:pPr>
        <w:spacing w:line="360" w:lineRule="auto"/>
        <w:ind w:left="848" w:leftChars="404" w:firstLine="1"/>
        <w:rPr>
          <w:rFonts w:ascii="宋体" w:hAnsi="宋体" w:cs="宋体"/>
          <w:color w:val="auto"/>
          <w:sz w:val="24"/>
          <w:szCs w:val="24"/>
          <w:highlight w:val="none"/>
        </w:rPr>
      </w:pPr>
      <w:r>
        <w:rPr>
          <w:rFonts w:hint="eastAsia" w:ascii="宋体" w:hAnsi="宋体" w:cs="宋体"/>
          <w:color w:val="auto"/>
          <w:sz w:val="24"/>
          <w:szCs w:val="24"/>
          <w:highlight w:val="none"/>
        </w:rPr>
        <w:t>②工程监理合同响应承诺书；</w:t>
      </w:r>
    </w:p>
    <w:p>
      <w:pPr>
        <w:spacing w:line="360" w:lineRule="auto"/>
        <w:ind w:left="848" w:leftChars="404" w:firstLine="1"/>
        <w:rPr>
          <w:rFonts w:ascii="宋体" w:hAnsi="宋体" w:cs="宋体"/>
          <w:color w:val="auto"/>
          <w:sz w:val="24"/>
          <w:szCs w:val="24"/>
          <w:highlight w:val="none"/>
        </w:rPr>
      </w:pPr>
      <w:r>
        <w:rPr>
          <w:rFonts w:hint="eastAsia" w:ascii="宋体" w:hAnsi="宋体" w:cs="宋体"/>
          <w:color w:val="auto"/>
          <w:sz w:val="24"/>
          <w:szCs w:val="24"/>
          <w:highlight w:val="none"/>
        </w:rPr>
        <w:t>③工程监理人员到位承诺书；</w:t>
      </w:r>
    </w:p>
    <w:p>
      <w:pPr>
        <w:spacing w:line="360" w:lineRule="auto"/>
        <w:ind w:left="848" w:leftChars="404" w:firstLine="1"/>
        <w:rPr>
          <w:rFonts w:ascii="宋体" w:hAnsi="宋体" w:cs="宋体"/>
          <w:color w:val="auto"/>
          <w:sz w:val="24"/>
          <w:szCs w:val="24"/>
          <w:highlight w:val="none"/>
        </w:rPr>
      </w:pPr>
      <w:r>
        <w:rPr>
          <w:rFonts w:hint="eastAsia" w:ascii="宋体" w:hAnsi="宋体" w:cs="宋体"/>
          <w:color w:val="auto"/>
          <w:sz w:val="24"/>
          <w:szCs w:val="24"/>
          <w:highlight w:val="none"/>
        </w:rPr>
        <w:t>④工程监理人员任职承诺书；</w:t>
      </w:r>
    </w:p>
    <w:p>
      <w:pPr>
        <w:spacing w:line="360" w:lineRule="auto"/>
        <w:ind w:left="848" w:leftChars="404" w:firstLine="1"/>
        <w:rPr>
          <w:rFonts w:ascii="宋体" w:hAnsi="宋体" w:cs="宋体"/>
          <w:color w:val="auto"/>
          <w:sz w:val="24"/>
          <w:szCs w:val="24"/>
          <w:highlight w:val="none"/>
        </w:rPr>
      </w:pPr>
      <w:r>
        <w:rPr>
          <w:rFonts w:hint="eastAsia" w:ascii="宋体" w:hAnsi="宋体" w:cs="宋体"/>
          <w:color w:val="auto"/>
          <w:sz w:val="24"/>
          <w:szCs w:val="24"/>
          <w:highlight w:val="none"/>
        </w:rPr>
        <w:t>⑤拟投入的设备仪器到位承诺书；</w:t>
      </w:r>
    </w:p>
    <w:p>
      <w:pPr>
        <w:spacing w:line="360" w:lineRule="auto"/>
        <w:ind w:left="848" w:leftChars="404" w:firstLine="1"/>
        <w:rPr>
          <w:rFonts w:ascii="宋体" w:hAnsi="宋体" w:cs="宋体"/>
          <w:color w:val="auto"/>
          <w:sz w:val="24"/>
          <w:szCs w:val="24"/>
          <w:highlight w:val="none"/>
        </w:rPr>
      </w:pPr>
      <w:r>
        <w:rPr>
          <w:rFonts w:hint="eastAsia" w:ascii="宋体" w:hAnsi="宋体" w:cs="宋体"/>
          <w:color w:val="auto"/>
          <w:sz w:val="24"/>
          <w:szCs w:val="24"/>
          <w:highlight w:val="none"/>
        </w:rPr>
        <w:t>⑥拟委派本项目监理人员配备响应情况表；</w:t>
      </w:r>
    </w:p>
    <w:p>
      <w:pPr>
        <w:spacing w:line="360" w:lineRule="auto"/>
        <w:ind w:left="848" w:leftChars="404" w:firstLine="1"/>
        <w:rPr>
          <w:rFonts w:ascii="宋体" w:hAnsi="宋体" w:cs="宋体"/>
          <w:color w:val="auto"/>
          <w:sz w:val="24"/>
          <w:szCs w:val="24"/>
          <w:highlight w:val="none"/>
        </w:rPr>
      </w:pPr>
      <w:r>
        <w:rPr>
          <w:rFonts w:hint="eastAsia" w:ascii="宋体" w:hAnsi="宋体" w:cs="宋体"/>
          <w:color w:val="auto"/>
          <w:sz w:val="24"/>
          <w:szCs w:val="24"/>
          <w:highlight w:val="none"/>
        </w:rPr>
        <w:t>⑦投标人认为需要提供的资料（如有）。</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投标文件的上述组成部分如存在内容不一致的，以投标函为准。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3．我方承诺在招标文件规定的投标有效期</w:t>
      </w:r>
      <w:r>
        <w:rPr>
          <w:rFonts w:hint="eastAsia" w:ascii="宋体" w:hAnsi="宋体" w:cs="宋体"/>
          <w:color w:val="auto"/>
          <w:sz w:val="24"/>
          <w:szCs w:val="24"/>
          <w:highlight w:val="none"/>
          <w:u w:val="single"/>
        </w:rPr>
        <w:t>90</w:t>
      </w:r>
      <w:r>
        <w:rPr>
          <w:rFonts w:hint="eastAsia" w:ascii="宋体" w:hAnsi="宋体" w:cs="宋体"/>
          <w:color w:val="auto"/>
          <w:sz w:val="24"/>
          <w:szCs w:val="24"/>
          <w:highlight w:val="none"/>
        </w:rPr>
        <w:t>日历天内不撤销投标文件。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4．如我方中标，我方承诺：</w:t>
      </w:r>
    </w:p>
    <w:p>
      <w:pPr>
        <w:spacing w:line="360" w:lineRule="auto"/>
        <w:ind w:firstLine="708" w:firstLineChars="295"/>
        <w:rPr>
          <w:rFonts w:ascii="宋体" w:hAnsi="宋体" w:cs="宋体"/>
          <w:color w:val="auto"/>
          <w:sz w:val="24"/>
          <w:szCs w:val="24"/>
          <w:highlight w:val="none"/>
        </w:rPr>
      </w:pPr>
      <w:r>
        <w:rPr>
          <w:rFonts w:hint="eastAsia" w:ascii="宋体" w:hAnsi="宋体" w:cs="宋体"/>
          <w:color w:val="auto"/>
          <w:sz w:val="24"/>
          <w:szCs w:val="24"/>
          <w:highlight w:val="none"/>
        </w:rPr>
        <w:t>（1）在收到中标通知书后，在中标通知书规定的期限内与你方签订合同；</w:t>
      </w:r>
    </w:p>
    <w:p>
      <w:pPr>
        <w:spacing w:line="360" w:lineRule="auto"/>
        <w:ind w:firstLine="708" w:firstLineChars="295"/>
        <w:rPr>
          <w:rFonts w:ascii="宋体" w:hAnsi="宋体" w:cs="宋体"/>
          <w:color w:val="auto"/>
          <w:sz w:val="24"/>
          <w:szCs w:val="24"/>
          <w:highlight w:val="none"/>
        </w:rPr>
      </w:pPr>
      <w:r>
        <w:rPr>
          <w:rFonts w:hint="eastAsia" w:ascii="宋体" w:hAnsi="宋体" w:cs="宋体"/>
          <w:color w:val="auto"/>
          <w:sz w:val="24"/>
          <w:szCs w:val="24"/>
          <w:highlight w:val="none"/>
        </w:rPr>
        <w:t>（2）在签订合同时不向你方提出附加条件；</w:t>
      </w:r>
    </w:p>
    <w:p>
      <w:pPr>
        <w:spacing w:line="360" w:lineRule="auto"/>
        <w:ind w:firstLine="708" w:firstLineChars="295"/>
        <w:rPr>
          <w:rFonts w:ascii="宋体" w:hAnsi="宋体" w:cs="宋体"/>
          <w:color w:val="auto"/>
          <w:sz w:val="24"/>
          <w:szCs w:val="24"/>
          <w:highlight w:val="none"/>
        </w:rPr>
      </w:pPr>
      <w:r>
        <w:rPr>
          <w:rFonts w:hint="eastAsia" w:ascii="宋体" w:hAnsi="宋体" w:cs="宋体"/>
          <w:color w:val="auto"/>
          <w:sz w:val="24"/>
          <w:szCs w:val="24"/>
          <w:highlight w:val="none"/>
        </w:rPr>
        <w:t>（3）按照招标文件要求提交履约保证金；</w:t>
      </w:r>
      <w:bookmarkStart w:id="465" w:name="_Toc369531694"/>
      <w:bookmarkStart w:id="466" w:name="_Toc352691658"/>
      <w:bookmarkStart w:id="467" w:name="_Toc1187"/>
    </w:p>
    <w:p>
      <w:pPr>
        <w:spacing w:line="360" w:lineRule="auto"/>
        <w:ind w:firstLine="708" w:firstLineChars="295"/>
        <w:rPr>
          <w:rFonts w:ascii="宋体" w:hAnsi="宋体" w:cs="宋体"/>
          <w:color w:val="auto"/>
          <w:sz w:val="24"/>
          <w:szCs w:val="24"/>
          <w:highlight w:val="none"/>
        </w:rPr>
      </w:pPr>
      <w:r>
        <w:rPr>
          <w:rFonts w:hint="eastAsia" w:ascii="宋体" w:hAnsi="宋体" w:cs="宋体"/>
          <w:color w:val="auto"/>
          <w:sz w:val="24"/>
          <w:szCs w:val="24"/>
          <w:highlight w:val="none"/>
        </w:rPr>
        <w:t>（4）在合</w:t>
      </w:r>
      <w:bookmarkEnd w:id="465"/>
      <w:bookmarkEnd w:id="466"/>
      <w:bookmarkEnd w:id="467"/>
      <w:r>
        <w:rPr>
          <w:rFonts w:hint="eastAsia" w:ascii="宋体" w:hAnsi="宋体" w:cs="宋体"/>
          <w:color w:val="auto"/>
          <w:sz w:val="24"/>
          <w:szCs w:val="24"/>
          <w:highlight w:val="none"/>
        </w:rPr>
        <w:t>同约定的期限内完成合同规定的全部义务。</w:t>
      </w:r>
    </w:p>
    <w:p>
      <w:pPr>
        <w:spacing w:line="360" w:lineRule="auto"/>
        <w:ind w:firstLine="708" w:firstLineChars="295"/>
        <w:rPr>
          <w:rFonts w:ascii="宋体" w:hAnsi="宋体" w:cs="宋体"/>
          <w:color w:val="auto"/>
          <w:sz w:val="24"/>
          <w:szCs w:val="24"/>
          <w:highlight w:val="none"/>
        </w:rPr>
      </w:pPr>
      <w:r>
        <w:rPr>
          <w:rFonts w:hint="eastAsia" w:ascii="宋体" w:hAnsi="宋体" w:cs="宋体"/>
          <w:color w:val="auto"/>
          <w:sz w:val="24"/>
          <w:szCs w:val="24"/>
          <w:highlight w:val="none"/>
        </w:rPr>
        <w:t>（5）除伤亡、吊销监理工程师执业资格等合法原因不能再从事监理工作情形外，如我方更换项目总监、总监代表，接受贵</w:t>
      </w:r>
      <w:r>
        <w:rPr>
          <w:rFonts w:hint="eastAsia" w:ascii="宋体" w:hAnsi="宋体" w:cs="宋体"/>
          <w:color w:val="auto"/>
          <w:spacing w:val="4"/>
          <w:sz w:val="24"/>
          <w:szCs w:val="24"/>
          <w:highlight w:val="none"/>
        </w:rPr>
        <w:t>单位</w:t>
      </w:r>
      <w:r>
        <w:rPr>
          <w:rFonts w:hint="eastAsia" w:ascii="宋体" w:hAnsi="宋体" w:cs="宋体"/>
          <w:color w:val="auto"/>
          <w:sz w:val="24"/>
          <w:szCs w:val="24"/>
          <w:highlight w:val="none"/>
        </w:rPr>
        <w:t>1年内拒绝我方参与贵单位后续工程投标的处理。</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5．我方在此声明，</w:t>
      </w:r>
      <w:bookmarkStart w:id="468" w:name="_Hlk22686284"/>
      <w:r>
        <w:rPr>
          <w:rFonts w:hint="eastAsia" w:ascii="宋体" w:hAnsi="宋体" w:cs="宋体"/>
          <w:color w:val="auto"/>
          <w:sz w:val="24"/>
          <w:szCs w:val="24"/>
          <w:highlight w:val="none"/>
        </w:rPr>
        <w:t>所递交的投标文件</w:t>
      </w:r>
      <w:bookmarkEnd w:id="468"/>
      <w:r>
        <w:rPr>
          <w:rFonts w:hint="eastAsia" w:ascii="宋体" w:hAnsi="宋体" w:cs="宋体"/>
          <w:color w:val="auto"/>
          <w:sz w:val="24"/>
          <w:szCs w:val="24"/>
          <w:highlight w:val="none"/>
        </w:rPr>
        <w:t>及有关资料内容完整、真实和准确，且不存在第二章“投标人须知”第1.4.3项规定的任何一种情形。</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 如我方中标，我方承诺，满足“委托人要求”中的所有内容。</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我方中标，我方承诺：我司提交的所有投标资料真实可靠，并在中标通知书发放之前，如招标人、建设行政管理部门、工程招标监督机构等提出复查投标资料原件的，我方在3个工作日之内提供。如未能及时提供或提供核查的原件不齐全或者投标资料弄虚作假的，我方将承担与此有关的一切责任，包括但不限于取消投标资格或中标资格（如果已取得中标）、没收投标保证金、接受行政监督部门的行政处罚等。</w:t>
      </w:r>
    </w:p>
    <w:p>
      <w:pPr>
        <w:spacing w:line="360" w:lineRule="auto"/>
        <w:ind w:firstLine="2880" w:firstLineChars="1200"/>
        <w:jc w:val="left"/>
        <w:rPr>
          <w:rFonts w:ascii="宋体" w:hAnsi="宋体" w:cs="宋体"/>
          <w:color w:val="auto"/>
          <w:sz w:val="24"/>
          <w:szCs w:val="24"/>
          <w:highlight w:val="none"/>
        </w:rPr>
      </w:pPr>
    </w:p>
    <w:p>
      <w:pPr>
        <w:spacing w:line="360" w:lineRule="auto"/>
        <w:ind w:firstLine="2880" w:firstLineChars="1200"/>
        <w:jc w:val="left"/>
        <w:rPr>
          <w:rFonts w:ascii="宋体" w:hAnsi="宋体" w:cs="宋体"/>
          <w:color w:val="auto"/>
          <w:sz w:val="24"/>
          <w:szCs w:val="24"/>
          <w:highlight w:val="none"/>
        </w:rPr>
      </w:pPr>
    </w:p>
    <w:p>
      <w:pPr>
        <w:spacing w:line="360" w:lineRule="auto"/>
        <w:ind w:firstLine="2835" w:firstLineChars="1350"/>
        <w:rPr>
          <w:color w:val="auto"/>
          <w:szCs w:val="21"/>
          <w:highlight w:val="none"/>
        </w:rPr>
      </w:pPr>
      <w:bookmarkStart w:id="469" w:name="_Toc482188652"/>
      <w:bookmarkStart w:id="470" w:name="_Toc370676427"/>
      <w:bookmarkStart w:id="471" w:name="_Toc391394112"/>
      <w:bookmarkStart w:id="472" w:name="_Toc359594236"/>
      <w:bookmarkStart w:id="473" w:name="_Toc530470645"/>
      <w:bookmarkStart w:id="474" w:name="_Toc529196602"/>
      <w:bookmarkStart w:id="475" w:name="_Toc385943066"/>
      <w:bookmarkStart w:id="476" w:name="_Toc535938753"/>
      <w:bookmarkStart w:id="477" w:name="_Toc152042576"/>
      <w:bookmarkStart w:id="478" w:name="_Toc247514246"/>
      <w:bookmarkStart w:id="479" w:name="_Toc247527827"/>
      <w:bookmarkStart w:id="480" w:name="_Toc144974856"/>
      <w:bookmarkStart w:id="481" w:name="_Toc300835209"/>
      <w:bookmarkStart w:id="482" w:name="_Toc369531697"/>
      <w:bookmarkStart w:id="483" w:name="_Toc152045787"/>
      <w:bookmarkStart w:id="484" w:name="_Toc361508752"/>
      <w:bookmarkStart w:id="485" w:name="_Toc17960"/>
      <w:bookmarkStart w:id="486" w:name="_Toc352691661"/>
      <w:bookmarkStart w:id="487" w:name="_Toc384308375"/>
      <w:r>
        <w:rPr>
          <w:rFonts w:hint="eastAsia" w:cs="宋体"/>
          <w:color w:val="auto"/>
          <w:szCs w:val="21"/>
          <w:highlight w:val="none"/>
        </w:rPr>
        <w:t>投标人：</w:t>
      </w:r>
      <w:r>
        <w:rPr>
          <w:color w:val="auto"/>
          <w:szCs w:val="21"/>
          <w:highlight w:val="none"/>
          <w:u w:val="single"/>
        </w:rPr>
        <w:tab/>
      </w:r>
      <w:r>
        <w:rPr>
          <w:rFonts w:hint="eastAsia"/>
          <w:color w:val="auto"/>
          <w:szCs w:val="21"/>
          <w:highlight w:val="none"/>
          <w:u w:val="single"/>
          <w:lang w:val="en-US" w:eastAsia="zh-CN"/>
        </w:rPr>
        <w:t xml:space="preserve">          </w:t>
      </w:r>
      <w:r>
        <w:rPr>
          <w:rFonts w:hint="eastAsia" w:cs="宋体"/>
          <w:color w:val="auto"/>
          <w:szCs w:val="21"/>
          <w:highlight w:val="none"/>
        </w:rPr>
        <w:t>（盖单位章）</w:t>
      </w:r>
    </w:p>
    <w:p>
      <w:pPr>
        <w:spacing w:line="360" w:lineRule="auto"/>
        <w:ind w:firstLine="2835" w:firstLineChars="1350"/>
        <w:rPr>
          <w:color w:val="auto"/>
          <w:szCs w:val="21"/>
          <w:highlight w:val="none"/>
        </w:rPr>
      </w:pPr>
      <w:r>
        <w:rPr>
          <w:rFonts w:hint="eastAsia" w:cs="宋体"/>
          <w:color w:val="auto"/>
          <w:szCs w:val="21"/>
          <w:highlight w:val="none"/>
        </w:rPr>
        <w:t>法定代表人</w:t>
      </w:r>
      <w:r>
        <w:rPr>
          <w:color w:val="auto"/>
          <w:szCs w:val="21"/>
          <w:highlight w:val="none"/>
        </w:rPr>
        <w:t>(</w:t>
      </w:r>
      <w:r>
        <w:rPr>
          <w:rFonts w:hint="eastAsia" w:cs="宋体"/>
          <w:color w:val="auto"/>
          <w:szCs w:val="21"/>
          <w:highlight w:val="none"/>
        </w:rPr>
        <w:t>或被授权人</w:t>
      </w:r>
      <w:r>
        <w:rPr>
          <w:color w:val="auto"/>
          <w:szCs w:val="21"/>
          <w:highlight w:val="none"/>
        </w:rPr>
        <w:t>)</w:t>
      </w:r>
      <w:r>
        <w:rPr>
          <w:rFonts w:hint="eastAsia" w:cs="宋体"/>
          <w:color w:val="auto"/>
          <w:szCs w:val="21"/>
          <w:highlight w:val="none"/>
        </w:rPr>
        <w:t>（签名或盖章）：</w:t>
      </w:r>
    </w:p>
    <w:p>
      <w:pPr>
        <w:spacing w:line="360" w:lineRule="auto"/>
        <w:ind w:firstLine="2800" w:firstLineChars="1400"/>
        <w:rPr>
          <w:rFonts w:ascii="宋体" w:cs="宋体"/>
          <w:color w:val="auto"/>
          <w:szCs w:val="21"/>
          <w:highlight w:val="none"/>
        </w:rPr>
      </w:pPr>
      <w:r>
        <w:rPr>
          <w:rFonts w:hint="eastAsia" w:ascii="宋体" w:hAnsi="宋体" w:cs="宋体"/>
          <w:color w:val="auto"/>
          <w:sz w:val="20"/>
          <w:szCs w:val="20"/>
          <w:highlight w:val="none"/>
        </w:rPr>
        <w:t>总监理工程师：</w:t>
      </w:r>
      <w:r>
        <w:rPr>
          <w:rFonts w:eastAsia="Times New Roman"/>
          <w:color w:val="auto"/>
          <w:spacing w:val="-2"/>
          <w:highlight w:val="none"/>
          <w:u w:val="single" w:color="000000"/>
        </w:rPr>
        <w:tab/>
      </w:r>
      <w:r>
        <w:rPr>
          <w:rFonts w:hint="eastAsia"/>
          <w:color w:val="auto"/>
          <w:spacing w:val="-2"/>
          <w:highlight w:val="none"/>
          <w:u w:val="single" w:color="000000"/>
        </w:rPr>
        <w:t xml:space="preserve">                            </w:t>
      </w:r>
      <w:r>
        <w:rPr>
          <w:rFonts w:ascii="宋体" w:hAnsi="宋体" w:cs="宋体"/>
          <w:color w:val="auto"/>
          <w:sz w:val="20"/>
          <w:szCs w:val="20"/>
          <w:highlight w:val="none"/>
        </w:rPr>
        <w:t>(</w:t>
      </w:r>
      <w:r>
        <w:rPr>
          <w:rFonts w:hint="eastAsia" w:ascii="宋体" w:hAnsi="宋体" w:cs="宋体"/>
          <w:color w:val="auto"/>
          <w:sz w:val="20"/>
          <w:szCs w:val="20"/>
          <w:highlight w:val="none"/>
        </w:rPr>
        <w:t>签名或盖章</w:t>
      </w:r>
      <w:r>
        <w:rPr>
          <w:rFonts w:ascii="宋体" w:hAnsi="宋体" w:cs="宋体"/>
          <w:color w:val="auto"/>
          <w:sz w:val="20"/>
          <w:szCs w:val="20"/>
          <w:highlight w:val="none"/>
        </w:rPr>
        <w:t>)</w:t>
      </w:r>
    </w:p>
    <w:p>
      <w:pPr>
        <w:spacing w:line="360" w:lineRule="auto"/>
        <w:ind w:firstLine="2835" w:firstLineChars="1350"/>
        <w:rPr>
          <w:rFonts w:hint="eastAsia" w:eastAsia="宋体"/>
          <w:color w:val="auto"/>
          <w:szCs w:val="21"/>
          <w:highlight w:val="none"/>
          <w:lang w:val="en-US" w:eastAsia="zh-CN"/>
        </w:rPr>
      </w:pPr>
      <w:r>
        <w:rPr>
          <w:rFonts w:hint="eastAsia" w:cs="宋体"/>
          <w:color w:val="auto"/>
          <w:szCs w:val="21"/>
          <w:highlight w:val="none"/>
        </w:rPr>
        <w:t>地址：</w:t>
      </w:r>
      <w:r>
        <w:rPr>
          <w:color w:val="auto"/>
          <w:szCs w:val="21"/>
          <w:highlight w:val="none"/>
          <w:u w:val="single"/>
        </w:rPr>
        <w:tab/>
      </w:r>
      <w:r>
        <w:rPr>
          <w:rFonts w:hint="eastAsia"/>
          <w:color w:val="auto"/>
          <w:szCs w:val="21"/>
          <w:highlight w:val="none"/>
          <w:u w:val="single"/>
          <w:lang w:val="en-US" w:eastAsia="zh-CN"/>
        </w:rPr>
        <w:t xml:space="preserve">          </w:t>
      </w:r>
    </w:p>
    <w:p>
      <w:pPr>
        <w:spacing w:line="360" w:lineRule="auto"/>
        <w:ind w:firstLine="2835" w:firstLineChars="1350"/>
        <w:rPr>
          <w:color w:val="auto"/>
          <w:szCs w:val="21"/>
          <w:highlight w:val="none"/>
        </w:rPr>
      </w:pPr>
      <w:r>
        <w:rPr>
          <w:rFonts w:hint="eastAsia" w:cs="宋体"/>
          <w:color w:val="auto"/>
          <w:szCs w:val="21"/>
          <w:highlight w:val="none"/>
        </w:rPr>
        <w:t>网址：</w:t>
      </w:r>
      <w:r>
        <w:rPr>
          <w:color w:val="auto"/>
          <w:szCs w:val="21"/>
          <w:highlight w:val="none"/>
          <w:u w:val="single"/>
        </w:rPr>
        <w:tab/>
      </w:r>
      <w:r>
        <w:rPr>
          <w:rFonts w:hint="eastAsia"/>
          <w:color w:val="auto"/>
          <w:szCs w:val="21"/>
          <w:highlight w:val="none"/>
          <w:u w:val="single"/>
          <w:lang w:val="en-US" w:eastAsia="zh-CN"/>
        </w:rPr>
        <w:t xml:space="preserve">          </w:t>
      </w:r>
    </w:p>
    <w:p>
      <w:pPr>
        <w:spacing w:line="360" w:lineRule="auto"/>
        <w:ind w:right="85" w:firstLine="2835" w:firstLineChars="1350"/>
        <w:rPr>
          <w:color w:val="auto"/>
          <w:szCs w:val="21"/>
          <w:highlight w:val="none"/>
        </w:rPr>
      </w:pPr>
      <w:r>
        <w:rPr>
          <w:rFonts w:hint="eastAsia" w:cs="宋体"/>
          <w:color w:val="auto"/>
          <w:szCs w:val="21"/>
          <w:highlight w:val="none"/>
        </w:rPr>
        <w:t>电话：</w:t>
      </w:r>
      <w:r>
        <w:rPr>
          <w:color w:val="auto"/>
          <w:szCs w:val="21"/>
          <w:highlight w:val="none"/>
          <w:u w:val="single"/>
        </w:rPr>
        <w:tab/>
      </w:r>
      <w:r>
        <w:rPr>
          <w:rFonts w:hint="eastAsia"/>
          <w:color w:val="auto"/>
          <w:szCs w:val="21"/>
          <w:highlight w:val="none"/>
          <w:u w:val="single"/>
          <w:lang w:val="en-US" w:eastAsia="zh-CN"/>
        </w:rPr>
        <w:t xml:space="preserve">          </w:t>
      </w:r>
    </w:p>
    <w:p>
      <w:pPr>
        <w:spacing w:line="360" w:lineRule="auto"/>
        <w:ind w:firstLine="2835" w:firstLineChars="1350"/>
        <w:rPr>
          <w:color w:val="auto"/>
          <w:szCs w:val="21"/>
          <w:highlight w:val="none"/>
        </w:rPr>
      </w:pPr>
      <w:r>
        <w:rPr>
          <w:rFonts w:hint="eastAsia" w:cs="宋体"/>
          <w:color w:val="auto"/>
          <w:szCs w:val="21"/>
          <w:highlight w:val="none"/>
        </w:rPr>
        <w:t>传真：</w:t>
      </w:r>
      <w:r>
        <w:rPr>
          <w:color w:val="auto"/>
          <w:szCs w:val="21"/>
          <w:highlight w:val="none"/>
          <w:u w:val="single"/>
        </w:rPr>
        <w:tab/>
      </w:r>
      <w:r>
        <w:rPr>
          <w:rFonts w:hint="eastAsia"/>
          <w:color w:val="auto"/>
          <w:szCs w:val="21"/>
          <w:highlight w:val="none"/>
          <w:u w:val="single"/>
          <w:lang w:val="en-US" w:eastAsia="zh-CN"/>
        </w:rPr>
        <w:t xml:space="preserve">          </w:t>
      </w:r>
    </w:p>
    <w:p>
      <w:pPr>
        <w:spacing w:line="360" w:lineRule="auto"/>
        <w:ind w:firstLine="2835" w:firstLineChars="1350"/>
        <w:rPr>
          <w:color w:val="auto"/>
          <w:szCs w:val="21"/>
          <w:highlight w:val="none"/>
        </w:rPr>
      </w:pPr>
      <w:r>
        <w:rPr>
          <w:rFonts w:hint="eastAsia" w:cs="宋体"/>
          <w:color w:val="auto"/>
          <w:szCs w:val="21"/>
          <w:highlight w:val="none"/>
        </w:rPr>
        <w:t>邮政编码：</w:t>
      </w:r>
      <w:r>
        <w:rPr>
          <w:color w:val="auto"/>
          <w:szCs w:val="21"/>
          <w:highlight w:val="none"/>
          <w:u w:val="single"/>
        </w:rPr>
        <w:tab/>
      </w:r>
      <w:r>
        <w:rPr>
          <w:rFonts w:hint="eastAsia"/>
          <w:color w:val="auto"/>
          <w:szCs w:val="21"/>
          <w:highlight w:val="none"/>
          <w:u w:val="single"/>
          <w:lang w:val="en-US" w:eastAsia="zh-CN"/>
        </w:rPr>
        <w:t xml:space="preserve">          </w:t>
      </w:r>
    </w:p>
    <w:p>
      <w:pPr>
        <w:spacing w:line="360" w:lineRule="auto"/>
        <w:ind w:firstLine="4725" w:firstLineChars="2250"/>
        <w:rPr>
          <w:color w:val="auto"/>
          <w:szCs w:val="21"/>
          <w:highlight w:val="none"/>
        </w:rPr>
      </w:pPr>
      <w:r>
        <w:rPr>
          <w:rFonts w:hint="eastAsia" w:cs="宋体"/>
          <w:color w:val="auto"/>
          <w:szCs w:val="21"/>
          <w:highlight w:val="none"/>
        </w:rPr>
        <w:t>年</w:t>
      </w:r>
      <w:r>
        <w:rPr>
          <w:rFonts w:hint="eastAsia" w:cs="宋体"/>
          <w:color w:val="auto"/>
          <w:szCs w:val="21"/>
          <w:highlight w:val="none"/>
          <w:lang w:val="en-US" w:eastAsia="zh-CN"/>
        </w:rPr>
        <w:t xml:space="preserve">  </w:t>
      </w:r>
      <w:r>
        <w:rPr>
          <w:rFonts w:hint="eastAsia" w:cs="宋体"/>
          <w:color w:val="auto"/>
          <w:szCs w:val="21"/>
          <w:highlight w:val="none"/>
        </w:rPr>
        <w:t>月</w:t>
      </w:r>
      <w:r>
        <w:rPr>
          <w:rFonts w:hint="eastAsia" w:cs="宋体"/>
          <w:color w:val="auto"/>
          <w:szCs w:val="21"/>
          <w:highlight w:val="none"/>
          <w:lang w:val="en-US" w:eastAsia="zh-CN"/>
        </w:rPr>
        <w:t xml:space="preserve">  </w:t>
      </w:r>
      <w:r>
        <w:rPr>
          <w:rFonts w:hint="eastAsia" w:cs="宋体"/>
          <w:color w:val="auto"/>
          <w:szCs w:val="21"/>
          <w:highlight w:val="none"/>
        </w:rPr>
        <w:t>日</w:t>
      </w:r>
    </w:p>
    <w:p>
      <w:pPr>
        <w:widowControl/>
        <w:spacing w:line="480" w:lineRule="auto"/>
        <w:ind w:left="118"/>
        <w:jc w:val="center"/>
        <w:outlineLvl w:val="2"/>
        <w:rPr>
          <w:rFonts w:ascii="宋体" w:hAnsi="宋体" w:cs="宋体"/>
          <w:b/>
          <w:bCs/>
          <w:color w:val="auto"/>
          <w:kern w:val="0"/>
          <w:sz w:val="32"/>
          <w:szCs w:val="32"/>
          <w:highlight w:val="none"/>
        </w:rPr>
      </w:pPr>
      <w:r>
        <w:rPr>
          <w:rFonts w:hint="eastAsia" w:ascii="宋体" w:hAnsi="宋体" w:eastAsia="黑体"/>
          <w:b/>
          <w:bCs/>
          <w:color w:val="auto"/>
          <w:kern w:val="0"/>
          <w:sz w:val="32"/>
          <w:szCs w:val="32"/>
          <w:highlight w:val="none"/>
        </w:rPr>
        <w:br w:type="page"/>
      </w:r>
      <w:r>
        <w:rPr>
          <w:rFonts w:hint="eastAsia" w:ascii="宋体" w:hAnsi="宋体" w:cs="宋体"/>
          <w:b/>
          <w:bCs/>
          <w:color w:val="auto"/>
          <w:kern w:val="0"/>
          <w:sz w:val="32"/>
          <w:szCs w:val="32"/>
          <w:highlight w:val="none"/>
        </w:rPr>
        <w:t>（二）投标函附录</w:t>
      </w:r>
      <w:bookmarkEnd w:id="469"/>
      <w:bookmarkEnd w:id="470"/>
      <w:bookmarkEnd w:id="471"/>
      <w:bookmarkEnd w:id="472"/>
      <w:bookmarkEnd w:id="473"/>
      <w:bookmarkEnd w:id="474"/>
      <w:bookmarkEnd w:id="475"/>
      <w:bookmarkEnd w:id="476"/>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270"/>
        <w:gridCol w:w="4604"/>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227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条款名称</w:t>
            </w:r>
          </w:p>
        </w:tc>
        <w:tc>
          <w:tcPr>
            <w:tcW w:w="460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约定内容</w:t>
            </w:r>
          </w:p>
        </w:tc>
        <w:tc>
          <w:tcPr>
            <w:tcW w:w="15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1</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总监理工程师</w:t>
            </w:r>
          </w:p>
        </w:tc>
        <w:tc>
          <w:tcPr>
            <w:tcW w:w="460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hAnsi="宋体" w:cs="宋体"/>
                <w:color w:val="auto"/>
                <w:kern w:val="0"/>
                <w:sz w:val="24"/>
                <w:highlight w:val="none"/>
              </w:rPr>
            </w:pPr>
            <w:r>
              <w:rPr>
                <w:rFonts w:ascii="宋体" w:hAnsi="宋体" w:cs="宋体"/>
                <w:color w:val="auto"/>
                <w:kern w:val="0"/>
                <w:sz w:val="24"/>
                <w:highlight w:val="none"/>
              </w:rPr>
              <w:t>姓名：</w:t>
            </w:r>
          </w:p>
          <w:p>
            <w:pPr>
              <w:spacing w:line="400" w:lineRule="exact"/>
              <w:jc w:val="left"/>
              <w:rPr>
                <w:rFonts w:ascii="宋体" w:hAnsi="宋体" w:cs="宋体"/>
                <w:color w:val="auto"/>
                <w:kern w:val="0"/>
                <w:sz w:val="24"/>
                <w:highlight w:val="none"/>
              </w:rPr>
            </w:pPr>
            <w:r>
              <w:rPr>
                <w:rFonts w:ascii="宋体" w:hAnsi="宋体" w:cs="宋体"/>
                <w:color w:val="auto"/>
                <w:kern w:val="0"/>
                <w:sz w:val="24"/>
                <w:highlight w:val="none"/>
              </w:rPr>
              <w:t>技术职称：</w:t>
            </w:r>
          </w:p>
          <w:p>
            <w:pPr>
              <w:widowControl/>
              <w:topLinePunct/>
              <w:spacing w:line="400" w:lineRule="exact"/>
              <w:rPr>
                <w:rFonts w:ascii="宋体" w:hAnsi="宋体"/>
                <w:color w:val="auto"/>
                <w:sz w:val="24"/>
                <w:szCs w:val="24"/>
                <w:highlight w:val="none"/>
              </w:rPr>
            </w:pPr>
            <w:r>
              <w:rPr>
                <w:rFonts w:ascii="宋体" w:hAnsi="宋体"/>
                <w:color w:val="auto"/>
                <w:kern w:val="0"/>
                <w:sz w:val="24"/>
                <w:szCs w:val="20"/>
                <w:highlight w:val="none"/>
              </w:rPr>
              <w:t>注册证号：</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00" w:lineRule="exact"/>
              <w:ind w:firstLine="820" w:firstLineChars="342"/>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2</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监理服务期限</w:t>
            </w:r>
          </w:p>
        </w:tc>
        <w:tc>
          <w:tcPr>
            <w:tcW w:w="4604" w:type="dxa"/>
            <w:tcBorders>
              <w:top w:val="single" w:color="auto" w:sz="4" w:space="0"/>
              <w:left w:val="single" w:color="auto" w:sz="4" w:space="0"/>
              <w:bottom w:val="single" w:color="auto" w:sz="4" w:space="0"/>
              <w:right w:val="single" w:color="auto" w:sz="4" w:space="0"/>
            </w:tcBorders>
            <w:noWrap/>
            <w:vAlign w:val="center"/>
          </w:tcPr>
          <w:p>
            <w:pPr>
              <w:widowControl/>
              <w:topLinePunct/>
              <w:spacing w:line="400" w:lineRule="exact"/>
              <w:rPr>
                <w:rFonts w:ascii="宋体" w:hAnsi="宋体"/>
                <w:color w:val="auto"/>
                <w:sz w:val="24"/>
                <w:szCs w:val="24"/>
                <w:highlight w:val="none"/>
              </w:rPr>
            </w:pPr>
            <w:r>
              <w:rPr>
                <w:rFonts w:ascii="宋体" w:hAnsi="宋体"/>
                <w:color w:val="auto"/>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3</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合同价款确定方式</w:t>
            </w:r>
          </w:p>
        </w:tc>
        <w:tc>
          <w:tcPr>
            <w:tcW w:w="460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hAnsi="宋体" w:cs="宋体"/>
                <w:color w:val="auto"/>
                <w:kern w:val="0"/>
                <w:sz w:val="24"/>
                <w:szCs w:val="24"/>
                <w:highlight w:val="none"/>
              </w:rPr>
            </w:pPr>
            <w:r>
              <w:rPr>
                <w:rFonts w:ascii="宋体" w:hAnsi="宋体" w:cs="宋体"/>
                <w:color w:val="auto"/>
                <w:kern w:val="0"/>
                <w:sz w:val="24"/>
                <w:highlight w:val="none"/>
                <w:u w:val="single"/>
              </w:rPr>
              <w:t>按合同约定</w:t>
            </w:r>
          </w:p>
        </w:tc>
        <w:tc>
          <w:tcPr>
            <w:tcW w:w="1559"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4</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质量标准</w:t>
            </w:r>
          </w:p>
        </w:tc>
        <w:tc>
          <w:tcPr>
            <w:tcW w:w="460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u w:val="single"/>
              </w:rPr>
              <w:t>按招标文件要求</w:t>
            </w:r>
          </w:p>
        </w:tc>
        <w:tc>
          <w:tcPr>
            <w:tcW w:w="1559"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5</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拟投入本项目监理机构人数</w:t>
            </w:r>
          </w:p>
        </w:tc>
        <w:tc>
          <w:tcPr>
            <w:tcW w:w="460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人数：</w:t>
            </w:r>
          </w:p>
        </w:tc>
        <w:tc>
          <w:tcPr>
            <w:tcW w:w="1559"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6</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投标总报价</w:t>
            </w:r>
          </w:p>
        </w:tc>
        <w:tc>
          <w:tcPr>
            <w:tcW w:w="4604" w:type="dxa"/>
            <w:tcBorders>
              <w:top w:val="single" w:color="auto" w:sz="4" w:space="0"/>
              <w:left w:val="single" w:color="auto" w:sz="4" w:space="0"/>
              <w:bottom w:val="single" w:color="auto" w:sz="4" w:space="0"/>
              <w:right w:val="single" w:color="auto" w:sz="4" w:space="0"/>
            </w:tcBorders>
            <w:noWrap/>
            <w:vAlign w:val="center"/>
          </w:tcPr>
          <w:p>
            <w:pPr>
              <w:spacing w:before="156" w:beforeLines="50" w:after="156" w:afterLines="50" w:line="400" w:lineRule="exact"/>
              <w:jc w:val="left"/>
              <w:rPr>
                <w:rFonts w:ascii="微软雅黑" w:hAnsi="宋体" w:eastAsia="微软雅黑"/>
                <w:color w:val="auto"/>
                <w:kern w:val="0"/>
                <w:sz w:val="20"/>
                <w:szCs w:val="20"/>
                <w:highlight w:val="none"/>
                <w:u w:val="single"/>
              </w:rPr>
            </w:pPr>
            <w:r>
              <w:rPr>
                <w:rFonts w:ascii="宋体" w:hAnsi="宋体" w:cs="宋体"/>
                <w:color w:val="auto"/>
                <w:kern w:val="0"/>
                <w:sz w:val="24"/>
                <w:szCs w:val="24"/>
                <w:highlight w:val="none"/>
              </w:rPr>
              <w:t>投标总报价（元）：</w:t>
            </w:r>
          </w:p>
        </w:tc>
        <w:tc>
          <w:tcPr>
            <w:tcW w:w="1559"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00" w:lineRule="exact"/>
              <w:jc w:val="center"/>
              <w:rPr>
                <w:rFonts w:ascii="宋体" w:hAnsi="宋体" w:cs="宋体"/>
                <w:b/>
                <w:color w:val="auto"/>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7</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法 人 营 业</w:t>
            </w:r>
          </w:p>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执 照 证 号</w:t>
            </w:r>
          </w:p>
        </w:tc>
        <w:tc>
          <w:tcPr>
            <w:tcW w:w="460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法 人 营 业</w:t>
            </w:r>
          </w:p>
          <w:p>
            <w:pPr>
              <w:spacing w:line="40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执 照 证 号：</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8</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资 质 等 级</w:t>
            </w:r>
          </w:p>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及 证 书 号</w:t>
            </w:r>
          </w:p>
        </w:tc>
        <w:tc>
          <w:tcPr>
            <w:tcW w:w="460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资质等级：</w:t>
            </w:r>
          </w:p>
          <w:p>
            <w:pPr>
              <w:spacing w:line="400" w:lineRule="exact"/>
              <w:jc w:val="left"/>
              <w:rPr>
                <w:rFonts w:ascii="宋体" w:hAnsi="宋体" w:cs="宋体"/>
                <w:color w:val="auto"/>
                <w:kern w:val="0"/>
                <w:sz w:val="24"/>
                <w:szCs w:val="24"/>
                <w:highlight w:val="none"/>
              </w:rPr>
            </w:pPr>
            <w:r>
              <w:rPr>
                <w:rFonts w:ascii="宋体" w:hAnsi="宋体" w:cs="宋体"/>
                <w:color w:val="auto"/>
                <w:kern w:val="0"/>
                <w:sz w:val="24"/>
                <w:szCs w:val="24"/>
                <w:highlight w:val="none"/>
              </w:rPr>
              <w:t>资质证书号：</w:t>
            </w: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835"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9</w:t>
            </w:r>
          </w:p>
        </w:tc>
        <w:tc>
          <w:tcPr>
            <w:tcW w:w="2270"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需要建设单位提</w:t>
            </w:r>
          </w:p>
          <w:p>
            <w:pPr>
              <w:spacing w:line="400" w:lineRule="exact"/>
              <w:jc w:val="center"/>
              <w:rPr>
                <w:rFonts w:ascii="宋体" w:hAnsi="宋体" w:cs="宋体"/>
                <w:color w:val="auto"/>
                <w:kern w:val="0"/>
                <w:sz w:val="24"/>
                <w:szCs w:val="24"/>
                <w:highlight w:val="none"/>
              </w:rPr>
            </w:pPr>
            <w:r>
              <w:rPr>
                <w:rFonts w:ascii="宋体" w:hAnsi="宋体" w:cs="宋体"/>
                <w:color w:val="auto"/>
                <w:kern w:val="0"/>
                <w:sz w:val="24"/>
                <w:szCs w:val="24"/>
                <w:highlight w:val="none"/>
              </w:rPr>
              <w:t xml:space="preserve"> 供的配合条件</w:t>
            </w:r>
          </w:p>
        </w:tc>
        <w:tc>
          <w:tcPr>
            <w:tcW w:w="4604"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left"/>
              <w:rPr>
                <w:rFonts w:ascii="宋体" w:hAnsi="宋体" w:cs="宋体"/>
                <w:color w:val="auto"/>
                <w:kern w:val="0"/>
                <w:sz w:val="24"/>
                <w:szCs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ascii="宋体" w:hAnsi="宋体" w:cs="宋体"/>
                <w:color w:val="auto"/>
                <w:kern w:val="0"/>
                <w:sz w:val="24"/>
                <w:szCs w:val="24"/>
                <w:highlight w:val="none"/>
              </w:rPr>
            </w:pPr>
          </w:p>
        </w:tc>
      </w:tr>
    </w:tbl>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ind w:firstLine="722" w:firstLineChars="344"/>
        <w:jc w:val="left"/>
        <w:rPr>
          <w:rFonts w:ascii="宋体" w:hAnsi="宋体" w:cs="宋体"/>
          <w:color w:val="auto"/>
          <w:sz w:val="24"/>
          <w:szCs w:val="24"/>
          <w:highlight w:val="none"/>
        </w:rPr>
      </w:pPr>
      <w:r>
        <w:rPr>
          <w:rFonts w:hint="eastAsia" w:ascii="宋体" w:hAnsi="宋体" w:cs="宋体"/>
          <w:color w:val="auto"/>
          <w:szCs w:val="21"/>
          <w:highlight w:val="none"/>
        </w:rPr>
        <w:t>1.</w:t>
      </w:r>
      <w:r>
        <w:rPr>
          <w:rFonts w:hint="eastAsia" w:cs="宋体"/>
          <w:color w:val="auto"/>
          <w:highlight w:val="none"/>
        </w:rPr>
        <w:t>投标人根据企业自身情况进行报价，</w:t>
      </w:r>
      <w:r>
        <w:rPr>
          <w:rFonts w:hint="eastAsia" w:cs="宋体"/>
          <w:bCs/>
          <w:color w:val="auto"/>
          <w:highlight w:val="none"/>
        </w:rPr>
        <w:t>投标报价不得超过最高投标限价。</w:t>
      </w:r>
      <w:r>
        <w:rPr>
          <w:rFonts w:hint="eastAsia" w:ascii="宋体" w:hAnsi="宋体" w:cs="宋体"/>
          <w:color w:val="auto"/>
          <w:szCs w:val="21"/>
          <w:highlight w:val="none"/>
        </w:rPr>
        <w:t>小数点后保留两位小数，第三位小数四舍五入。</w:t>
      </w:r>
    </w:p>
    <w:p>
      <w:pPr>
        <w:spacing w:line="360" w:lineRule="auto"/>
        <w:ind w:firstLine="3120" w:firstLineChars="1300"/>
        <w:jc w:val="left"/>
        <w:rPr>
          <w:rFonts w:ascii="宋体" w:hAnsi="宋体" w:cs="宋体"/>
          <w:color w:val="auto"/>
          <w:sz w:val="24"/>
          <w:szCs w:val="24"/>
          <w:highlight w:val="none"/>
        </w:rPr>
      </w:pPr>
    </w:p>
    <w:p>
      <w:pPr>
        <w:spacing w:line="360" w:lineRule="auto"/>
        <w:ind w:firstLine="2880" w:firstLineChars="1200"/>
        <w:jc w:val="left"/>
        <w:rPr>
          <w:rFonts w:ascii="宋体" w:hAnsi="宋体" w:cs="宋体"/>
          <w:color w:val="auto"/>
          <w:sz w:val="24"/>
          <w:highlight w:val="none"/>
        </w:rPr>
      </w:pPr>
      <w:r>
        <w:rPr>
          <w:rFonts w:hint="eastAsia" w:ascii="宋体" w:hAnsi="宋体" w:cs="宋体"/>
          <w:color w:val="auto"/>
          <w:sz w:val="24"/>
          <w:highlight w:val="none"/>
        </w:rPr>
        <w:t xml:space="preserve">   投标人：</w:t>
      </w:r>
      <w:r>
        <w:rPr>
          <w:rFonts w:hint="eastAsia" w:ascii="宋体" w:hAnsi="宋体" w:cs="宋体"/>
          <w:color w:val="auto"/>
          <w:sz w:val="24"/>
          <w:highlight w:val="none"/>
          <w:u w:val="single"/>
        </w:rPr>
        <w:tab/>
      </w:r>
      <w:r>
        <w:rPr>
          <w:rFonts w:hint="eastAsia" w:ascii="宋体" w:hAnsi="宋体" w:cs="宋体"/>
          <w:color w:val="auto"/>
          <w:sz w:val="24"/>
          <w:highlight w:val="none"/>
        </w:rPr>
        <w:t>（盖单位章）</w:t>
      </w:r>
    </w:p>
    <w:p>
      <w:pPr>
        <w:spacing w:line="360" w:lineRule="auto"/>
        <w:ind w:firstLine="3120" w:firstLineChars="1300"/>
        <w:jc w:val="left"/>
        <w:rPr>
          <w:rFonts w:ascii="宋体" w:hAnsi="宋体" w:cs="宋体"/>
          <w:color w:val="auto"/>
          <w:sz w:val="24"/>
          <w:highlight w:val="none"/>
        </w:rPr>
      </w:pPr>
      <w:r>
        <w:rPr>
          <w:rFonts w:hint="eastAsia" w:ascii="宋体" w:hAnsi="宋体" w:cs="宋体"/>
          <w:color w:val="auto"/>
          <w:sz w:val="24"/>
          <w:highlight w:val="none"/>
        </w:rPr>
        <w:t xml:space="preserve"> 法定代表人或其委托代理人：（签字或盖章）</w:t>
      </w:r>
    </w:p>
    <w:p>
      <w:pPr>
        <w:wordWrap w:val="0"/>
        <w:spacing w:line="360" w:lineRule="auto"/>
        <w:ind w:firstLine="5400" w:firstLineChars="2250"/>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p>
      <w:pPr>
        <w:widowControl/>
        <w:spacing w:line="600" w:lineRule="auto"/>
        <w:jc w:val="left"/>
        <w:outlineLvl w:val="1"/>
        <w:rPr>
          <w:rFonts w:ascii="宋体" w:hAnsi="宋体" w:cs="宋体"/>
          <w:b/>
          <w:bCs/>
          <w:color w:val="auto"/>
          <w:kern w:val="0"/>
          <w:sz w:val="30"/>
          <w:szCs w:val="30"/>
          <w:highlight w:val="none"/>
        </w:rPr>
      </w:pPr>
      <w:r>
        <w:rPr>
          <w:rFonts w:hint="eastAsia" w:ascii="宋体" w:hAnsi="宋体" w:eastAsia="黑体"/>
          <w:b/>
          <w:bCs/>
          <w:color w:val="auto"/>
          <w:kern w:val="0"/>
          <w:sz w:val="36"/>
          <w:szCs w:val="32"/>
          <w:highlight w:val="none"/>
        </w:rPr>
        <w:br w:type="page"/>
      </w:r>
      <w:bookmarkStart w:id="488" w:name="_Toc535938754"/>
      <w:bookmarkStart w:id="489" w:name="_Toc530470646"/>
      <w:bookmarkStart w:id="490" w:name="_Toc529196603"/>
      <w:r>
        <w:rPr>
          <w:rFonts w:hint="eastAsia" w:ascii="宋体" w:hAnsi="宋体" w:cs="宋体"/>
          <w:b/>
          <w:bCs/>
          <w:color w:val="auto"/>
          <w:kern w:val="0"/>
          <w:sz w:val="30"/>
          <w:szCs w:val="30"/>
          <w:highlight w:val="none"/>
        </w:rPr>
        <w:t>格式二</w:t>
      </w:r>
      <w:bookmarkEnd w:id="477"/>
      <w:bookmarkEnd w:id="478"/>
      <w:bookmarkEnd w:id="479"/>
      <w:bookmarkEnd w:id="480"/>
      <w:bookmarkEnd w:id="481"/>
      <w:bookmarkEnd w:id="482"/>
      <w:bookmarkEnd w:id="483"/>
      <w:bookmarkEnd w:id="484"/>
      <w:bookmarkEnd w:id="485"/>
      <w:bookmarkEnd w:id="486"/>
      <w:bookmarkEnd w:id="487"/>
      <w:r>
        <w:rPr>
          <w:rFonts w:hint="eastAsia" w:ascii="宋体" w:hAnsi="宋体" w:cs="宋体"/>
          <w:b/>
          <w:bCs/>
          <w:color w:val="auto"/>
          <w:kern w:val="0"/>
          <w:sz w:val="30"/>
          <w:szCs w:val="30"/>
          <w:highlight w:val="none"/>
        </w:rPr>
        <w:t>、法定代表人身份证明或授权委托书（格式可自定）</w:t>
      </w:r>
      <w:bookmarkEnd w:id="488"/>
      <w:bookmarkEnd w:id="489"/>
      <w:bookmarkEnd w:id="490"/>
    </w:p>
    <w:p>
      <w:pPr>
        <w:spacing w:line="360" w:lineRule="auto"/>
        <w:jc w:val="center"/>
        <w:rPr>
          <w:rFonts w:ascii="宋体" w:hAnsi="宋体" w:cs="宋体"/>
          <w:b/>
          <w:color w:val="auto"/>
          <w:sz w:val="24"/>
          <w:szCs w:val="24"/>
          <w:highlight w:val="none"/>
        </w:rPr>
      </w:pPr>
      <w:r>
        <w:rPr>
          <w:rFonts w:hint="eastAsia" w:ascii="宋体" w:hAnsi="宋体" w:cs="宋体"/>
          <w:b/>
          <w:color w:val="auto"/>
          <w:sz w:val="32"/>
          <w:szCs w:val="32"/>
          <w:highlight w:val="none"/>
        </w:rPr>
        <w:t>法定代表人身份证明</w:t>
      </w:r>
    </w:p>
    <w:p>
      <w:pPr>
        <w:spacing w:line="440" w:lineRule="exact"/>
        <w:rPr>
          <w:rFonts w:ascii="宋体" w:hAnsi="宋体" w:cs="宋体"/>
          <w:color w:val="auto"/>
          <w:sz w:val="24"/>
          <w:highlight w:val="none"/>
        </w:rPr>
      </w:pPr>
      <w:r>
        <w:rPr>
          <w:rFonts w:hint="eastAsia" w:ascii="宋体" w:hAnsi="宋体" w:cs="宋体"/>
          <w:color w:val="auto"/>
          <w:sz w:val="24"/>
          <w:highlight w:val="none"/>
        </w:rPr>
        <w:t>投标人名称：</w:t>
      </w:r>
    </w:p>
    <w:p>
      <w:pPr>
        <w:spacing w:line="440" w:lineRule="exact"/>
        <w:rPr>
          <w:rFonts w:ascii="宋体" w:hAnsi="宋体" w:cs="宋体"/>
          <w:color w:val="auto"/>
          <w:sz w:val="24"/>
          <w:highlight w:val="none"/>
        </w:rPr>
      </w:pPr>
      <w:r>
        <w:rPr>
          <w:rFonts w:hint="eastAsia" w:ascii="宋体" w:hAnsi="宋体" w:cs="宋体"/>
          <w:color w:val="auto"/>
          <w:sz w:val="24"/>
          <w:highlight w:val="none"/>
        </w:rPr>
        <w:t>姓名：性别：年龄：职务：</w:t>
      </w:r>
    </w:p>
    <w:p>
      <w:pPr>
        <w:spacing w:line="440" w:lineRule="exact"/>
        <w:rPr>
          <w:rFonts w:ascii="宋体" w:hAnsi="宋体" w:cs="宋体"/>
          <w:color w:val="auto"/>
          <w:sz w:val="24"/>
          <w:highlight w:val="none"/>
        </w:rPr>
      </w:pPr>
      <w:r>
        <w:rPr>
          <w:rFonts w:hint="eastAsia" w:ascii="宋体" w:hAnsi="宋体" w:cs="宋体"/>
          <w:color w:val="auto"/>
          <w:sz w:val="24"/>
          <w:highlight w:val="none"/>
        </w:rPr>
        <w:t>系（投标人名称）的法定代表人。</w:t>
      </w:r>
    </w:p>
    <w:p>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特此证明。</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附：法定代表人身份证扫描件。</w:t>
      </w:r>
    </w:p>
    <w:p>
      <w:pPr>
        <w:spacing w:line="440" w:lineRule="exact"/>
        <w:ind w:firstLine="480" w:firstLineChars="200"/>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注：本身份证明需由投标人加盖单位公章。</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p>
    <w:p>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投标人：</w:t>
      </w:r>
      <w:r>
        <w:rPr>
          <w:rFonts w:hint="eastAsia" w:ascii="宋体" w:hAnsi="宋体" w:cs="宋体"/>
          <w:color w:val="auto"/>
          <w:sz w:val="24"/>
          <w:highlight w:val="none"/>
          <w:u w:val="single"/>
        </w:rPr>
        <w:tab/>
      </w:r>
      <w:r>
        <w:rPr>
          <w:rFonts w:hint="eastAsia" w:ascii="宋体" w:hAnsi="宋体" w:cs="宋体"/>
          <w:color w:val="auto"/>
          <w:sz w:val="24"/>
          <w:highlight w:val="none"/>
        </w:rPr>
        <w:t>（盖单位章）</w:t>
      </w:r>
    </w:p>
    <w:p>
      <w:pPr>
        <w:spacing w:line="440" w:lineRule="exact"/>
        <w:rPr>
          <w:rFonts w:ascii="宋体" w:hAnsi="宋体" w:cs="宋体"/>
          <w:color w:val="auto"/>
          <w:sz w:val="24"/>
          <w:highlight w:val="none"/>
        </w:rPr>
      </w:pPr>
    </w:p>
    <w:p>
      <w:pPr>
        <w:spacing w:line="440" w:lineRule="exact"/>
        <w:ind w:firstLine="5280" w:firstLineChars="2200"/>
        <w:rPr>
          <w:rFonts w:ascii="宋体" w:hAnsi="宋体" w:cs="宋体"/>
          <w:color w:val="auto"/>
          <w:sz w:val="24"/>
          <w:highlight w:val="none"/>
        </w:rPr>
      </w:pPr>
      <w:r>
        <w:rPr>
          <w:rFonts w:hint="eastAsia" w:ascii="宋体" w:hAnsi="宋体" w:cs="宋体"/>
          <w:color w:val="auto"/>
          <w:sz w:val="24"/>
          <w:highlight w:val="none"/>
        </w:rPr>
        <w:t>年   月   日</w:t>
      </w:r>
    </w:p>
    <w:p>
      <w:pPr>
        <w:spacing w:line="440" w:lineRule="exact"/>
        <w:jc w:val="center"/>
        <w:rPr>
          <w:rFonts w:ascii="宋体" w:hAnsi="宋体" w:cs="宋体"/>
          <w:color w:val="auto"/>
          <w:sz w:val="24"/>
          <w:szCs w:val="24"/>
          <w:highlight w:val="none"/>
        </w:rPr>
      </w:pPr>
    </w:p>
    <w:p>
      <w:pPr>
        <w:spacing w:line="360" w:lineRule="auto"/>
        <w:jc w:val="center"/>
        <w:rPr>
          <w:rFonts w:ascii="宋体" w:hAnsi="宋体" w:cs="宋体"/>
          <w:b/>
          <w:color w:val="auto"/>
          <w:sz w:val="32"/>
          <w:szCs w:val="32"/>
          <w:highlight w:val="none"/>
        </w:rPr>
      </w:pPr>
      <w:r>
        <w:rPr>
          <w:rFonts w:hint="eastAsia" w:ascii="宋体" w:hAnsi="宋体"/>
          <w:b/>
          <w:bCs/>
          <w:color w:val="auto"/>
          <w:sz w:val="20"/>
          <w:highlight w:val="none"/>
        </w:rPr>
        <w:br w:type="page"/>
      </w:r>
      <w:bookmarkStart w:id="491" w:name="_Toc535938755"/>
      <w:bookmarkEnd w:id="491"/>
      <w:bookmarkStart w:id="492" w:name="_Toc530470647"/>
      <w:bookmarkEnd w:id="492"/>
      <w:bookmarkStart w:id="493" w:name="_Toc529196604"/>
      <w:bookmarkEnd w:id="493"/>
      <w:r>
        <w:rPr>
          <w:rFonts w:hint="eastAsia" w:ascii="宋体" w:hAnsi="宋体" w:cs="宋体"/>
          <w:b/>
          <w:color w:val="auto"/>
          <w:sz w:val="32"/>
          <w:szCs w:val="32"/>
          <w:highlight w:val="none"/>
        </w:rPr>
        <w:t>授权委托书</w:t>
      </w:r>
    </w:p>
    <w:p>
      <w:pPr>
        <w:topLinePunct/>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人（姓名）系（投标人名称）的法定代表人，现委托（姓名）为我方代理人。代理人根据授权，以我方名义签署、澄清确认、递交、撤回、修改招标项目投标文件、签订合同和处理有关事宜，其法律后果由我方承担。</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委托期限：。</w:t>
      </w:r>
    </w:p>
    <w:p>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代理人无转委托权。</w:t>
      </w:r>
    </w:p>
    <w:p>
      <w:pPr>
        <w:spacing w:line="440" w:lineRule="exact"/>
        <w:ind w:firstLine="480" w:firstLineChars="200"/>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附：法定代表人身份证扫描件及委托代理人身份证扫描件</w:t>
      </w:r>
    </w:p>
    <w:p>
      <w:pPr>
        <w:spacing w:line="440" w:lineRule="exact"/>
        <w:rPr>
          <w:rFonts w:ascii="宋体" w:hAnsi="宋体" w:cs="宋体"/>
          <w:color w:val="auto"/>
          <w:sz w:val="24"/>
          <w:szCs w:val="24"/>
          <w:highlight w:val="none"/>
        </w:rPr>
      </w:pPr>
    </w:p>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注：本授权委托书需由投标人加盖单位公章并由其法定代表人和委托代理人签字。</w:t>
      </w:r>
    </w:p>
    <w:p>
      <w:pPr>
        <w:spacing w:line="440" w:lineRule="exact"/>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投  标  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（盖单位章）</w:t>
      </w:r>
    </w:p>
    <w:p>
      <w:pPr>
        <w:spacing w:line="440" w:lineRule="exact"/>
        <w:ind w:firstLine="3076" w:firstLineChars="1282"/>
        <w:rPr>
          <w:rFonts w:ascii="宋体" w:hAnsi="宋体" w:cs="宋体"/>
          <w:color w:val="auto"/>
          <w:sz w:val="24"/>
          <w:szCs w:val="24"/>
          <w:highlight w:val="none"/>
        </w:rPr>
      </w:pPr>
    </w:p>
    <w:p>
      <w:pPr>
        <w:spacing w:line="440" w:lineRule="exact"/>
        <w:ind w:firstLine="3074" w:firstLineChars="1281"/>
        <w:rPr>
          <w:rFonts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rPr>
        <w:t>（签字）</w:t>
      </w:r>
    </w:p>
    <w:p>
      <w:pPr>
        <w:spacing w:line="440" w:lineRule="exact"/>
        <w:ind w:firstLine="3076" w:firstLineChars="1282"/>
        <w:rPr>
          <w:rFonts w:ascii="宋体" w:hAnsi="宋体" w:cs="宋体"/>
          <w:color w:val="auto"/>
          <w:sz w:val="24"/>
          <w:szCs w:val="24"/>
          <w:highlight w:val="none"/>
        </w:rPr>
      </w:pPr>
    </w:p>
    <w:p>
      <w:pPr>
        <w:spacing w:line="440" w:lineRule="exact"/>
        <w:ind w:firstLine="3076" w:firstLineChars="1282"/>
        <w:rPr>
          <w:rFonts w:ascii="宋体" w:hAnsi="宋体" w:cs="宋体"/>
          <w:color w:val="auto"/>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r>
        <w:rPr>
          <w:rFonts w:hint="eastAsia" w:ascii="宋体" w:hAnsi="宋体" w:cs="宋体"/>
          <w:color w:val="auto"/>
          <w:sz w:val="24"/>
          <w:szCs w:val="24"/>
          <w:highlight w:val="none"/>
          <w:u w:val="single"/>
        </w:rPr>
        <w:tab/>
      </w:r>
    </w:p>
    <w:p>
      <w:pPr>
        <w:spacing w:line="440" w:lineRule="exact"/>
        <w:ind w:firstLine="2692" w:firstLineChars="1282"/>
        <w:rPr>
          <w:rFonts w:ascii="宋体" w:hAnsi="宋体" w:cs="宋体"/>
          <w:color w:val="auto"/>
          <w:szCs w:val="24"/>
          <w:highlight w:val="none"/>
        </w:rPr>
      </w:pPr>
    </w:p>
    <w:p>
      <w:pPr>
        <w:wordWrap w:val="0"/>
        <w:spacing w:line="440" w:lineRule="exact"/>
        <w:ind w:firstLine="4057" w:firstLineChars="1932"/>
        <w:jc w:val="right"/>
        <w:rPr>
          <w:rFonts w:ascii="宋体" w:hAnsi="宋体" w:cs="宋体"/>
          <w:color w:val="auto"/>
          <w:szCs w:val="24"/>
          <w:highlight w:val="none"/>
        </w:rPr>
      </w:pPr>
      <w:r>
        <w:rPr>
          <w:rFonts w:hint="eastAsia" w:ascii="宋体" w:hAnsi="宋体" w:cs="宋体"/>
          <w:color w:val="auto"/>
          <w:highlight w:val="none"/>
        </w:rPr>
        <w:t>年   月   日</w:t>
      </w:r>
    </w:p>
    <w:p>
      <w:pPr>
        <w:rPr>
          <w:color w:val="auto"/>
          <w:highlight w:val="none"/>
        </w:rPr>
      </w:pPr>
    </w:p>
    <w:p>
      <w:pPr>
        <w:widowControl/>
        <w:spacing w:line="600" w:lineRule="auto"/>
        <w:jc w:val="left"/>
        <w:outlineLvl w:val="1"/>
        <w:rPr>
          <w:rFonts w:ascii="宋体" w:hAnsi="宋体" w:cs="宋体"/>
          <w:b/>
          <w:bCs/>
          <w:color w:val="auto"/>
          <w:kern w:val="0"/>
          <w:sz w:val="30"/>
          <w:szCs w:val="30"/>
          <w:highlight w:val="none"/>
        </w:rPr>
      </w:pPr>
      <w:r>
        <w:rPr>
          <w:rFonts w:hint="eastAsia" w:ascii="宋体" w:hAnsi="宋体" w:eastAsia="黑体"/>
          <w:b/>
          <w:bCs/>
          <w:color w:val="auto"/>
          <w:kern w:val="0"/>
          <w:sz w:val="36"/>
          <w:szCs w:val="32"/>
          <w:highlight w:val="none"/>
        </w:rPr>
        <w:br w:type="page"/>
      </w:r>
      <w:bookmarkStart w:id="494" w:name="_Toc535938756"/>
      <w:bookmarkStart w:id="495" w:name="_Toc530470648"/>
      <w:bookmarkStart w:id="496" w:name="_Toc529196605"/>
      <w:r>
        <w:rPr>
          <w:rFonts w:hint="eastAsia" w:ascii="宋体" w:hAnsi="宋体" w:cs="宋体"/>
          <w:b/>
          <w:bCs/>
          <w:color w:val="auto"/>
          <w:kern w:val="0"/>
          <w:sz w:val="30"/>
          <w:szCs w:val="30"/>
          <w:highlight w:val="none"/>
        </w:rPr>
        <w:t>格式三、投标保证金（格式可自定）</w:t>
      </w:r>
      <w:bookmarkEnd w:id="494"/>
      <w:bookmarkEnd w:id="495"/>
      <w:bookmarkEnd w:id="496"/>
    </w:p>
    <w:p>
      <w:pPr>
        <w:spacing w:line="1" w:lineRule="exact"/>
        <w:rPr>
          <w:rFonts w:ascii="宋体" w:hAnsi="宋体" w:cs="宋体"/>
          <w:color w:val="auto"/>
          <w:highlight w:val="none"/>
        </w:rPr>
      </w:pPr>
    </w:p>
    <w:p>
      <w:pPr>
        <w:ind w:firstLine="480"/>
        <w:rPr>
          <w:rFonts w:ascii="宋体" w:hAnsi="宋体" w:cs="宋体"/>
          <w:color w:val="auto"/>
          <w:highlight w:val="none"/>
        </w:rPr>
      </w:pPr>
    </w:p>
    <w:p>
      <w:pPr>
        <w:spacing w:line="360" w:lineRule="auto"/>
        <w:ind w:firstLine="420" w:firstLineChars="200"/>
        <w:rPr>
          <w:color w:val="auto"/>
          <w:highlight w:val="none"/>
        </w:rPr>
      </w:pPr>
      <w:r>
        <w:rPr>
          <w:rFonts w:hint="eastAsia" w:cs="宋体"/>
          <w:color w:val="auto"/>
          <w:highlight w:val="none"/>
        </w:rPr>
        <w:t>（注：投标人采用投标保函或投标保证保险的形式提交投标保证金的，应提交投标保函或投标保证保险文本的扫描件并加盖投标人电子印章。）</w:t>
      </w:r>
    </w:p>
    <w:p>
      <w:pPr>
        <w:spacing w:line="360" w:lineRule="auto"/>
        <w:jc w:val="center"/>
        <w:rPr>
          <w:rFonts w:ascii="宋体" w:hAnsi="宋体" w:cs="宋体"/>
          <w:b/>
          <w:color w:val="auto"/>
          <w:sz w:val="28"/>
          <w:szCs w:val="28"/>
          <w:highlight w:val="none"/>
        </w:rPr>
      </w:pPr>
    </w:p>
    <w:p>
      <w:pPr>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投标保证金</w:t>
      </w:r>
    </w:p>
    <w:p>
      <w:pPr>
        <w:spacing w:line="200" w:lineRule="exact"/>
        <w:rPr>
          <w:rFonts w:ascii="宋体" w:hAnsi="宋体" w:cs="宋体"/>
          <w:color w:val="auto"/>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u w:val="single"/>
        </w:rPr>
        <w:tab/>
      </w:r>
      <w:r>
        <w:rPr>
          <w:rFonts w:hint="eastAsia" w:ascii="宋体" w:hAnsi="宋体" w:cs="宋体"/>
          <w:color w:val="auto"/>
          <w:sz w:val="24"/>
          <w:highlight w:val="none"/>
          <w:u w:val="single"/>
        </w:rPr>
        <w:tab/>
      </w:r>
      <w:r>
        <w:rPr>
          <w:rFonts w:hint="eastAsia" w:ascii="宋体" w:hAnsi="宋体" w:cs="宋体"/>
          <w:color w:val="auto"/>
          <w:sz w:val="24"/>
          <w:highlight w:val="none"/>
          <w:u w:val="single"/>
        </w:rPr>
        <w:t>（招标人名称）：</w:t>
      </w:r>
    </w:p>
    <w:p>
      <w:pPr>
        <w:spacing w:line="360" w:lineRule="auto"/>
        <w:rPr>
          <w:rFonts w:ascii="宋体" w:hAnsi="宋体" w:cs="宋体"/>
          <w:color w:val="auto"/>
          <w:sz w:val="24"/>
          <w:highlight w:val="none"/>
          <w:u w:val="single"/>
        </w:rPr>
      </w:pP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我方于  年  月  日参加岭南文化创意产业园项目一期工程施工监理的投标，现保证：我方在规定的投标有效期内撤销或修改投标文件的，或者在收到中标通知书后无正当理由拒签合同或拒交规定履约担保的，投标保证金不予退还。</w:t>
      </w:r>
    </w:p>
    <w:p>
      <w:pPr>
        <w:spacing w:line="440" w:lineRule="exact"/>
        <w:rPr>
          <w:rFonts w:ascii="宋体" w:hAnsi="宋体" w:cs="宋体"/>
          <w:color w:val="auto"/>
          <w:highlight w:val="none"/>
          <w:u w:val="single"/>
        </w:rPr>
      </w:pPr>
    </w:p>
    <w:tbl>
      <w:tblPr>
        <w:tblStyle w:val="22"/>
        <w:tblW w:w="0" w:type="auto"/>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Borders>
              <w:top w:val="single" w:color="auto" w:sz="4" w:space="0"/>
              <w:left w:val="single" w:color="auto" w:sz="4" w:space="0"/>
              <w:bottom w:val="single" w:color="auto" w:sz="4" w:space="0"/>
              <w:right w:val="single" w:color="auto" w:sz="4" w:space="0"/>
            </w:tcBorders>
            <w:noWrap/>
          </w:tcPr>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jc w:val="center"/>
              <w:rPr>
                <w:rFonts w:ascii="宋体" w:hAnsi="宋体" w:cs="宋体"/>
                <w:b/>
                <w:color w:val="auto"/>
                <w:sz w:val="48"/>
                <w:highlight w:val="none"/>
              </w:rPr>
            </w:pPr>
            <w:r>
              <w:rPr>
                <w:rFonts w:hint="eastAsia" w:ascii="宋体" w:hAnsi="宋体" w:cs="宋体"/>
                <w:b/>
                <w:color w:val="auto"/>
                <w:sz w:val="48"/>
                <w:highlight w:val="none"/>
              </w:rPr>
              <w:t>粘 贴 处</w:t>
            </w: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p>
            <w:pPr>
              <w:spacing w:line="440" w:lineRule="exact"/>
              <w:rPr>
                <w:rFonts w:ascii="宋体" w:hAnsi="宋体" w:cs="宋体"/>
                <w:color w:val="auto"/>
                <w:sz w:val="24"/>
                <w:highlight w:val="none"/>
              </w:rPr>
            </w:pPr>
          </w:p>
        </w:tc>
      </w:tr>
    </w:tbl>
    <w:p>
      <w:pPr>
        <w:tabs>
          <w:tab w:val="left" w:pos="720"/>
        </w:tabs>
        <w:spacing w:line="360" w:lineRule="auto"/>
        <w:outlineLvl w:val="1"/>
        <w:rPr>
          <w:rFonts w:ascii="宋体" w:hAnsi="宋体" w:cs="宋体"/>
          <w:b/>
          <w:color w:val="auto"/>
          <w:highlight w:val="none"/>
        </w:rPr>
      </w:pPr>
      <w:r>
        <w:rPr>
          <w:rFonts w:hint="eastAsia" w:ascii="宋体" w:hAnsi="宋体"/>
          <w:color w:val="auto"/>
          <w:highlight w:val="none"/>
        </w:rPr>
        <w:br w:type="page"/>
      </w:r>
      <w:bookmarkStart w:id="497" w:name="_Toc535938757"/>
      <w:bookmarkStart w:id="498" w:name="_Toc530470649"/>
      <w:bookmarkStart w:id="499" w:name="_Toc529196606"/>
      <w:r>
        <w:rPr>
          <w:rFonts w:hint="eastAsia" w:ascii="宋体" w:hAnsi="宋体" w:cs="宋体"/>
          <w:color w:val="auto"/>
          <w:sz w:val="30"/>
          <w:szCs w:val="30"/>
          <w:highlight w:val="none"/>
        </w:rPr>
        <w:t>格式</w:t>
      </w:r>
      <w:r>
        <w:rPr>
          <w:rFonts w:hint="eastAsia" w:ascii="宋体" w:hAnsi="宋体" w:cs="宋体"/>
          <w:b/>
          <w:color w:val="auto"/>
          <w:sz w:val="30"/>
          <w:szCs w:val="30"/>
          <w:highlight w:val="none"/>
        </w:rPr>
        <w:t>四、监理报酬清单</w:t>
      </w:r>
      <w:bookmarkEnd w:id="497"/>
      <w:bookmarkEnd w:id="498"/>
      <w:bookmarkEnd w:id="499"/>
    </w:p>
    <w:p>
      <w:pPr>
        <w:spacing w:line="360" w:lineRule="auto"/>
        <w:rPr>
          <w:rFonts w:ascii="宋体" w:hAnsi="宋体" w:cs="宋体"/>
          <w:strike/>
          <w:color w:val="auto"/>
          <w:sz w:val="24"/>
          <w:szCs w:val="24"/>
          <w:highlight w:val="none"/>
        </w:rPr>
      </w:pPr>
      <w:bookmarkStart w:id="500" w:name="_Toc361508760"/>
    </w:p>
    <w:p>
      <w:pPr>
        <w:pStyle w:val="5"/>
        <w:ind w:firstLine="602" w:firstLineChars="200"/>
        <w:rPr>
          <w:rFonts w:ascii="宋体" w:hAnsi="宋体"/>
          <w:b w:val="0"/>
          <w:bCs w:val="0"/>
          <w:color w:val="auto"/>
          <w:sz w:val="30"/>
          <w:szCs w:val="30"/>
          <w:highlight w:val="none"/>
        </w:rPr>
      </w:pPr>
      <w:bookmarkStart w:id="501" w:name="_Toc3349"/>
      <w:bookmarkStart w:id="502" w:name="_Toc534710728"/>
      <w:bookmarkStart w:id="503" w:name="_Toc530640840"/>
      <w:r>
        <w:rPr>
          <w:rFonts w:hint="eastAsia" w:ascii="宋体" w:hAnsi="宋体"/>
          <w:color w:val="auto"/>
          <w:sz w:val="30"/>
          <w:szCs w:val="30"/>
          <w:highlight w:val="none"/>
        </w:rPr>
        <w:t>监理报酬清单</w:t>
      </w:r>
      <w:bookmarkEnd w:id="501"/>
      <w:bookmarkEnd w:id="502"/>
      <w:bookmarkEnd w:id="503"/>
    </w:p>
    <w:p>
      <w:pPr>
        <w:spacing w:line="360" w:lineRule="auto"/>
        <w:ind w:firstLine="420" w:firstLineChars="200"/>
        <w:rPr>
          <w:rFonts w:ascii="宋体" w:hAnsi="宋体"/>
          <w:color w:val="auto"/>
          <w:highlight w:val="none"/>
          <w:u w:val="single"/>
        </w:rPr>
      </w:pPr>
      <w:r>
        <w:rPr>
          <w:rFonts w:hint="eastAsia" w:ascii="宋体" w:hAnsi="宋体"/>
          <w:color w:val="auto"/>
          <w:highlight w:val="none"/>
        </w:rPr>
        <w:t>致：</w:t>
      </w:r>
    </w:p>
    <w:p>
      <w:pPr>
        <w:spacing w:line="360" w:lineRule="auto"/>
        <w:ind w:firstLine="420" w:firstLineChars="200"/>
        <w:rPr>
          <w:rFonts w:ascii="宋体" w:hAnsi="宋体"/>
          <w:color w:val="auto"/>
          <w:highlight w:val="none"/>
        </w:rPr>
      </w:pPr>
      <w:r>
        <w:rPr>
          <w:rFonts w:hint="eastAsia" w:ascii="宋体" w:hAnsi="宋体"/>
          <w:color w:val="auto"/>
          <w:highlight w:val="none"/>
        </w:rPr>
        <w:t>一、我方完全同意本项目监理招标文件的规定：在对施工现场进行调查勘察，根据本项目招标文件、答疑纪要和其他相关文件的要求，并考虑本企业自身的实力及特点，经综合研究决定，我方愿意以人民币</w:t>
      </w:r>
      <w:r>
        <w:rPr>
          <w:rFonts w:hint="eastAsia" w:ascii="宋体" w:hAnsi="宋体"/>
          <w:color w:val="auto"/>
          <w:highlight w:val="none"/>
          <w:u w:val="single"/>
          <w:lang w:val="en-US" w:eastAsia="zh-CN"/>
        </w:rPr>
        <w:t xml:space="preserve">       </w:t>
      </w:r>
      <w:r>
        <w:rPr>
          <w:rFonts w:hint="eastAsia" w:ascii="宋体" w:hAnsi="宋体"/>
          <w:color w:val="auto"/>
          <w:highlight w:val="none"/>
        </w:rPr>
        <w:t>（小写：￥</w:t>
      </w:r>
      <w:r>
        <w:rPr>
          <w:rFonts w:hint="eastAsia" w:ascii="宋体" w:hAnsi="宋体"/>
          <w:color w:val="auto"/>
          <w:highlight w:val="none"/>
          <w:u w:val="single"/>
          <w:lang w:val="en-US" w:eastAsia="zh-CN"/>
        </w:rPr>
        <w:t xml:space="preserve">      </w:t>
      </w:r>
      <w:r>
        <w:rPr>
          <w:rFonts w:hint="eastAsia" w:ascii="宋体" w:hAnsi="宋体"/>
          <w:color w:val="auto"/>
          <w:highlight w:val="none"/>
        </w:rPr>
        <w:t>元）作为投标总报价，报价构成如下表：</w:t>
      </w:r>
    </w:p>
    <w:p>
      <w:pPr>
        <w:ind w:firstLine="420" w:firstLineChars="200"/>
        <w:rPr>
          <w:rFonts w:ascii="宋体" w:hAnsi="宋体"/>
          <w:color w:val="auto"/>
          <w:highlight w:val="none"/>
        </w:rPr>
      </w:pPr>
    </w:p>
    <w:tbl>
      <w:tblPr>
        <w:tblStyle w:val="22"/>
        <w:tblW w:w="1014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264"/>
        <w:gridCol w:w="992"/>
        <w:gridCol w:w="1134"/>
        <w:gridCol w:w="1417"/>
        <w:gridCol w:w="141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90" w:type="dxa"/>
            <w:vAlign w:val="center"/>
          </w:tcPr>
          <w:p>
            <w:pPr>
              <w:pStyle w:val="20"/>
              <w:spacing w:line="320" w:lineRule="exact"/>
              <w:ind w:firstLine="0" w:firstLineChars="0"/>
              <w:jc w:val="center"/>
              <w:rPr>
                <w:color w:val="auto"/>
                <w:kern w:val="2"/>
                <w:sz w:val="21"/>
                <w:highlight w:val="none"/>
              </w:rPr>
            </w:pPr>
            <w:r>
              <w:rPr>
                <w:color w:val="auto"/>
                <w:kern w:val="2"/>
                <w:sz w:val="21"/>
                <w:highlight w:val="none"/>
              </w:rPr>
              <w:t>序号</w:t>
            </w:r>
          </w:p>
        </w:tc>
        <w:tc>
          <w:tcPr>
            <w:tcW w:w="2264" w:type="dxa"/>
            <w:vAlign w:val="center"/>
          </w:tcPr>
          <w:p>
            <w:pPr>
              <w:pStyle w:val="20"/>
              <w:spacing w:line="320" w:lineRule="exact"/>
              <w:ind w:firstLine="0" w:firstLineChars="0"/>
              <w:jc w:val="center"/>
              <w:rPr>
                <w:color w:val="auto"/>
                <w:kern w:val="2"/>
                <w:sz w:val="21"/>
                <w:highlight w:val="none"/>
              </w:rPr>
            </w:pPr>
            <w:r>
              <w:rPr>
                <w:color w:val="auto"/>
                <w:kern w:val="2"/>
                <w:sz w:val="21"/>
                <w:highlight w:val="none"/>
              </w:rPr>
              <w:t>项目</w:t>
            </w:r>
          </w:p>
        </w:tc>
        <w:tc>
          <w:tcPr>
            <w:tcW w:w="992"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单位</w:t>
            </w:r>
          </w:p>
        </w:tc>
        <w:tc>
          <w:tcPr>
            <w:tcW w:w="1134"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数量</w:t>
            </w:r>
          </w:p>
        </w:tc>
        <w:tc>
          <w:tcPr>
            <w:tcW w:w="1417"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单价（元/平方米）</w:t>
            </w:r>
          </w:p>
        </w:tc>
        <w:tc>
          <w:tcPr>
            <w:tcW w:w="1417"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合价（元）</w:t>
            </w:r>
          </w:p>
        </w:tc>
        <w:tc>
          <w:tcPr>
            <w:tcW w:w="2127" w:type="dxa"/>
            <w:vAlign w:val="center"/>
          </w:tcPr>
          <w:p>
            <w:pPr>
              <w:pStyle w:val="20"/>
              <w:spacing w:line="320" w:lineRule="exact"/>
              <w:ind w:firstLine="0" w:firstLineChars="0"/>
              <w:jc w:val="center"/>
              <w:rPr>
                <w:color w:val="auto"/>
                <w:kern w:val="2"/>
                <w:sz w:val="21"/>
                <w:highlight w:val="none"/>
              </w:rPr>
            </w:pPr>
            <w:r>
              <w:rPr>
                <w:color w:val="auto"/>
                <w:kern w:val="2"/>
                <w:sz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90" w:type="dxa"/>
            <w:vAlign w:val="center"/>
          </w:tcPr>
          <w:p>
            <w:pPr>
              <w:pStyle w:val="20"/>
              <w:spacing w:line="320" w:lineRule="exact"/>
              <w:ind w:firstLine="0" w:firstLineChars="0"/>
              <w:jc w:val="center"/>
              <w:rPr>
                <w:color w:val="auto"/>
                <w:kern w:val="2"/>
                <w:sz w:val="21"/>
                <w:highlight w:val="none"/>
              </w:rPr>
            </w:pPr>
            <w:r>
              <w:rPr>
                <w:color w:val="auto"/>
                <w:kern w:val="2"/>
                <w:sz w:val="21"/>
                <w:highlight w:val="none"/>
              </w:rPr>
              <w:t>1</w:t>
            </w:r>
          </w:p>
        </w:tc>
        <w:tc>
          <w:tcPr>
            <w:tcW w:w="2264" w:type="dxa"/>
            <w:vAlign w:val="center"/>
          </w:tcPr>
          <w:p>
            <w:pPr>
              <w:pStyle w:val="20"/>
              <w:spacing w:line="320" w:lineRule="exact"/>
              <w:ind w:firstLine="0" w:firstLineChars="0"/>
              <w:jc w:val="center"/>
              <w:rPr>
                <w:color w:val="auto"/>
                <w:kern w:val="2"/>
                <w:sz w:val="21"/>
                <w:highlight w:val="none"/>
              </w:rPr>
            </w:pPr>
            <w:r>
              <w:rPr>
                <w:color w:val="auto"/>
                <w:kern w:val="2"/>
                <w:sz w:val="21"/>
                <w:highlight w:val="none"/>
              </w:rPr>
              <w:t>监理服务</w:t>
            </w:r>
            <w:r>
              <w:rPr>
                <w:rFonts w:hint="eastAsia"/>
                <w:color w:val="auto"/>
                <w:kern w:val="2"/>
                <w:sz w:val="21"/>
                <w:highlight w:val="none"/>
              </w:rPr>
              <w:t>酬金</w:t>
            </w:r>
          </w:p>
        </w:tc>
        <w:tc>
          <w:tcPr>
            <w:tcW w:w="992"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平方米</w:t>
            </w:r>
          </w:p>
        </w:tc>
        <w:tc>
          <w:tcPr>
            <w:tcW w:w="1134"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234633</w:t>
            </w:r>
          </w:p>
        </w:tc>
        <w:tc>
          <w:tcPr>
            <w:tcW w:w="1417" w:type="dxa"/>
            <w:vAlign w:val="center"/>
          </w:tcPr>
          <w:p>
            <w:pPr>
              <w:pStyle w:val="20"/>
              <w:spacing w:line="320" w:lineRule="exact"/>
              <w:ind w:firstLine="0" w:firstLineChars="0"/>
              <w:jc w:val="center"/>
              <w:rPr>
                <w:color w:val="auto"/>
                <w:kern w:val="2"/>
                <w:sz w:val="21"/>
                <w:highlight w:val="none"/>
              </w:rPr>
            </w:pPr>
          </w:p>
        </w:tc>
        <w:tc>
          <w:tcPr>
            <w:tcW w:w="1417" w:type="dxa"/>
            <w:vAlign w:val="center"/>
          </w:tcPr>
          <w:p>
            <w:pPr>
              <w:pStyle w:val="20"/>
              <w:spacing w:line="320" w:lineRule="exact"/>
              <w:ind w:firstLine="0" w:firstLineChars="0"/>
              <w:jc w:val="center"/>
              <w:rPr>
                <w:color w:val="auto"/>
                <w:kern w:val="2"/>
                <w:sz w:val="21"/>
                <w:highlight w:val="none"/>
              </w:rPr>
            </w:pPr>
          </w:p>
        </w:tc>
        <w:tc>
          <w:tcPr>
            <w:tcW w:w="2127"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由投标人自行报价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90"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2</w:t>
            </w:r>
          </w:p>
        </w:tc>
        <w:tc>
          <w:tcPr>
            <w:tcW w:w="2264"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其他（如有）</w:t>
            </w:r>
          </w:p>
        </w:tc>
        <w:tc>
          <w:tcPr>
            <w:tcW w:w="992"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项</w:t>
            </w:r>
          </w:p>
        </w:tc>
        <w:tc>
          <w:tcPr>
            <w:tcW w:w="1134"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1</w:t>
            </w:r>
          </w:p>
        </w:tc>
        <w:tc>
          <w:tcPr>
            <w:tcW w:w="1417" w:type="dxa"/>
            <w:vAlign w:val="center"/>
          </w:tcPr>
          <w:p>
            <w:pPr>
              <w:pStyle w:val="20"/>
              <w:spacing w:line="320" w:lineRule="exact"/>
              <w:ind w:firstLine="0" w:firstLineChars="0"/>
              <w:jc w:val="center"/>
              <w:rPr>
                <w:color w:val="auto"/>
                <w:kern w:val="2"/>
                <w:sz w:val="21"/>
                <w:highlight w:val="none"/>
              </w:rPr>
            </w:pPr>
          </w:p>
        </w:tc>
        <w:tc>
          <w:tcPr>
            <w:tcW w:w="1417" w:type="dxa"/>
            <w:vAlign w:val="center"/>
          </w:tcPr>
          <w:p>
            <w:pPr>
              <w:pStyle w:val="20"/>
              <w:spacing w:line="320" w:lineRule="exact"/>
              <w:ind w:firstLine="0" w:firstLineChars="0"/>
              <w:jc w:val="center"/>
              <w:rPr>
                <w:color w:val="auto"/>
                <w:kern w:val="2"/>
                <w:sz w:val="21"/>
                <w:highlight w:val="none"/>
              </w:rPr>
            </w:pPr>
          </w:p>
        </w:tc>
        <w:tc>
          <w:tcPr>
            <w:tcW w:w="2127"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由投标人自行考虑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790"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3</w:t>
            </w:r>
          </w:p>
        </w:tc>
        <w:tc>
          <w:tcPr>
            <w:tcW w:w="2264" w:type="dxa"/>
            <w:vAlign w:val="center"/>
          </w:tcPr>
          <w:p>
            <w:pPr>
              <w:pStyle w:val="20"/>
              <w:spacing w:line="320" w:lineRule="exact"/>
              <w:ind w:firstLine="0" w:firstLineChars="0"/>
              <w:jc w:val="center"/>
              <w:rPr>
                <w:color w:val="auto"/>
                <w:kern w:val="2"/>
                <w:sz w:val="21"/>
                <w:highlight w:val="none"/>
              </w:rPr>
            </w:pPr>
            <w:r>
              <w:rPr>
                <w:rFonts w:hint="eastAsia"/>
                <w:color w:val="auto"/>
                <w:kern w:val="2"/>
                <w:sz w:val="21"/>
                <w:highlight w:val="none"/>
              </w:rPr>
              <w:t>监理服务</w:t>
            </w:r>
            <w:r>
              <w:rPr>
                <w:color w:val="auto"/>
                <w:kern w:val="2"/>
                <w:sz w:val="21"/>
                <w:highlight w:val="none"/>
              </w:rPr>
              <w:t>总价</w:t>
            </w:r>
            <w:r>
              <w:rPr>
                <w:rFonts w:hint="eastAsia"/>
                <w:color w:val="auto"/>
                <w:kern w:val="2"/>
                <w:sz w:val="21"/>
                <w:highlight w:val="none"/>
              </w:rPr>
              <w:t>（3=1+2）</w:t>
            </w:r>
          </w:p>
        </w:tc>
        <w:tc>
          <w:tcPr>
            <w:tcW w:w="992" w:type="dxa"/>
          </w:tcPr>
          <w:p>
            <w:pPr>
              <w:spacing w:line="320" w:lineRule="exact"/>
              <w:ind w:firstLine="480" w:firstLineChars="200"/>
              <w:jc w:val="center"/>
              <w:rPr>
                <w:color w:val="auto"/>
                <w:sz w:val="24"/>
                <w:highlight w:val="none"/>
              </w:rPr>
            </w:pPr>
          </w:p>
        </w:tc>
        <w:tc>
          <w:tcPr>
            <w:tcW w:w="1134" w:type="dxa"/>
          </w:tcPr>
          <w:p>
            <w:pPr>
              <w:pStyle w:val="20"/>
              <w:spacing w:line="320" w:lineRule="exact"/>
              <w:ind w:firstLine="0" w:firstLineChars="0"/>
              <w:jc w:val="center"/>
              <w:rPr>
                <w:color w:val="auto"/>
                <w:kern w:val="2"/>
                <w:sz w:val="21"/>
                <w:highlight w:val="none"/>
              </w:rPr>
            </w:pPr>
          </w:p>
        </w:tc>
        <w:tc>
          <w:tcPr>
            <w:tcW w:w="1417" w:type="dxa"/>
          </w:tcPr>
          <w:p>
            <w:pPr>
              <w:pStyle w:val="20"/>
              <w:spacing w:line="320" w:lineRule="exact"/>
              <w:ind w:firstLine="0" w:firstLineChars="0"/>
              <w:jc w:val="center"/>
              <w:rPr>
                <w:color w:val="auto"/>
                <w:kern w:val="2"/>
                <w:sz w:val="21"/>
                <w:highlight w:val="none"/>
              </w:rPr>
            </w:pPr>
          </w:p>
        </w:tc>
        <w:tc>
          <w:tcPr>
            <w:tcW w:w="1417" w:type="dxa"/>
            <w:vAlign w:val="center"/>
          </w:tcPr>
          <w:p>
            <w:pPr>
              <w:pStyle w:val="20"/>
              <w:spacing w:line="320" w:lineRule="exact"/>
              <w:ind w:firstLine="0" w:firstLineChars="0"/>
              <w:jc w:val="center"/>
              <w:rPr>
                <w:color w:val="auto"/>
                <w:kern w:val="2"/>
                <w:sz w:val="21"/>
                <w:highlight w:val="none"/>
              </w:rPr>
            </w:pPr>
          </w:p>
        </w:tc>
        <w:tc>
          <w:tcPr>
            <w:tcW w:w="2127" w:type="dxa"/>
            <w:vAlign w:val="center"/>
          </w:tcPr>
          <w:p>
            <w:pPr>
              <w:pStyle w:val="20"/>
              <w:spacing w:line="320" w:lineRule="exact"/>
              <w:ind w:firstLine="0" w:firstLineChars="0"/>
              <w:jc w:val="center"/>
              <w:rPr>
                <w:color w:val="auto"/>
                <w:kern w:val="2"/>
                <w:sz w:val="21"/>
                <w:highlight w:val="none"/>
              </w:rPr>
            </w:pPr>
            <w:r>
              <w:rPr>
                <w:color w:val="auto"/>
                <w:kern w:val="2"/>
                <w:sz w:val="21"/>
                <w:highlight w:val="none"/>
              </w:rPr>
              <w:t>保留2位小数</w:t>
            </w:r>
          </w:p>
        </w:tc>
      </w:tr>
    </w:tbl>
    <w:p>
      <w:pPr>
        <w:spacing w:line="360" w:lineRule="auto"/>
        <w:ind w:firstLine="420" w:firstLineChars="200"/>
        <w:rPr>
          <w:rFonts w:ascii="宋体" w:hAnsi="宋体"/>
          <w:color w:val="auto"/>
          <w:sz w:val="24"/>
          <w:szCs w:val="24"/>
          <w:highlight w:val="none"/>
        </w:rPr>
      </w:pPr>
      <w:r>
        <w:rPr>
          <w:rFonts w:hint="eastAsia" w:ascii="宋体" w:hAnsi="宋体"/>
          <w:color w:val="auto"/>
          <w:highlight w:val="none"/>
        </w:rPr>
        <w:t>备注：</w:t>
      </w:r>
    </w:p>
    <w:p>
      <w:pPr>
        <w:spacing w:line="360" w:lineRule="auto"/>
        <w:ind w:firstLine="420" w:firstLineChars="200"/>
        <w:rPr>
          <w:rFonts w:ascii="宋体" w:hAnsi="宋体"/>
          <w:color w:val="auto"/>
          <w:highlight w:val="none"/>
        </w:rPr>
      </w:pPr>
      <w:r>
        <w:rPr>
          <w:rFonts w:hint="eastAsia" w:ascii="宋体" w:hAnsi="宋体"/>
          <w:color w:val="auto"/>
          <w:highlight w:val="none"/>
        </w:rPr>
        <w:t>⑴本项目监理服务酬金暂按总建筑面积234633平方米作为计费基础乘以单方投标报价进行计算。若在监理服务范围内的工程，如规划验收总建筑面积与合同暂定总建筑面积（234633平方米）的增减幅度在10％以内（含10％）的，则合同监理服务费的金额即为本项目监理服务费结算价，不予调整；若增减幅度超过10％，则只对超出10％增减幅度部分的监理服务费按监理人的中标单方价格计算，相应增减监理服务费，即监理服务费结算价=合同监理服务费±中标单方价格*超出±10%的建筑面积。</w:t>
      </w:r>
    </w:p>
    <w:p>
      <w:pPr>
        <w:spacing w:line="360" w:lineRule="auto"/>
        <w:ind w:firstLine="420" w:firstLineChars="200"/>
        <w:rPr>
          <w:rFonts w:ascii="宋体" w:hAnsi="宋体"/>
          <w:color w:val="auto"/>
          <w:highlight w:val="none"/>
        </w:rPr>
      </w:pPr>
      <w:r>
        <w:rPr>
          <w:rFonts w:hint="eastAsia" w:ascii="宋体" w:hAnsi="宋体"/>
          <w:color w:val="auto"/>
          <w:highlight w:val="none"/>
        </w:rPr>
        <w:t>⑵投标总价不得超过控制价，否则将不得通过响应性评审。</w:t>
      </w:r>
    </w:p>
    <w:p>
      <w:pPr>
        <w:spacing w:line="360" w:lineRule="auto"/>
        <w:ind w:firstLine="420" w:firstLineChars="200"/>
        <w:rPr>
          <w:rFonts w:ascii="宋体" w:hAnsi="宋体"/>
          <w:color w:val="auto"/>
          <w:highlight w:val="none"/>
        </w:rPr>
      </w:pPr>
      <w:r>
        <w:rPr>
          <w:rFonts w:hint="eastAsia" w:ascii="宋体" w:hAnsi="宋体"/>
          <w:color w:val="auto"/>
          <w:highlight w:val="none"/>
        </w:rPr>
        <w:t>⑶投标人必须详细审阅全部招标文件及有关资料,充分考虑职责和义务,全面地理解招标文件对投标报价的要求,并按招标人提出的条件及内容进行报价，具体报价格式如上表。</w:t>
      </w:r>
    </w:p>
    <w:p>
      <w:pPr>
        <w:spacing w:line="360" w:lineRule="auto"/>
        <w:ind w:firstLine="420" w:firstLineChars="200"/>
        <w:rPr>
          <w:rFonts w:ascii="宋体" w:hAnsi="宋体"/>
          <w:color w:val="auto"/>
          <w:highlight w:val="none"/>
        </w:rPr>
      </w:pPr>
      <w:r>
        <w:rPr>
          <w:rFonts w:hint="eastAsia" w:ascii="宋体" w:hAnsi="宋体" w:cs="宋体"/>
          <w:color w:val="auto"/>
          <w:highlight w:val="none"/>
        </w:rPr>
        <w:t>⑷</w:t>
      </w:r>
      <w:r>
        <w:rPr>
          <w:rFonts w:hint="eastAsia" w:ascii="宋体" w:hAnsi="宋体"/>
          <w:color w:val="auto"/>
          <w:highlight w:val="none"/>
        </w:rPr>
        <w:t>除合同约定外，合同履行期间，中标单方价格不作任何调整。</w:t>
      </w:r>
    </w:p>
    <w:p>
      <w:pPr>
        <w:spacing w:line="360" w:lineRule="auto"/>
        <w:ind w:firstLine="420" w:firstLineChars="200"/>
        <w:rPr>
          <w:rFonts w:ascii="宋体" w:hAnsi="宋体"/>
          <w:color w:val="auto"/>
          <w:highlight w:val="none"/>
        </w:rPr>
      </w:pPr>
      <w:r>
        <w:rPr>
          <w:rFonts w:hint="eastAsia" w:ascii="宋体" w:hAnsi="宋体" w:cs="宋体"/>
          <w:color w:val="auto"/>
          <w:highlight w:val="none"/>
        </w:rPr>
        <w:t>⑸</w:t>
      </w:r>
      <w:r>
        <w:rPr>
          <w:rFonts w:hint="eastAsia" w:ascii="宋体" w:hAnsi="宋体"/>
          <w:color w:val="auto"/>
          <w:highlight w:val="none"/>
        </w:rPr>
        <w:t>监理服务酬金应包括监理人履行本项目合同所必须的所有成本费用和承担的一切税费。</w:t>
      </w:r>
    </w:p>
    <w:p>
      <w:pPr>
        <w:spacing w:line="360" w:lineRule="auto"/>
        <w:ind w:firstLine="420" w:firstLineChars="200"/>
        <w:rPr>
          <w:rFonts w:ascii="宋体" w:hAnsi="宋体"/>
          <w:color w:val="auto"/>
          <w:highlight w:val="none"/>
        </w:rPr>
      </w:pPr>
      <w:r>
        <w:rPr>
          <w:rFonts w:hint="eastAsia" w:ascii="宋体" w:hAnsi="宋体"/>
          <w:color w:val="auto"/>
          <w:highlight w:val="none"/>
        </w:rPr>
        <w:t>二、算术复核，按以下顺序进行修正：</w:t>
      </w:r>
    </w:p>
    <w:p>
      <w:pPr>
        <w:spacing w:line="360" w:lineRule="auto"/>
        <w:ind w:firstLine="420" w:firstLineChars="200"/>
        <w:rPr>
          <w:rFonts w:ascii="宋体" w:hAnsi="宋体"/>
          <w:color w:val="auto"/>
          <w:highlight w:val="none"/>
        </w:rPr>
      </w:pPr>
      <w:r>
        <w:rPr>
          <w:rFonts w:hint="eastAsia" w:ascii="宋体" w:hAnsi="宋体"/>
          <w:color w:val="auto"/>
          <w:highlight w:val="none"/>
        </w:rPr>
        <w:t>1、投标总价数字表示的数额与用文字表示的数额不一致时，以文字数额为准。</w:t>
      </w:r>
    </w:p>
    <w:p>
      <w:pPr>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监理服务酬金单价与数量的乘积与其投标监理服务酬金合价不一致时，按就低不就高原则确定其监理服务酬金合价及单价。按上述修正错误的原则及方法调整或修正投标文件的投标监理服务酬金合价及单价并相应修改投标总价。</w:t>
      </w:r>
    </w:p>
    <w:p>
      <w:pPr>
        <w:spacing w:line="360" w:lineRule="auto"/>
        <w:ind w:firstLine="420" w:firstLineChars="200"/>
        <w:rPr>
          <w:rFonts w:ascii="宋体" w:hAnsi="宋体"/>
          <w:color w:val="auto"/>
          <w:highlight w:val="none"/>
        </w:rPr>
      </w:pPr>
      <w:r>
        <w:rPr>
          <w:rFonts w:hint="eastAsia" w:ascii="宋体" w:hAnsi="宋体"/>
          <w:strike/>
          <w:color w:val="auto"/>
          <w:highlight w:val="none"/>
        </w:rPr>
        <w:t>3</w:t>
      </w:r>
      <w:r>
        <w:rPr>
          <w:rFonts w:hint="eastAsia" w:ascii="宋体" w:hAnsi="宋体"/>
          <w:color w:val="auto"/>
          <w:highlight w:val="none"/>
        </w:rPr>
        <w:t>、上述调整后的投标报价对投标人起约束作用。如果投标人不接受修正后的报价，则取消其投标资格。</w:t>
      </w:r>
    </w:p>
    <w:p>
      <w:pPr>
        <w:tabs>
          <w:tab w:val="left" w:pos="0"/>
        </w:tabs>
        <w:autoSpaceDE w:val="0"/>
        <w:autoSpaceDN w:val="0"/>
        <w:adjustRightInd w:val="0"/>
        <w:spacing w:line="360" w:lineRule="auto"/>
        <w:ind w:firstLine="420" w:firstLineChars="200"/>
        <w:rPr>
          <w:color w:val="auto"/>
          <w:highlight w:val="none"/>
        </w:rPr>
      </w:pPr>
      <w:r>
        <w:rPr>
          <w:rFonts w:hint="eastAsia"/>
          <w:color w:val="auto"/>
          <w:highlight w:val="none"/>
        </w:rPr>
        <w:t>三</w:t>
      </w:r>
      <w:r>
        <w:rPr>
          <w:color w:val="auto"/>
          <w:highlight w:val="none"/>
        </w:rPr>
        <w:t>、</w:t>
      </w:r>
      <w:r>
        <w:rPr>
          <w:color w:val="auto"/>
          <w:kern w:val="0"/>
          <w:highlight w:val="none"/>
        </w:rPr>
        <w:t>我方完全同意本项目监理招标文件合同条款规定的结算方式</w:t>
      </w:r>
      <w:r>
        <w:rPr>
          <w:color w:val="auto"/>
          <w:highlight w:val="none"/>
        </w:rPr>
        <w:t>。</w:t>
      </w:r>
    </w:p>
    <w:p>
      <w:pPr>
        <w:tabs>
          <w:tab w:val="left" w:pos="0"/>
        </w:tabs>
        <w:autoSpaceDE w:val="0"/>
        <w:autoSpaceDN w:val="0"/>
        <w:adjustRightInd w:val="0"/>
        <w:spacing w:line="360" w:lineRule="auto"/>
        <w:ind w:firstLine="428" w:firstLineChars="200"/>
        <w:rPr>
          <w:color w:val="auto"/>
          <w:kern w:val="0"/>
          <w:highlight w:val="none"/>
        </w:rPr>
      </w:pPr>
      <w:r>
        <w:rPr>
          <w:rFonts w:hint="eastAsia"/>
          <w:color w:val="auto"/>
          <w:spacing w:val="2"/>
          <w:position w:val="2"/>
          <w:highlight w:val="none"/>
        </w:rPr>
        <w:t>四</w:t>
      </w:r>
      <w:r>
        <w:rPr>
          <w:color w:val="auto"/>
          <w:kern w:val="0"/>
          <w:highlight w:val="none"/>
        </w:rPr>
        <w:t>、我们理解并同意，招标人不向监理单位提供任何通讯、交通、检测设备</w:t>
      </w:r>
      <w:r>
        <w:rPr>
          <w:rFonts w:hint="eastAsia"/>
          <w:color w:val="auto"/>
          <w:kern w:val="0"/>
          <w:highlight w:val="none"/>
        </w:rPr>
        <w:t>、食宿等</w:t>
      </w:r>
      <w:r>
        <w:rPr>
          <w:color w:val="auto"/>
          <w:kern w:val="0"/>
          <w:highlight w:val="none"/>
        </w:rPr>
        <w:t>，由监理单位自行解决，所需费用包含在</w:t>
      </w:r>
      <w:r>
        <w:rPr>
          <w:color w:val="auto"/>
          <w:highlight w:val="none"/>
        </w:rPr>
        <w:t>监理服务酬金</w:t>
      </w:r>
      <w:r>
        <w:rPr>
          <w:color w:val="auto"/>
          <w:kern w:val="0"/>
          <w:highlight w:val="none"/>
        </w:rPr>
        <w:t>中。</w:t>
      </w:r>
    </w:p>
    <w:p>
      <w:pPr>
        <w:ind w:firstLine="602" w:firstLineChars="200"/>
        <w:rPr>
          <w:rFonts w:ascii="宋体" w:hAnsi="宋体"/>
          <w:b/>
          <w:bCs/>
          <w:color w:val="auto"/>
          <w:sz w:val="30"/>
          <w:szCs w:val="30"/>
          <w:highlight w:val="none"/>
        </w:rPr>
      </w:pPr>
    </w:p>
    <w:p>
      <w:pPr>
        <w:ind w:firstLine="602" w:firstLineChars="200"/>
        <w:rPr>
          <w:rFonts w:ascii="宋体" w:hAnsi="宋体"/>
          <w:b/>
          <w:bCs/>
          <w:color w:val="auto"/>
          <w:sz w:val="30"/>
          <w:szCs w:val="30"/>
          <w:highlight w:val="none"/>
        </w:rPr>
      </w:pPr>
    </w:p>
    <w:p>
      <w:pPr>
        <w:ind w:firstLine="602" w:firstLineChars="200"/>
        <w:rPr>
          <w:rFonts w:ascii="宋体" w:hAnsi="宋体"/>
          <w:b/>
          <w:bCs/>
          <w:color w:val="auto"/>
          <w:sz w:val="30"/>
          <w:szCs w:val="30"/>
          <w:highlight w:val="none"/>
        </w:rPr>
      </w:pPr>
    </w:p>
    <w:p>
      <w:pPr>
        <w:spacing w:line="360" w:lineRule="auto"/>
        <w:ind w:left="315" w:leftChars="150" w:firstLine="420" w:firstLineChars="200"/>
        <w:rPr>
          <w:rFonts w:ascii="宋体" w:hAnsi="宋体"/>
          <w:color w:val="auto"/>
          <w:highlight w:val="none"/>
        </w:rPr>
      </w:pP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投标单位（盖章）：</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法定代表人或授权委托人（签字或盖章）</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日期：      年     月     日</w:t>
      </w:r>
    </w:p>
    <w:p>
      <w:pPr>
        <w:ind w:firstLine="602" w:firstLineChars="200"/>
        <w:rPr>
          <w:rFonts w:ascii="宋体" w:hAnsi="宋体"/>
          <w:b/>
          <w:bCs/>
          <w:color w:val="auto"/>
          <w:sz w:val="30"/>
          <w:szCs w:val="30"/>
          <w:highlight w:val="none"/>
        </w:rPr>
      </w:pPr>
    </w:p>
    <w:p>
      <w:pPr>
        <w:ind w:right="105"/>
        <w:rPr>
          <w:rFonts w:ascii="宋体" w:hAnsi="宋体" w:cs="宋体"/>
          <w:color w:val="auto"/>
          <w:szCs w:val="24"/>
          <w:highlight w:val="none"/>
        </w:rPr>
      </w:pPr>
    </w:p>
    <w:p>
      <w:pPr>
        <w:widowControl/>
        <w:spacing w:line="600" w:lineRule="auto"/>
        <w:jc w:val="left"/>
        <w:outlineLvl w:val="1"/>
        <w:rPr>
          <w:rFonts w:ascii="宋体" w:hAnsi="宋体" w:cs="宋体"/>
          <w:b/>
          <w:bCs/>
          <w:color w:val="auto"/>
          <w:kern w:val="0"/>
          <w:sz w:val="30"/>
          <w:szCs w:val="30"/>
          <w:highlight w:val="none"/>
        </w:rPr>
      </w:pPr>
      <w:r>
        <w:rPr>
          <w:rFonts w:hint="eastAsia" w:ascii="宋体" w:hAnsi="宋体" w:eastAsia="黑体"/>
          <w:b/>
          <w:bCs/>
          <w:color w:val="auto"/>
          <w:kern w:val="0"/>
          <w:sz w:val="36"/>
          <w:szCs w:val="24"/>
          <w:highlight w:val="none"/>
        </w:rPr>
        <w:br w:type="page"/>
      </w:r>
      <w:r>
        <w:rPr>
          <w:rFonts w:hint="eastAsia" w:ascii="宋体" w:hAnsi="宋体" w:cs="宋体"/>
          <w:b/>
          <w:bCs/>
          <w:color w:val="auto"/>
          <w:kern w:val="0"/>
          <w:sz w:val="30"/>
          <w:szCs w:val="30"/>
          <w:highlight w:val="none"/>
        </w:rPr>
        <w:t>格式</w:t>
      </w:r>
      <w:r>
        <w:rPr>
          <w:rFonts w:hint="eastAsia" w:ascii="宋体" w:hAnsi="宋体" w:cs="宋体"/>
          <w:b/>
          <w:color w:val="auto"/>
          <w:kern w:val="0"/>
          <w:sz w:val="30"/>
          <w:szCs w:val="30"/>
          <w:highlight w:val="none"/>
        </w:rPr>
        <w:t>五</w:t>
      </w:r>
      <w:r>
        <w:rPr>
          <w:rFonts w:hint="eastAsia" w:ascii="宋体" w:hAnsi="宋体" w:cs="宋体"/>
          <w:b/>
          <w:bCs/>
          <w:color w:val="auto"/>
          <w:kern w:val="0"/>
          <w:sz w:val="30"/>
          <w:szCs w:val="30"/>
          <w:highlight w:val="none"/>
        </w:rPr>
        <w:t>、</w:t>
      </w:r>
      <w:bookmarkStart w:id="504" w:name="_Hlk22686998"/>
      <w:r>
        <w:rPr>
          <w:rFonts w:hint="eastAsia" w:ascii="宋体" w:hAnsi="宋体" w:cs="宋体"/>
          <w:b/>
          <w:bCs/>
          <w:color w:val="auto"/>
          <w:kern w:val="0"/>
          <w:sz w:val="30"/>
          <w:szCs w:val="30"/>
          <w:highlight w:val="none"/>
        </w:rPr>
        <w:t>资格审查资料</w:t>
      </w:r>
      <w:bookmarkEnd w:id="504"/>
    </w:p>
    <w:p>
      <w:pPr>
        <w:spacing w:before="20" w:line="410" w:lineRule="auto"/>
        <w:ind w:firstLine="137"/>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（一）基本情况表（格式可自定）</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投标人名称</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注册地址</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邮政编码</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联系方式</w:t>
            </w:r>
          </w:p>
        </w:tc>
        <w:tc>
          <w:tcPr>
            <w:tcW w:w="991"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联系人</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 话</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991"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传  真</w:t>
            </w:r>
          </w:p>
        </w:tc>
        <w:tc>
          <w:tcPr>
            <w:tcW w:w="2217"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网 址</w:t>
            </w:r>
          </w:p>
        </w:tc>
        <w:tc>
          <w:tcPr>
            <w:tcW w:w="241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w:t>
            </w:r>
          </w:p>
        </w:tc>
        <w:tc>
          <w:tcPr>
            <w:tcW w:w="991"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991"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9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226"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技术职称</w:t>
            </w:r>
          </w:p>
        </w:tc>
        <w:tc>
          <w:tcPr>
            <w:tcW w:w="136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127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企业监理资质证书</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质量管理体系证书（如有）</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ind w:firstLine="120" w:firstLineChars="50"/>
              <w:rPr>
                <w:rFonts w:ascii="宋体" w:hAnsi="宋体" w:cs="宋体"/>
                <w:color w:val="auto"/>
                <w:sz w:val="24"/>
                <w:szCs w:val="24"/>
                <w:highlight w:val="none"/>
              </w:rPr>
            </w:pPr>
            <w:r>
              <w:rPr>
                <w:rFonts w:hint="eastAsia" w:ascii="宋体" w:hAnsi="宋体" w:cs="宋体"/>
                <w:color w:val="auto"/>
                <w:sz w:val="24"/>
                <w:szCs w:val="24"/>
                <w:highlight w:val="none"/>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营业执照号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3786" w:type="dxa"/>
            <w:gridSpan w:val="5"/>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注册资本</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其中</w:t>
            </w: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高级职称人员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成立日期</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中级职称人员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基本账户开户银行</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技术人员数量</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基本账户银行账号</w:t>
            </w:r>
          </w:p>
        </w:tc>
        <w:tc>
          <w:tcPr>
            <w:tcW w:w="320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175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各类注册人员</w:t>
            </w:r>
          </w:p>
        </w:tc>
        <w:tc>
          <w:tcPr>
            <w:tcW w:w="1571"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ind w:firstLine="240" w:firstLineChars="100"/>
              <w:jc w:val="center"/>
              <w:rPr>
                <w:rFonts w:ascii="宋体" w:hAnsi="宋体" w:cs="宋体"/>
                <w:color w:val="auto"/>
                <w:sz w:val="24"/>
                <w:szCs w:val="24"/>
                <w:highlight w:val="none"/>
              </w:rPr>
            </w:pPr>
            <w:r>
              <w:rPr>
                <w:rFonts w:hint="eastAsia" w:ascii="宋体" w:hAnsi="宋体" w:cs="宋体"/>
                <w:color w:val="auto"/>
                <w:sz w:val="24"/>
                <w:szCs w:val="24"/>
                <w:highlight w:val="none"/>
              </w:rPr>
              <w:t>经营范围</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投标人关联企业情况（包括但不限于与投标人法定代表人为同一人或者存在控股、管理关系的不同单位）</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tcBorders>
              <w:top w:val="single" w:color="auto" w:sz="4" w:space="0"/>
              <w:left w:val="single" w:color="auto" w:sz="4" w:space="0"/>
              <w:bottom w:val="single" w:color="auto" w:sz="4" w:space="0"/>
              <w:right w:val="single" w:color="auto" w:sz="4" w:space="0"/>
            </w:tcBorders>
            <w:noWrap/>
            <w:vAlign w:val="center"/>
          </w:tcPr>
          <w:p>
            <w:pPr>
              <w:topLinePunct/>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994" w:type="dxa"/>
            <w:gridSpan w:val="8"/>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p>
        </w:tc>
      </w:tr>
    </w:tbl>
    <w:p>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w:t>
      </w:r>
      <w:bookmarkStart w:id="505" w:name="_Toc520184751"/>
      <w:r>
        <w:rPr>
          <w:rFonts w:hint="eastAsia" w:ascii="宋体" w:hAnsi="宋体" w:cs="宋体"/>
          <w:color w:val="auto"/>
          <w:sz w:val="24"/>
          <w:szCs w:val="24"/>
          <w:highlight w:val="none"/>
        </w:rPr>
        <w:t>根据投标人须知第3.5</w:t>
      </w:r>
      <w:bookmarkEnd w:id="505"/>
      <w:r>
        <w:rPr>
          <w:rFonts w:hint="eastAsia" w:ascii="宋体" w:hAnsi="宋体" w:cs="宋体"/>
          <w:color w:val="auto"/>
          <w:sz w:val="24"/>
          <w:szCs w:val="24"/>
          <w:highlight w:val="none"/>
        </w:rPr>
        <w:t>.1项的要求在本表后附相关证</w:t>
      </w:r>
      <w:bookmarkStart w:id="506" w:name="_Toc520184752"/>
      <w:r>
        <w:rPr>
          <w:rFonts w:hint="eastAsia" w:ascii="宋体" w:hAnsi="宋体" w:cs="宋体"/>
          <w:color w:val="auto"/>
          <w:sz w:val="24"/>
          <w:szCs w:val="24"/>
          <w:highlight w:val="none"/>
        </w:rPr>
        <w:t>明材料。</w:t>
      </w:r>
      <w:bookmarkEnd w:id="506"/>
    </w:p>
    <w:p>
      <w:pPr>
        <w:rPr>
          <w:rFonts w:ascii="宋体" w:hAnsi="宋体" w:cs="宋体"/>
          <w:color w:val="auto"/>
          <w:highlight w:val="none"/>
        </w:rPr>
      </w:pPr>
    </w:p>
    <w:p>
      <w:pPr>
        <w:rPr>
          <w:rFonts w:ascii="宋体" w:hAnsi="宋体" w:cs="宋体"/>
          <w:color w:val="auto"/>
          <w:highlight w:val="none"/>
        </w:rPr>
      </w:pPr>
    </w:p>
    <w:p>
      <w:pPr>
        <w:spacing w:before="20" w:line="410" w:lineRule="auto"/>
        <w:ind w:firstLine="137"/>
        <w:outlineLvl w:val="2"/>
        <w:rPr>
          <w:rFonts w:ascii="宋体" w:hAnsi="宋体" w:cs="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cs="宋体"/>
          <w:b/>
          <w:bCs/>
          <w:color w:val="auto"/>
          <w:sz w:val="28"/>
          <w:szCs w:val="32"/>
          <w:highlight w:val="none"/>
        </w:rPr>
        <w:t>（二）近年完成的类似项目情况表（格式可自定）</w:t>
      </w:r>
    </w:p>
    <w:tbl>
      <w:tblPr>
        <w:tblStyle w:val="22"/>
        <w:tblW w:w="0" w:type="auto"/>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合同价格</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bl>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注：投标人应根据投标人须知第3.5.3项的要求在本表后附相关证明材料。</w:t>
      </w:r>
    </w:p>
    <w:p>
      <w:pPr>
        <w:spacing w:line="440" w:lineRule="exact"/>
        <w:rPr>
          <w:rFonts w:ascii="宋体" w:hAnsi="宋体" w:cs="宋体"/>
          <w:color w:val="auto"/>
          <w:szCs w:val="24"/>
          <w:highlight w:val="none"/>
        </w:rPr>
      </w:pPr>
    </w:p>
    <w:p>
      <w:pPr>
        <w:spacing w:line="440" w:lineRule="exact"/>
        <w:rPr>
          <w:rFonts w:ascii="宋体" w:hAnsi="宋体" w:cs="宋体"/>
          <w:color w:val="auto"/>
          <w:szCs w:val="24"/>
          <w:highlight w:val="none"/>
        </w:rPr>
      </w:pPr>
    </w:p>
    <w:p>
      <w:pPr>
        <w:spacing w:before="20" w:line="360" w:lineRule="auto"/>
        <w:ind w:firstLine="137"/>
        <w:outlineLvl w:val="2"/>
        <w:rPr>
          <w:rFonts w:ascii="宋体" w:hAnsi="宋体" w:cs="宋体"/>
          <w:b/>
          <w:bCs/>
          <w:color w:val="auto"/>
          <w:sz w:val="32"/>
          <w:szCs w:val="32"/>
          <w:highlight w:val="none"/>
        </w:rPr>
      </w:pPr>
      <w:r>
        <w:rPr>
          <w:rFonts w:hint="eastAsia" w:ascii="宋体" w:hAnsi="宋体"/>
          <w:b/>
          <w:bCs/>
          <w:color w:val="auto"/>
          <w:sz w:val="32"/>
          <w:szCs w:val="32"/>
          <w:highlight w:val="none"/>
        </w:rPr>
        <w:br w:type="page"/>
      </w:r>
      <w:r>
        <w:rPr>
          <w:rFonts w:hint="eastAsia" w:ascii="宋体" w:hAnsi="宋体" w:cs="宋体"/>
          <w:b/>
          <w:bCs/>
          <w:color w:val="auto"/>
          <w:sz w:val="28"/>
          <w:szCs w:val="32"/>
          <w:highlight w:val="none"/>
        </w:rPr>
        <w:t>（三）正在监理和新承接的项目情况表（本项目资格审查阶段不要求提供）</w:t>
      </w:r>
    </w:p>
    <w:tbl>
      <w:tblPr>
        <w:tblStyle w:val="22"/>
        <w:tblW w:w="0" w:type="auto"/>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项目所在地</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委托人名称</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委托人地址</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委托人电话</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签约合同价</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监理服务期限</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监理内容</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总监理工程师</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项目描述</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p>
            <w:pPr>
              <w:topLinePunct/>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c>
          <w:tcPr>
            <w:tcW w:w="6253" w:type="dxa"/>
            <w:tcBorders>
              <w:top w:val="single" w:color="auto" w:sz="4" w:space="0"/>
              <w:left w:val="nil"/>
              <w:bottom w:val="single" w:color="auto" w:sz="4" w:space="0"/>
              <w:right w:val="single" w:color="auto" w:sz="4" w:space="0"/>
            </w:tcBorders>
            <w:noWrap/>
          </w:tcPr>
          <w:p>
            <w:pPr>
              <w:topLinePunct/>
              <w:spacing w:line="440" w:lineRule="exact"/>
              <w:rPr>
                <w:rFonts w:ascii="宋体" w:hAnsi="宋体" w:cs="宋体"/>
                <w:color w:val="auto"/>
                <w:sz w:val="24"/>
                <w:szCs w:val="24"/>
                <w:highlight w:val="none"/>
              </w:rPr>
            </w:pPr>
          </w:p>
        </w:tc>
      </w:tr>
    </w:tbl>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注：投标人应根据投标人须知第3.5.4项的要求在本表后附相关证明材料。</w:t>
      </w:r>
    </w:p>
    <w:p>
      <w:pPr>
        <w:spacing w:line="440" w:lineRule="exact"/>
        <w:rPr>
          <w:rFonts w:ascii="宋体" w:hAnsi="宋体" w:cs="宋体"/>
          <w:b/>
          <w:bCs/>
          <w:strike/>
          <w:color w:val="auto"/>
          <w:sz w:val="32"/>
          <w:szCs w:val="32"/>
          <w:highlight w:val="none"/>
        </w:rPr>
      </w:pPr>
    </w:p>
    <w:p>
      <w:pPr>
        <w:spacing w:before="20" w:line="410" w:lineRule="auto"/>
        <w:ind w:firstLine="137"/>
        <w:outlineLvl w:val="2"/>
        <w:rPr>
          <w:rFonts w:ascii="宋体" w:hAnsi="宋体" w:cs="宋体"/>
          <w:b/>
          <w:bCs/>
          <w:color w:val="auto"/>
          <w:sz w:val="28"/>
          <w:szCs w:val="32"/>
          <w:highlight w:val="none"/>
        </w:rPr>
      </w:pPr>
      <w:r>
        <w:rPr>
          <w:rFonts w:hint="eastAsia" w:ascii="宋体" w:hAnsi="宋体"/>
          <w:b/>
          <w:bCs/>
          <w:color w:val="auto"/>
          <w:sz w:val="32"/>
          <w:szCs w:val="32"/>
          <w:highlight w:val="none"/>
        </w:rPr>
        <w:br w:type="page"/>
      </w:r>
      <w:r>
        <w:rPr>
          <w:rFonts w:hint="eastAsia" w:ascii="宋体" w:hAnsi="宋体" w:cs="宋体"/>
          <w:b/>
          <w:bCs/>
          <w:color w:val="auto"/>
          <w:sz w:val="28"/>
          <w:szCs w:val="32"/>
          <w:highlight w:val="none"/>
        </w:rPr>
        <w:t>（四）拟委任的主要人员汇总表（格式可自定）</w:t>
      </w:r>
    </w:p>
    <w:tbl>
      <w:tblPr>
        <w:tblStyle w:val="22"/>
        <w:tblW w:w="10533"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468" w:type="dxa"/>
            <w:vMerge w:val="restart"/>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本项目任职</w:t>
            </w:r>
          </w:p>
        </w:tc>
        <w:tc>
          <w:tcPr>
            <w:tcW w:w="818" w:type="dxa"/>
            <w:vMerge w:val="restart"/>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707" w:type="dxa"/>
            <w:vMerge w:val="restart"/>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职称</w:t>
            </w:r>
          </w:p>
        </w:tc>
        <w:tc>
          <w:tcPr>
            <w:tcW w:w="870" w:type="dxa"/>
            <w:vMerge w:val="restart"/>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专业</w:t>
            </w:r>
          </w:p>
        </w:tc>
        <w:tc>
          <w:tcPr>
            <w:tcW w:w="3123" w:type="dxa"/>
            <w:gridSpan w:val="3"/>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302" w:type="dxa"/>
            <w:vMerge w:val="restart"/>
            <w:tcBorders>
              <w:top w:val="single" w:color="auto" w:sz="4" w:space="0"/>
              <w:left w:val="nil"/>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从事相应工作年限</w:t>
            </w:r>
          </w:p>
        </w:tc>
        <w:tc>
          <w:tcPr>
            <w:tcW w:w="1302" w:type="dxa"/>
            <w:vMerge w:val="restart"/>
            <w:tcBorders>
              <w:top w:val="single" w:color="auto" w:sz="4" w:space="0"/>
              <w:left w:val="nil"/>
              <w:right w:val="single" w:color="auto" w:sz="4" w:space="0"/>
            </w:tcBorders>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1468" w:type="dxa"/>
            <w:vMerge w:val="continue"/>
            <w:tcBorders>
              <w:top w:val="single" w:color="auto" w:sz="4" w:space="0"/>
              <w:left w:val="nil"/>
              <w:bottom w:val="single" w:color="auto" w:sz="4" w:space="0"/>
              <w:right w:val="single" w:color="auto" w:sz="4" w:space="0"/>
            </w:tcBorders>
            <w:noWrap/>
            <w:vAlign w:val="center"/>
          </w:tcPr>
          <w:p>
            <w:pPr>
              <w:rPr>
                <w:rFonts w:ascii="Calibri" w:hAnsi="Calibri"/>
                <w:color w:val="auto"/>
                <w:sz w:val="20"/>
                <w:szCs w:val="20"/>
                <w:highlight w:val="none"/>
              </w:rPr>
            </w:pPr>
          </w:p>
        </w:tc>
        <w:tc>
          <w:tcPr>
            <w:tcW w:w="818" w:type="dxa"/>
            <w:vMerge w:val="continue"/>
            <w:tcBorders>
              <w:top w:val="single" w:color="auto" w:sz="4" w:space="0"/>
              <w:left w:val="nil"/>
              <w:bottom w:val="single" w:color="auto" w:sz="4" w:space="0"/>
              <w:right w:val="single" w:color="auto" w:sz="4" w:space="0"/>
            </w:tcBorders>
            <w:noWrap/>
            <w:vAlign w:val="center"/>
          </w:tcPr>
          <w:p>
            <w:pPr>
              <w:rPr>
                <w:rFonts w:ascii="Calibri" w:hAnsi="Calibri"/>
                <w:color w:val="auto"/>
                <w:sz w:val="20"/>
                <w:szCs w:val="20"/>
                <w:highlight w:val="none"/>
              </w:rPr>
            </w:pPr>
          </w:p>
        </w:tc>
        <w:tc>
          <w:tcPr>
            <w:tcW w:w="707" w:type="dxa"/>
            <w:vMerge w:val="continue"/>
            <w:tcBorders>
              <w:top w:val="single" w:color="auto" w:sz="4" w:space="0"/>
              <w:left w:val="nil"/>
              <w:bottom w:val="single" w:color="auto" w:sz="4" w:space="0"/>
              <w:right w:val="single" w:color="auto" w:sz="4" w:space="0"/>
            </w:tcBorders>
            <w:noWrap/>
            <w:vAlign w:val="center"/>
          </w:tcPr>
          <w:p>
            <w:pPr>
              <w:rPr>
                <w:rFonts w:ascii="Calibri" w:hAnsi="Calibri"/>
                <w:color w:val="auto"/>
                <w:sz w:val="20"/>
                <w:szCs w:val="20"/>
                <w:highlight w:val="none"/>
              </w:rPr>
            </w:pPr>
          </w:p>
        </w:tc>
        <w:tc>
          <w:tcPr>
            <w:tcW w:w="870" w:type="dxa"/>
            <w:vMerge w:val="continue"/>
            <w:tcBorders>
              <w:top w:val="single" w:color="auto" w:sz="4" w:space="0"/>
              <w:left w:val="nil"/>
              <w:bottom w:val="single" w:color="auto" w:sz="4" w:space="0"/>
              <w:right w:val="single" w:color="auto" w:sz="4" w:space="0"/>
            </w:tcBorders>
            <w:noWrap/>
            <w:vAlign w:val="center"/>
          </w:tcPr>
          <w:p>
            <w:pPr>
              <w:rPr>
                <w:rFonts w:ascii="Calibri" w:hAnsi="Calibri"/>
                <w:color w:val="auto"/>
                <w:sz w:val="20"/>
                <w:szCs w:val="20"/>
                <w:highlight w:val="none"/>
              </w:rPr>
            </w:pPr>
          </w:p>
        </w:tc>
        <w:tc>
          <w:tcPr>
            <w:tcW w:w="1305" w:type="dxa"/>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证书名称</w:t>
            </w:r>
          </w:p>
        </w:tc>
        <w:tc>
          <w:tcPr>
            <w:tcW w:w="816" w:type="dxa"/>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级别</w:t>
            </w:r>
          </w:p>
        </w:tc>
        <w:tc>
          <w:tcPr>
            <w:tcW w:w="1002" w:type="dxa"/>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证号</w:t>
            </w:r>
          </w:p>
        </w:tc>
        <w:tc>
          <w:tcPr>
            <w:tcW w:w="1302" w:type="dxa"/>
            <w:vMerge w:val="continue"/>
            <w:tcBorders>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302" w:type="dxa"/>
            <w:vMerge w:val="continue"/>
            <w:tcBorders>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46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8"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707"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70"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5"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816"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0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noWrap/>
          </w:tcPr>
          <w:p>
            <w:pPr>
              <w:spacing w:line="440" w:lineRule="exact"/>
              <w:jc w:val="center"/>
              <w:rPr>
                <w:rFonts w:ascii="宋体" w:hAnsi="宋体" w:cs="宋体"/>
                <w:color w:val="auto"/>
                <w:sz w:val="24"/>
                <w:szCs w:val="24"/>
                <w:highlight w:val="none"/>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宋体" w:hAnsi="宋体" w:cs="宋体"/>
                <w:color w:val="auto"/>
                <w:sz w:val="24"/>
                <w:szCs w:val="24"/>
                <w:highlight w:val="none"/>
              </w:rPr>
            </w:pPr>
          </w:p>
        </w:tc>
      </w:tr>
    </w:tbl>
    <w:p>
      <w:pPr>
        <w:spacing w:line="440" w:lineRule="exact"/>
        <w:rPr>
          <w:rFonts w:ascii="宋体" w:hAnsi="宋体" w:cs="宋体"/>
          <w:color w:val="auto"/>
          <w:szCs w:val="24"/>
          <w:highlight w:val="none"/>
        </w:rPr>
      </w:pPr>
    </w:p>
    <w:p>
      <w:pPr>
        <w:spacing w:line="440" w:lineRule="exact"/>
        <w:rPr>
          <w:rFonts w:ascii="宋体" w:hAnsi="宋体" w:cs="宋体"/>
          <w:color w:val="auto"/>
          <w:szCs w:val="24"/>
          <w:highlight w:val="none"/>
        </w:rPr>
      </w:pPr>
    </w:p>
    <w:p>
      <w:pPr>
        <w:spacing w:line="440" w:lineRule="exact"/>
        <w:rPr>
          <w:rFonts w:ascii="宋体" w:hAnsi="宋体" w:cs="宋体"/>
          <w:color w:val="auto"/>
          <w:szCs w:val="24"/>
          <w:highlight w:val="none"/>
        </w:rPr>
      </w:pPr>
    </w:p>
    <w:p>
      <w:pPr>
        <w:spacing w:line="440" w:lineRule="exact"/>
        <w:rPr>
          <w:rFonts w:ascii="宋体" w:hAnsi="宋体" w:cs="宋体"/>
          <w:color w:val="auto"/>
          <w:szCs w:val="24"/>
          <w:highlight w:val="none"/>
        </w:rPr>
      </w:pPr>
    </w:p>
    <w:p>
      <w:pPr>
        <w:rPr>
          <w:rFonts w:ascii="宋体" w:hAnsi="宋体" w:cs="宋体"/>
          <w:b/>
          <w:bCs/>
          <w:color w:val="auto"/>
          <w:sz w:val="28"/>
          <w:szCs w:val="32"/>
          <w:highlight w:val="none"/>
        </w:rPr>
      </w:pPr>
      <w:r>
        <w:rPr>
          <w:rFonts w:hint="eastAsia" w:ascii="宋体" w:hAnsi="宋体" w:cs="宋体"/>
          <w:b/>
          <w:bCs/>
          <w:color w:val="auto"/>
          <w:sz w:val="28"/>
          <w:szCs w:val="32"/>
          <w:highlight w:val="none"/>
        </w:rPr>
        <w:br w:type="page"/>
      </w:r>
    </w:p>
    <w:p>
      <w:pPr>
        <w:spacing w:before="20" w:line="410" w:lineRule="auto"/>
        <w:ind w:firstLine="137"/>
        <w:outlineLvl w:val="2"/>
        <w:rPr>
          <w:rFonts w:ascii="宋体" w:hAnsi="宋体" w:cs="宋体"/>
          <w:b/>
          <w:bCs/>
          <w:color w:val="auto"/>
          <w:sz w:val="28"/>
          <w:szCs w:val="32"/>
          <w:highlight w:val="none"/>
        </w:rPr>
      </w:pPr>
      <w:r>
        <w:rPr>
          <w:rFonts w:hint="eastAsia" w:ascii="宋体" w:hAnsi="宋体" w:cs="宋体"/>
          <w:b/>
          <w:bCs/>
          <w:color w:val="auto"/>
          <w:sz w:val="28"/>
          <w:szCs w:val="32"/>
          <w:highlight w:val="none"/>
        </w:rPr>
        <w:t>（五）主要人员简历表（格式可自定）</w:t>
      </w:r>
    </w:p>
    <w:tbl>
      <w:tblPr>
        <w:tblStyle w:val="22"/>
        <w:tblW w:w="0" w:type="auto"/>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姓  名</w:t>
            </w:r>
          </w:p>
        </w:tc>
        <w:tc>
          <w:tcPr>
            <w:tcW w:w="1048" w:type="dxa"/>
            <w:gridSpan w:val="2"/>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年龄</w:t>
            </w:r>
          </w:p>
        </w:tc>
        <w:tc>
          <w:tcPr>
            <w:tcW w:w="1065"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执业资格证书（或上岗证书）名称</w:t>
            </w:r>
          </w:p>
        </w:tc>
        <w:tc>
          <w:tcPr>
            <w:tcW w:w="1896"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职  称</w:t>
            </w:r>
          </w:p>
        </w:tc>
        <w:tc>
          <w:tcPr>
            <w:tcW w:w="1048" w:type="dxa"/>
            <w:gridSpan w:val="2"/>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958" w:type="dxa"/>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学历</w:t>
            </w:r>
          </w:p>
        </w:tc>
        <w:tc>
          <w:tcPr>
            <w:tcW w:w="1065"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拟在本项目任职</w:t>
            </w:r>
          </w:p>
        </w:tc>
        <w:tc>
          <w:tcPr>
            <w:tcW w:w="1896"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工作年限</w:t>
            </w:r>
          </w:p>
        </w:tc>
        <w:tc>
          <w:tcPr>
            <w:tcW w:w="3071" w:type="dxa"/>
            <w:gridSpan w:val="4"/>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c>
          <w:tcPr>
            <w:tcW w:w="2368" w:type="dxa"/>
            <w:gridSpan w:val="3"/>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从事相应工作年限</w:t>
            </w:r>
          </w:p>
        </w:tc>
        <w:tc>
          <w:tcPr>
            <w:tcW w:w="1896" w:type="dxa"/>
            <w:tcBorders>
              <w:top w:val="single" w:color="auto" w:sz="4" w:space="0"/>
              <w:left w:val="nil"/>
              <w:bottom w:val="single" w:color="auto" w:sz="4" w:space="0"/>
              <w:right w:val="single" w:color="auto" w:sz="4" w:space="0"/>
            </w:tcBorders>
            <w:noWrap/>
            <w:vAlign w:val="center"/>
          </w:tcPr>
          <w:p>
            <w:pPr>
              <w:spacing w:line="440" w:lineRule="exact"/>
              <w:jc w:val="center"/>
              <w:rPr>
                <w:rFonts w:ascii="宋体" w:hAnsi="宋体" w:cs="宋体"/>
                <w:color w:val="auto"/>
                <w:sz w:val="24"/>
                <w:szCs w:val="24"/>
                <w:highlight w:val="none"/>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毕业学校</w:t>
            </w:r>
          </w:p>
        </w:tc>
        <w:tc>
          <w:tcPr>
            <w:tcW w:w="7335" w:type="dxa"/>
            <w:gridSpan w:val="8"/>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ind w:firstLine="1320" w:firstLineChars="550"/>
              <w:rPr>
                <w:rFonts w:ascii="宋体" w:hAnsi="宋体" w:cs="宋体"/>
                <w:color w:val="auto"/>
                <w:sz w:val="24"/>
                <w:szCs w:val="24"/>
                <w:highlight w:val="none"/>
              </w:rPr>
            </w:pPr>
            <w:r>
              <w:rPr>
                <w:rFonts w:hint="eastAsia" w:ascii="宋体" w:hAnsi="宋体" w:cs="宋体"/>
                <w:color w:val="auto"/>
                <w:sz w:val="24"/>
                <w:szCs w:val="24"/>
                <w:highlight w:val="none"/>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40" w:lineRule="exact"/>
              <w:rPr>
                <w:rFonts w:ascii="宋体" w:hAnsi="宋体" w:cs="宋体"/>
                <w:color w:val="auto"/>
                <w:sz w:val="24"/>
                <w:szCs w:val="24"/>
                <w:highlight w:val="none"/>
              </w:rPr>
            </w:pPr>
            <w:r>
              <w:rPr>
                <w:rFonts w:hint="eastAsia" w:ascii="宋体" w:hAnsi="宋体" w:cs="宋体"/>
                <w:color w:val="auto"/>
                <w:sz w:val="24"/>
                <w:szCs w:val="24"/>
                <w:highlight w:val="none"/>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时  间</w:t>
            </w:r>
          </w:p>
        </w:tc>
        <w:tc>
          <w:tcPr>
            <w:tcW w:w="3420" w:type="dxa"/>
            <w:gridSpan w:val="4"/>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参加过的类似项目</w:t>
            </w:r>
          </w:p>
        </w:tc>
        <w:tc>
          <w:tcPr>
            <w:tcW w:w="1261" w:type="dxa"/>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担任职务</w:t>
            </w:r>
          </w:p>
        </w:tc>
        <w:tc>
          <w:tcPr>
            <w:tcW w:w="2297" w:type="dxa"/>
            <w:gridSpan w:val="2"/>
            <w:tcBorders>
              <w:top w:val="single" w:color="auto" w:sz="4" w:space="0"/>
              <w:left w:val="nil"/>
              <w:bottom w:val="single" w:color="auto" w:sz="4" w:space="0"/>
              <w:right w:val="single" w:color="auto" w:sz="4" w:space="0"/>
            </w:tcBorders>
            <w:noWrap/>
            <w:vAlign w:val="center"/>
          </w:tcPr>
          <w:p>
            <w:pPr>
              <w:spacing w:before="100" w:beforeAutospacing="1" w:after="100" w:afterAutospacing="1" w:line="44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tcPr>
          <w:p>
            <w:pPr>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3420" w:type="dxa"/>
            <w:gridSpan w:val="4"/>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1261" w:type="dxa"/>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c>
          <w:tcPr>
            <w:tcW w:w="2297" w:type="dxa"/>
            <w:gridSpan w:val="2"/>
            <w:tcBorders>
              <w:top w:val="single" w:color="auto" w:sz="4" w:space="0"/>
              <w:left w:val="nil"/>
              <w:bottom w:val="single" w:color="auto" w:sz="4" w:space="0"/>
              <w:right w:val="single" w:color="auto" w:sz="4" w:space="0"/>
            </w:tcBorders>
            <w:noWrap/>
            <w:vAlign w:val="center"/>
          </w:tcPr>
          <w:p>
            <w:pPr>
              <w:spacing w:line="440" w:lineRule="exact"/>
              <w:rPr>
                <w:rFonts w:ascii="宋体" w:hAnsi="宋体" w:cs="宋体"/>
                <w:color w:val="auto"/>
                <w:sz w:val="24"/>
                <w:szCs w:val="24"/>
                <w:highlight w:val="none"/>
              </w:rPr>
            </w:pPr>
          </w:p>
        </w:tc>
      </w:tr>
    </w:tbl>
    <w:p>
      <w:pPr>
        <w:spacing w:line="440" w:lineRule="exact"/>
        <w:rPr>
          <w:rFonts w:ascii="宋体" w:hAnsi="宋体" w:cs="宋体"/>
          <w:color w:val="auto"/>
          <w:sz w:val="24"/>
          <w:szCs w:val="24"/>
          <w:highlight w:val="none"/>
        </w:rPr>
      </w:pPr>
      <w:r>
        <w:rPr>
          <w:rFonts w:hint="eastAsia" w:ascii="宋体" w:hAnsi="宋体" w:cs="宋体"/>
          <w:color w:val="auto"/>
          <w:sz w:val="24"/>
          <w:szCs w:val="24"/>
          <w:highlight w:val="none"/>
        </w:rPr>
        <w:t>注：投标人应根据投标人须知第3.5.6项的要求在本表后附相关证明材料。</w:t>
      </w:r>
    </w:p>
    <w:p>
      <w:pPr>
        <w:spacing w:line="440" w:lineRule="exact"/>
        <w:rPr>
          <w:rFonts w:ascii="宋体" w:hAnsi="宋体" w:cs="宋体"/>
          <w:color w:val="auto"/>
          <w:szCs w:val="24"/>
          <w:highlight w:val="none"/>
        </w:rPr>
      </w:pPr>
    </w:p>
    <w:p>
      <w:pPr>
        <w:spacing w:before="20" w:line="410" w:lineRule="auto"/>
        <w:outlineLvl w:val="2"/>
        <w:rPr>
          <w:rFonts w:ascii="宋体" w:hAnsi="宋体" w:cs="宋体"/>
          <w:b/>
          <w:bCs/>
          <w:color w:val="auto"/>
          <w:sz w:val="28"/>
          <w:szCs w:val="32"/>
          <w:highlight w:val="none"/>
        </w:rPr>
      </w:pPr>
      <w:r>
        <w:rPr>
          <w:rFonts w:hint="eastAsia" w:ascii="宋体" w:hAnsi="宋体"/>
          <w:b/>
          <w:bCs/>
          <w:color w:val="auto"/>
          <w:szCs w:val="24"/>
          <w:highlight w:val="none"/>
        </w:rPr>
        <w:br w:type="page"/>
      </w:r>
      <w:r>
        <w:rPr>
          <w:rFonts w:hint="eastAsia" w:ascii="宋体" w:hAnsi="宋体" w:cs="宋体"/>
          <w:b/>
          <w:bCs/>
          <w:color w:val="auto"/>
          <w:sz w:val="28"/>
          <w:szCs w:val="32"/>
          <w:highlight w:val="none"/>
        </w:rPr>
        <w:t>（六）拟投入本项目的主要试验检测仪器设备表（格式可自定）</w:t>
      </w:r>
    </w:p>
    <w:p>
      <w:pPr>
        <w:spacing w:line="440" w:lineRule="exact"/>
        <w:jc w:val="center"/>
        <w:rPr>
          <w:rFonts w:ascii="宋体" w:hAnsi="宋体" w:cs="宋体"/>
          <w:color w:val="auto"/>
          <w:sz w:val="32"/>
          <w:szCs w:val="32"/>
          <w:highlight w:val="none"/>
        </w:rPr>
      </w:pPr>
      <w:r>
        <w:rPr>
          <w:rFonts w:hint="eastAsia" w:ascii="宋体" w:hAnsi="宋体" w:cs="宋体"/>
          <w:color w:val="auto"/>
          <w:position w:val="-1"/>
          <w:sz w:val="28"/>
          <w:szCs w:val="28"/>
          <w:highlight w:val="none"/>
        </w:rPr>
        <w:t>拟投入本项目的通讯、办公、检测设备清单</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43"/>
        <w:gridCol w:w="1852"/>
        <w:gridCol w:w="1749"/>
        <w:gridCol w:w="1573"/>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2499"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名称及型号</w:t>
            </w:r>
          </w:p>
        </w:tc>
        <w:tc>
          <w:tcPr>
            <w:tcW w:w="6732"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申请单位能达到的程度简述（由申请单位填写）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185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数量（台套）</w:t>
            </w:r>
          </w:p>
        </w:tc>
        <w:tc>
          <w:tcPr>
            <w:tcW w:w="488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拟投入本项目情况（台套）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499" w:type="dxa"/>
            <w:gridSpan w:val="2"/>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1852"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新购</w:t>
            </w:r>
          </w:p>
        </w:tc>
        <w:tc>
          <w:tcPr>
            <w:tcW w:w="157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自有</w:t>
            </w:r>
          </w:p>
        </w:tc>
        <w:tc>
          <w:tcPr>
            <w:tcW w:w="155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通讯设备</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有线电话</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传真机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打印机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办公设备</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复印机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数码相机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摄像机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电  脑</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检测设备</w:t>
            </w: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水准仪</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经纬仪</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全站仪</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30米钢卷尺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5米钢卷尺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激光垂准仪</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混凝土回弹仪</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建筑工程检测尺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焊接检测尺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读数显微镜</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涂层测厚仪</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游标卡尺</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扭矩扳手</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56" w:type="dxa"/>
            <w:vMerge w:val="continue"/>
            <w:tcBorders>
              <w:top w:val="single" w:color="auto" w:sz="4" w:space="0"/>
              <w:left w:val="single" w:color="auto" w:sz="4" w:space="0"/>
              <w:bottom w:val="single" w:color="auto" w:sz="4" w:space="0"/>
              <w:right w:val="single" w:color="auto" w:sz="4" w:space="0"/>
            </w:tcBorders>
            <w:noWrap/>
            <w:vAlign w:val="center"/>
          </w:tcPr>
          <w:p>
            <w:pPr>
              <w:rPr>
                <w:rFonts w:ascii="Calibri" w:hAnsi="Calibri"/>
                <w:color w:val="auto"/>
                <w:sz w:val="20"/>
                <w:szCs w:val="20"/>
                <w:highlight w:val="none"/>
              </w:rPr>
            </w:pPr>
          </w:p>
        </w:tc>
        <w:tc>
          <w:tcPr>
            <w:tcW w:w="20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交通工具</w:t>
            </w:r>
          </w:p>
        </w:tc>
        <w:tc>
          <w:tcPr>
            <w:tcW w:w="1852"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499"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其他</w:t>
            </w:r>
          </w:p>
        </w:tc>
        <w:tc>
          <w:tcPr>
            <w:tcW w:w="1852"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73"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c>
          <w:tcPr>
            <w:tcW w:w="155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color w:val="auto"/>
                <w:sz w:val="24"/>
                <w:szCs w:val="24"/>
                <w:highlight w:val="none"/>
              </w:rPr>
            </w:pPr>
          </w:p>
        </w:tc>
      </w:tr>
    </w:tbl>
    <w:p>
      <w:pPr>
        <w:topLinePunct/>
        <w:spacing w:line="268" w:lineRule="auto"/>
        <w:ind w:firstLine="496" w:firstLineChars="200"/>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备注：1、如投标人中标，招标人将据此清单与中标的监理单位核查进场的监理设施。</w:t>
      </w:r>
    </w:p>
    <w:p>
      <w:pPr>
        <w:topLinePunct/>
        <w:spacing w:line="268" w:lineRule="auto"/>
        <w:ind w:firstLine="620" w:firstLineChars="250"/>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2、投标人可自行补充其他拟投入本项目的监理设施，以及委托有关单位进行检测的协议。</w:t>
      </w:r>
    </w:p>
    <w:p>
      <w:pPr>
        <w:topLinePunct/>
        <w:spacing w:line="360" w:lineRule="auto"/>
        <w:ind w:firstLine="496" w:firstLineChars="200"/>
        <w:rPr>
          <w:rFonts w:ascii="宋体" w:hAnsi="宋体" w:cs="宋体"/>
          <w:color w:val="auto"/>
          <w:spacing w:val="4"/>
          <w:sz w:val="24"/>
          <w:szCs w:val="24"/>
          <w:highlight w:val="none"/>
        </w:rPr>
      </w:pPr>
    </w:p>
    <w:p>
      <w:pPr>
        <w:topLinePunct/>
        <w:spacing w:line="360" w:lineRule="auto"/>
        <w:rPr>
          <w:rFonts w:ascii="宋体" w:hAnsi="宋体" w:cs="宋体"/>
          <w:color w:val="auto"/>
          <w:spacing w:val="4"/>
          <w:sz w:val="24"/>
          <w:szCs w:val="24"/>
          <w:highlight w:val="none"/>
        </w:rPr>
      </w:pPr>
      <w:r>
        <w:rPr>
          <w:rFonts w:hint="eastAsia" w:ascii="宋体" w:hAnsi="宋体" w:cs="宋体"/>
          <w:color w:val="auto"/>
          <w:spacing w:val="4"/>
          <w:sz w:val="24"/>
          <w:szCs w:val="24"/>
          <w:highlight w:val="none"/>
        </w:rPr>
        <w:t>投  标  单  位（盖章）：</w:t>
      </w:r>
    </w:p>
    <w:p>
      <w:pPr>
        <w:topLinePunct/>
        <w:spacing w:line="360" w:lineRule="auto"/>
        <w:rPr>
          <w:rFonts w:ascii="宋体" w:hAnsi="宋体" w:cs="宋体"/>
          <w:color w:val="auto"/>
          <w:spacing w:val="18"/>
          <w:sz w:val="24"/>
          <w:szCs w:val="24"/>
          <w:highlight w:val="none"/>
        </w:rPr>
      </w:pPr>
      <w:r>
        <w:rPr>
          <w:rFonts w:hint="eastAsia" w:ascii="宋体" w:hAnsi="宋体" w:cs="宋体"/>
          <w:color w:val="auto"/>
          <w:spacing w:val="4"/>
          <w:sz w:val="24"/>
          <w:szCs w:val="24"/>
          <w:highlight w:val="none"/>
        </w:rPr>
        <w:t>法定代表人或授权委托人（签名或盖章）</w:t>
      </w:r>
      <w:r>
        <w:rPr>
          <w:rFonts w:hint="eastAsia" w:ascii="宋体" w:hAnsi="宋体" w:cs="宋体"/>
          <w:color w:val="auto"/>
          <w:spacing w:val="18"/>
          <w:sz w:val="24"/>
          <w:szCs w:val="24"/>
          <w:highlight w:val="none"/>
        </w:rPr>
        <w:t xml:space="preserve">：            </w:t>
      </w:r>
    </w:p>
    <w:p>
      <w:pPr>
        <w:topLinePunct/>
        <w:spacing w:line="360" w:lineRule="auto"/>
        <w:rPr>
          <w:rFonts w:ascii="宋体" w:hAnsi="宋体" w:cs="宋体"/>
          <w:color w:val="auto"/>
          <w:spacing w:val="18"/>
          <w:sz w:val="24"/>
          <w:szCs w:val="24"/>
          <w:highlight w:val="none"/>
        </w:rPr>
      </w:pPr>
      <w:r>
        <w:rPr>
          <w:rFonts w:hint="eastAsia" w:ascii="宋体" w:hAnsi="宋体" w:cs="宋体"/>
          <w:color w:val="auto"/>
          <w:spacing w:val="18"/>
          <w:sz w:val="24"/>
          <w:szCs w:val="24"/>
          <w:highlight w:val="none"/>
        </w:rPr>
        <w:t>日期：   年  月  日</w:t>
      </w:r>
    </w:p>
    <w:p>
      <w:pPr>
        <w:spacing w:before="20" w:line="410" w:lineRule="auto"/>
        <w:outlineLvl w:val="2"/>
        <w:rPr>
          <w:rFonts w:ascii="宋体" w:hAnsi="宋体" w:cs="宋体"/>
          <w:b/>
          <w:bCs/>
          <w:color w:val="auto"/>
          <w:sz w:val="28"/>
          <w:szCs w:val="28"/>
          <w:highlight w:val="none"/>
        </w:rPr>
      </w:pPr>
      <w:r>
        <w:rPr>
          <w:rFonts w:hint="eastAsia" w:ascii="宋体" w:hAnsi="宋体"/>
          <w:color w:val="auto"/>
          <w:spacing w:val="18"/>
          <w:sz w:val="24"/>
          <w:szCs w:val="24"/>
          <w:highlight w:val="none"/>
        </w:rPr>
        <w:br w:type="page"/>
      </w:r>
      <w:r>
        <w:rPr>
          <w:rFonts w:hint="eastAsia" w:ascii="宋体" w:hAnsi="宋体" w:cs="宋体"/>
          <w:b/>
          <w:bCs/>
          <w:color w:val="auto"/>
          <w:sz w:val="28"/>
          <w:szCs w:val="28"/>
          <w:highlight w:val="none"/>
        </w:rPr>
        <w:t>（七）投标人声明格式</w:t>
      </w:r>
    </w:p>
    <w:p>
      <w:pPr>
        <w:topLinePunct/>
        <w:spacing w:line="360" w:lineRule="auto"/>
        <w:rPr>
          <w:rFonts w:ascii="宋体" w:hAnsi="宋体" w:cs="宋体"/>
          <w:color w:val="auto"/>
          <w:spacing w:val="18"/>
          <w:sz w:val="24"/>
          <w:highlight w:val="none"/>
        </w:rPr>
      </w:pPr>
      <w:r>
        <w:rPr>
          <w:rFonts w:hint="eastAsia" w:ascii="宋体" w:hAnsi="宋体" w:cs="宋体"/>
          <w:snapToGrid w:val="0"/>
          <w:color w:val="auto"/>
          <w:spacing w:val="4"/>
          <w:kern w:val="0"/>
          <w:sz w:val="24"/>
          <w:highlight w:val="none"/>
        </w:rPr>
        <w:t>（格式详见招标公告附件一）</w:t>
      </w:r>
    </w:p>
    <w:p>
      <w:pPr>
        <w:widowControl/>
        <w:spacing w:line="600" w:lineRule="auto"/>
        <w:jc w:val="left"/>
        <w:outlineLvl w:val="1"/>
        <w:rPr>
          <w:rFonts w:ascii="宋体" w:hAnsi="宋体" w:cs="宋体"/>
          <w:b/>
          <w:bCs/>
          <w:color w:val="auto"/>
          <w:kern w:val="0"/>
          <w:sz w:val="30"/>
          <w:szCs w:val="30"/>
          <w:highlight w:val="none"/>
        </w:rPr>
      </w:pPr>
      <w:r>
        <w:rPr>
          <w:rFonts w:hint="eastAsia" w:ascii="宋体" w:hAnsi="宋体" w:eastAsia="黑体"/>
          <w:b/>
          <w:bCs/>
          <w:color w:val="auto"/>
          <w:kern w:val="0"/>
          <w:sz w:val="24"/>
          <w:szCs w:val="24"/>
          <w:highlight w:val="none"/>
        </w:rPr>
        <w:br w:type="page"/>
      </w:r>
      <w:bookmarkEnd w:id="500"/>
      <w:bookmarkStart w:id="507" w:name="_Toc529196610"/>
      <w:bookmarkStart w:id="508" w:name="_Toc535938758"/>
      <w:bookmarkStart w:id="509" w:name="_Toc530470651"/>
      <w:r>
        <w:rPr>
          <w:rFonts w:hint="eastAsia" w:ascii="宋体" w:hAnsi="宋体" w:cs="宋体"/>
          <w:b/>
          <w:bCs/>
          <w:color w:val="auto"/>
          <w:kern w:val="0"/>
          <w:sz w:val="30"/>
          <w:szCs w:val="30"/>
          <w:highlight w:val="none"/>
        </w:rPr>
        <w:t>格式六、监理大纲</w:t>
      </w:r>
      <w:bookmarkEnd w:id="507"/>
      <w:bookmarkEnd w:id="508"/>
      <w:bookmarkEnd w:id="509"/>
    </w:p>
    <w:p>
      <w:pPr>
        <w:spacing w:line="360" w:lineRule="auto"/>
        <w:jc w:val="center"/>
        <w:rPr>
          <w:rFonts w:ascii="宋体" w:hAnsi="宋体" w:cs="宋体"/>
          <w:b/>
          <w:color w:val="auto"/>
          <w:sz w:val="28"/>
          <w:szCs w:val="32"/>
          <w:highlight w:val="none"/>
        </w:rPr>
      </w:pPr>
      <w:r>
        <w:rPr>
          <w:rFonts w:hint="eastAsia" w:ascii="宋体" w:hAnsi="宋体" w:cs="宋体"/>
          <w:b/>
          <w:color w:val="auto"/>
          <w:sz w:val="28"/>
          <w:szCs w:val="32"/>
          <w:highlight w:val="none"/>
        </w:rPr>
        <w:t>监理大纲</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监理大纲应包括（但不限于）下列内容：</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一、监理工程概况；</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二、监理范围、监理内容；</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三、监理依据、监理工作目标；</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四、监理机构设置（监理组织架构框图）、岗位职责；</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五、监理工作程序、方法和制度；</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六、拟投入的监理人员、试验检测仪器设备；</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七、质量、进度、造价、安全、环保监理措施；</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八、合同、信息管理方案；</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九、组织协调内容及措施；</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十、监理工作重点、难点分析；</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十一、监理工作中对建设用地范围内的树木资源利用与保护的方案和建议等</w:t>
      </w:r>
    </w:p>
    <w:p>
      <w:pPr>
        <w:spacing w:line="360" w:lineRule="auto"/>
        <w:ind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十二、对本工程监理的合理化建议。</w:t>
      </w: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rPr>
          <w:rFonts w:ascii="宋体" w:hAnsi="宋体" w:cs="宋体"/>
          <w:color w:val="auto"/>
          <w:highlight w:val="none"/>
        </w:rPr>
      </w:pPr>
    </w:p>
    <w:p>
      <w:pPr>
        <w:widowControl/>
        <w:spacing w:line="480" w:lineRule="auto"/>
        <w:jc w:val="left"/>
        <w:outlineLvl w:val="1"/>
        <w:rPr>
          <w:rFonts w:ascii="宋体" w:hAnsi="宋体" w:cs="宋体"/>
          <w:b/>
          <w:bCs/>
          <w:color w:val="auto"/>
          <w:kern w:val="0"/>
          <w:sz w:val="30"/>
          <w:szCs w:val="30"/>
          <w:highlight w:val="none"/>
        </w:rPr>
      </w:pPr>
      <w:r>
        <w:rPr>
          <w:rFonts w:hint="eastAsia" w:ascii="宋体" w:hAnsi="宋体" w:eastAsia="黑体"/>
          <w:b/>
          <w:bCs/>
          <w:color w:val="auto"/>
          <w:kern w:val="0"/>
          <w:sz w:val="36"/>
          <w:szCs w:val="32"/>
          <w:highlight w:val="none"/>
        </w:rPr>
        <w:br w:type="page"/>
      </w:r>
      <w:bookmarkStart w:id="510" w:name="_Toc529196611"/>
      <w:bookmarkStart w:id="511" w:name="_Toc535938759"/>
      <w:bookmarkStart w:id="512" w:name="_Toc530470652"/>
      <w:r>
        <w:rPr>
          <w:rFonts w:hint="eastAsia" w:ascii="宋体" w:hAnsi="宋体" w:cs="宋体"/>
          <w:b/>
          <w:bCs/>
          <w:color w:val="auto"/>
          <w:kern w:val="0"/>
          <w:sz w:val="30"/>
          <w:szCs w:val="30"/>
          <w:highlight w:val="none"/>
        </w:rPr>
        <w:t>格式七、其他资料</w:t>
      </w:r>
      <w:bookmarkEnd w:id="510"/>
      <w:bookmarkEnd w:id="511"/>
      <w:bookmarkEnd w:id="512"/>
    </w:p>
    <w:p>
      <w:pPr>
        <w:topLinePunct/>
        <w:spacing w:line="360" w:lineRule="auto"/>
        <w:rPr>
          <w:rFonts w:ascii="宋体" w:hAnsi="宋体" w:cs="宋体"/>
          <w:snapToGrid w:val="0"/>
          <w:color w:val="auto"/>
          <w:spacing w:val="18"/>
          <w:sz w:val="28"/>
          <w:szCs w:val="28"/>
          <w:highlight w:val="none"/>
        </w:rPr>
      </w:pPr>
      <w:r>
        <w:rPr>
          <w:rFonts w:hint="eastAsia" w:ascii="宋体" w:hAnsi="宋体" w:cs="宋体"/>
          <w:b/>
          <w:bCs/>
          <w:color w:val="auto"/>
          <w:sz w:val="28"/>
          <w:szCs w:val="28"/>
          <w:highlight w:val="none"/>
        </w:rPr>
        <w:t>其他资料应包括（但不限制于）以下内容：</w:t>
      </w:r>
    </w:p>
    <w:p>
      <w:pPr>
        <w:spacing w:line="360" w:lineRule="auto"/>
        <w:outlineLvl w:val="2"/>
        <w:rPr>
          <w:rFonts w:ascii="宋体" w:hAnsi="宋体" w:cs="宋体"/>
          <w:b/>
          <w:color w:val="auto"/>
          <w:sz w:val="28"/>
          <w:szCs w:val="28"/>
          <w:highlight w:val="none"/>
        </w:rPr>
      </w:pPr>
      <w:bookmarkStart w:id="513" w:name="_Toc530470653"/>
      <w:bookmarkStart w:id="514" w:name="_Toc535938760"/>
      <w:r>
        <w:rPr>
          <w:rFonts w:hint="eastAsia" w:ascii="宋体" w:hAnsi="宋体" w:cs="宋体"/>
          <w:b/>
          <w:color w:val="auto"/>
          <w:sz w:val="28"/>
          <w:szCs w:val="28"/>
          <w:highlight w:val="none"/>
        </w:rPr>
        <w:t>①工程监理服务承诺书</w:t>
      </w:r>
      <w:bookmarkEnd w:id="513"/>
      <w:bookmarkEnd w:id="514"/>
    </w:p>
    <w:p>
      <w:pPr>
        <w:spacing w:line="360" w:lineRule="auto"/>
        <w:jc w:val="center"/>
        <w:rPr>
          <w:rFonts w:ascii="宋体" w:hAnsi="宋体" w:cs="宋体"/>
          <w:b/>
          <w:color w:val="auto"/>
          <w:sz w:val="32"/>
          <w:szCs w:val="30"/>
          <w:highlight w:val="none"/>
        </w:rPr>
      </w:pPr>
      <w:r>
        <w:rPr>
          <w:rFonts w:hint="eastAsia" w:ascii="宋体" w:hAnsi="宋体" w:cs="宋体"/>
          <w:b/>
          <w:color w:val="auto"/>
          <w:sz w:val="32"/>
          <w:szCs w:val="30"/>
          <w:highlight w:val="none"/>
        </w:rPr>
        <w:t>工程监理服务承诺书</w:t>
      </w:r>
    </w:p>
    <w:p>
      <w:pPr>
        <w:topLinePunct/>
        <w:spacing w:line="360" w:lineRule="auto"/>
        <w:rPr>
          <w:rFonts w:ascii="宋体" w:hAnsi="宋体" w:cs="宋体"/>
          <w:b/>
          <w:bCs/>
          <w:snapToGrid w:val="0"/>
          <w:color w:val="auto"/>
          <w:spacing w:val="4"/>
          <w:sz w:val="24"/>
          <w:szCs w:val="24"/>
          <w:highlight w:val="none"/>
        </w:rPr>
      </w:pPr>
      <w:r>
        <w:rPr>
          <w:rFonts w:hint="eastAsia" w:ascii="宋体" w:hAnsi="宋体" w:cs="宋体"/>
          <w:b/>
          <w:bCs/>
          <w:snapToGrid w:val="0"/>
          <w:color w:val="auto"/>
          <w:spacing w:val="4"/>
          <w:sz w:val="24"/>
          <w:szCs w:val="24"/>
          <w:highlight w:val="none"/>
        </w:rPr>
        <w:t>致：</w:t>
      </w:r>
      <w:r>
        <w:rPr>
          <w:rFonts w:hint="eastAsia" w:ascii="宋体" w:hAnsi="宋体" w:cs="宋体"/>
          <w:b/>
          <w:bCs/>
          <w:snapToGrid w:val="0"/>
          <w:color w:val="auto"/>
          <w:spacing w:val="4"/>
          <w:sz w:val="24"/>
          <w:szCs w:val="24"/>
          <w:highlight w:val="none"/>
          <w:u w:val="single"/>
        </w:rPr>
        <w:t>广东粤新文化产业投资有限公司</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一旦我方中标，我方愿意做出如下承诺：</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一、我方同意投标有效截止日期之日起的投标有效期内遵守本投标文件。在此期限届满之前，本投标文件将始终对我方有约束力，并可随时按此投标书接受中标。</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二、我方完全愿意接受本项目招标文件中的监理合同条款，如我方中标，我们将在招标人要求的时间内签订监理服务合同。</w:t>
      </w:r>
    </w:p>
    <w:p>
      <w:pPr>
        <w:topLinePunct/>
        <w:spacing w:line="360" w:lineRule="auto"/>
        <w:ind w:firstLine="496" w:firstLineChars="200"/>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三、如果我方中标，我方保证在签订合同后，在合同要求的期限内进驻现场开展工作，并在工程施工准备期、施工期和工程收尾期严格履行合同。</w:t>
      </w:r>
      <w:r>
        <w:rPr>
          <w:rFonts w:hint="eastAsia" w:ascii="宋体" w:hAnsi="宋体" w:cs="宋体"/>
          <w:color w:val="auto"/>
          <w:spacing w:val="4"/>
          <w:sz w:val="24"/>
          <w:szCs w:val="24"/>
          <w:highlight w:val="none"/>
        </w:rPr>
        <w:t>如果我方中标，我方承诺严格按照合同和招投标文件规定履行义务，并同意贵中心将我方履行合同、招投标文件义务的履约情况和不诚信行为（包括但不限于由贵单位</w:t>
      </w:r>
      <w:r>
        <w:rPr>
          <w:rFonts w:hint="eastAsia" w:ascii="宋体" w:hAnsi="宋体" w:cs="宋体"/>
          <w:color w:val="auto"/>
          <w:sz w:val="24"/>
          <w:highlight w:val="none"/>
        </w:rPr>
        <w:t>组织的考核、考评通报、作</w:t>
      </w:r>
      <w:r>
        <w:rPr>
          <w:rFonts w:hint="eastAsia" w:ascii="宋体" w:hAnsi="宋体" w:cs="宋体"/>
          <w:color w:val="auto"/>
          <w:spacing w:val="4"/>
          <w:sz w:val="24"/>
          <w:szCs w:val="24"/>
          <w:highlight w:val="none"/>
        </w:rPr>
        <w:t>出的违约责任处理决定等）在贵单位网站和建设项目业主网站及其他媒体上公开披露，由此造成的一切损失和不利后果均由我方自行承担。</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四、我方承诺按照招标文件的规定对监理与相关服务费进行支付和结算。</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1、在监理服务期内，招标人有权根据项目实际情况要求我方重新调整监理实施方案，调整后的监理实施方案需经招标人审批同意后实施，我方承诺不因此而调整监理酬金。当工程量增加、或设计变更、或设计工程变化、或设计规模变化时，我方工作的变化均应视为本合同约定的监理工作。</w:t>
      </w:r>
    </w:p>
    <w:p>
      <w:pPr>
        <w:topLinePunct/>
        <w:spacing w:line="360" w:lineRule="auto"/>
        <w:ind w:firstLine="496" w:firstLineChars="200"/>
        <w:rPr>
          <w:rFonts w:ascii="宋体" w:hAnsi="宋体" w:cs="宋体"/>
          <w:bCs/>
          <w:color w:val="auto"/>
          <w:spacing w:val="4"/>
          <w:sz w:val="24"/>
          <w:szCs w:val="24"/>
          <w:highlight w:val="none"/>
        </w:rPr>
      </w:pPr>
      <w:r>
        <w:rPr>
          <w:rFonts w:hint="eastAsia" w:ascii="宋体" w:hAnsi="宋体" w:cs="宋体"/>
          <w:snapToGrid w:val="0"/>
          <w:color w:val="auto"/>
          <w:spacing w:val="4"/>
          <w:sz w:val="24"/>
          <w:szCs w:val="24"/>
          <w:highlight w:val="none"/>
        </w:rPr>
        <w:t>2、如在工程实施期间，因政策变化、计划调整或不可抗力等非招标人主观原因造成本合同工程停建的，则我方承诺接受终止服务并积极配合招标人作好善后工作，按已发生的工程数量结清监理报酬，我方不另要求额外的费用及任何形式的补偿。</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3、如在工程实施期间，如因任何原因造成本合同工程中间停工而导致我方必须二次或多次进出场，监理报酬总额将不会因此而有所调整，相关费用亦已经包含于监理酬金中。</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4、我方承诺，将按照招标文件和监理合同的约定，完成本项目监理服务的工作内容且相关的监理服务须达到令招标人满意的程度。</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五、保证监理服务满足工程的需要，监理人员服务费中包括工资、奖金、补贴、加班费（法定节假日和</w:t>
      </w:r>
      <w:r>
        <w:rPr>
          <w:rFonts w:hint="eastAsia" w:ascii="宋体" w:hAnsi="宋体" w:cs="宋体"/>
          <w:color w:val="auto"/>
          <w:spacing w:val="4"/>
          <w:sz w:val="24"/>
          <w:szCs w:val="24"/>
          <w:highlight w:val="none"/>
        </w:rPr>
        <w:t>8</w:t>
      </w:r>
      <w:r>
        <w:rPr>
          <w:rFonts w:hint="eastAsia" w:ascii="宋体" w:hAnsi="宋体" w:cs="宋体"/>
          <w:snapToGrid w:val="0"/>
          <w:color w:val="auto"/>
          <w:spacing w:val="4"/>
          <w:sz w:val="24"/>
          <w:szCs w:val="24"/>
          <w:highlight w:val="none"/>
        </w:rPr>
        <w:t>小时工作以外）、办公费、差旅费（包括进、退场和探亲交通费）、招待费、因公受伤医疗费，以及监理单位为监理人员提供或承担的住房、医疗、保险、交通等福利待遇。</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六、我方将严格按照监理人员执业守则，按照国家相关法规、规范及我方制定的监理大纲、实施细则进行监理，在保证质量、安全的前提下，确保工程按期交付。</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七、在未正式签订合同前，贵单位的招标文件、中标通知书和本投标文件将构成约束我们双方的法律文书。</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八、如果贵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接受我方投标，我方将按照招标文件中规定的条件，按招标文件写明的金额，提交投标保证金。</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九、我方理解，贵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不一定接受最低标价的投标文件或可能接受任何的投标文件。同时也理解，不论结果如何，贵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不承担我方的任何投标费用。</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十、如果我方在投标有效期内撤回投标文件，或收到中标通知书后未能按招标文件规定的期限签署或拒绝签署合同，或未能或拒绝提交履约担保，贵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有权视为我方自动放弃中标资格并没收我方提交的投标保证金。</w:t>
      </w:r>
    </w:p>
    <w:p>
      <w:pPr>
        <w:topLinePunct/>
        <w:spacing w:line="360" w:lineRule="auto"/>
        <w:ind w:firstLine="496" w:firstLineChars="200"/>
        <w:rPr>
          <w:rFonts w:ascii="宋体" w:hAnsi="宋体" w:cs="宋体"/>
          <w:snapToGrid w:val="0"/>
          <w:color w:val="auto"/>
          <w:spacing w:val="4"/>
          <w:sz w:val="24"/>
          <w:szCs w:val="24"/>
          <w:highlight w:val="none"/>
        </w:rPr>
      </w:pP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投标单位（盖章）：</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法定代表人或委托代理人（签名或盖章）：</w:t>
      </w:r>
    </w:p>
    <w:p>
      <w:pPr>
        <w:spacing w:line="360" w:lineRule="auto"/>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日期：年月日</w:t>
      </w:r>
    </w:p>
    <w:p>
      <w:pPr>
        <w:spacing w:line="360" w:lineRule="auto"/>
        <w:outlineLvl w:val="2"/>
        <w:rPr>
          <w:rFonts w:ascii="宋体" w:hAnsi="宋体" w:cs="宋体"/>
          <w:b/>
          <w:color w:val="auto"/>
          <w:sz w:val="28"/>
          <w:szCs w:val="28"/>
          <w:highlight w:val="none"/>
        </w:rPr>
      </w:pPr>
      <w:r>
        <w:rPr>
          <w:rFonts w:hint="eastAsia" w:ascii="宋体" w:hAnsi="宋体"/>
          <w:b/>
          <w:color w:val="auto"/>
          <w:sz w:val="28"/>
          <w:szCs w:val="28"/>
          <w:highlight w:val="none"/>
        </w:rPr>
        <w:br w:type="page"/>
      </w:r>
      <w:bookmarkStart w:id="515" w:name="_Toc530470654"/>
      <w:bookmarkStart w:id="516" w:name="_Toc535938761"/>
      <w:r>
        <w:rPr>
          <w:rFonts w:hint="eastAsia" w:ascii="宋体" w:hAnsi="宋体" w:cs="宋体"/>
          <w:b/>
          <w:color w:val="auto"/>
          <w:sz w:val="28"/>
          <w:szCs w:val="28"/>
          <w:highlight w:val="none"/>
        </w:rPr>
        <w:t>②工程监理合同响应承诺书</w:t>
      </w:r>
      <w:bookmarkEnd w:id="515"/>
      <w:bookmarkEnd w:id="516"/>
    </w:p>
    <w:p>
      <w:pPr>
        <w:topLinePunct/>
        <w:spacing w:line="360" w:lineRule="auto"/>
        <w:jc w:val="center"/>
        <w:rPr>
          <w:rFonts w:ascii="宋体" w:hAnsi="宋体" w:cs="宋体"/>
          <w:color w:val="auto"/>
          <w:sz w:val="32"/>
          <w:szCs w:val="20"/>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工程监理合同响应承诺书</w:t>
      </w:r>
    </w:p>
    <w:p>
      <w:pPr>
        <w:topLinePunct/>
        <w:spacing w:line="360" w:lineRule="auto"/>
        <w:ind w:firstLine="496" w:firstLineChars="200"/>
        <w:rPr>
          <w:rFonts w:ascii="宋体" w:hAnsi="宋体" w:cs="宋体"/>
          <w:snapToGrid w:val="0"/>
          <w:color w:val="auto"/>
          <w:spacing w:val="4"/>
          <w:sz w:val="24"/>
          <w:szCs w:val="24"/>
          <w:highlight w:val="none"/>
        </w:rPr>
      </w:pPr>
    </w:p>
    <w:p>
      <w:pPr>
        <w:topLinePunct/>
        <w:spacing w:line="360" w:lineRule="auto"/>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致：广东粤新文化产业投资有限公司</w:t>
      </w:r>
    </w:p>
    <w:p>
      <w:pPr>
        <w:topLinePunct/>
        <w:spacing w:line="360" w:lineRule="auto"/>
        <w:rPr>
          <w:rFonts w:ascii="宋体" w:hAnsi="宋体" w:cs="宋体"/>
          <w:snapToGrid w:val="0"/>
          <w:color w:val="auto"/>
          <w:spacing w:val="4"/>
          <w:sz w:val="24"/>
          <w:szCs w:val="24"/>
          <w:highlight w:val="none"/>
        </w:rPr>
      </w:pP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我方完全愿意接受本项目招标文件所附合同条款，如我方中标，我们将在贵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要求的时间内签订监理服务合同。</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特此承诺。</w:t>
      </w:r>
    </w:p>
    <w:p>
      <w:pPr>
        <w:topLinePunct/>
        <w:spacing w:line="360" w:lineRule="auto"/>
        <w:ind w:firstLine="496" w:firstLineChars="200"/>
        <w:rPr>
          <w:rFonts w:ascii="宋体" w:hAnsi="宋体" w:cs="宋体"/>
          <w:snapToGrid w:val="0"/>
          <w:color w:val="auto"/>
          <w:spacing w:val="4"/>
          <w:sz w:val="24"/>
          <w:szCs w:val="24"/>
          <w:highlight w:val="none"/>
        </w:rPr>
      </w:pPr>
    </w:p>
    <w:p>
      <w:pPr>
        <w:topLinePunct/>
        <w:spacing w:line="360" w:lineRule="auto"/>
        <w:ind w:firstLine="496" w:firstLineChars="200"/>
        <w:rPr>
          <w:rFonts w:ascii="宋体" w:hAnsi="宋体" w:cs="宋体"/>
          <w:snapToGrid w:val="0"/>
          <w:color w:val="auto"/>
          <w:spacing w:val="4"/>
          <w:sz w:val="24"/>
          <w:szCs w:val="24"/>
          <w:highlight w:val="none"/>
        </w:rPr>
      </w:pP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投标单位（盖章）：</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法定代表人或委托代理人（签名或盖章）：</w:t>
      </w:r>
    </w:p>
    <w:p>
      <w:pPr>
        <w:spacing w:line="360" w:lineRule="auto"/>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日期：年月日</w:t>
      </w:r>
    </w:p>
    <w:p>
      <w:pPr>
        <w:rPr>
          <w:rFonts w:ascii="宋体" w:hAnsi="宋体" w:cs="宋体"/>
          <w:color w:val="auto"/>
          <w:sz w:val="28"/>
          <w:szCs w:val="28"/>
          <w:highlight w:val="none"/>
        </w:rPr>
      </w:pPr>
    </w:p>
    <w:p>
      <w:pPr>
        <w:spacing w:line="360" w:lineRule="auto"/>
        <w:outlineLvl w:val="2"/>
        <w:rPr>
          <w:rFonts w:ascii="宋体" w:hAnsi="宋体" w:cs="宋体"/>
          <w:color w:val="auto"/>
          <w:sz w:val="32"/>
          <w:szCs w:val="32"/>
          <w:highlight w:val="none"/>
        </w:rPr>
      </w:pPr>
      <w:r>
        <w:rPr>
          <w:rFonts w:hint="eastAsia" w:ascii="宋体" w:hAnsi="宋体"/>
          <w:color w:val="auto"/>
          <w:sz w:val="28"/>
          <w:szCs w:val="28"/>
          <w:highlight w:val="none"/>
        </w:rPr>
        <w:br w:type="page"/>
      </w:r>
      <w:bookmarkStart w:id="517" w:name="_Toc530470655"/>
      <w:bookmarkStart w:id="518" w:name="_Toc535938762"/>
      <w:r>
        <w:rPr>
          <w:rFonts w:hint="eastAsia" w:ascii="宋体" w:hAnsi="宋体" w:cs="宋体"/>
          <w:b/>
          <w:color w:val="auto"/>
          <w:sz w:val="28"/>
          <w:szCs w:val="28"/>
          <w:highlight w:val="none"/>
        </w:rPr>
        <w:t>③工程监理人员到位承诺书</w:t>
      </w:r>
      <w:bookmarkEnd w:id="517"/>
      <w:bookmarkEnd w:id="518"/>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工程监理人员到位承诺书</w:t>
      </w:r>
    </w:p>
    <w:p>
      <w:pPr>
        <w:topLinePunct/>
        <w:spacing w:line="360" w:lineRule="auto"/>
        <w:rPr>
          <w:rFonts w:ascii="宋体" w:hAnsi="宋体" w:cs="宋体"/>
          <w:b/>
          <w:color w:val="auto"/>
          <w:spacing w:val="4"/>
          <w:sz w:val="24"/>
          <w:szCs w:val="24"/>
          <w:highlight w:val="none"/>
        </w:rPr>
      </w:pPr>
      <w:r>
        <w:rPr>
          <w:rFonts w:hint="eastAsia" w:ascii="宋体" w:hAnsi="宋体" w:cs="宋体"/>
          <w:b/>
          <w:snapToGrid w:val="0"/>
          <w:color w:val="auto"/>
          <w:spacing w:val="4"/>
          <w:sz w:val="24"/>
          <w:szCs w:val="24"/>
          <w:highlight w:val="none"/>
        </w:rPr>
        <w:t>致：广东粤新文化产业投资有限公司</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一旦我方中标，我方愿意做出如下承诺：</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一、承诺保证按本项目投标文件所报的监理组织架构框图和项目总监理工程师、总监理工程师代表及全部监理人员按要求时间到位开展工程监理工作；并承诺在监理工作实施过程中，如需更换监理人员，将按合同条款约定承担相应违约责任；如投标时人员组成不满足《项目监理人员组成配备要求表》要求，中标后七个工作日内我方将提供满足或优于该表要求的经招标人批准的监理部组成人员。否则，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可以按我方未实质履行监理合同处理，全部没收我方的履约担保，并且可以单方面终止监理合同，我方将不提出任何异议。</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二、鉴于本项目的重要性、专业性、工程的复杂性和工期的紧迫性，为确保按时、按质完成监理工作任务，在工程监理工作过程中，如贵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认为我方监理人员的数量、监理人员的业务水平、监理人员的专业配置等不能满足监理工作所需时，贵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有权聘请符合监理工作所需要的监理人员或单位，作为我方从事本监理工作的人员，所聘请监理人员或单位的费用已包括在本招标项目监理费总额内，由我方向所聘用人员或单位支付，必要时贵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有权从本招标项目监理酬金中直接支付。</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三、为了加强贵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与我方的沟通与协调，我方同意贵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另行指定一名专业工程师（业主监理代表）常驻项目监理机构，监督并协助项目监理机构的工作。</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四、因监理人员不到位、监管措施不足、监督不力，导致施工单位未按照经审查合格的施工图纸施工，贵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可按照合同约定追究我方监理单位的责任，由此产生改造等相关费用，全部由我方承担。</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特此承诺。</w:t>
      </w:r>
    </w:p>
    <w:p>
      <w:pPr>
        <w:topLinePunct/>
        <w:spacing w:line="360" w:lineRule="auto"/>
        <w:ind w:firstLine="496" w:firstLineChars="200"/>
        <w:rPr>
          <w:rFonts w:ascii="宋体" w:hAnsi="宋体" w:cs="宋体"/>
          <w:snapToGrid w:val="0"/>
          <w:color w:val="auto"/>
          <w:spacing w:val="4"/>
          <w:sz w:val="24"/>
          <w:szCs w:val="24"/>
          <w:highlight w:val="none"/>
        </w:rPr>
      </w:pP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投标单位（盖章）：</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法定代表人或委托代理人（签名或盖章）：</w:t>
      </w:r>
    </w:p>
    <w:p>
      <w:pPr>
        <w:spacing w:line="360" w:lineRule="auto"/>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日期：年月日</w:t>
      </w:r>
    </w:p>
    <w:p>
      <w:pPr>
        <w:spacing w:line="360" w:lineRule="auto"/>
        <w:outlineLvl w:val="2"/>
        <w:rPr>
          <w:rFonts w:ascii="宋体" w:hAnsi="宋体" w:cs="宋体"/>
          <w:b/>
          <w:color w:val="auto"/>
          <w:sz w:val="28"/>
          <w:szCs w:val="28"/>
          <w:highlight w:val="none"/>
        </w:rPr>
      </w:pPr>
      <w:r>
        <w:rPr>
          <w:rFonts w:hint="eastAsia" w:ascii="宋体" w:hAnsi="宋体"/>
          <w:color w:val="auto"/>
          <w:sz w:val="28"/>
          <w:szCs w:val="28"/>
          <w:highlight w:val="none"/>
        </w:rPr>
        <w:br w:type="page"/>
      </w:r>
      <w:bookmarkStart w:id="519" w:name="_Toc535938763"/>
      <w:bookmarkStart w:id="520" w:name="_Toc530470656"/>
      <w:r>
        <w:rPr>
          <w:rFonts w:hint="eastAsia" w:ascii="宋体" w:hAnsi="宋体" w:cs="宋体"/>
          <w:b/>
          <w:color w:val="auto"/>
          <w:sz w:val="28"/>
          <w:szCs w:val="28"/>
          <w:highlight w:val="none"/>
        </w:rPr>
        <w:t>④工程监理人员任职承诺书</w:t>
      </w:r>
      <w:bookmarkEnd w:id="519"/>
      <w:bookmarkEnd w:id="520"/>
    </w:p>
    <w:p>
      <w:pPr>
        <w:rPr>
          <w:rFonts w:ascii="宋体" w:hAnsi="宋体" w:cs="宋体"/>
          <w:color w:val="auto"/>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工程监理人员任职承诺书</w:t>
      </w:r>
    </w:p>
    <w:p>
      <w:pPr>
        <w:topLinePunct/>
        <w:rPr>
          <w:rFonts w:ascii="宋体" w:hAnsi="宋体" w:cs="宋体"/>
          <w:b/>
          <w:color w:val="auto"/>
          <w:spacing w:val="4"/>
          <w:sz w:val="24"/>
          <w:szCs w:val="24"/>
          <w:highlight w:val="none"/>
        </w:rPr>
      </w:pPr>
      <w:r>
        <w:rPr>
          <w:rFonts w:hint="eastAsia" w:ascii="宋体" w:hAnsi="宋体" w:cs="宋体"/>
          <w:b/>
          <w:snapToGrid w:val="0"/>
          <w:color w:val="auto"/>
          <w:spacing w:val="4"/>
          <w:sz w:val="24"/>
          <w:szCs w:val="24"/>
          <w:highlight w:val="none"/>
        </w:rPr>
        <w:t>致：广东粤新文化产业投资有限公司</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一旦我方中标，我方愿意对本项目拟投入的总监理工程师及总监理工程师代表做出如下的任职承诺：</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一、总监理工程师</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若我方中标，我方承诺拟投入本项目的总监理工程师满足《建设工程监理规范</w:t>
      </w:r>
      <w:r>
        <w:rPr>
          <w:rFonts w:hint="eastAsia" w:ascii="宋体" w:hAnsi="宋体" w:cs="宋体"/>
          <w:color w:val="auto"/>
          <w:spacing w:val="4"/>
          <w:sz w:val="24"/>
          <w:szCs w:val="24"/>
          <w:highlight w:val="none"/>
        </w:rPr>
        <w:t>GB/T50319</w:t>
      </w:r>
      <w:r>
        <w:rPr>
          <w:rFonts w:hint="eastAsia" w:ascii="宋体" w:hAnsi="宋体" w:cs="宋体"/>
          <w:snapToGrid w:val="0"/>
          <w:color w:val="auto"/>
          <w:spacing w:val="4"/>
          <w:sz w:val="24"/>
          <w:szCs w:val="24"/>
          <w:highlight w:val="none"/>
        </w:rPr>
        <w:t>—</w:t>
      </w:r>
      <w:r>
        <w:rPr>
          <w:rFonts w:hint="eastAsia" w:ascii="宋体" w:hAnsi="宋体" w:cs="宋体"/>
          <w:color w:val="auto"/>
          <w:spacing w:val="4"/>
          <w:sz w:val="24"/>
          <w:szCs w:val="24"/>
          <w:highlight w:val="none"/>
        </w:rPr>
        <w:t>2013</w:t>
      </w:r>
      <w:r>
        <w:rPr>
          <w:rFonts w:hint="eastAsia" w:ascii="宋体" w:hAnsi="宋体" w:cs="宋体"/>
          <w:snapToGrid w:val="0"/>
          <w:color w:val="auto"/>
          <w:spacing w:val="4"/>
          <w:sz w:val="24"/>
          <w:szCs w:val="24"/>
          <w:highlight w:val="none"/>
        </w:rPr>
        <w:t>》的</w:t>
      </w:r>
      <w:r>
        <w:rPr>
          <w:rFonts w:hint="eastAsia" w:ascii="宋体" w:hAnsi="宋体" w:cs="宋体"/>
          <w:color w:val="auto"/>
          <w:spacing w:val="4"/>
          <w:sz w:val="24"/>
          <w:szCs w:val="24"/>
          <w:highlight w:val="none"/>
        </w:rPr>
        <w:t>3.12</w:t>
      </w:r>
      <w:r>
        <w:rPr>
          <w:rFonts w:hint="eastAsia" w:ascii="宋体" w:hAnsi="宋体" w:cs="宋体"/>
          <w:snapToGrid w:val="0"/>
          <w:color w:val="auto"/>
          <w:spacing w:val="4"/>
          <w:sz w:val="24"/>
          <w:szCs w:val="24"/>
          <w:highlight w:val="none"/>
        </w:rPr>
        <w:t>条款：“一名总监理工程师只宜担任一项委托监理合同的项目总监理工程师工作</w:t>
      </w:r>
      <w:r>
        <w:rPr>
          <w:rFonts w:hint="eastAsia" w:ascii="宋体" w:hAnsi="宋体" w:cs="宋体"/>
          <w:color w:val="auto"/>
          <w:spacing w:val="4"/>
          <w:sz w:val="24"/>
          <w:szCs w:val="24"/>
          <w:highlight w:val="none"/>
        </w:rPr>
        <w:t>,</w:t>
      </w:r>
      <w:r>
        <w:rPr>
          <w:rFonts w:hint="eastAsia" w:ascii="宋体" w:hAnsi="宋体" w:cs="宋体"/>
          <w:snapToGrid w:val="0"/>
          <w:color w:val="auto"/>
          <w:spacing w:val="4"/>
          <w:sz w:val="24"/>
          <w:szCs w:val="24"/>
          <w:highlight w:val="none"/>
        </w:rPr>
        <w:t>当需要同时担任多项委托监理合同的项目总监理工程师工作时须经建设单位同意且最多不得超过三项”的相关要求。如出现已在其他在建项目中任职的情况，我方将在本项目立项办理施工许可证或者开工报告前办理好变更手续。</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若我方中标，我方承诺，在本项目立项办理施工许可证或者开工报告前，</w:t>
      </w:r>
      <w:r>
        <w:rPr>
          <w:rFonts w:hint="eastAsia" w:ascii="宋体" w:hAnsi="宋体" w:cs="宋体"/>
          <w:b/>
          <w:snapToGrid w:val="0"/>
          <w:color w:val="auto"/>
          <w:spacing w:val="4"/>
          <w:sz w:val="24"/>
          <w:szCs w:val="24"/>
          <w:highlight w:val="none"/>
        </w:rPr>
        <w:t>我单位投入本项目的总监理工程师资格条件符合相关政策规定</w:t>
      </w:r>
      <w:r>
        <w:rPr>
          <w:rFonts w:hint="eastAsia" w:ascii="宋体" w:hAnsi="宋体" w:cs="宋体"/>
          <w:snapToGrid w:val="0"/>
          <w:color w:val="auto"/>
          <w:spacing w:val="4"/>
          <w:sz w:val="24"/>
          <w:szCs w:val="24"/>
          <w:highlight w:val="none"/>
        </w:rPr>
        <w:t>，以确保本项目顺利办理施工许可及工程质量监督手续，否则，贵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有权终止合同并没收履约担保，同时贵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有权将此作为不诚信履约行为上报建设行政主管部门并拒绝我方一年内参与贵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的投标。</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二、总监理工程师代表</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若我方中标，我方承诺拟投入本项目的总监理工程师代表在本项目实施期间不再担任其他项目的监理工作。</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若我方拟投入的项目总监理工程师代表已在其他项目中担任监理工作的，我方愿意无条件更换符合本项目监理工作所需的监理工程师代表，同时愿意按照监理合同中监理人自行调换总监理工程师代表所应承担的违约责任接受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的处罚。</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三、专业监理工程师及监理员</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若我方中标，我方承诺我方拟投入本项目各阶段的专业监理工程师和监理员在履行相应监理工作职责时将不再兼任其他项目的监理工作，否则我方愿意无条件更换符合本项目监理工作所需的专业监理工程师且愿意按照监理合同中所应承担的违约责任接受贵</w:t>
      </w:r>
      <w:r>
        <w:rPr>
          <w:rFonts w:hint="eastAsia" w:ascii="宋体" w:hAnsi="宋体" w:cs="宋体"/>
          <w:color w:val="auto"/>
          <w:spacing w:val="4"/>
          <w:sz w:val="24"/>
          <w:szCs w:val="24"/>
          <w:highlight w:val="none"/>
        </w:rPr>
        <w:t>单位</w:t>
      </w:r>
      <w:r>
        <w:rPr>
          <w:rFonts w:hint="eastAsia" w:ascii="宋体" w:hAnsi="宋体" w:cs="宋体"/>
          <w:snapToGrid w:val="0"/>
          <w:color w:val="auto"/>
          <w:spacing w:val="4"/>
          <w:sz w:val="24"/>
          <w:szCs w:val="24"/>
          <w:highlight w:val="none"/>
        </w:rPr>
        <w:t>的处罚。</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特此承诺。</w:t>
      </w:r>
    </w:p>
    <w:p>
      <w:pPr>
        <w:topLinePunct/>
        <w:spacing w:line="360" w:lineRule="auto"/>
        <w:rPr>
          <w:rFonts w:ascii="宋体" w:hAnsi="宋体" w:cs="宋体"/>
          <w:snapToGrid w:val="0"/>
          <w:color w:val="auto"/>
          <w:spacing w:val="4"/>
          <w:sz w:val="24"/>
          <w:szCs w:val="24"/>
          <w:highlight w:val="none"/>
        </w:rPr>
      </w:pP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投标单位（盖章）：</w:t>
      </w:r>
    </w:p>
    <w:p>
      <w:pPr>
        <w:topLinePunct/>
        <w:spacing w:line="276"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法定代表人或委托代理人（签名或盖章）：</w:t>
      </w:r>
    </w:p>
    <w:p>
      <w:pPr>
        <w:spacing w:line="276" w:lineRule="auto"/>
        <w:rPr>
          <w:rFonts w:ascii="宋体" w:hAnsi="宋体" w:cs="宋体"/>
          <w:color w:val="auto"/>
          <w:sz w:val="28"/>
          <w:szCs w:val="28"/>
          <w:highlight w:val="none"/>
        </w:rPr>
      </w:pPr>
      <w:r>
        <w:rPr>
          <w:rFonts w:hint="eastAsia" w:ascii="宋体" w:hAnsi="宋体" w:cs="宋体"/>
          <w:snapToGrid w:val="0"/>
          <w:color w:val="auto"/>
          <w:spacing w:val="4"/>
          <w:sz w:val="24"/>
          <w:szCs w:val="24"/>
          <w:highlight w:val="none"/>
        </w:rPr>
        <w:t>日期：年月日</w:t>
      </w:r>
    </w:p>
    <w:p>
      <w:pPr>
        <w:spacing w:line="360" w:lineRule="auto"/>
        <w:outlineLvl w:val="2"/>
        <w:rPr>
          <w:rFonts w:ascii="宋体" w:hAnsi="宋体" w:cs="宋体"/>
          <w:color w:val="auto"/>
          <w:sz w:val="28"/>
          <w:szCs w:val="28"/>
          <w:highlight w:val="none"/>
        </w:rPr>
      </w:pPr>
      <w:r>
        <w:rPr>
          <w:rFonts w:hint="eastAsia" w:ascii="宋体" w:hAnsi="宋体"/>
          <w:color w:val="auto"/>
          <w:sz w:val="28"/>
          <w:szCs w:val="28"/>
          <w:highlight w:val="none"/>
        </w:rPr>
        <w:br w:type="page"/>
      </w:r>
      <w:bookmarkStart w:id="521" w:name="_Toc535938764"/>
      <w:bookmarkStart w:id="522" w:name="_Toc530470657"/>
      <w:r>
        <w:rPr>
          <w:rFonts w:hint="eastAsia" w:ascii="宋体" w:hAnsi="宋体" w:cs="宋体"/>
          <w:b/>
          <w:color w:val="auto"/>
          <w:sz w:val="28"/>
          <w:szCs w:val="28"/>
          <w:highlight w:val="none"/>
        </w:rPr>
        <w:t>⑤拟投入的设备仪器到位承诺书</w:t>
      </w:r>
      <w:bookmarkEnd w:id="521"/>
      <w:bookmarkEnd w:id="522"/>
    </w:p>
    <w:p>
      <w:pPr>
        <w:rPr>
          <w:rFonts w:ascii="宋体" w:hAnsi="宋体" w:cs="宋体"/>
          <w:color w:val="auto"/>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拟投入的设备仪器到位承诺书</w:t>
      </w:r>
    </w:p>
    <w:p>
      <w:pPr>
        <w:rPr>
          <w:rFonts w:ascii="宋体" w:hAnsi="宋体" w:cs="宋体"/>
          <w:color w:val="auto"/>
          <w:highlight w:val="none"/>
        </w:rPr>
      </w:pPr>
    </w:p>
    <w:p>
      <w:pPr>
        <w:topLinePunct/>
        <w:spacing w:line="360" w:lineRule="auto"/>
        <w:rPr>
          <w:rFonts w:ascii="宋体" w:hAnsi="宋体" w:cs="宋体"/>
          <w:b/>
          <w:color w:val="auto"/>
          <w:spacing w:val="4"/>
          <w:sz w:val="24"/>
          <w:szCs w:val="24"/>
          <w:highlight w:val="none"/>
        </w:rPr>
      </w:pPr>
      <w:r>
        <w:rPr>
          <w:rFonts w:hint="eastAsia" w:ascii="宋体" w:hAnsi="宋体" w:cs="宋体"/>
          <w:b/>
          <w:snapToGrid w:val="0"/>
          <w:color w:val="auto"/>
          <w:spacing w:val="4"/>
          <w:sz w:val="24"/>
          <w:szCs w:val="24"/>
          <w:highlight w:val="none"/>
        </w:rPr>
        <w:t>致：广东粤新文化产业投资有限公司</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一旦我方中标，我方愿意做出如下承诺：</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一、我方承诺投入的设备仪器数量及类型按照投标文件所报的《拟投入本项目的通讯、办公、检测设备清单》投入。</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二、我方承诺中标后一个月内将本项目所需的监理设备仪器运送至现场，并设立专门存放地点，由专人管理。</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三、若设备仪器未按我方承诺的时间内到位，我方愿意无条件按照合同约定的相关条款承担违约责任。</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特此承诺。</w:t>
      </w:r>
    </w:p>
    <w:p>
      <w:pPr>
        <w:topLinePunct/>
        <w:spacing w:line="360" w:lineRule="auto"/>
        <w:ind w:firstLine="496" w:firstLineChars="200"/>
        <w:rPr>
          <w:rFonts w:ascii="宋体" w:hAnsi="宋体" w:cs="宋体"/>
          <w:snapToGrid w:val="0"/>
          <w:color w:val="auto"/>
          <w:spacing w:val="4"/>
          <w:sz w:val="24"/>
          <w:szCs w:val="24"/>
          <w:highlight w:val="none"/>
        </w:rPr>
      </w:pPr>
    </w:p>
    <w:p>
      <w:pPr>
        <w:topLinePunct/>
        <w:spacing w:line="360" w:lineRule="auto"/>
        <w:ind w:firstLine="496" w:firstLineChars="200"/>
        <w:rPr>
          <w:rFonts w:ascii="宋体" w:hAnsi="宋体" w:cs="宋体"/>
          <w:snapToGrid w:val="0"/>
          <w:color w:val="auto"/>
          <w:spacing w:val="4"/>
          <w:sz w:val="24"/>
          <w:szCs w:val="24"/>
          <w:highlight w:val="none"/>
        </w:rPr>
      </w:pPr>
    </w:p>
    <w:p>
      <w:pPr>
        <w:topLinePunct/>
        <w:spacing w:line="360" w:lineRule="auto"/>
        <w:ind w:firstLine="496" w:firstLineChars="200"/>
        <w:rPr>
          <w:rFonts w:ascii="宋体" w:hAnsi="宋体" w:cs="宋体"/>
          <w:snapToGrid w:val="0"/>
          <w:color w:val="auto"/>
          <w:spacing w:val="4"/>
          <w:sz w:val="24"/>
          <w:szCs w:val="24"/>
          <w:highlight w:val="none"/>
        </w:rPr>
      </w:pP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投标单位（盖章）：</w:t>
      </w:r>
    </w:p>
    <w:p>
      <w:pPr>
        <w:topLinePunct/>
        <w:spacing w:line="360" w:lineRule="auto"/>
        <w:ind w:firstLine="496" w:firstLineChars="200"/>
        <w:rPr>
          <w:rFonts w:ascii="宋体" w:hAnsi="宋体" w:cs="宋体"/>
          <w:color w:val="auto"/>
          <w:spacing w:val="4"/>
          <w:sz w:val="24"/>
          <w:szCs w:val="24"/>
          <w:highlight w:val="none"/>
        </w:rPr>
      </w:pPr>
      <w:r>
        <w:rPr>
          <w:rFonts w:hint="eastAsia" w:ascii="宋体" w:hAnsi="宋体" w:cs="宋体"/>
          <w:snapToGrid w:val="0"/>
          <w:color w:val="auto"/>
          <w:spacing w:val="4"/>
          <w:sz w:val="24"/>
          <w:szCs w:val="24"/>
          <w:highlight w:val="none"/>
        </w:rPr>
        <w:t>法定代表人或委托代理人（签名或盖章）：</w:t>
      </w:r>
    </w:p>
    <w:p>
      <w:pPr>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t>日期：年月日</w:t>
      </w:r>
    </w:p>
    <w:p>
      <w:pPr>
        <w:rPr>
          <w:rFonts w:ascii="宋体" w:hAnsi="宋体" w:cs="宋体"/>
          <w:snapToGrid w:val="0"/>
          <w:color w:val="auto"/>
          <w:spacing w:val="4"/>
          <w:sz w:val="24"/>
          <w:szCs w:val="24"/>
          <w:highlight w:val="none"/>
        </w:rPr>
      </w:pPr>
      <w:r>
        <w:rPr>
          <w:rFonts w:hint="eastAsia" w:ascii="宋体" w:hAnsi="宋体" w:cs="宋体"/>
          <w:snapToGrid w:val="0"/>
          <w:color w:val="auto"/>
          <w:spacing w:val="4"/>
          <w:sz w:val="24"/>
          <w:szCs w:val="24"/>
          <w:highlight w:val="none"/>
        </w:rPr>
        <w:br w:type="page"/>
      </w:r>
    </w:p>
    <w:p>
      <w:pPr>
        <w:spacing w:line="360" w:lineRule="auto"/>
        <w:outlineLvl w:val="2"/>
        <w:rPr>
          <w:rFonts w:ascii="宋体" w:hAnsi="宋体" w:cs="宋体"/>
          <w:b/>
          <w:color w:val="auto"/>
          <w:sz w:val="28"/>
          <w:szCs w:val="28"/>
          <w:highlight w:val="none"/>
        </w:rPr>
      </w:pPr>
      <w:r>
        <w:rPr>
          <w:rFonts w:hint="eastAsia" w:ascii="宋体" w:hAnsi="宋体" w:cs="宋体"/>
          <w:b/>
          <w:color w:val="auto"/>
          <w:sz w:val="28"/>
          <w:szCs w:val="28"/>
          <w:highlight w:val="none"/>
        </w:rPr>
        <w:t>⑥投标人认为需要提供的资料（如有）</w:t>
      </w:r>
    </w:p>
    <w:p>
      <w:pPr>
        <w:pStyle w:val="2"/>
        <w:rPr>
          <w:color w:val="auto"/>
          <w:highlight w:val="none"/>
        </w:rPr>
      </w:pPr>
    </w:p>
    <w:p>
      <w:pPr>
        <w:rPr>
          <w:color w:val="auto"/>
          <w:highlight w:val="none"/>
        </w:rPr>
      </w:pPr>
    </w:p>
    <w:sectPr>
      <w:headerReference r:id="rId5" w:type="default"/>
      <w:footerReference r:id="rId6" w:type="default"/>
      <w:pgSz w:w="11906" w:h="16838"/>
      <w:pgMar w:top="1440" w:right="1440" w:bottom="113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modern"/>
    <w:pitch w:val="default"/>
    <w:sig w:usb0="00000000" w:usb1="00000000" w:usb2="08000012" w:usb3="00000000" w:csb0="4002009F" w:csb1="DFD70000"/>
  </w:font>
  <w:font w:name="MS UI Gothic">
    <w:panose1 w:val="020B0600070205080204"/>
    <w:charset w:val="80"/>
    <w:family w:val="auto"/>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6</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80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E6D11"/>
    <w:multiLevelType w:val="multilevel"/>
    <w:tmpl w:val="D32E6D11"/>
    <w:lvl w:ilvl="0" w:tentative="0">
      <w:start w:val="1"/>
      <w:numFmt w:val="decimal"/>
      <w:lvlText w:val="%1."/>
      <w:lvlJc w:val="left"/>
      <w:pPr>
        <w:tabs>
          <w:tab w:val="left" w:pos="425"/>
        </w:tabs>
        <w:ind w:left="425" w:hanging="425"/>
      </w:pPr>
      <w:rPr>
        <w:rFonts w:hint="default"/>
        <w:color w:val="auto"/>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00000006"/>
    <w:multiLevelType w:val="multilevel"/>
    <w:tmpl w:val="0000000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林泽鑫">
    <w15:presenceInfo w15:providerId="None" w15:userId="林泽鑫"/>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OWNkNGIzYWY3ZTFlODZiYTEzY2IzZjE5ZWYzYWQifQ=="/>
  </w:docVars>
  <w:rsids>
    <w:rsidRoot w:val="4A79480D"/>
    <w:rsid w:val="00037536"/>
    <w:rsid w:val="00060722"/>
    <w:rsid w:val="0008757A"/>
    <w:rsid w:val="000A0F39"/>
    <w:rsid w:val="000B03EB"/>
    <w:rsid w:val="000C0E5E"/>
    <w:rsid w:val="000D1AE3"/>
    <w:rsid w:val="000E5BA8"/>
    <w:rsid w:val="00100B78"/>
    <w:rsid w:val="0013446C"/>
    <w:rsid w:val="00135219"/>
    <w:rsid w:val="00137F4D"/>
    <w:rsid w:val="00146DC0"/>
    <w:rsid w:val="00151CF5"/>
    <w:rsid w:val="00176CB0"/>
    <w:rsid w:val="001A6431"/>
    <w:rsid w:val="001B7D43"/>
    <w:rsid w:val="001D0EA3"/>
    <w:rsid w:val="001E3342"/>
    <w:rsid w:val="0021061F"/>
    <w:rsid w:val="00284408"/>
    <w:rsid w:val="002B58F1"/>
    <w:rsid w:val="0033322B"/>
    <w:rsid w:val="0033705F"/>
    <w:rsid w:val="00341BDE"/>
    <w:rsid w:val="0035561E"/>
    <w:rsid w:val="00356EAE"/>
    <w:rsid w:val="0036458A"/>
    <w:rsid w:val="0039677B"/>
    <w:rsid w:val="003E7C92"/>
    <w:rsid w:val="00420582"/>
    <w:rsid w:val="0044186F"/>
    <w:rsid w:val="0045419E"/>
    <w:rsid w:val="00461CA3"/>
    <w:rsid w:val="004876D5"/>
    <w:rsid w:val="00497598"/>
    <w:rsid w:val="004B3CC1"/>
    <w:rsid w:val="004E19CF"/>
    <w:rsid w:val="00522B29"/>
    <w:rsid w:val="0052649D"/>
    <w:rsid w:val="00533A19"/>
    <w:rsid w:val="00543E48"/>
    <w:rsid w:val="0054701A"/>
    <w:rsid w:val="00584BE6"/>
    <w:rsid w:val="00596741"/>
    <w:rsid w:val="005A723D"/>
    <w:rsid w:val="005F352C"/>
    <w:rsid w:val="005F3B34"/>
    <w:rsid w:val="006508E2"/>
    <w:rsid w:val="00662537"/>
    <w:rsid w:val="00665E3D"/>
    <w:rsid w:val="006A5033"/>
    <w:rsid w:val="006B69E4"/>
    <w:rsid w:val="006B6B26"/>
    <w:rsid w:val="006E0938"/>
    <w:rsid w:val="006E3C35"/>
    <w:rsid w:val="006F26E0"/>
    <w:rsid w:val="006F3172"/>
    <w:rsid w:val="00712FD1"/>
    <w:rsid w:val="00736053"/>
    <w:rsid w:val="00757966"/>
    <w:rsid w:val="00766AA7"/>
    <w:rsid w:val="00793A03"/>
    <w:rsid w:val="00805C63"/>
    <w:rsid w:val="008077AC"/>
    <w:rsid w:val="00812DEE"/>
    <w:rsid w:val="00812E96"/>
    <w:rsid w:val="0082619B"/>
    <w:rsid w:val="00843BBE"/>
    <w:rsid w:val="00854FF2"/>
    <w:rsid w:val="008A0195"/>
    <w:rsid w:val="008A6C10"/>
    <w:rsid w:val="008E3C6E"/>
    <w:rsid w:val="008E422F"/>
    <w:rsid w:val="008E54D9"/>
    <w:rsid w:val="009206B5"/>
    <w:rsid w:val="009237B8"/>
    <w:rsid w:val="00933D7E"/>
    <w:rsid w:val="00933EB5"/>
    <w:rsid w:val="0094138D"/>
    <w:rsid w:val="00946F15"/>
    <w:rsid w:val="0096765A"/>
    <w:rsid w:val="009702F3"/>
    <w:rsid w:val="00983063"/>
    <w:rsid w:val="009C5370"/>
    <w:rsid w:val="009E11B8"/>
    <w:rsid w:val="009E620F"/>
    <w:rsid w:val="00A0740E"/>
    <w:rsid w:val="00A83AD0"/>
    <w:rsid w:val="00A95A9A"/>
    <w:rsid w:val="00AC0F08"/>
    <w:rsid w:val="00AC2AA4"/>
    <w:rsid w:val="00B2097B"/>
    <w:rsid w:val="00B57C8A"/>
    <w:rsid w:val="00B76351"/>
    <w:rsid w:val="00B85231"/>
    <w:rsid w:val="00B93696"/>
    <w:rsid w:val="00BC1EBE"/>
    <w:rsid w:val="00BC7E05"/>
    <w:rsid w:val="00BE52FB"/>
    <w:rsid w:val="00C74F64"/>
    <w:rsid w:val="00C9492D"/>
    <w:rsid w:val="00C977E7"/>
    <w:rsid w:val="00CA52EF"/>
    <w:rsid w:val="00CA578B"/>
    <w:rsid w:val="00CD107D"/>
    <w:rsid w:val="00CD5BB6"/>
    <w:rsid w:val="00CD7D49"/>
    <w:rsid w:val="00CE6860"/>
    <w:rsid w:val="00CF7464"/>
    <w:rsid w:val="00D1592D"/>
    <w:rsid w:val="00D16B46"/>
    <w:rsid w:val="00D7509A"/>
    <w:rsid w:val="00DA4087"/>
    <w:rsid w:val="00DA76B0"/>
    <w:rsid w:val="00DB3AF8"/>
    <w:rsid w:val="00DD0894"/>
    <w:rsid w:val="00DD5087"/>
    <w:rsid w:val="00DE48E8"/>
    <w:rsid w:val="00DF0456"/>
    <w:rsid w:val="00E54D24"/>
    <w:rsid w:val="00E60230"/>
    <w:rsid w:val="00E619F8"/>
    <w:rsid w:val="00E62847"/>
    <w:rsid w:val="00E74213"/>
    <w:rsid w:val="00E81EB8"/>
    <w:rsid w:val="00EA3DFC"/>
    <w:rsid w:val="00EA4BBF"/>
    <w:rsid w:val="00EF6430"/>
    <w:rsid w:val="00EF6784"/>
    <w:rsid w:val="00F018C2"/>
    <w:rsid w:val="00F01D40"/>
    <w:rsid w:val="00F700CA"/>
    <w:rsid w:val="00F737F3"/>
    <w:rsid w:val="00F81771"/>
    <w:rsid w:val="00F93B34"/>
    <w:rsid w:val="00FA0F82"/>
    <w:rsid w:val="00FA2CCA"/>
    <w:rsid w:val="00FB2860"/>
    <w:rsid w:val="00FB4CDE"/>
    <w:rsid w:val="00FC254A"/>
    <w:rsid w:val="00FD336F"/>
    <w:rsid w:val="00FE0079"/>
    <w:rsid w:val="00FE0D10"/>
    <w:rsid w:val="00FE1F3E"/>
    <w:rsid w:val="00FF2574"/>
    <w:rsid w:val="013814A2"/>
    <w:rsid w:val="015E4AD6"/>
    <w:rsid w:val="019422A6"/>
    <w:rsid w:val="01A7647D"/>
    <w:rsid w:val="01AA3877"/>
    <w:rsid w:val="01D60B10"/>
    <w:rsid w:val="020F5DF6"/>
    <w:rsid w:val="022E44A8"/>
    <w:rsid w:val="025A529E"/>
    <w:rsid w:val="026003DA"/>
    <w:rsid w:val="027C3466"/>
    <w:rsid w:val="02924A37"/>
    <w:rsid w:val="02A510D9"/>
    <w:rsid w:val="02D432A2"/>
    <w:rsid w:val="02F07504"/>
    <w:rsid w:val="0305345B"/>
    <w:rsid w:val="0313544C"/>
    <w:rsid w:val="034877EC"/>
    <w:rsid w:val="034D6BB0"/>
    <w:rsid w:val="03E52A6C"/>
    <w:rsid w:val="04223B99"/>
    <w:rsid w:val="0458580D"/>
    <w:rsid w:val="04882EE6"/>
    <w:rsid w:val="04A8066C"/>
    <w:rsid w:val="05143E2A"/>
    <w:rsid w:val="05241B93"/>
    <w:rsid w:val="05483AD3"/>
    <w:rsid w:val="05E530D0"/>
    <w:rsid w:val="0616772D"/>
    <w:rsid w:val="06304C93"/>
    <w:rsid w:val="0636245B"/>
    <w:rsid w:val="06404D83"/>
    <w:rsid w:val="065A1D10"/>
    <w:rsid w:val="069114AA"/>
    <w:rsid w:val="06A74829"/>
    <w:rsid w:val="06AC0092"/>
    <w:rsid w:val="06E25862"/>
    <w:rsid w:val="073021EF"/>
    <w:rsid w:val="07487DBA"/>
    <w:rsid w:val="07724E37"/>
    <w:rsid w:val="07D57174"/>
    <w:rsid w:val="07E631CF"/>
    <w:rsid w:val="0874698D"/>
    <w:rsid w:val="08940DDD"/>
    <w:rsid w:val="08A6123D"/>
    <w:rsid w:val="08E25FED"/>
    <w:rsid w:val="09063A89"/>
    <w:rsid w:val="09373931"/>
    <w:rsid w:val="099B68C7"/>
    <w:rsid w:val="0A057DFE"/>
    <w:rsid w:val="0A6749FB"/>
    <w:rsid w:val="0AC7549A"/>
    <w:rsid w:val="0AD57BB7"/>
    <w:rsid w:val="0B0C55A3"/>
    <w:rsid w:val="0B987778"/>
    <w:rsid w:val="0BAE0408"/>
    <w:rsid w:val="0BAE09A4"/>
    <w:rsid w:val="0BB04180"/>
    <w:rsid w:val="0BF57428"/>
    <w:rsid w:val="0CEF0CD8"/>
    <w:rsid w:val="0DAE7521"/>
    <w:rsid w:val="0DC932D7"/>
    <w:rsid w:val="0DD73C46"/>
    <w:rsid w:val="0DE85E53"/>
    <w:rsid w:val="0DFA5B87"/>
    <w:rsid w:val="0DFA6A50"/>
    <w:rsid w:val="0E545297"/>
    <w:rsid w:val="0E740B6D"/>
    <w:rsid w:val="0E761076"/>
    <w:rsid w:val="0EF425D6"/>
    <w:rsid w:val="0F2E7896"/>
    <w:rsid w:val="0F931DEF"/>
    <w:rsid w:val="0F9D0EBF"/>
    <w:rsid w:val="0FA77648"/>
    <w:rsid w:val="0FB7515D"/>
    <w:rsid w:val="0FC95811"/>
    <w:rsid w:val="0FE34B24"/>
    <w:rsid w:val="10030D22"/>
    <w:rsid w:val="10501A8E"/>
    <w:rsid w:val="10572EEA"/>
    <w:rsid w:val="10675755"/>
    <w:rsid w:val="10947BCD"/>
    <w:rsid w:val="11603F53"/>
    <w:rsid w:val="11967974"/>
    <w:rsid w:val="11A26319"/>
    <w:rsid w:val="11C40985"/>
    <w:rsid w:val="11E06E41"/>
    <w:rsid w:val="120314AE"/>
    <w:rsid w:val="121D3C4C"/>
    <w:rsid w:val="12E04B91"/>
    <w:rsid w:val="12E36BE9"/>
    <w:rsid w:val="12FC5009"/>
    <w:rsid w:val="130B4E58"/>
    <w:rsid w:val="13166FBF"/>
    <w:rsid w:val="132C0590"/>
    <w:rsid w:val="133D279D"/>
    <w:rsid w:val="135D699C"/>
    <w:rsid w:val="135F44AC"/>
    <w:rsid w:val="13826402"/>
    <w:rsid w:val="13DF1AA7"/>
    <w:rsid w:val="13F37300"/>
    <w:rsid w:val="141B4198"/>
    <w:rsid w:val="142474B9"/>
    <w:rsid w:val="1441006B"/>
    <w:rsid w:val="145A2EDB"/>
    <w:rsid w:val="150C0679"/>
    <w:rsid w:val="15986123"/>
    <w:rsid w:val="15C947BC"/>
    <w:rsid w:val="168626AD"/>
    <w:rsid w:val="168D57EA"/>
    <w:rsid w:val="17375756"/>
    <w:rsid w:val="1740285C"/>
    <w:rsid w:val="174D6D27"/>
    <w:rsid w:val="1785512C"/>
    <w:rsid w:val="178E43E8"/>
    <w:rsid w:val="17BD3EAD"/>
    <w:rsid w:val="17DB2585"/>
    <w:rsid w:val="17EF174E"/>
    <w:rsid w:val="18BD1C8B"/>
    <w:rsid w:val="18D13E54"/>
    <w:rsid w:val="1998697F"/>
    <w:rsid w:val="1A2C2FA0"/>
    <w:rsid w:val="1A9C249F"/>
    <w:rsid w:val="1AAC0209"/>
    <w:rsid w:val="1BEA0FE8"/>
    <w:rsid w:val="1C022FE0"/>
    <w:rsid w:val="1C536B8E"/>
    <w:rsid w:val="1CE974F2"/>
    <w:rsid w:val="1CF01832"/>
    <w:rsid w:val="1D09578F"/>
    <w:rsid w:val="1D152095"/>
    <w:rsid w:val="1D1A58FD"/>
    <w:rsid w:val="1D6D0123"/>
    <w:rsid w:val="1D8B1D4A"/>
    <w:rsid w:val="1DB95116"/>
    <w:rsid w:val="1DC53ABB"/>
    <w:rsid w:val="1DC615E1"/>
    <w:rsid w:val="1E087E4C"/>
    <w:rsid w:val="1E1E2A9D"/>
    <w:rsid w:val="1E472DD1"/>
    <w:rsid w:val="1E605592"/>
    <w:rsid w:val="1E6615B3"/>
    <w:rsid w:val="1E93192A"/>
    <w:rsid w:val="1E967206"/>
    <w:rsid w:val="1EA01D5E"/>
    <w:rsid w:val="1EB304A4"/>
    <w:rsid w:val="1EC53705"/>
    <w:rsid w:val="1ECF44C6"/>
    <w:rsid w:val="1EF26B32"/>
    <w:rsid w:val="1F0C74C8"/>
    <w:rsid w:val="1F291E28"/>
    <w:rsid w:val="1F49071C"/>
    <w:rsid w:val="1F703CB5"/>
    <w:rsid w:val="1FA97E27"/>
    <w:rsid w:val="1FBF453A"/>
    <w:rsid w:val="1FD46237"/>
    <w:rsid w:val="204A02A8"/>
    <w:rsid w:val="205E3522"/>
    <w:rsid w:val="20A51982"/>
    <w:rsid w:val="20A83220"/>
    <w:rsid w:val="20B9542D"/>
    <w:rsid w:val="211F7986"/>
    <w:rsid w:val="21584C46"/>
    <w:rsid w:val="21FB3F4F"/>
    <w:rsid w:val="220D77DF"/>
    <w:rsid w:val="221354BF"/>
    <w:rsid w:val="22735DF9"/>
    <w:rsid w:val="22C43F46"/>
    <w:rsid w:val="22D8603F"/>
    <w:rsid w:val="22EA7B20"/>
    <w:rsid w:val="22F64717"/>
    <w:rsid w:val="232262DB"/>
    <w:rsid w:val="23324287"/>
    <w:rsid w:val="23377CAA"/>
    <w:rsid w:val="233A4603"/>
    <w:rsid w:val="235D6544"/>
    <w:rsid w:val="235F22BC"/>
    <w:rsid w:val="23B26890"/>
    <w:rsid w:val="23E26A49"/>
    <w:rsid w:val="2472601F"/>
    <w:rsid w:val="24915D3F"/>
    <w:rsid w:val="24975A86"/>
    <w:rsid w:val="24CB549D"/>
    <w:rsid w:val="24D97E4C"/>
    <w:rsid w:val="250F386E"/>
    <w:rsid w:val="2519649B"/>
    <w:rsid w:val="25311A36"/>
    <w:rsid w:val="25334E31"/>
    <w:rsid w:val="259B3353"/>
    <w:rsid w:val="25BA5ED0"/>
    <w:rsid w:val="25E00B8F"/>
    <w:rsid w:val="265005E2"/>
    <w:rsid w:val="269E134D"/>
    <w:rsid w:val="26D22DA5"/>
    <w:rsid w:val="2725176B"/>
    <w:rsid w:val="27392E24"/>
    <w:rsid w:val="27533EE6"/>
    <w:rsid w:val="27912C60"/>
    <w:rsid w:val="27BB1A8B"/>
    <w:rsid w:val="27BC4085"/>
    <w:rsid w:val="2818512F"/>
    <w:rsid w:val="286F2FA1"/>
    <w:rsid w:val="28EA2628"/>
    <w:rsid w:val="28FE60D3"/>
    <w:rsid w:val="29325D7D"/>
    <w:rsid w:val="29347675"/>
    <w:rsid w:val="29B6075C"/>
    <w:rsid w:val="29BC0222"/>
    <w:rsid w:val="2A2D4EC2"/>
    <w:rsid w:val="2A391494"/>
    <w:rsid w:val="2A3D0E7D"/>
    <w:rsid w:val="2A8E3C27"/>
    <w:rsid w:val="2A922F25"/>
    <w:rsid w:val="2B287437"/>
    <w:rsid w:val="2B3C2124"/>
    <w:rsid w:val="2B634913"/>
    <w:rsid w:val="2B6358D0"/>
    <w:rsid w:val="2B8F5708"/>
    <w:rsid w:val="2B944ACD"/>
    <w:rsid w:val="2BA50FCE"/>
    <w:rsid w:val="2BC058C2"/>
    <w:rsid w:val="2BE912BD"/>
    <w:rsid w:val="2BEF7F55"/>
    <w:rsid w:val="2BFA4D2C"/>
    <w:rsid w:val="2C0C0B07"/>
    <w:rsid w:val="2C0C323A"/>
    <w:rsid w:val="2CCE2260"/>
    <w:rsid w:val="2D83129D"/>
    <w:rsid w:val="2DEC685F"/>
    <w:rsid w:val="2E02593D"/>
    <w:rsid w:val="2E7110F5"/>
    <w:rsid w:val="2E83493E"/>
    <w:rsid w:val="2EF02962"/>
    <w:rsid w:val="2F776BDF"/>
    <w:rsid w:val="2FC5794B"/>
    <w:rsid w:val="2FCA6D0F"/>
    <w:rsid w:val="30183F1E"/>
    <w:rsid w:val="307541B9"/>
    <w:rsid w:val="30A21603"/>
    <w:rsid w:val="31175F84"/>
    <w:rsid w:val="313C59EB"/>
    <w:rsid w:val="314D7BF8"/>
    <w:rsid w:val="3150593A"/>
    <w:rsid w:val="316E3973"/>
    <w:rsid w:val="31837ABD"/>
    <w:rsid w:val="31AD3816"/>
    <w:rsid w:val="31C003CA"/>
    <w:rsid w:val="31C0486E"/>
    <w:rsid w:val="322C5A5F"/>
    <w:rsid w:val="32B1065A"/>
    <w:rsid w:val="32E4633A"/>
    <w:rsid w:val="32EE0F67"/>
    <w:rsid w:val="32F3657D"/>
    <w:rsid w:val="32F742BF"/>
    <w:rsid w:val="33136C1F"/>
    <w:rsid w:val="336145E5"/>
    <w:rsid w:val="33731839"/>
    <w:rsid w:val="338A5AE5"/>
    <w:rsid w:val="33E660E2"/>
    <w:rsid w:val="34873421"/>
    <w:rsid w:val="348E31BB"/>
    <w:rsid w:val="34C04B85"/>
    <w:rsid w:val="34E412B2"/>
    <w:rsid w:val="3530256B"/>
    <w:rsid w:val="35325A82"/>
    <w:rsid w:val="35494B7A"/>
    <w:rsid w:val="35514597"/>
    <w:rsid w:val="355C2AFF"/>
    <w:rsid w:val="35B90DD2"/>
    <w:rsid w:val="360016DD"/>
    <w:rsid w:val="36064819"/>
    <w:rsid w:val="362F4C60"/>
    <w:rsid w:val="36323860"/>
    <w:rsid w:val="36722206"/>
    <w:rsid w:val="36AA1648"/>
    <w:rsid w:val="36F32FEF"/>
    <w:rsid w:val="373A29CC"/>
    <w:rsid w:val="379F23FA"/>
    <w:rsid w:val="37A2471D"/>
    <w:rsid w:val="381A45AC"/>
    <w:rsid w:val="386C28BE"/>
    <w:rsid w:val="38871C41"/>
    <w:rsid w:val="388A34DF"/>
    <w:rsid w:val="38CA630A"/>
    <w:rsid w:val="38CF5A18"/>
    <w:rsid w:val="38D378D6"/>
    <w:rsid w:val="39137979"/>
    <w:rsid w:val="397D3044"/>
    <w:rsid w:val="39987E7E"/>
    <w:rsid w:val="39AA10BA"/>
    <w:rsid w:val="39D37108"/>
    <w:rsid w:val="39DF5AAD"/>
    <w:rsid w:val="39E3734B"/>
    <w:rsid w:val="39E971D6"/>
    <w:rsid w:val="39ED1F78"/>
    <w:rsid w:val="3A287454"/>
    <w:rsid w:val="3A296D28"/>
    <w:rsid w:val="3A3F02FA"/>
    <w:rsid w:val="3A5C3A84"/>
    <w:rsid w:val="3A6F0BDF"/>
    <w:rsid w:val="3A722B66"/>
    <w:rsid w:val="3AA0348E"/>
    <w:rsid w:val="3B732951"/>
    <w:rsid w:val="3BBD5541"/>
    <w:rsid w:val="3BF75330"/>
    <w:rsid w:val="3C1A101E"/>
    <w:rsid w:val="3C236125"/>
    <w:rsid w:val="3C333E8E"/>
    <w:rsid w:val="3C410359"/>
    <w:rsid w:val="3CAF5C0A"/>
    <w:rsid w:val="3CB35572"/>
    <w:rsid w:val="3CBD0327"/>
    <w:rsid w:val="3D1E68EC"/>
    <w:rsid w:val="3D9848F1"/>
    <w:rsid w:val="3DCB0822"/>
    <w:rsid w:val="3DCB25D0"/>
    <w:rsid w:val="3DD728D7"/>
    <w:rsid w:val="3DEB4A20"/>
    <w:rsid w:val="3DFD6086"/>
    <w:rsid w:val="3E271020"/>
    <w:rsid w:val="3E4B1963"/>
    <w:rsid w:val="3E587BDC"/>
    <w:rsid w:val="3EDB4A95"/>
    <w:rsid w:val="3EF618CF"/>
    <w:rsid w:val="3F565F86"/>
    <w:rsid w:val="3F7E650B"/>
    <w:rsid w:val="3FFF2A05"/>
    <w:rsid w:val="4004001B"/>
    <w:rsid w:val="40965270"/>
    <w:rsid w:val="40C517C5"/>
    <w:rsid w:val="40DF6392"/>
    <w:rsid w:val="40E76E20"/>
    <w:rsid w:val="410854D8"/>
    <w:rsid w:val="415F2127"/>
    <w:rsid w:val="41E81277"/>
    <w:rsid w:val="420A743F"/>
    <w:rsid w:val="4213060A"/>
    <w:rsid w:val="424B1F31"/>
    <w:rsid w:val="42613503"/>
    <w:rsid w:val="42746D29"/>
    <w:rsid w:val="42816B51"/>
    <w:rsid w:val="42CE4911"/>
    <w:rsid w:val="430D5439"/>
    <w:rsid w:val="43B14016"/>
    <w:rsid w:val="44311926"/>
    <w:rsid w:val="4453331F"/>
    <w:rsid w:val="44A176FC"/>
    <w:rsid w:val="44A616A1"/>
    <w:rsid w:val="454E60D3"/>
    <w:rsid w:val="456357E4"/>
    <w:rsid w:val="4577303D"/>
    <w:rsid w:val="45E159D4"/>
    <w:rsid w:val="46535859"/>
    <w:rsid w:val="46935C55"/>
    <w:rsid w:val="46C87FF5"/>
    <w:rsid w:val="46E217FB"/>
    <w:rsid w:val="46FD57C4"/>
    <w:rsid w:val="471548BC"/>
    <w:rsid w:val="474F4E44"/>
    <w:rsid w:val="475E0363"/>
    <w:rsid w:val="48254FD3"/>
    <w:rsid w:val="483D056E"/>
    <w:rsid w:val="48886E19"/>
    <w:rsid w:val="488F0435"/>
    <w:rsid w:val="48A56050"/>
    <w:rsid w:val="48F766E4"/>
    <w:rsid w:val="48FD7CFE"/>
    <w:rsid w:val="495A0CAC"/>
    <w:rsid w:val="49B04D70"/>
    <w:rsid w:val="49CE397D"/>
    <w:rsid w:val="49EF3AEA"/>
    <w:rsid w:val="49FE5ADB"/>
    <w:rsid w:val="4A0A4480"/>
    <w:rsid w:val="4A79480D"/>
    <w:rsid w:val="4AD827D0"/>
    <w:rsid w:val="4ADB1D45"/>
    <w:rsid w:val="4AFB026D"/>
    <w:rsid w:val="4B553E21"/>
    <w:rsid w:val="4BD96800"/>
    <w:rsid w:val="4BDC009E"/>
    <w:rsid w:val="4BE3142D"/>
    <w:rsid w:val="4BF947AC"/>
    <w:rsid w:val="4C324162"/>
    <w:rsid w:val="4C5E0AB3"/>
    <w:rsid w:val="4C656C71"/>
    <w:rsid w:val="4C79769B"/>
    <w:rsid w:val="4C910E89"/>
    <w:rsid w:val="4CAC5CC3"/>
    <w:rsid w:val="4CB93F3C"/>
    <w:rsid w:val="4D0F6FC7"/>
    <w:rsid w:val="4D1B2237"/>
    <w:rsid w:val="4D3B544C"/>
    <w:rsid w:val="4D4952BF"/>
    <w:rsid w:val="4DD54DA5"/>
    <w:rsid w:val="4E173610"/>
    <w:rsid w:val="4E217FEA"/>
    <w:rsid w:val="4E86699F"/>
    <w:rsid w:val="4EBB3F9B"/>
    <w:rsid w:val="4EDB288F"/>
    <w:rsid w:val="4EF23735"/>
    <w:rsid w:val="4F2F6737"/>
    <w:rsid w:val="4F304989"/>
    <w:rsid w:val="4F391364"/>
    <w:rsid w:val="4F4F0B87"/>
    <w:rsid w:val="4F5A1A06"/>
    <w:rsid w:val="4F985296"/>
    <w:rsid w:val="4FAB2261"/>
    <w:rsid w:val="4FB20509"/>
    <w:rsid w:val="4FD277EE"/>
    <w:rsid w:val="500A4E17"/>
    <w:rsid w:val="5043249A"/>
    <w:rsid w:val="508F56DF"/>
    <w:rsid w:val="509222D6"/>
    <w:rsid w:val="509C44A5"/>
    <w:rsid w:val="50B05655"/>
    <w:rsid w:val="50D21A70"/>
    <w:rsid w:val="511D0F3D"/>
    <w:rsid w:val="512B0FB0"/>
    <w:rsid w:val="5135647D"/>
    <w:rsid w:val="520B6FE7"/>
    <w:rsid w:val="5221405B"/>
    <w:rsid w:val="522D314C"/>
    <w:rsid w:val="53741576"/>
    <w:rsid w:val="53A414A2"/>
    <w:rsid w:val="53BB67EB"/>
    <w:rsid w:val="53F817ED"/>
    <w:rsid w:val="5426635A"/>
    <w:rsid w:val="5439537A"/>
    <w:rsid w:val="543A1E06"/>
    <w:rsid w:val="544467E1"/>
    <w:rsid w:val="54665218"/>
    <w:rsid w:val="547C41CC"/>
    <w:rsid w:val="54B41BB8"/>
    <w:rsid w:val="54DC4C6B"/>
    <w:rsid w:val="55175CA3"/>
    <w:rsid w:val="554F18E1"/>
    <w:rsid w:val="558C043F"/>
    <w:rsid w:val="55DA22E2"/>
    <w:rsid w:val="563C00B7"/>
    <w:rsid w:val="56925F29"/>
    <w:rsid w:val="569577C7"/>
    <w:rsid w:val="569D042A"/>
    <w:rsid w:val="56B931FB"/>
    <w:rsid w:val="56D8563D"/>
    <w:rsid w:val="56E32B00"/>
    <w:rsid w:val="571F1427"/>
    <w:rsid w:val="573B16D6"/>
    <w:rsid w:val="577A63AA"/>
    <w:rsid w:val="57856552"/>
    <w:rsid w:val="57BD669D"/>
    <w:rsid w:val="57BD6FD6"/>
    <w:rsid w:val="57E43CF9"/>
    <w:rsid w:val="58782EFD"/>
    <w:rsid w:val="59036C6A"/>
    <w:rsid w:val="59067D7A"/>
    <w:rsid w:val="595C6A5E"/>
    <w:rsid w:val="59AA70A9"/>
    <w:rsid w:val="59E92304"/>
    <w:rsid w:val="5ACE14FA"/>
    <w:rsid w:val="5AED6338"/>
    <w:rsid w:val="5B10566E"/>
    <w:rsid w:val="5B1C4013"/>
    <w:rsid w:val="5B3550D5"/>
    <w:rsid w:val="5B417F1E"/>
    <w:rsid w:val="5B5E287E"/>
    <w:rsid w:val="5B5F2152"/>
    <w:rsid w:val="5B953DC6"/>
    <w:rsid w:val="5BF84A80"/>
    <w:rsid w:val="5C6B0F23"/>
    <w:rsid w:val="5C6F13D2"/>
    <w:rsid w:val="5C891B7C"/>
    <w:rsid w:val="5C8A31FF"/>
    <w:rsid w:val="5C934737"/>
    <w:rsid w:val="5CA72002"/>
    <w:rsid w:val="5CBA1D36"/>
    <w:rsid w:val="5CBD5382"/>
    <w:rsid w:val="5CF8460C"/>
    <w:rsid w:val="5D854EDB"/>
    <w:rsid w:val="5E257683"/>
    <w:rsid w:val="5E3661B3"/>
    <w:rsid w:val="5E3F6AE3"/>
    <w:rsid w:val="5E6172E5"/>
    <w:rsid w:val="5E68756F"/>
    <w:rsid w:val="5F21609C"/>
    <w:rsid w:val="5F265461"/>
    <w:rsid w:val="5F3202A9"/>
    <w:rsid w:val="5FA94790"/>
    <w:rsid w:val="5FD4310E"/>
    <w:rsid w:val="60031C46"/>
    <w:rsid w:val="60912DAE"/>
    <w:rsid w:val="60C168A3"/>
    <w:rsid w:val="610417D1"/>
    <w:rsid w:val="61581B1D"/>
    <w:rsid w:val="61815EAD"/>
    <w:rsid w:val="6195210C"/>
    <w:rsid w:val="61B74A96"/>
    <w:rsid w:val="61EB2991"/>
    <w:rsid w:val="625A7172"/>
    <w:rsid w:val="6291178B"/>
    <w:rsid w:val="62EB0FA6"/>
    <w:rsid w:val="63233564"/>
    <w:rsid w:val="639D5F0D"/>
    <w:rsid w:val="63CB76FF"/>
    <w:rsid w:val="63D23792"/>
    <w:rsid w:val="64322AF9"/>
    <w:rsid w:val="6470717E"/>
    <w:rsid w:val="64D21BE7"/>
    <w:rsid w:val="65077AE2"/>
    <w:rsid w:val="65404DA2"/>
    <w:rsid w:val="656C2E6D"/>
    <w:rsid w:val="657F3B1C"/>
    <w:rsid w:val="65851DAB"/>
    <w:rsid w:val="65D04378"/>
    <w:rsid w:val="6612673F"/>
    <w:rsid w:val="661324B7"/>
    <w:rsid w:val="667C1E0A"/>
    <w:rsid w:val="668C3B43"/>
    <w:rsid w:val="66FB3677"/>
    <w:rsid w:val="672C3830"/>
    <w:rsid w:val="67380427"/>
    <w:rsid w:val="674E19F8"/>
    <w:rsid w:val="67591430"/>
    <w:rsid w:val="67972B3B"/>
    <w:rsid w:val="67A05FCC"/>
    <w:rsid w:val="67E265E5"/>
    <w:rsid w:val="67FD6F7B"/>
    <w:rsid w:val="683D381B"/>
    <w:rsid w:val="685A43CD"/>
    <w:rsid w:val="68784853"/>
    <w:rsid w:val="687E455F"/>
    <w:rsid w:val="68993147"/>
    <w:rsid w:val="694F7CAA"/>
    <w:rsid w:val="69726751"/>
    <w:rsid w:val="69DC778F"/>
    <w:rsid w:val="6A0C433E"/>
    <w:rsid w:val="6A1862EE"/>
    <w:rsid w:val="6A786D8C"/>
    <w:rsid w:val="6A7E0847"/>
    <w:rsid w:val="6A935974"/>
    <w:rsid w:val="6AB44268"/>
    <w:rsid w:val="6AE52674"/>
    <w:rsid w:val="6AF723A7"/>
    <w:rsid w:val="6B413622"/>
    <w:rsid w:val="6B4A24D7"/>
    <w:rsid w:val="6B8359E9"/>
    <w:rsid w:val="6BF32B6E"/>
    <w:rsid w:val="6BF608B1"/>
    <w:rsid w:val="6BF95CAB"/>
    <w:rsid w:val="6C136D6D"/>
    <w:rsid w:val="6C6E09FA"/>
    <w:rsid w:val="6C735A5D"/>
    <w:rsid w:val="6C770138"/>
    <w:rsid w:val="6CDF1345"/>
    <w:rsid w:val="6CEB5F3B"/>
    <w:rsid w:val="6D0272F5"/>
    <w:rsid w:val="6D0A4613"/>
    <w:rsid w:val="6D140FEE"/>
    <w:rsid w:val="6D4F0278"/>
    <w:rsid w:val="6D5E04BB"/>
    <w:rsid w:val="6DA87988"/>
    <w:rsid w:val="6DFD543D"/>
    <w:rsid w:val="6E1119D2"/>
    <w:rsid w:val="6E245261"/>
    <w:rsid w:val="6E971ED7"/>
    <w:rsid w:val="6E9F6FDD"/>
    <w:rsid w:val="6F20011E"/>
    <w:rsid w:val="701632CF"/>
    <w:rsid w:val="70216EF3"/>
    <w:rsid w:val="707F3428"/>
    <w:rsid w:val="709661BE"/>
    <w:rsid w:val="71213CDA"/>
    <w:rsid w:val="718F50E7"/>
    <w:rsid w:val="71A14D39"/>
    <w:rsid w:val="721D6B97"/>
    <w:rsid w:val="726227FC"/>
    <w:rsid w:val="72AC7F1B"/>
    <w:rsid w:val="733256C4"/>
    <w:rsid w:val="735465E8"/>
    <w:rsid w:val="740C0C71"/>
    <w:rsid w:val="7419338E"/>
    <w:rsid w:val="7434641A"/>
    <w:rsid w:val="74421B7D"/>
    <w:rsid w:val="74650381"/>
    <w:rsid w:val="749018A2"/>
    <w:rsid w:val="74C0380A"/>
    <w:rsid w:val="74CC0400"/>
    <w:rsid w:val="75497CA3"/>
    <w:rsid w:val="754E350B"/>
    <w:rsid w:val="755F3023"/>
    <w:rsid w:val="75DE663D"/>
    <w:rsid w:val="7610256F"/>
    <w:rsid w:val="76132F33"/>
    <w:rsid w:val="761B0B3D"/>
    <w:rsid w:val="761C0FA1"/>
    <w:rsid w:val="76974A48"/>
    <w:rsid w:val="769E5DCD"/>
    <w:rsid w:val="76B13D52"/>
    <w:rsid w:val="76DA3B8E"/>
    <w:rsid w:val="76E97048"/>
    <w:rsid w:val="77471FC0"/>
    <w:rsid w:val="77560455"/>
    <w:rsid w:val="7782124A"/>
    <w:rsid w:val="77BF5FFA"/>
    <w:rsid w:val="77D14127"/>
    <w:rsid w:val="77E31CE9"/>
    <w:rsid w:val="77E43CB3"/>
    <w:rsid w:val="77F250B7"/>
    <w:rsid w:val="78436C2C"/>
    <w:rsid w:val="78B673FD"/>
    <w:rsid w:val="78D45AD6"/>
    <w:rsid w:val="78DB0DA9"/>
    <w:rsid w:val="790F4D60"/>
    <w:rsid w:val="790F6B0E"/>
    <w:rsid w:val="79B55907"/>
    <w:rsid w:val="79D35D8D"/>
    <w:rsid w:val="7A3E0998"/>
    <w:rsid w:val="7AC34054"/>
    <w:rsid w:val="7AEF6BF7"/>
    <w:rsid w:val="7B6E0463"/>
    <w:rsid w:val="7B811F45"/>
    <w:rsid w:val="7BC167E5"/>
    <w:rsid w:val="7C5B09E8"/>
    <w:rsid w:val="7C7C270C"/>
    <w:rsid w:val="7C9F5107"/>
    <w:rsid w:val="7CFD1A9F"/>
    <w:rsid w:val="7D1B4CE3"/>
    <w:rsid w:val="7D284642"/>
    <w:rsid w:val="7D3E79C1"/>
    <w:rsid w:val="7DB51EB6"/>
    <w:rsid w:val="7DB54128"/>
    <w:rsid w:val="7DD32800"/>
    <w:rsid w:val="7DF6029C"/>
    <w:rsid w:val="7E744A9D"/>
    <w:rsid w:val="7E843AFA"/>
    <w:rsid w:val="7EA75AFC"/>
    <w:rsid w:val="7EF42A2E"/>
    <w:rsid w:val="7F014899"/>
    <w:rsid w:val="7F0215EE"/>
    <w:rsid w:val="7F0305A5"/>
    <w:rsid w:val="7F2A6A0F"/>
    <w:rsid w:val="7F3177DE"/>
    <w:rsid w:val="7F5B2AAD"/>
    <w:rsid w:val="7F5F07EF"/>
    <w:rsid w:val="7F6F47AA"/>
    <w:rsid w:val="7FC56178"/>
    <w:rsid w:val="7FEC7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szCs w:val="20"/>
    </w:rPr>
  </w:style>
  <w:style w:type="paragraph" w:styleId="4">
    <w:name w:val="heading 2"/>
    <w:basedOn w:val="1"/>
    <w:next w:val="1"/>
    <w:link w:val="45"/>
    <w:qFormat/>
    <w:uiPriority w:val="0"/>
    <w:pPr>
      <w:jc w:val="left"/>
      <w:outlineLvl w:val="1"/>
    </w:pPr>
    <w:rPr>
      <w:rFonts w:ascii="Arial" w:hAnsi="Arial" w:eastAsia="黑体"/>
      <w:b/>
      <w:bCs/>
      <w:color w:val="000000"/>
      <w:kern w:val="0"/>
      <w:sz w:val="36"/>
      <w:szCs w:val="32"/>
    </w:rPr>
  </w:style>
  <w:style w:type="paragraph" w:styleId="5">
    <w:name w:val="heading 3"/>
    <w:basedOn w:val="1"/>
    <w:next w:val="1"/>
    <w:link w:val="44"/>
    <w:qFormat/>
    <w:uiPriority w:val="0"/>
    <w:pPr>
      <w:spacing w:line="360" w:lineRule="auto"/>
      <w:ind w:left="118"/>
      <w:jc w:val="center"/>
      <w:outlineLvl w:val="2"/>
    </w:pPr>
    <w:rPr>
      <w:rFonts w:eastAsia="黑体"/>
      <w:b/>
      <w:bCs/>
      <w:color w:val="800000"/>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pPr>
    <w:rPr>
      <w:szCs w:val="20"/>
    </w:rPr>
  </w:style>
  <w:style w:type="paragraph" w:styleId="6">
    <w:name w:val="annotation text"/>
    <w:basedOn w:val="1"/>
    <w:link w:val="36"/>
    <w:qFormat/>
    <w:uiPriority w:val="0"/>
    <w:pPr>
      <w:jc w:val="left"/>
    </w:pPr>
  </w:style>
  <w:style w:type="paragraph" w:styleId="7">
    <w:name w:val="Body Text 3"/>
    <w:basedOn w:val="1"/>
    <w:link w:val="43"/>
    <w:unhideWhenUsed/>
    <w:qFormat/>
    <w:uiPriority w:val="0"/>
    <w:rPr>
      <w:rFonts w:ascii="宋体"/>
      <w:kern w:val="0"/>
      <w:sz w:val="24"/>
      <w:szCs w:val="20"/>
    </w:rPr>
  </w:style>
  <w:style w:type="paragraph" w:styleId="8">
    <w:name w:val="Body Text"/>
    <w:basedOn w:val="1"/>
    <w:next w:val="9"/>
    <w:qFormat/>
    <w:uiPriority w:val="0"/>
    <w:pPr>
      <w:spacing w:after="120"/>
    </w:pPr>
    <w:rPr>
      <w:rFonts w:ascii="等线" w:hAnsi="等线"/>
      <w:kern w:val="0"/>
      <w:sz w:val="20"/>
      <w:szCs w:val="24"/>
    </w:rPr>
  </w:style>
  <w:style w:type="paragraph" w:styleId="9">
    <w:name w:val="Body Text 2"/>
    <w:basedOn w:val="1"/>
    <w:qFormat/>
    <w:uiPriority w:val="0"/>
    <w:pPr>
      <w:snapToGrid w:val="0"/>
    </w:pPr>
    <w:rPr>
      <w:rFonts w:hint="eastAsia" w:ascii="宋体" w:hAnsi="宋体"/>
      <w:sz w:val="24"/>
      <w:szCs w:val="20"/>
    </w:rPr>
  </w:style>
  <w:style w:type="paragraph" w:styleId="10">
    <w:name w:val="Body Text Indent"/>
    <w:basedOn w:val="1"/>
    <w:qFormat/>
    <w:uiPriority w:val="0"/>
    <w:pPr>
      <w:ind w:firstLine="560" w:firstLineChars="200"/>
    </w:pPr>
    <w:rPr>
      <w:kern w:val="0"/>
      <w:sz w:val="28"/>
      <w:szCs w:val="24"/>
    </w:rPr>
  </w:style>
  <w:style w:type="paragraph" w:styleId="11">
    <w:name w:val="Plain Text"/>
    <w:basedOn w:val="1"/>
    <w:next w:val="1"/>
    <w:link w:val="41"/>
    <w:qFormat/>
    <w:uiPriority w:val="0"/>
    <w:rPr>
      <w:rFonts w:ascii="宋体" w:hAnsi="Courier New"/>
      <w:kern w:val="0"/>
      <w:sz w:val="20"/>
      <w:szCs w:val="20"/>
    </w:rPr>
  </w:style>
  <w:style w:type="paragraph" w:styleId="12">
    <w:name w:val="Balloon Text"/>
    <w:basedOn w:val="1"/>
    <w:link w:val="38"/>
    <w:qFormat/>
    <w:uiPriority w:val="0"/>
    <w:rPr>
      <w:sz w:val="18"/>
      <w:szCs w:val="18"/>
    </w:rPr>
  </w:style>
  <w:style w:type="paragraph" w:styleId="13">
    <w:name w:val="footer"/>
    <w:basedOn w:val="1"/>
    <w:link w:val="40"/>
    <w:unhideWhenUsed/>
    <w:qFormat/>
    <w:uiPriority w:val="99"/>
    <w:pPr>
      <w:tabs>
        <w:tab w:val="center" w:pos="4153"/>
        <w:tab w:val="right" w:pos="8306"/>
      </w:tabs>
      <w:snapToGrid w:val="0"/>
      <w:jc w:val="left"/>
    </w:pPr>
    <w:rPr>
      <w:kern w:val="0"/>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unhideWhenUsed/>
    <w:qFormat/>
    <w:uiPriority w:val="39"/>
    <w:rPr>
      <w:rFonts w:cs="Calibri"/>
    </w:rPr>
  </w:style>
  <w:style w:type="paragraph" w:styleId="16">
    <w:name w:val="toc 2"/>
    <w:basedOn w:val="1"/>
    <w:next w:val="1"/>
    <w:qFormat/>
    <w:uiPriority w:val="39"/>
    <w:pPr>
      <w:ind w:left="200" w:leftChars="200"/>
    </w:pPr>
  </w:style>
  <w:style w:type="paragraph" w:styleId="17">
    <w:name w:val="Normal (Web)"/>
    <w:basedOn w:val="1"/>
    <w:unhideWhenUsed/>
    <w:qFormat/>
    <w:uiPriority w:val="0"/>
    <w:rPr>
      <w:rFonts w:cs="Calibri"/>
      <w:sz w:val="24"/>
    </w:rPr>
  </w:style>
  <w:style w:type="paragraph" w:styleId="18">
    <w:name w:val="Title"/>
    <w:basedOn w:val="1"/>
    <w:qFormat/>
    <w:uiPriority w:val="0"/>
    <w:pPr>
      <w:spacing w:before="240" w:after="60"/>
      <w:jc w:val="center"/>
      <w:outlineLvl w:val="0"/>
    </w:pPr>
    <w:rPr>
      <w:rFonts w:ascii="Arial" w:hAnsi="Arial" w:eastAsia="黑体" w:cs="Arial"/>
      <w:b/>
      <w:bCs/>
      <w:sz w:val="36"/>
      <w:szCs w:val="32"/>
    </w:rPr>
  </w:style>
  <w:style w:type="paragraph" w:styleId="19">
    <w:name w:val="annotation subject"/>
    <w:basedOn w:val="6"/>
    <w:next w:val="6"/>
    <w:link w:val="37"/>
    <w:qFormat/>
    <w:uiPriority w:val="0"/>
    <w:rPr>
      <w:b/>
      <w:bCs/>
    </w:rPr>
  </w:style>
  <w:style w:type="paragraph" w:styleId="20">
    <w:name w:val="Body Text First Indent"/>
    <w:basedOn w:val="8"/>
    <w:next w:val="21"/>
    <w:qFormat/>
    <w:uiPriority w:val="0"/>
    <w:pPr>
      <w:ind w:firstLine="420" w:firstLineChars="100"/>
    </w:pPr>
    <w:rPr>
      <w:rFonts w:ascii="Calibri" w:hAnsi="Calibri"/>
    </w:rPr>
  </w:style>
  <w:style w:type="paragraph" w:styleId="21">
    <w:name w:val="Body Text First Indent 2"/>
    <w:basedOn w:val="10"/>
    <w:qFormat/>
    <w:uiPriority w:val="0"/>
    <w:pPr>
      <w:spacing w:line="420" w:lineRule="exact"/>
      <w:ind w:firstLine="420"/>
      <w:jc w:val="left"/>
    </w:pPr>
    <w:rPr>
      <w:rFonts w:ascii="宋体" w:hAnsi="宋体"/>
      <w:color w:val="000000"/>
      <w:sz w:val="24"/>
      <w:szCs w:val="18"/>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unhideWhenUsed/>
    <w:qFormat/>
    <w:uiPriority w:val="0"/>
    <w:rPr>
      <w:rFonts w:hint="default" w:ascii="Calibri" w:hAnsi="Calibri" w:eastAsia="宋体" w:cs="Calibri"/>
    </w:rPr>
  </w:style>
  <w:style w:type="character" w:styleId="26">
    <w:name w:val="Hyperlink"/>
    <w:unhideWhenUsed/>
    <w:qFormat/>
    <w:uiPriority w:val="99"/>
    <w:rPr>
      <w:rFonts w:hint="default" w:ascii="Calibri" w:hAnsi="Calibri" w:eastAsia="宋体" w:cs="Calibri"/>
      <w:color w:val="0000FF"/>
      <w:u w:val="single"/>
    </w:rPr>
  </w:style>
  <w:style w:type="character" w:styleId="27">
    <w:name w:val="annotation reference"/>
    <w:basedOn w:val="24"/>
    <w:qFormat/>
    <w:uiPriority w:val="0"/>
    <w:rPr>
      <w:sz w:val="21"/>
      <w:szCs w:val="21"/>
    </w:rPr>
  </w:style>
  <w:style w:type="paragraph" w:customStyle="1" w:styleId="28">
    <w:name w:val="Default"/>
    <w:next w:val="29"/>
    <w:qFormat/>
    <w:uiPriority w:val="0"/>
    <w:pPr>
      <w:widowControl w:val="0"/>
      <w:autoSpaceDE w:val="0"/>
      <w:autoSpaceDN w:val="0"/>
      <w:adjustRightInd w:val="0"/>
    </w:pPr>
    <w:rPr>
      <w:rFonts w:ascii="华文中宋" w:hAnsi="Times New Roman" w:eastAsia="华文中宋" w:cs="Times New Roman"/>
      <w:color w:val="000000"/>
      <w:sz w:val="24"/>
      <w:szCs w:val="24"/>
      <w:lang w:val="en-US" w:eastAsia="zh-CN" w:bidi="ar-SA"/>
    </w:rPr>
  </w:style>
  <w:style w:type="paragraph" w:customStyle="1" w:styleId="29">
    <w:name w:val="6'"/>
    <w:basedOn w:val="1"/>
    <w:next w:val="30"/>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0">
    <w:name w:val="AOHead3"/>
    <w:basedOn w:val="1"/>
    <w:next w:val="1"/>
    <w:qFormat/>
    <w:uiPriority w:val="0"/>
    <w:pPr>
      <w:widowControl/>
      <w:spacing w:line="360" w:lineRule="auto"/>
      <w:ind w:left="1260"/>
      <w:outlineLvl w:val="2"/>
    </w:pPr>
    <w:rPr>
      <w:color w:val="0000FF"/>
      <w:sz w:val="24"/>
    </w:rPr>
  </w:style>
  <w:style w:type="paragraph" w:styleId="31">
    <w:name w:val="List Paragraph"/>
    <w:basedOn w:val="1"/>
    <w:qFormat/>
    <w:uiPriority w:val="34"/>
    <w:pPr>
      <w:ind w:firstLine="420" w:firstLineChars="200"/>
    </w:pPr>
  </w:style>
  <w:style w:type="paragraph" w:customStyle="1" w:styleId="32">
    <w:name w:val="TOC 标题1"/>
    <w:basedOn w:val="3"/>
    <w:next w:val="1"/>
    <w:qFormat/>
    <w:uiPriority w:val="0"/>
    <w:pPr>
      <w:widowControl/>
      <w:spacing w:before="480" w:after="0" w:line="276" w:lineRule="auto"/>
      <w:jc w:val="left"/>
      <w:outlineLvl w:val="9"/>
    </w:pPr>
    <w:rPr>
      <w:rFonts w:ascii="Cambria" w:hAnsi="Cambria" w:cs="Calibri"/>
      <w:color w:val="365F91"/>
      <w:kern w:val="0"/>
      <w:sz w:val="28"/>
    </w:rPr>
  </w:style>
  <w:style w:type="paragraph" w:customStyle="1" w:styleId="33">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34">
    <w:name w:val="文二"/>
    <w:basedOn w:val="1"/>
    <w:qFormat/>
    <w:uiPriority w:val="0"/>
    <w:rPr>
      <w:rFonts w:ascii="宋体" w:hAnsi="宋体" w:cs="Calibri"/>
      <w:szCs w:val="21"/>
    </w:rPr>
  </w:style>
  <w:style w:type="paragraph" w:customStyle="1" w:styleId="35">
    <w:name w:val="表格文字"/>
    <w:basedOn w:val="1"/>
    <w:next w:val="1"/>
    <w:qFormat/>
    <w:uiPriority w:val="0"/>
    <w:pPr>
      <w:adjustRightInd w:val="0"/>
      <w:spacing w:line="420" w:lineRule="atLeast"/>
      <w:jc w:val="left"/>
    </w:pPr>
    <w:rPr>
      <w:rFonts w:cs="Calibri"/>
      <w:kern w:val="0"/>
      <w:szCs w:val="20"/>
    </w:rPr>
  </w:style>
  <w:style w:type="character" w:customStyle="1" w:styleId="36">
    <w:name w:val="批注文字 字符"/>
    <w:basedOn w:val="24"/>
    <w:link w:val="6"/>
    <w:qFormat/>
    <w:uiPriority w:val="0"/>
    <w:rPr>
      <w:kern w:val="2"/>
      <w:sz w:val="21"/>
      <w:szCs w:val="22"/>
    </w:rPr>
  </w:style>
  <w:style w:type="character" w:customStyle="1" w:styleId="37">
    <w:name w:val="批注主题 字符"/>
    <w:basedOn w:val="36"/>
    <w:link w:val="19"/>
    <w:qFormat/>
    <w:uiPriority w:val="0"/>
    <w:rPr>
      <w:b/>
      <w:bCs/>
      <w:kern w:val="2"/>
      <w:sz w:val="21"/>
      <w:szCs w:val="22"/>
    </w:rPr>
  </w:style>
  <w:style w:type="character" w:customStyle="1" w:styleId="38">
    <w:name w:val="批注框文本 字符"/>
    <w:basedOn w:val="24"/>
    <w:link w:val="12"/>
    <w:qFormat/>
    <w:uiPriority w:val="0"/>
    <w:rPr>
      <w:kern w:val="2"/>
      <w:sz w:val="18"/>
      <w:szCs w:val="18"/>
    </w:rPr>
  </w:style>
  <w:style w:type="character" w:customStyle="1" w:styleId="39">
    <w:name w:val="NormalCharacter"/>
    <w:qFormat/>
    <w:uiPriority w:val="0"/>
  </w:style>
  <w:style w:type="character" w:customStyle="1" w:styleId="40">
    <w:name w:val="页脚 字符"/>
    <w:basedOn w:val="24"/>
    <w:link w:val="13"/>
    <w:qFormat/>
    <w:uiPriority w:val="99"/>
    <w:rPr>
      <w:sz w:val="18"/>
      <w:szCs w:val="18"/>
    </w:rPr>
  </w:style>
  <w:style w:type="character" w:customStyle="1" w:styleId="41">
    <w:name w:val="纯文本 字符"/>
    <w:basedOn w:val="24"/>
    <w:link w:val="11"/>
    <w:qFormat/>
    <w:locked/>
    <w:uiPriority w:val="0"/>
    <w:rPr>
      <w:rFonts w:ascii="宋体" w:hAnsi="Courier New"/>
    </w:rPr>
  </w:style>
  <w:style w:type="character" w:customStyle="1" w:styleId="42">
    <w:name w:val="纯文本 字符1"/>
    <w:basedOn w:val="24"/>
    <w:semiHidden/>
    <w:qFormat/>
    <w:uiPriority w:val="0"/>
    <w:rPr>
      <w:rFonts w:hAnsi="Courier New" w:cs="Courier New" w:asciiTheme="minorEastAsia" w:eastAsiaTheme="minorEastAsia"/>
      <w:kern w:val="2"/>
      <w:sz w:val="21"/>
      <w:szCs w:val="22"/>
    </w:rPr>
  </w:style>
  <w:style w:type="character" w:customStyle="1" w:styleId="43">
    <w:name w:val="正文文本 3 字符"/>
    <w:basedOn w:val="24"/>
    <w:link w:val="7"/>
    <w:qFormat/>
    <w:uiPriority w:val="0"/>
    <w:rPr>
      <w:kern w:val="2"/>
      <w:sz w:val="16"/>
      <w:szCs w:val="16"/>
    </w:rPr>
  </w:style>
  <w:style w:type="character" w:customStyle="1" w:styleId="44">
    <w:name w:val="标题 3 字符"/>
    <w:basedOn w:val="24"/>
    <w:link w:val="5"/>
    <w:qFormat/>
    <w:uiPriority w:val="0"/>
    <w:rPr>
      <w:bCs/>
      <w:kern w:val="2"/>
      <w:sz w:val="24"/>
      <w:szCs w:val="32"/>
    </w:rPr>
  </w:style>
  <w:style w:type="character" w:customStyle="1" w:styleId="45">
    <w:name w:val="标题 2 字符"/>
    <w:basedOn w:val="24"/>
    <w:link w:val="4"/>
    <w:qFormat/>
    <w:uiPriority w:val="0"/>
    <w:rPr>
      <w:rFonts w:hint="default" w:ascii="Arial" w:hAnsi="Arial" w:eastAsia="黑体" w:cs="Arial"/>
      <w:b/>
      <w:kern w:val="2"/>
      <w:sz w:val="32"/>
    </w:rPr>
  </w:style>
  <w:style w:type="character" w:customStyle="1" w:styleId="46">
    <w:name w:val="font11"/>
    <w:qFormat/>
    <w:uiPriority w:val="0"/>
    <w:rPr>
      <w:rFonts w:hint="eastAsia" w:ascii="仿宋" w:hAnsi="仿宋" w:eastAsia="仿宋" w:cs="仿宋"/>
      <w:color w:val="000000"/>
      <w:sz w:val="28"/>
      <w:szCs w:val="28"/>
      <w:u w:val="none"/>
    </w:rPr>
  </w:style>
  <w:style w:type="character" w:customStyle="1" w:styleId="47">
    <w:name w:val="font21"/>
    <w:qFormat/>
    <w:uiPriority w:val="0"/>
    <w:rPr>
      <w:rFonts w:hint="eastAsia" w:ascii="仿宋" w:hAnsi="仿宋" w:eastAsia="仿宋" w:cs="仿宋"/>
      <w:b/>
      <w:color w:val="000000"/>
      <w:sz w:val="28"/>
      <w:szCs w:val="28"/>
      <w:u w:val="none"/>
    </w:rPr>
  </w:style>
  <w:style w:type="paragraph" w:customStyle="1" w:styleId="48">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49">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50">
    <w:name w:val="修订3"/>
    <w:hidden/>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36508</Words>
  <Characters>38086</Characters>
  <Lines>294</Lines>
  <Paragraphs>82</Paragraphs>
  <TotalTime>28</TotalTime>
  <ScaleCrop>false</ScaleCrop>
  <LinksUpToDate>false</LinksUpToDate>
  <CharactersWithSpaces>38663</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2023-02-04T02:58:00Z</dcterms:created>
  <dc:creator>Administrator</dc:creator>
  <cp:lastModifiedBy>林泽鑫</cp:lastModifiedBy>
  <cp:lastPrinted>2023-02-09T02:57:00Z</cp:lastPrinted>
  <dcterms:modified xsi:type="dcterms:W3CDTF">2023-02-16T06:50:14Z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4E0FEA8FDAE14E1CB36E6298402219FF</vt:lpwstr>
  </property>
</Properties>
</file>